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F2BFF8">
      <w:pPr>
        <w:spacing w:line="300" w:lineRule="exact"/>
        <w:rPr>
          <w:rFonts w:ascii="Arial" w:hAnsi="Arial" w:eastAsia="方正黑体简体" w:cs="Arial"/>
          <w:sz w:val="21"/>
          <w:szCs w:val="21"/>
        </w:rPr>
        <w:sectPr>
          <w:headerReference r:id="rId8" w:type="first"/>
          <w:headerReference r:id="rId7" w:type="default"/>
          <w:footerReference r:id="rId9" w:type="default"/>
          <w:footerReference r:id="rId10" w:type="even"/>
          <w:type w:val="continuous"/>
          <w:pgSz w:w="11907" w:h="16840"/>
          <w:pgMar w:top="1843" w:right="1304" w:bottom="1134" w:left="1304" w:header="1134" w:footer="907" w:gutter="0"/>
          <w:cols w:space="720" w:num="1"/>
          <w:titlePg/>
          <w:docGrid w:linePitch="326" w:charSpace="0"/>
        </w:sectPr>
      </w:pPr>
      <w:r>
        <mc:AlternateContent>
          <mc:Choice Requires="wps">
            <w:drawing>
              <wp:anchor distT="0" distB="0" distL="114300" distR="114300" simplePos="0" relativeHeight="251662336" behindDoc="0" locked="0" layoutInCell="1" allowOverlap="1">
                <wp:simplePos x="0" y="0"/>
                <wp:positionH relativeFrom="margin">
                  <wp:posOffset>-7620</wp:posOffset>
                </wp:positionH>
                <wp:positionV relativeFrom="margin">
                  <wp:posOffset>5313045</wp:posOffset>
                </wp:positionV>
                <wp:extent cx="5904230" cy="3505200"/>
                <wp:effectExtent l="1270" t="0" r="0" b="3175"/>
                <wp:wrapNone/>
                <wp:docPr id="20376898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4230" cy="3505200"/>
                        </a:xfrm>
                        <a:prstGeom prst="rect">
                          <a:avLst/>
                        </a:prstGeom>
                        <a:noFill/>
                        <a:ln>
                          <a:noFill/>
                        </a:ln>
                      </wps:spPr>
                      <wps:txbx>
                        <w:txbxContent>
                          <w:p w14:paraId="70AE1B8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估价报告编号：</w:t>
                            </w:r>
                          </w:p>
                          <w:p w14:paraId="7ADC92ED">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康正评字2026-1-0005-F01ZLGJ6号</w:t>
                            </w:r>
                          </w:p>
                          <w:p w14:paraId="5D525180">
                            <w:pPr>
                              <w:textAlignment w:val="bottom"/>
                              <w:rPr>
                                <w:rFonts w:ascii="Arial" w:hAnsi="Arial"/>
                              </w:rPr>
                            </w:pPr>
                          </w:p>
                          <w:p w14:paraId="6331E962">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估价项目名称：</w:t>
                            </w:r>
                          </w:p>
                          <w:p w14:paraId="08D1BB04">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北京市房山区阜盛西街11号院3号楼地上1层101号等29套商业用房房地产市场租金水平评估</w:t>
                            </w:r>
                          </w:p>
                          <w:p w14:paraId="4A845CE4">
                            <w:pPr>
                              <w:textAlignment w:val="bottom"/>
                              <w:rPr>
                                <w:rFonts w:ascii="Arial" w:hAnsi="Arial" w:eastAsia="方正黑体简体"/>
                              </w:rPr>
                            </w:pPr>
                          </w:p>
                          <w:p w14:paraId="3FC5B85B">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估价委托人：</w:t>
                            </w:r>
                          </w:p>
                          <w:p w14:paraId="4DAD34DB">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北京首开龙湖盈泰置业有限公司</w:t>
                            </w:r>
                          </w:p>
                          <w:p w14:paraId="0E94B86D">
                            <w:pPr>
                              <w:spacing w:line="320" w:lineRule="exact"/>
                              <w:textAlignment w:val="bottom"/>
                              <w:rPr>
                                <w:rFonts w:ascii="Arial" w:hAnsi="Arial" w:eastAsia="方正黑体简体"/>
                                <w:b/>
                                <w:sz w:val="21"/>
                                <w:szCs w:val="21"/>
                              </w:rPr>
                            </w:pPr>
                          </w:p>
                          <w:p w14:paraId="0B542899">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房地产估价机构：</w:t>
                            </w:r>
                          </w:p>
                          <w:p w14:paraId="3983613C">
                            <w:pPr>
                              <w:pStyle w:val="56"/>
                              <w:spacing w:line="320" w:lineRule="exact"/>
                              <w:ind w:left="360" w:firstLine="0" w:firstLineChars="0"/>
                              <w:textAlignment w:val="bottom"/>
                              <w:rPr>
                                <w:rFonts w:ascii="Arial" w:hAnsi="Arial" w:eastAsia="方正黑体简体"/>
                                <w:sz w:val="21"/>
                                <w:szCs w:val="21"/>
                              </w:rPr>
                            </w:pPr>
                            <w:r>
                              <w:rPr>
                                <w:rFonts w:ascii="Arial" w:hAnsi="Arial" w:eastAsia="方正黑体简体"/>
                                <w:sz w:val="21"/>
                                <w:szCs w:val="21"/>
                              </w:rPr>
                              <w:t>北京康正宏基房地产评估有限公司</w:t>
                            </w:r>
                          </w:p>
                          <w:p w14:paraId="559165FB">
                            <w:pPr>
                              <w:spacing w:line="320" w:lineRule="exact"/>
                              <w:textAlignment w:val="bottom"/>
                              <w:rPr>
                                <w:rFonts w:ascii="Arial" w:hAnsi="Arial" w:eastAsia="方正黑体简体"/>
                                <w:b/>
                                <w:sz w:val="21"/>
                                <w:szCs w:val="21"/>
                              </w:rPr>
                            </w:pPr>
                          </w:p>
                          <w:p w14:paraId="6C16640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注册房地产估价师：</w:t>
                            </w:r>
                          </w:p>
                          <w:p w14:paraId="57F10B30">
                            <w:pPr>
                              <w:pStyle w:val="56"/>
                              <w:spacing w:line="320" w:lineRule="exact"/>
                              <w:ind w:left="360" w:firstLine="0" w:firstLineChars="0"/>
                              <w:textAlignment w:val="bottom"/>
                              <w:rPr>
                                <w:rFonts w:ascii="Arial" w:hAnsi="Arial" w:eastAsia="方正黑体简体"/>
                                <w:color w:val="E36C0A"/>
                                <w:sz w:val="21"/>
                                <w:szCs w:val="21"/>
                              </w:rPr>
                            </w:pPr>
                            <w:r>
                              <w:rPr>
                                <w:rFonts w:ascii="Arial" w:hAnsi="Arial" w:eastAsia="方正黑体简体"/>
                                <w:sz w:val="21"/>
                                <w:szCs w:val="21"/>
                              </w:rPr>
                              <w:t>常  畅（注册号：1120250061）、许皓源（注册号：1119980019）</w:t>
                            </w:r>
                          </w:p>
                          <w:p w14:paraId="7F014CDB">
                            <w:pPr>
                              <w:spacing w:line="320" w:lineRule="exact"/>
                              <w:textAlignment w:val="bottom"/>
                              <w:rPr>
                                <w:rFonts w:ascii="Arial" w:hAnsi="Arial" w:eastAsia="方正黑体简体"/>
                                <w:b/>
                                <w:sz w:val="21"/>
                                <w:szCs w:val="21"/>
                              </w:rPr>
                            </w:pPr>
                          </w:p>
                          <w:p w14:paraId="5AF5E818">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估价报告出具日期：</w:t>
                            </w:r>
                          </w:p>
                          <w:p w14:paraId="7C5775ED">
                            <w:pPr>
                              <w:pStyle w:val="56"/>
                              <w:spacing w:line="320" w:lineRule="exact"/>
                              <w:ind w:left="360" w:firstLine="0" w:firstLineChars="0"/>
                              <w:textAlignment w:val="bottom"/>
                            </w:pPr>
                            <w:r>
                              <w:rPr>
                                <w:rFonts w:ascii="Arial" w:hAnsi="Arial" w:eastAsia="方正黑体简体"/>
                                <w:sz w:val="21"/>
                                <w:szCs w:val="21"/>
                              </w:rPr>
                              <w:t>2026年1月</w:t>
                            </w:r>
                            <w:r>
                              <w:rPr>
                                <w:rFonts w:hint="eastAsia" w:ascii="Arial" w:hAnsi="Arial" w:eastAsia="方正黑体简体"/>
                                <w:sz w:val="21"/>
                                <w:szCs w:val="21"/>
                              </w:rPr>
                              <w:t>30</w:t>
                            </w:r>
                            <w:r>
                              <w:rPr>
                                <w:rFonts w:ascii="Arial" w:hAnsi="Arial" w:eastAsia="方正黑体简体"/>
                                <w:sz w:val="21"/>
                                <w:szCs w:val="21"/>
                              </w:rPr>
                              <w:t>日</w:t>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left:-0.6pt;margin-top:418.35pt;height:276pt;width:464.9pt;mso-position-horizontal-relative:margin;mso-position-vertical-relative:margin;z-index:251662336;mso-width-relative:page;mso-height-relative:page;" filled="f" stroked="f" coordsize="21600,21600" o:gfxdata="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pG2dgAAAALAQAADwAA&#10;AAAAAAABACAAAAAiAAAAZHJzL2Rvd25yZXYueG1sUEsBAhQAFAAAAAgAh07iQDqx/CIWAgAADwQA&#10;AA4AAAAAAAAAAQAgAAAAJwEAAGRycy9lMm9Eb2MueG1sUEsFBgAAAAAGAAYAWQEAAK8FAAAAAA==&#10;">
                <v:fill on="f" focussize="0,0"/>
                <v:stroke on="f"/>
                <v:imagedata o:title=""/>
                <o:lock v:ext="edit" aspectratio="f"/>
                <v:textbox inset="0mm,0mm,0mm,0mm" style="mso-fit-shape-to-text:t;">
                  <w:txbxContent>
                    <w:p w14:paraId="70AE1B8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估价报告编号：</w:t>
                      </w:r>
                    </w:p>
                    <w:p w14:paraId="7ADC92ED">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康正评字2026-1-0005-F01ZLGJ6号</w:t>
                      </w:r>
                    </w:p>
                    <w:p w14:paraId="5D525180">
                      <w:pPr>
                        <w:textAlignment w:val="bottom"/>
                        <w:rPr>
                          <w:rFonts w:ascii="Arial" w:hAnsi="Arial"/>
                        </w:rPr>
                      </w:pPr>
                    </w:p>
                    <w:p w14:paraId="6331E962">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估价项目名称：</w:t>
                      </w:r>
                    </w:p>
                    <w:p w14:paraId="08D1BB04">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北京市房山区阜盛西街11号院3号楼地上1层101号等29套商业用房房地产市场租金水平评估</w:t>
                      </w:r>
                    </w:p>
                    <w:p w14:paraId="4A845CE4">
                      <w:pPr>
                        <w:textAlignment w:val="bottom"/>
                        <w:rPr>
                          <w:rFonts w:ascii="Arial" w:hAnsi="Arial" w:eastAsia="方正黑体简体"/>
                        </w:rPr>
                      </w:pPr>
                    </w:p>
                    <w:p w14:paraId="3FC5B85B">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估价委托人：</w:t>
                      </w:r>
                    </w:p>
                    <w:p w14:paraId="4DAD34DB">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北京首开龙湖盈泰置业有限公司</w:t>
                      </w:r>
                    </w:p>
                    <w:p w14:paraId="0E94B86D">
                      <w:pPr>
                        <w:spacing w:line="320" w:lineRule="exact"/>
                        <w:textAlignment w:val="bottom"/>
                        <w:rPr>
                          <w:rFonts w:ascii="Arial" w:hAnsi="Arial" w:eastAsia="方正黑体简体"/>
                          <w:b/>
                          <w:sz w:val="21"/>
                          <w:szCs w:val="21"/>
                        </w:rPr>
                      </w:pPr>
                    </w:p>
                    <w:p w14:paraId="0B542899">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房地产估价机构：</w:t>
                      </w:r>
                    </w:p>
                    <w:p w14:paraId="3983613C">
                      <w:pPr>
                        <w:pStyle w:val="56"/>
                        <w:spacing w:line="320" w:lineRule="exact"/>
                        <w:ind w:left="360" w:firstLine="0" w:firstLineChars="0"/>
                        <w:textAlignment w:val="bottom"/>
                        <w:rPr>
                          <w:rFonts w:ascii="Arial" w:hAnsi="Arial" w:eastAsia="方正黑体简体"/>
                          <w:sz w:val="21"/>
                          <w:szCs w:val="21"/>
                        </w:rPr>
                      </w:pPr>
                      <w:r>
                        <w:rPr>
                          <w:rFonts w:ascii="Arial" w:hAnsi="Arial" w:eastAsia="方正黑体简体"/>
                          <w:sz w:val="21"/>
                          <w:szCs w:val="21"/>
                        </w:rPr>
                        <w:t>北京康正宏基房地产评估有限公司</w:t>
                      </w:r>
                    </w:p>
                    <w:p w14:paraId="559165FB">
                      <w:pPr>
                        <w:spacing w:line="320" w:lineRule="exact"/>
                        <w:textAlignment w:val="bottom"/>
                        <w:rPr>
                          <w:rFonts w:ascii="Arial" w:hAnsi="Arial" w:eastAsia="方正黑体简体"/>
                          <w:b/>
                          <w:sz w:val="21"/>
                          <w:szCs w:val="21"/>
                        </w:rPr>
                      </w:pPr>
                    </w:p>
                    <w:p w14:paraId="6C16640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注册房地产估价师：</w:t>
                      </w:r>
                    </w:p>
                    <w:p w14:paraId="57F10B30">
                      <w:pPr>
                        <w:pStyle w:val="56"/>
                        <w:spacing w:line="320" w:lineRule="exact"/>
                        <w:ind w:left="360" w:firstLine="0" w:firstLineChars="0"/>
                        <w:textAlignment w:val="bottom"/>
                        <w:rPr>
                          <w:rFonts w:ascii="Arial" w:hAnsi="Arial" w:eastAsia="方正黑体简体"/>
                          <w:color w:val="E36C0A"/>
                          <w:sz w:val="21"/>
                          <w:szCs w:val="21"/>
                        </w:rPr>
                      </w:pPr>
                      <w:r>
                        <w:rPr>
                          <w:rFonts w:ascii="Arial" w:hAnsi="Arial" w:eastAsia="方正黑体简体"/>
                          <w:sz w:val="21"/>
                          <w:szCs w:val="21"/>
                        </w:rPr>
                        <w:t>常  畅（注册号：1120250061）、许皓源（注册号：1119980019）</w:t>
                      </w:r>
                    </w:p>
                    <w:p w14:paraId="7F014CDB">
                      <w:pPr>
                        <w:spacing w:line="320" w:lineRule="exact"/>
                        <w:textAlignment w:val="bottom"/>
                        <w:rPr>
                          <w:rFonts w:ascii="Arial" w:hAnsi="Arial" w:eastAsia="方正黑体简体"/>
                          <w:b/>
                          <w:sz w:val="21"/>
                          <w:szCs w:val="21"/>
                        </w:rPr>
                      </w:pPr>
                    </w:p>
                    <w:p w14:paraId="5AF5E818">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估价报告出具日期：</w:t>
                      </w:r>
                    </w:p>
                    <w:p w14:paraId="7C5775ED">
                      <w:pPr>
                        <w:pStyle w:val="56"/>
                        <w:spacing w:line="320" w:lineRule="exact"/>
                        <w:ind w:left="360" w:firstLine="0" w:firstLineChars="0"/>
                        <w:textAlignment w:val="bottom"/>
                      </w:pPr>
                      <w:r>
                        <w:rPr>
                          <w:rFonts w:ascii="Arial" w:hAnsi="Arial" w:eastAsia="方正黑体简体"/>
                          <w:sz w:val="21"/>
                          <w:szCs w:val="21"/>
                        </w:rPr>
                        <w:t>2026年1月</w:t>
                      </w:r>
                      <w:r>
                        <w:rPr>
                          <w:rFonts w:hint="eastAsia" w:ascii="Arial" w:hAnsi="Arial" w:eastAsia="方正黑体简体"/>
                          <w:sz w:val="21"/>
                          <w:szCs w:val="21"/>
                        </w:rPr>
                        <w:t>30</w:t>
                      </w:r>
                      <w:r>
                        <w:rPr>
                          <w:rFonts w:ascii="Arial" w:hAnsi="Arial" w:eastAsia="方正黑体简体"/>
                          <w:sz w:val="21"/>
                          <w:szCs w:val="21"/>
                        </w:rPr>
                        <w:t>日</w:t>
                      </w:r>
                    </w:p>
                  </w:txbxContent>
                </v:textbox>
              </v:shape>
            </w:pict>
          </mc:Fallback>
        </mc:AlternateContent>
      </w:r>
      <w:r>
        <mc:AlternateContent>
          <mc:Choice Requires="wps">
            <w:drawing>
              <wp:anchor distT="0" distB="0" distL="114300" distR="114300" simplePos="0" relativeHeight="251661312" behindDoc="0" locked="0" layoutInCell="0" allowOverlap="0">
                <wp:simplePos x="0" y="0"/>
                <wp:positionH relativeFrom="margin">
                  <wp:align>center</wp:align>
                </wp:positionH>
                <wp:positionV relativeFrom="margin">
                  <wp:posOffset>1800225</wp:posOffset>
                </wp:positionV>
                <wp:extent cx="2503805" cy="514350"/>
                <wp:effectExtent l="4445" t="0" r="0" b="1270"/>
                <wp:wrapNone/>
                <wp:docPr id="144955576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wps:spPr>
                      <wps:txbx>
                        <w:txbxContent>
                          <w:p w14:paraId="3A0F9399">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anchor>
            </w:drawing>
          </mc:Choice>
          <mc:Fallback>
            <w:pict>
              <v:shape id="文本框 2" o:spid="_x0000_s1026" o:spt="202" type="#_x0000_t202" style="position:absolute;left:0pt;margin-top:141.75pt;height:40.5pt;width:197.15pt;mso-position-horizontal:center;mso-position-horizontal-relative:margin;mso-position-vertical-relative:margin;mso-wrap-style:none;z-index:251661312;mso-width-relative:page;mso-height-relative:page;" filled="f" stroked="f" coordsize="21600,21600" o:allowincell="f" o:allowoverlap="f" o:gfxdata="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hOeadoA&#10;AAAIAQAADwAAAAAAAAABACAAAAAiAAAAZHJzL2Rvd25yZXYueG1sUEsBAhQAFAAAAAgAh07iQPfd&#10;Ta4dAgAAHAQAAA4AAAAAAAAAAQAgAAAAKQEAAGRycy9lMm9Eb2MueG1sUEsFBgAAAAAGAAYAWQEA&#10;ALgFAAAAAA==&#10;">
                <v:fill on="f" focussize="0,0"/>
                <v:stroke on="f"/>
                <v:imagedata o:title=""/>
                <o:lock v:ext="edit" aspectratio="f"/>
                <v:textbox>
                  <w:txbxContent>
                    <w:p w14:paraId="3A0F9399">
                      <w:pPr>
                        <w:rPr>
                          <w:b/>
                          <w:sz w:val="52"/>
                          <w:szCs w:val="52"/>
                        </w:rPr>
                      </w:pPr>
                      <w:r>
                        <w:rPr>
                          <w:rFonts w:hint="eastAsia"/>
                          <w:b/>
                          <w:sz w:val="52"/>
                          <w:szCs w:val="52"/>
                        </w:rPr>
                        <w:t>房地产估价报告</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margin">
                  <wp:align>bottom</wp:align>
                </wp:positionV>
                <wp:extent cx="5904230" cy="203200"/>
                <wp:effectExtent l="0" t="0" r="0" b="0"/>
                <wp:wrapNone/>
                <wp:docPr id="202880711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904230" cy="203200"/>
                        </a:xfrm>
                        <a:prstGeom prst="rect">
                          <a:avLst/>
                        </a:prstGeom>
                        <a:noFill/>
                        <a:ln>
                          <a:noFill/>
                        </a:ln>
                      </wps:spPr>
                      <wps:txbx>
                        <w:txbxContent>
                          <w:p w14:paraId="42FCA3D9">
                            <w:pPr>
                              <w:pStyle w:val="56"/>
                              <w:spacing w:line="320" w:lineRule="exact"/>
                              <w:ind w:left="360" w:firstLine="0" w:firstLineChars="0"/>
                              <w:textAlignment w:val="bottom"/>
                            </w:pPr>
                          </w:p>
                        </w:txbxContent>
                      </wps:txbx>
                      <wps:bodyPr rot="0" vert="horz" wrap="square" lIns="0" tIns="0" rIns="0" bIns="0" anchor="t" anchorCtr="0" upright="1">
                        <a:spAutoFit/>
                      </wps:bodyPr>
                    </wps:wsp>
                  </a:graphicData>
                </a:graphic>
              </wp:anchor>
            </w:drawing>
          </mc:Choice>
          <mc:Fallback>
            <w:pict>
              <v:shape id="文本框 3" o:spid="_x0000_s1026" o:spt="202" type="#_x0000_t202" style="position:absolute;left:0pt;height:16pt;width:464.9pt;mso-position-horizontal:center;mso-position-horizontal-relative:margin;mso-position-vertical:bottom;mso-position-vertical-relative:margin;z-index:251660288;mso-width-relative:page;mso-height-relative:page;" filled="f" stroked="f" coordsize="21600,21600" o:gfxdata="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2fdoNIAAAAEAQAADwAAAAAAAAABACAA&#10;AAAiAAAAZHJzL2Rvd25yZXYueG1sUEsBAhQAFAAAAAgAh07iQPRa5OcTAgAADgQAAA4AAAAAAAAA&#10;AQAgAAAAIQEAAGRycy9lMm9Eb2MueG1sUEsFBgAAAAAGAAYAWQEAAKYFAAAAAA==&#10;">
                <v:fill on="f" focussize="0,0"/>
                <v:stroke on="f"/>
                <v:imagedata o:title=""/>
                <o:lock v:ext="edit" aspectratio="f"/>
                <v:textbox inset="0mm,0mm,0mm,0mm" style="mso-fit-shape-to-text:t;">
                  <w:txbxContent>
                    <w:p w14:paraId="42FCA3D9">
                      <w:pPr>
                        <w:pStyle w:val="56"/>
                        <w:spacing w:line="320" w:lineRule="exact"/>
                        <w:ind w:left="360" w:firstLine="0" w:firstLineChars="0"/>
                        <w:textAlignment w:val="bottom"/>
                      </w:pPr>
                    </w:p>
                  </w:txbxContent>
                </v:textbox>
              </v:shape>
            </w:pict>
          </mc:Fallback>
        </mc:AlternateContent>
      </w:r>
      <w:r>
        <w:rPr>
          <w:rFonts w:ascii="宋体" w:hAnsi="宋体" w:cs="宋体"/>
          <w:szCs w:val="24"/>
        </w:rPr>
        <mc:AlternateContent>
          <mc:Choice Requires="wps">
            <w:drawing>
              <wp:anchor distT="0" distB="0" distL="114300" distR="114300" simplePos="0" relativeHeight="251659264" behindDoc="0" locked="0" layoutInCell="0" allowOverlap="0">
                <wp:simplePos x="0" y="0"/>
                <wp:positionH relativeFrom="margin">
                  <wp:align>center</wp:align>
                </wp:positionH>
                <wp:positionV relativeFrom="margin">
                  <wp:posOffset>2160270</wp:posOffset>
                </wp:positionV>
                <wp:extent cx="297815" cy="514350"/>
                <wp:effectExtent l="2540" t="0" r="4445" b="3175"/>
                <wp:wrapNone/>
                <wp:docPr id="162316685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7815" cy="514350"/>
                        </a:xfrm>
                        <a:prstGeom prst="rect">
                          <a:avLst/>
                        </a:prstGeom>
                        <a:noFill/>
                        <a:ln>
                          <a:noFill/>
                        </a:ln>
                      </wps:spPr>
                      <wps:txbx>
                        <w:txbxContent>
                          <w:p w14:paraId="44FD6CF3">
                            <w:pPr>
                              <w:rPr>
                                <w:b/>
                                <w:sz w:val="52"/>
                                <w:szCs w:val="52"/>
                              </w:rPr>
                            </w:pPr>
                          </w:p>
                        </w:txbxContent>
                      </wps:txbx>
                      <wps:bodyPr rot="0" vert="horz" wrap="none" lIns="91440" tIns="45720" rIns="91440" bIns="45720" anchor="t" anchorCtr="0" upright="1">
                        <a:noAutofit/>
                      </wps:bodyPr>
                    </wps:wsp>
                  </a:graphicData>
                </a:graphic>
              </wp:anchor>
            </w:drawing>
          </mc:Choice>
          <mc:Fallback>
            <w:pict>
              <v:shape id="文本框 2" o:spid="_x0000_s1026" o:spt="202" type="#_x0000_t202" style="position:absolute;left:0pt;margin-top:170.1pt;height:40.5pt;width:23.45pt;mso-position-horizontal:center;mso-position-horizontal-relative:margin;mso-position-vertical-relative:margin;mso-wrap-style:none;z-index:251659264;mso-width-relative:page;mso-height-relative:page;" filled="f" stroked="f" coordsize="21600,21600" o:allowincell="f" o:allowoverlap="f" o:gfxdata="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my8o2QAA&#10;AAcBAAAPAAAAAAAAAAEAIAAAACIAAABkcnMvZG93bnJldi54bWxQSwECFAAUAAAACACHTuJAmeK4&#10;5R0CAAAbBAAADgAAAAAAAAABACAAAAAoAQAAZHJzL2Uyb0RvYy54bWxQSwUGAAAAAAYABgBZAQAA&#10;twUAAAAA&#10;">
                <v:fill on="f" focussize="0,0"/>
                <v:stroke on="f"/>
                <v:imagedata o:title=""/>
                <o:lock v:ext="edit" aspectratio="f"/>
                <v:textbox>
                  <w:txbxContent>
                    <w:p w14:paraId="44FD6CF3">
                      <w:pPr>
                        <w:rPr>
                          <w:b/>
                          <w:sz w:val="52"/>
                          <w:szCs w:val="52"/>
                        </w:rPr>
                      </w:pPr>
                    </w:p>
                  </w:txbxContent>
                </v:textbox>
              </v:shape>
            </w:pict>
          </mc:Fallback>
        </mc:AlternateContent>
      </w:r>
    </w:p>
    <w:p w14:paraId="39D7E2E7">
      <w:pPr>
        <w:pStyle w:val="2"/>
        <w:spacing w:line="480" w:lineRule="auto"/>
        <w:jc w:val="center"/>
        <w:rPr>
          <w:rFonts w:eastAsia="方正黑体简体"/>
          <w:b w:val="0"/>
          <w:color w:val="000000"/>
          <w:kern w:val="2"/>
          <w:sz w:val="32"/>
          <w:szCs w:val="32"/>
        </w:rPr>
      </w:pPr>
      <w:bookmarkStart w:id="0" w:name="_Toc477252437"/>
      <w:bookmarkStart w:id="1" w:name="_Toc379795040"/>
      <w:r>
        <w:rPr>
          <w:rFonts w:eastAsia="方正黑体简体"/>
          <w:b w:val="0"/>
          <w:color w:val="000000"/>
          <w:kern w:val="2"/>
          <w:sz w:val="32"/>
          <w:szCs w:val="32"/>
        </w:rPr>
        <w:t>致估价委托人函</w:t>
      </w:r>
      <w:bookmarkEnd w:id="0"/>
      <w:bookmarkEnd w:id="1"/>
    </w:p>
    <w:p w14:paraId="07D80D6B">
      <w:pPr>
        <w:spacing w:line="480" w:lineRule="auto"/>
        <w:rPr>
          <w:rFonts w:ascii="Arial" w:hAnsi="Arial" w:cs="Arial"/>
          <w:b/>
          <w:kern w:val="2"/>
          <w:sz w:val="21"/>
          <w:szCs w:val="21"/>
        </w:rPr>
      </w:pPr>
      <w:r>
        <w:rPr>
          <w:rFonts w:hint="eastAsia" w:ascii="Arial" w:hAnsi="Arial" w:cs="Arial"/>
          <w:b/>
          <w:kern w:val="2"/>
          <w:sz w:val="21"/>
          <w:szCs w:val="21"/>
        </w:rPr>
        <w:t>北京首开龙湖盈泰置业有限公司：</w:t>
      </w:r>
    </w:p>
    <w:p w14:paraId="60B2FE6A">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受贵公司委托，我公司对</w:t>
      </w:r>
      <w:r>
        <w:rPr>
          <w:rFonts w:hint="eastAsia" w:ascii="Arial" w:hAnsi="Arial" w:cs="Arial"/>
          <w:kern w:val="2"/>
          <w:sz w:val="21"/>
          <w:szCs w:val="21"/>
        </w:rPr>
        <w:t>北京市房山区阜盛西街11号院3号楼地上1层101号等29套商业用房房地产市场租金水平进行了评估。</w:t>
      </w:r>
    </w:p>
    <w:p w14:paraId="2895BB2B">
      <w:pPr>
        <w:overflowPunct w:val="0"/>
        <w:spacing w:line="480" w:lineRule="auto"/>
        <w:ind w:firstLine="422" w:firstLineChars="200"/>
        <w:jc w:val="both"/>
        <w:textAlignment w:val="auto"/>
        <w:rPr>
          <w:rFonts w:ascii="Arial" w:hAnsi="Arial"/>
          <w:b/>
          <w:sz w:val="21"/>
          <w:szCs w:val="21"/>
        </w:rPr>
      </w:pPr>
      <w:r>
        <w:rPr>
          <w:rFonts w:ascii="Arial" w:hAnsi="Arial" w:cs="Arial"/>
          <w:b/>
          <w:bCs/>
          <w:sz w:val="21"/>
          <w:szCs w:val="21"/>
        </w:rPr>
        <w:t>估价对象：</w:t>
      </w:r>
      <w:r>
        <w:rPr>
          <w:rFonts w:hint="eastAsia" w:ascii="Arial" w:hAnsi="Arial"/>
          <w:bCs/>
          <w:sz w:val="21"/>
        </w:rPr>
        <w:t>根据估价委托人提供的《不动产权证书》[京（2021）房不动产权第0024765号、京（2022）房不动产权第0001792、0001795号]、《房屋面积测算技术报告书（商品房类使用）》及《估价委托书》，估价对象为北京市房山区阜盛西街11号院3号楼地上1层101号等29套商业用房房地产，</w:t>
      </w:r>
      <w:r>
        <w:rPr>
          <w:rFonts w:hint="eastAsia" w:ascii="Arial" w:hAnsi="Arial" w:cs="Arial"/>
          <w:sz w:val="21"/>
          <w:szCs w:val="21"/>
        </w:rPr>
        <w:t>不动产权利人为</w:t>
      </w:r>
      <w:r>
        <w:rPr>
          <w:rFonts w:hint="eastAsia" w:ascii="Arial" w:hAnsi="Arial"/>
          <w:bCs/>
          <w:sz w:val="21"/>
        </w:rPr>
        <w:t>北京首开龙湖盈泰置业有限公司</w:t>
      </w:r>
      <w:r>
        <w:rPr>
          <w:rFonts w:hint="eastAsia" w:ascii="Arial" w:hAnsi="Arial" w:cs="Arial"/>
          <w:bCs/>
          <w:sz w:val="21"/>
          <w:szCs w:val="21"/>
        </w:rPr>
        <w:t>，</w:t>
      </w:r>
      <w:r>
        <w:rPr>
          <w:rFonts w:hint="eastAsia" w:ascii="Arial" w:hAnsi="Arial" w:cs="Arial"/>
          <w:sz w:val="21"/>
          <w:szCs w:val="21"/>
        </w:rPr>
        <w:t>权利性质为出让/商品房，</w:t>
      </w:r>
      <w:r>
        <w:rPr>
          <w:rFonts w:hint="eastAsia" w:ascii="Arial" w:hAnsi="Arial"/>
          <w:bCs/>
          <w:sz w:val="21"/>
        </w:rPr>
        <w:t>总建筑面积为24871.67平方米，套内建筑面积为17190.47平方米</w:t>
      </w:r>
      <w:r>
        <w:rPr>
          <w:rFonts w:ascii="Arial" w:hAnsi="Arial" w:cs="Arial"/>
          <w:sz w:val="21"/>
          <w:szCs w:val="21"/>
        </w:rPr>
        <w:t>，</w:t>
      </w:r>
      <w:r>
        <w:rPr>
          <w:rFonts w:hint="eastAsia" w:ascii="Arial" w:hAnsi="Arial" w:cs="Arial"/>
          <w:sz w:val="21"/>
          <w:szCs w:val="21"/>
        </w:rPr>
        <w:t>规划用途为商业。</w:t>
      </w:r>
      <w:r>
        <w:rPr>
          <w:rFonts w:hint="eastAsia" w:ascii="Arial" w:hAnsi="Arial"/>
          <w:bCs/>
          <w:sz w:val="21"/>
        </w:rPr>
        <w:t>详见下表：</w:t>
      </w:r>
    </w:p>
    <w:p w14:paraId="6CC29952">
      <w:pPr>
        <w:spacing w:after="120" w:afterLines="50" w:line="240" w:lineRule="auto"/>
        <w:ind w:firstLine="413" w:firstLineChars="196"/>
        <w:jc w:val="center"/>
        <w:rPr>
          <w:rFonts w:ascii="Arial" w:hAnsi="Arial"/>
          <w:b/>
          <w:sz w:val="21"/>
          <w:szCs w:val="21"/>
        </w:rPr>
      </w:pPr>
      <w:r>
        <w:rPr>
          <w:rFonts w:hint="eastAsia" w:ascii="Arial" w:hAnsi="Arial"/>
          <w:b/>
          <w:sz w:val="21"/>
          <w:szCs w:val="21"/>
        </w:rPr>
        <w:t>估价对象面积明细表</w:t>
      </w:r>
    </w:p>
    <w:tbl>
      <w:tblPr>
        <w:tblStyle w:val="32"/>
        <w:tblW w:w="4760" w:type="pct"/>
        <w:jc w:val="center"/>
        <w:tblLayout w:type="fixed"/>
        <w:tblCellMar>
          <w:top w:w="0" w:type="dxa"/>
          <w:left w:w="108" w:type="dxa"/>
          <w:bottom w:w="0" w:type="dxa"/>
          <w:right w:w="108" w:type="dxa"/>
        </w:tblCellMar>
      </w:tblPr>
      <w:tblGrid>
        <w:gridCol w:w="525"/>
        <w:gridCol w:w="970"/>
        <w:gridCol w:w="580"/>
        <w:gridCol w:w="600"/>
        <w:gridCol w:w="1134"/>
        <w:gridCol w:w="1228"/>
        <w:gridCol w:w="1701"/>
        <w:gridCol w:w="543"/>
        <w:gridCol w:w="732"/>
        <w:gridCol w:w="1045"/>
      </w:tblGrid>
      <w:tr w14:paraId="682547F6">
        <w:tblPrEx>
          <w:tblCellMar>
            <w:top w:w="0" w:type="dxa"/>
            <w:left w:w="108" w:type="dxa"/>
            <w:bottom w:w="0" w:type="dxa"/>
            <w:right w:w="108" w:type="dxa"/>
          </w:tblCellMar>
        </w:tblPrEx>
        <w:trPr>
          <w:trHeight w:val="20" w:hRule="atLeast"/>
          <w:tblHeader/>
          <w:jc w:val="center"/>
        </w:trPr>
        <w:tc>
          <w:tcPr>
            <w:tcW w:w="289"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38E8359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地块</w:t>
            </w:r>
          </w:p>
        </w:tc>
        <w:tc>
          <w:tcPr>
            <w:tcW w:w="535" w:type="pct"/>
            <w:tcBorders>
              <w:top w:val="single" w:color="auto" w:sz="4" w:space="0"/>
              <w:left w:val="nil"/>
              <w:bottom w:val="single" w:color="auto" w:sz="4" w:space="0"/>
              <w:right w:val="single" w:color="auto" w:sz="4" w:space="0"/>
            </w:tcBorders>
            <w:shd w:val="clear" w:color="000000" w:fill="FFFFFF"/>
            <w:noWrap/>
            <w:vAlign w:val="center"/>
          </w:tcPr>
          <w:p w14:paraId="052CE3D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登记/测绘坐落</w:t>
            </w:r>
          </w:p>
        </w:tc>
        <w:tc>
          <w:tcPr>
            <w:tcW w:w="320" w:type="pct"/>
            <w:tcBorders>
              <w:top w:val="single" w:color="auto" w:sz="4" w:space="0"/>
              <w:left w:val="nil"/>
              <w:bottom w:val="single" w:color="auto" w:sz="4" w:space="0"/>
              <w:right w:val="single" w:color="auto" w:sz="4" w:space="0"/>
            </w:tcBorders>
            <w:shd w:val="clear" w:color="000000" w:fill="FFFFFF"/>
            <w:noWrap/>
            <w:vAlign w:val="center"/>
          </w:tcPr>
          <w:p w14:paraId="2AACBE0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序号</w:t>
            </w:r>
          </w:p>
        </w:tc>
        <w:tc>
          <w:tcPr>
            <w:tcW w:w="330" w:type="pct"/>
            <w:tcBorders>
              <w:top w:val="single" w:color="auto" w:sz="4" w:space="0"/>
              <w:left w:val="nil"/>
              <w:bottom w:val="single" w:color="auto" w:sz="4" w:space="0"/>
              <w:right w:val="single" w:color="auto" w:sz="4" w:space="0"/>
            </w:tcBorders>
            <w:shd w:val="clear" w:color="000000" w:fill="FFFFFF"/>
            <w:noWrap/>
            <w:vAlign w:val="center"/>
          </w:tcPr>
          <w:p w14:paraId="13CB8D3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楼号/地块</w:t>
            </w:r>
          </w:p>
        </w:tc>
        <w:tc>
          <w:tcPr>
            <w:tcW w:w="625" w:type="pct"/>
            <w:tcBorders>
              <w:top w:val="single" w:color="auto" w:sz="4" w:space="0"/>
              <w:left w:val="nil"/>
              <w:bottom w:val="single" w:color="auto" w:sz="4" w:space="0"/>
              <w:right w:val="single" w:color="auto" w:sz="4" w:space="0"/>
            </w:tcBorders>
            <w:shd w:val="clear" w:color="000000" w:fill="FFFFFF"/>
            <w:noWrap/>
            <w:vAlign w:val="center"/>
          </w:tcPr>
          <w:p w14:paraId="445F188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部位及房号</w:t>
            </w:r>
          </w:p>
        </w:tc>
        <w:tc>
          <w:tcPr>
            <w:tcW w:w="677" w:type="pct"/>
            <w:tcBorders>
              <w:top w:val="single" w:color="auto" w:sz="4" w:space="0"/>
              <w:left w:val="nil"/>
              <w:bottom w:val="single" w:color="auto" w:sz="4" w:space="0"/>
              <w:right w:val="single" w:color="auto" w:sz="4" w:space="0"/>
            </w:tcBorders>
            <w:shd w:val="clear" w:color="000000" w:fill="FFFFFF"/>
            <w:noWrap/>
            <w:vAlign w:val="center"/>
          </w:tcPr>
          <w:p w14:paraId="42CA6EF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建筑面积（㎡）</w:t>
            </w:r>
          </w:p>
        </w:tc>
        <w:tc>
          <w:tcPr>
            <w:tcW w:w="938" w:type="pct"/>
            <w:tcBorders>
              <w:top w:val="single" w:color="auto" w:sz="4" w:space="0"/>
              <w:left w:val="nil"/>
              <w:bottom w:val="single" w:color="auto" w:sz="4" w:space="0"/>
              <w:right w:val="single" w:color="auto" w:sz="4" w:space="0"/>
            </w:tcBorders>
            <w:shd w:val="clear" w:color="000000" w:fill="FFFFFF"/>
            <w:noWrap/>
            <w:vAlign w:val="center"/>
          </w:tcPr>
          <w:p w14:paraId="1C8F6BD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套内建筑面积（㎡）</w:t>
            </w:r>
          </w:p>
        </w:tc>
        <w:tc>
          <w:tcPr>
            <w:tcW w:w="300" w:type="pct"/>
            <w:tcBorders>
              <w:top w:val="single" w:color="auto" w:sz="4" w:space="0"/>
              <w:left w:val="nil"/>
              <w:bottom w:val="single" w:color="auto" w:sz="4" w:space="0"/>
              <w:right w:val="single" w:color="auto" w:sz="4" w:space="0"/>
            </w:tcBorders>
            <w:shd w:val="clear" w:color="000000" w:fill="FFFFFF"/>
            <w:noWrap/>
            <w:vAlign w:val="center"/>
          </w:tcPr>
          <w:p w14:paraId="54C3EE7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用途</w:t>
            </w:r>
          </w:p>
        </w:tc>
        <w:tc>
          <w:tcPr>
            <w:tcW w:w="404" w:type="pct"/>
            <w:tcBorders>
              <w:top w:val="single" w:color="auto" w:sz="4" w:space="0"/>
              <w:left w:val="nil"/>
              <w:bottom w:val="single" w:color="auto" w:sz="4" w:space="0"/>
              <w:right w:val="single" w:color="auto" w:sz="4" w:space="0"/>
            </w:tcBorders>
            <w:shd w:val="clear" w:color="000000" w:fill="FFFFFF"/>
            <w:noWrap/>
            <w:vAlign w:val="center"/>
          </w:tcPr>
          <w:p w14:paraId="655255C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地上/地下</w:t>
            </w:r>
          </w:p>
        </w:tc>
        <w:tc>
          <w:tcPr>
            <w:tcW w:w="577" w:type="pct"/>
            <w:tcBorders>
              <w:top w:val="single" w:color="auto" w:sz="4" w:space="0"/>
              <w:left w:val="nil"/>
              <w:bottom w:val="single" w:color="auto" w:sz="4" w:space="0"/>
              <w:right w:val="single" w:color="auto" w:sz="4" w:space="0"/>
            </w:tcBorders>
            <w:shd w:val="clear" w:color="000000" w:fill="FFFFFF"/>
            <w:noWrap/>
            <w:vAlign w:val="center"/>
          </w:tcPr>
          <w:p w14:paraId="542827D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是否取得不动产权证书</w:t>
            </w:r>
          </w:p>
        </w:tc>
      </w:tr>
      <w:tr w14:paraId="7707C4BC">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right w:val="single" w:color="auto" w:sz="4" w:space="0"/>
            </w:tcBorders>
            <w:vAlign w:val="center"/>
          </w:tcPr>
          <w:p w14:paraId="0CE90A3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042地块</w:t>
            </w:r>
          </w:p>
        </w:tc>
        <w:tc>
          <w:tcPr>
            <w:tcW w:w="535" w:type="pct"/>
            <w:vMerge w:val="restart"/>
            <w:tcBorders>
              <w:top w:val="nil"/>
              <w:left w:val="nil"/>
              <w:right w:val="single" w:color="auto" w:sz="4" w:space="0"/>
            </w:tcBorders>
            <w:shd w:val="clear" w:color="000000" w:fill="FFFFFF"/>
            <w:noWrap/>
            <w:vAlign w:val="center"/>
          </w:tcPr>
          <w:p w14:paraId="487F4DA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房山区阜盛西街11号院3号楼</w:t>
            </w:r>
          </w:p>
        </w:tc>
        <w:tc>
          <w:tcPr>
            <w:tcW w:w="320" w:type="pct"/>
            <w:tcBorders>
              <w:top w:val="nil"/>
              <w:left w:val="nil"/>
              <w:bottom w:val="single" w:color="auto" w:sz="4" w:space="0"/>
              <w:right w:val="single" w:color="auto" w:sz="4" w:space="0"/>
            </w:tcBorders>
            <w:shd w:val="clear" w:color="000000" w:fill="FFFFFF"/>
            <w:noWrap/>
            <w:vAlign w:val="center"/>
          </w:tcPr>
          <w:p w14:paraId="3FAD01F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w:t>
            </w:r>
          </w:p>
        </w:tc>
        <w:tc>
          <w:tcPr>
            <w:tcW w:w="330" w:type="pct"/>
            <w:tcBorders>
              <w:top w:val="nil"/>
              <w:left w:val="nil"/>
              <w:bottom w:val="single" w:color="auto" w:sz="4" w:space="0"/>
              <w:right w:val="single" w:color="auto" w:sz="4" w:space="0"/>
            </w:tcBorders>
            <w:shd w:val="clear" w:color="000000" w:fill="FFFFFF"/>
            <w:noWrap/>
            <w:vAlign w:val="bottom"/>
          </w:tcPr>
          <w:p w14:paraId="3441C1B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2F36140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0A1225C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647.17</w:t>
            </w:r>
          </w:p>
        </w:tc>
        <w:tc>
          <w:tcPr>
            <w:tcW w:w="938" w:type="pct"/>
            <w:tcBorders>
              <w:top w:val="nil"/>
              <w:left w:val="nil"/>
              <w:bottom w:val="single" w:color="auto" w:sz="4" w:space="0"/>
              <w:right w:val="single" w:color="auto" w:sz="4" w:space="0"/>
            </w:tcBorders>
            <w:shd w:val="clear" w:color="000000" w:fill="FFFFFF"/>
            <w:noWrap/>
            <w:vAlign w:val="center"/>
          </w:tcPr>
          <w:p w14:paraId="09A4EEC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517.82</w:t>
            </w:r>
          </w:p>
        </w:tc>
        <w:tc>
          <w:tcPr>
            <w:tcW w:w="300" w:type="pct"/>
            <w:tcBorders>
              <w:top w:val="nil"/>
              <w:left w:val="nil"/>
              <w:bottom w:val="single" w:color="auto" w:sz="4" w:space="0"/>
              <w:right w:val="single" w:color="auto" w:sz="4" w:space="0"/>
            </w:tcBorders>
            <w:shd w:val="clear" w:color="000000" w:fill="FFFFFF"/>
            <w:noWrap/>
            <w:vAlign w:val="center"/>
          </w:tcPr>
          <w:p w14:paraId="368C48F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83FA5F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67BBF20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6D6385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FEE154E">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B4020B5">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E18590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w:t>
            </w:r>
          </w:p>
        </w:tc>
        <w:tc>
          <w:tcPr>
            <w:tcW w:w="330" w:type="pct"/>
            <w:tcBorders>
              <w:top w:val="nil"/>
              <w:left w:val="nil"/>
              <w:bottom w:val="single" w:color="auto" w:sz="4" w:space="0"/>
              <w:right w:val="single" w:color="auto" w:sz="4" w:space="0"/>
            </w:tcBorders>
            <w:shd w:val="clear" w:color="000000" w:fill="FFFFFF"/>
            <w:noWrap/>
            <w:vAlign w:val="bottom"/>
          </w:tcPr>
          <w:p w14:paraId="45F67B9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7F608CE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08A065B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645.08</w:t>
            </w:r>
          </w:p>
        </w:tc>
        <w:tc>
          <w:tcPr>
            <w:tcW w:w="938" w:type="pct"/>
            <w:tcBorders>
              <w:top w:val="nil"/>
              <w:left w:val="nil"/>
              <w:bottom w:val="single" w:color="auto" w:sz="4" w:space="0"/>
              <w:right w:val="single" w:color="auto" w:sz="4" w:space="0"/>
            </w:tcBorders>
            <w:shd w:val="clear" w:color="000000" w:fill="FFFFFF"/>
            <w:noWrap/>
            <w:vAlign w:val="center"/>
          </w:tcPr>
          <w:p w14:paraId="1248893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516.15</w:t>
            </w:r>
          </w:p>
        </w:tc>
        <w:tc>
          <w:tcPr>
            <w:tcW w:w="300" w:type="pct"/>
            <w:tcBorders>
              <w:top w:val="nil"/>
              <w:left w:val="nil"/>
              <w:bottom w:val="single" w:color="auto" w:sz="4" w:space="0"/>
              <w:right w:val="single" w:color="auto" w:sz="4" w:space="0"/>
            </w:tcBorders>
            <w:shd w:val="clear" w:color="000000" w:fill="FFFFFF"/>
            <w:noWrap/>
            <w:vAlign w:val="center"/>
          </w:tcPr>
          <w:p w14:paraId="781C01F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960D13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F1F762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15E3E03">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A58F29E">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C40FA8C">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F6D998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330" w:type="pct"/>
            <w:tcBorders>
              <w:top w:val="nil"/>
              <w:left w:val="nil"/>
              <w:bottom w:val="single" w:color="auto" w:sz="4" w:space="0"/>
              <w:right w:val="single" w:color="auto" w:sz="4" w:space="0"/>
            </w:tcBorders>
            <w:shd w:val="clear" w:color="000000" w:fill="FFFFFF"/>
            <w:noWrap/>
            <w:vAlign w:val="bottom"/>
          </w:tcPr>
          <w:p w14:paraId="79DF45F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2085372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7B5E412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645.10</w:t>
            </w:r>
          </w:p>
        </w:tc>
        <w:tc>
          <w:tcPr>
            <w:tcW w:w="938" w:type="pct"/>
            <w:tcBorders>
              <w:top w:val="nil"/>
              <w:left w:val="nil"/>
              <w:bottom w:val="single" w:color="auto" w:sz="4" w:space="0"/>
              <w:right w:val="single" w:color="auto" w:sz="4" w:space="0"/>
            </w:tcBorders>
            <w:shd w:val="clear" w:color="000000" w:fill="FFFFFF"/>
            <w:noWrap/>
            <w:vAlign w:val="center"/>
          </w:tcPr>
          <w:p w14:paraId="4AEAF0B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516.16</w:t>
            </w:r>
          </w:p>
        </w:tc>
        <w:tc>
          <w:tcPr>
            <w:tcW w:w="300" w:type="pct"/>
            <w:tcBorders>
              <w:top w:val="nil"/>
              <w:left w:val="nil"/>
              <w:bottom w:val="single" w:color="auto" w:sz="4" w:space="0"/>
              <w:right w:val="single" w:color="auto" w:sz="4" w:space="0"/>
            </w:tcBorders>
            <w:shd w:val="clear" w:color="000000" w:fill="FFFFFF"/>
            <w:noWrap/>
            <w:vAlign w:val="center"/>
          </w:tcPr>
          <w:p w14:paraId="763B2EF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C8016D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CC4F4A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483177C">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E5F7F68">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9454825">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24C6A8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4</w:t>
            </w:r>
          </w:p>
        </w:tc>
        <w:tc>
          <w:tcPr>
            <w:tcW w:w="330" w:type="pct"/>
            <w:tcBorders>
              <w:top w:val="nil"/>
              <w:left w:val="nil"/>
              <w:bottom w:val="single" w:color="auto" w:sz="4" w:space="0"/>
              <w:right w:val="single" w:color="auto" w:sz="4" w:space="0"/>
            </w:tcBorders>
            <w:shd w:val="clear" w:color="000000" w:fill="FFFFFF"/>
            <w:noWrap/>
            <w:vAlign w:val="bottom"/>
          </w:tcPr>
          <w:p w14:paraId="4C90759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771A898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2237FBA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654.08</w:t>
            </w:r>
          </w:p>
        </w:tc>
        <w:tc>
          <w:tcPr>
            <w:tcW w:w="938" w:type="pct"/>
            <w:tcBorders>
              <w:top w:val="nil"/>
              <w:left w:val="nil"/>
              <w:bottom w:val="single" w:color="auto" w:sz="4" w:space="0"/>
              <w:right w:val="single" w:color="auto" w:sz="4" w:space="0"/>
            </w:tcBorders>
            <w:shd w:val="clear" w:color="000000" w:fill="FFFFFF"/>
            <w:noWrap/>
            <w:vAlign w:val="center"/>
          </w:tcPr>
          <w:p w14:paraId="3ED95FD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523.35</w:t>
            </w:r>
          </w:p>
        </w:tc>
        <w:tc>
          <w:tcPr>
            <w:tcW w:w="300" w:type="pct"/>
            <w:tcBorders>
              <w:top w:val="nil"/>
              <w:left w:val="nil"/>
              <w:bottom w:val="single" w:color="auto" w:sz="4" w:space="0"/>
              <w:right w:val="single" w:color="auto" w:sz="4" w:space="0"/>
            </w:tcBorders>
            <w:shd w:val="clear" w:color="000000" w:fill="FFFFFF"/>
            <w:noWrap/>
            <w:vAlign w:val="center"/>
          </w:tcPr>
          <w:p w14:paraId="1FDF04B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B6D555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C3F947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B7409CD">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08B7445">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61146D7">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A0237C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5</w:t>
            </w:r>
          </w:p>
        </w:tc>
        <w:tc>
          <w:tcPr>
            <w:tcW w:w="330" w:type="pct"/>
            <w:tcBorders>
              <w:top w:val="nil"/>
              <w:left w:val="nil"/>
              <w:bottom w:val="single" w:color="auto" w:sz="4" w:space="0"/>
              <w:right w:val="single" w:color="auto" w:sz="4" w:space="0"/>
            </w:tcBorders>
            <w:shd w:val="clear" w:color="000000" w:fill="FFFFFF"/>
            <w:noWrap/>
            <w:vAlign w:val="bottom"/>
          </w:tcPr>
          <w:p w14:paraId="3DF9399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08B8698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5AEFA40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882.82</w:t>
            </w:r>
          </w:p>
        </w:tc>
        <w:tc>
          <w:tcPr>
            <w:tcW w:w="938" w:type="pct"/>
            <w:tcBorders>
              <w:top w:val="nil"/>
              <w:left w:val="nil"/>
              <w:bottom w:val="single" w:color="auto" w:sz="4" w:space="0"/>
              <w:right w:val="single" w:color="auto" w:sz="4" w:space="0"/>
            </w:tcBorders>
            <w:shd w:val="clear" w:color="000000" w:fill="FFFFFF"/>
            <w:noWrap/>
            <w:vAlign w:val="center"/>
          </w:tcPr>
          <w:p w14:paraId="571FADF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648.1</w:t>
            </w:r>
          </w:p>
        </w:tc>
        <w:tc>
          <w:tcPr>
            <w:tcW w:w="300" w:type="pct"/>
            <w:tcBorders>
              <w:top w:val="nil"/>
              <w:left w:val="nil"/>
              <w:bottom w:val="single" w:color="auto" w:sz="4" w:space="0"/>
              <w:right w:val="single" w:color="auto" w:sz="4" w:space="0"/>
            </w:tcBorders>
            <w:shd w:val="clear" w:color="000000" w:fill="FFFFFF"/>
            <w:noWrap/>
            <w:vAlign w:val="center"/>
          </w:tcPr>
          <w:p w14:paraId="6D94DA0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4CC0CF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A6EE12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E132540">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D3C5BDD">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EE7E67A">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DF37A4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330" w:type="pct"/>
            <w:tcBorders>
              <w:top w:val="nil"/>
              <w:left w:val="nil"/>
              <w:bottom w:val="single" w:color="auto" w:sz="4" w:space="0"/>
              <w:right w:val="single" w:color="auto" w:sz="4" w:space="0"/>
            </w:tcBorders>
            <w:shd w:val="clear" w:color="000000" w:fill="FFFFFF"/>
            <w:noWrap/>
            <w:vAlign w:val="bottom"/>
          </w:tcPr>
          <w:p w14:paraId="7797B0C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716572A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684FC35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1063.95</w:t>
            </w:r>
          </w:p>
        </w:tc>
        <w:tc>
          <w:tcPr>
            <w:tcW w:w="938" w:type="pct"/>
            <w:tcBorders>
              <w:top w:val="nil"/>
              <w:left w:val="nil"/>
              <w:bottom w:val="single" w:color="auto" w:sz="4" w:space="0"/>
              <w:right w:val="single" w:color="auto" w:sz="4" w:space="0"/>
            </w:tcBorders>
            <w:shd w:val="clear" w:color="000000" w:fill="FFFFFF"/>
            <w:noWrap/>
            <w:vAlign w:val="center"/>
          </w:tcPr>
          <w:p w14:paraId="678F942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781.07</w:t>
            </w:r>
          </w:p>
        </w:tc>
        <w:tc>
          <w:tcPr>
            <w:tcW w:w="300" w:type="pct"/>
            <w:tcBorders>
              <w:top w:val="nil"/>
              <w:left w:val="nil"/>
              <w:bottom w:val="single" w:color="auto" w:sz="4" w:space="0"/>
              <w:right w:val="single" w:color="auto" w:sz="4" w:space="0"/>
            </w:tcBorders>
            <w:shd w:val="clear" w:color="000000" w:fill="FFFFFF"/>
            <w:noWrap/>
            <w:vAlign w:val="center"/>
          </w:tcPr>
          <w:p w14:paraId="1DA75B9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0D6A51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447719D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6C392003">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F6EC5EA">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7F85319">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0D56BE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7</w:t>
            </w:r>
          </w:p>
        </w:tc>
        <w:tc>
          <w:tcPr>
            <w:tcW w:w="330" w:type="pct"/>
            <w:tcBorders>
              <w:top w:val="nil"/>
              <w:left w:val="nil"/>
              <w:bottom w:val="single" w:color="auto" w:sz="4" w:space="0"/>
              <w:right w:val="single" w:color="auto" w:sz="4" w:space="0"/>
            </w:tcBorders>
            <w:shd w:val="clear" w:color="000000" w:fill="FFFFFF"/>
            <w:noWrap/>
            <w:vAlign w:val="bottom"/>
          </w:tcPr>
          <w:p w14:paraId="2159054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7F7C1B9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4FB2BD8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749.63</w:t>
            </w:r>
          </w:p>
        </w:tc>
        <w:tc>
          <w:tcPr>
            <w:tcW w:w="938" w:type="pct"/>
            <w:tcBorders>
              <w:top w:val="nil"/>
              <w:left w:val="nil"/>
              <w:bottom w:val="single" w:color="auto" w:sz="4" w:space="0"/>
              <w:right w:val="single" w:color="auto" w:sz="4" w:space="0"/>
            </w:tcBorders>
            <w:shd w:val="clear" w:color="000000" w:fill="FFFFFF"/>
            <w:noWrap/>
            <w:vAlign w:val="center"/>
          </w:tcPr>
          <w:p w14:paraId="2C4EFE4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550.32</w:t>
            </w:r>
          </w:p>
        </w:tc>
        <w:tc>
          <w:tcPr>
            <w:tcW w:w="300" w:type="pct"/>
            <w:tcBorders>
              <w:top w:val="nil"/>
              <w:left w:val="nil"/>
              <w:bottom w:val="single" w:color="auto" w:sz="4" w:space="0"/>
              <w:right w:val="single" w:color="auto" w:sz="4" w:space="0"/>
            </w:tcBorders>
            <w:shd w:val="clear" w:color="000000" w:fill="FFFFFF"/>
            <w:noWrap/>
            <w:vAlign w:val="center"/>
          </w:tcPr>
          <w:p w14:paraId="28A2A91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36BAFE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0E5F16D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AB3B62D">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74763CB">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75FA853B">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7CEF4BB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7B440BF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5919724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5287.83</w:t>
            </w:r>
          </w:p>
        </w:tc>
        <w:tc>
          <w:tcPr>
            <w:tcW w:w="938" w:type="pct"/>
            <w:tcBorders>
              <w:top w:val="nil"/>
              <w:left w:val="nil"/>
              <w:bottom w:val="single" w:color="auto" w:sz="4" w:space="0"/>
              <w:right w:val="single" w:color="auto" w:sz="4" w:space="0"/>
            </w:tcBorders>
            <w:shd w:val="clear" w:color="000000" w:fill="FFFFFF"/>
            <w:noWrap/>
            <w:vAlign w:val="center"/>
          </w:tcPr>
          <w:p w14:paraId="6CF4095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4052.97</w:t>
            </w:r>
          </w:p>
        </w:tc>
        <w:tc>
          <w:tcPr>
            <w:tcW w:w="300" w:type="pct"/>
            <w:tcBorders>
              <w:top w:val="nil"/>
              <w:left w:val="nil"/>
              <w:bottom w:val="single" w:color="auto" w:sz="4" w:space="0"/>
              <w:right w:val="single" w:color="auto" w:sz="4" w:space="0"/>
            </w:tcBorders>
            <w:shd w:val="clear" w:color="000000" w:fill="FFFFFF"/>
            <w:noWrap/>
            <w:vAlign w:val="center"/>
          </w:tcPr>
          <w:p w14:paraId="005793F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0CEF520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144492D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002C8932">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97E776D">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306481E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房山区阜盛西街11号院6号楼</w:t>
            </w:r>
          </w:p>
        </w:tc>
        <w:tc>
          <w:tcPr>
            <w:tcW w:w="320" w:type="pct"/>
            <w:tcBorders>
              <w:top w:val="nil"/>
              <w:left w:val="nil"/>
              <w:bottom w:val="single" w:color="auto" w:sz="4" w:space="0"/>
              <w:right w:val="single" w:color="auto" w:sz="4" w:space="0"/>
            </w:tcBorders>
            <w:shd w:val="clear" w:color="000000" w:fill="FFFFFF"/>
            <w:noWrap/>
            <w:vAlign w:val="center"/>
          </w:tcPr>
          <w:p w14:paraId="4CC4EF0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8</w:t>
            </w:r>
          </w:p>
        </w:tc>
        <w:tc>
          <w:tcPr>
            <w:tcW w:w="330" w:type="pct"/>
            <w:tcBorders>
              <w:top w:val="nil"/>
              <w:left w:val="nil"/>
              <w:bottom w:val="single" w:color="auto" w:sz="4" w:space="0"/>
              <w:right w:val="single" w:color="auto" w:sz="4" w:space="0"/>
            </w:tcBorders>
            <w:shd w:val="clear" w:color="000000" w:fill="FFFFFF"/>
            <w:noWrap/>
            <w:vAlign w:val="bottom"/>
          </w:tcPr>
          <w:p w14:paraId="7492388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6C73CAE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345C0CC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969.55</w:t>
            </w:r>
          </w:p>
        </w:tc>
        <w:tc>
          <w:tcPr>
            <w:tcW w:w="938" w:type="pct"/>
            <w:tcBorders>
              <w:top w:val="nil"/>
              <w:left w:val="nil"/>
              <w:bottom w:val="single" w:color="auto" w:sz="4" w:space="0"/>
              <w:right w:val="single" w:color="auto" w:sz="4" w:space="0"/>
            </w:tcBorders>
            <w:shd w:val="clear" w:color="000000" w:fill="FFFFFF"/>
            <w:noWrap/>
            <w:vAlign w:val="center"/>
          </w:tcPr>
          <w:p w14:paraId="5828E53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577.33</w:t>
            </w:r>
          </w:p>
        </w:tc>
        <w:tc>
          <w:tcPr>
            <w:tcW w:w="300" w:type="pct"/>
            <w:tcBorders>
              <w:top w:val="nil"/>
              <w:left w:val="nil"/>
              <w:bottom w:val="single" w:color="auto" w:sz="4" w:space="0"/>
              <w:right w:val="single" w:color="auto" w:sz="4" w:space="0"/>
            </w:tcBorders>
            <w:shd w:val="clear" w:color="000000" w:fill="FFFFFF"/>
            <w:noWrap/>
            <w:vAlign w:val="center"/>
          </w:tcPr>
          <w:p w14:paraId="55C6768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C65E94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497EB99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7A4A44C">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94C5BCF">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586F625">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B02BB0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9</w:t>
            </w:r>
          </w:p>
        </w:tc>
        <w:tc>
          <w:tcPr>
            <w:tcW w:w="330" w:type="pct"/>
            <w:tcBorders>
              <w:top w:val="nil"/>
              <w:left w:val="nil"/>
              <w:bottom w:val="single" w:color="auto" w:sz="4" w:space="0"/>
              <w:right w:val="single" w:color="auto" w:sz="4" w:space="0"/>
            </w:tcBorders>
            <w:shd w:val="clear" w:color="000000" w:fill="FFFFFF"/>
            <w:noWrap/>
            <w:vAlign w:val="bottom"/>
          </w:tcPr>
          <w:p w14:paraId="47F98CA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04DD601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4162BB5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1449.79</w:t>
            </w:r>
          </w:p>
        </w:tc>
        <w:tc>
          <w:tcPr>
            <w:tcW w:w="938" w:type="pct"/>
            <w:tcBorders>
              <w:top w:val="nil"/>
              <w:left w:val="nil"/>
              <w:bottom w:val="single" w:color="auto" w:sz="4" w:space="0"/>
              <w:right w:val="single" w:color="auto" w:sz="4" w:space="0"/>
            </w:tcBorders>
            <w:shd w:val="clear" w:color="000000" w:fill="FFFFFF"/>
            <w:noWrap/>
            <w:vAlign w:val="center"/>
          </w:tcPr>
          <w:p w14:paraId="7901CC0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863.29</w:t>
            </w:r>
          </w:p>
        </w:tc>
        <w:tc>
          <w:tcPr>
            <w:tcW w:w="300" w:type="pct"/>
            <w:tcBorders>
              <w:top w:val="nil"/>
              <w:left w:val="nil"/>
              <w:bottom w:val="single" w:color="auto" w:sz="4" w:space="0"/>
              <w:right w:val="single" w:color="auto" w:sz="4" w:space="0"/>
            </w:tcBorders>
            <w:shd w:val="clear" w:color="000000" w:fill="FFFFFF"/>
            <w:noWrap/>
            <w:vAlign w:val="center"/>
          </w:tcPr>
          <w:p w14:paraId="482DF28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2B1FA5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9C374C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F1ACAD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01C2AE1">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2ABC5E0">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CE66CB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10</w:t>
            </w:r>
          </w:p>
        </w:tc>
        <w:tc>
          <w:tcPr>
            <w:tcW w:w="330" w:type="pct"/>
            <w:tcBorders>
              <w:top w:val="nil"/>
              <w:left w:val="nil"/>
              <w:bottom w:val="single" w:color="auto" w:sz="4" w:space="0"/>
              <w:right w:val="single" w:color="auto" w:sz="4" w:space="0"/>
            </w:tcBorders>
            <w:shd w:val="clear" w:color="000000" w:fill="FFFFFF"/>
            <w:noWrap/>
            <w:vAlign w:val="bottom"/>
          </w:tcPr>
          <w:p w14:paraId="5F5718E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69D6C92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1000E7A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1041.56</w:t>
            </w:r>
          </w:p>
        </w:tc>
        <w:tc>
          <w:tcPr>
            <w:tcW w:w="938" w:type="pct"/>
            <w:tcBorders>
              <w:top w:val="nil"/>
              <w:left w:val="nil"/>
              <w:bottom w:val="single" w:color="auto" w:sz="4" w:space="0"/>
              <w:right w:val="single" w:color="auto" w:sz="4" w:space="0"/>
            </w:tcBorders>
            <w:shd w:val="clear" w:color="000000" w:fill="FFFFFF"/>
            <w:noWrap/>
            <w:vAlign w:val="center"/>
          </w:tcPr>
          <w:p w14:paraId="3529938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620.21</w:t>
            </w:r>
          </w:p>
        </w:tc>
        <w:tc>
          <w:tcPr>
            <w:tcW w:w="300" w:type="pct"/>
            <w:tcBorders>
              <w:top w:val="nil"/>
              <w:left w:val="nil"/>
              <w:bottom w:val="single" w:color="auto" w:sz="4" w:space="0"/>
              <w:right w:val="single" w:color="auto" w:sz="4" w:space="0"/>
            </w:tcBorders>
            <w:shd w:val="clear" w:color="000000" w:fill="FFFFFF"/>
            <w:noWrap/>
            <w:vAlign w:val="center"/>
          </w:tcPr>
          <w:p w14:paraId="35866E1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C1156B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AF04AD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8F437A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851238B">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573D1AA">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F4D2CB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11</w:t>
            </w:r>
          </w:p>
        </w:tc>
        <w:tc>
          <w:tcPr>
            <w:tcW w:w="330" w:type="pct"/>
            <w:tcBorders>
              <w:top w:val="nil"/>
              <w:left w:val="nil"/>
              <w:bottom w:val="single" w:color="auto" w:sz="4" w:space="0"/>
              <w:right w:val="single" w:color="auto" w:sz="4" w:space="0"/>
            </w:tcBorders>
            <w:shd w:val="clear" w:color="000000" w:fill="FFFFFF"/>
            <w:noWrap/>
            <w:vAlign w:val="bottom"/>
          </w:tcPr>
          <w:p w14:paraId="360BEDF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4C76BF7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514AB2E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883.94</w:t>
            </w:r>
          </w:p>
        </w:tc>
        <w:tc>
          <w:tcPr>
            <w:tcW w:w="938" w:type="pct"/>
            <w:tcBorders>
              <w:top w:val="nil"/>
              <w:left w:val="nil"/>
              <w:bottom w:val="single" w:color="auto" w:sz="4" w:space="0"/>
              <w:right w:val="single" w:color="auto" w:sz="4" w:space="0"/>
            </w:tcBorders>
            <w:shd w:val="clear" w:color="000000" w:fill="FFFFFF"/>
            <w:noWrap/>
            <w:vAlign w:val="center"/>
          </w:tcPr>
          <w:p w14:paraId="1673DFD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526.35</w:t>
            </w:r>
          </w:p>
        </w:tc>
        <w:tc>
          <w:tcPr>
            <w:tcW w:w="300" w:type="pct"/>
            <w:tcBorders>
              <w:top w:val="nil"/>
              <w:left w:val="nil"/>
              <w:bottom w:val="single" w:color="auto" w:sz="4" w:space="0"/>
              <w:right w:val="single" w:color="auto" w:sz="4" w:space="0"/>
            </w:tcBorders>
            <w:shd w:val="clear" w:color="000000" w:fill="FFFFFF"/>
            <w:noWrap/>
            <w:vAlign w:val="center"/>
          </w:tcPr>
          <w:p w14:paraId="6F32C74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86BFAC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5E0ECD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09748AE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7347714">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C6EAD2B">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1FCBB6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12</w:t>
            </w:r>
          </w:p>
        </w:tc>
        <w:tc>
          <w:tcPr>
            <w:tcW w:w="330" w:type="pct"/>
            <w:tcBorders>
              <w:top w:val="nil"/>
              <w:left w:val="nil"/>
              <w:bottom w:val="single" w:color="auto" w:sz="4" w:space="0"/>
              <w:right w:val="single" w:color="auto" w:sz="4" w:space="0"/>
            </w:tcBorders>
            <w:shd w:val="clear" w:color="000000" w:fill="FFFFFF"/>
            <w:noWrap/>
            <w:vAlign w:val="bottom"/>
          </w:tcPr>
          <w:p w14:paraId="30E3D85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57ED573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4FCA950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863.40</w:t>
            </w:r>
          </w:p>
        </w:tc>
        <w:tc>
          <w:tcPr>
            <w:tcW w:w="938" w:type="pct"/>
            <w:tcBorders>
              <w:top w:val="nil"/>
              <w:left w:val="nil"/>
              <w:bottom w:val="single" w:color="auto" w:sz="4" w:space="0"/>
              <w:right w:val="single" w:color="auto" w:sz="4" w:space="0"/>
            </w:tcBorders>
            <w:shd w:val="clear" w:color="000000" w:fill="FFFFFF"/>
            <w:noWrap/>
            <w:vAlign w:val="center"/>
          </w:tcPr>
          <w:p w14:paraId="6F3D28F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514.12</w:t>
            </w:r>
          </w:p>
        </w:tc>
        <w:tc>
          <w:tcPr>
            <w:tcW w:w="300" w:type="pct"/>
            <w:tcBorders>
              <w:top w:val="nil"/>
              <w:left w:val="nil"/>
              <w:bottom w:val="single" w:color="auto" w:sz="4" w:space="0"/>
              <w:right w:val="single" w:color="auto" w:sz="4" w:space="0"/>
            </w:tcBorders>
            <w:shd w:val="clear" w:color="000000" w:fill="FFFFFF"/>
            <w:noWrap/>
            <w:vAlign w:val="center"/>
          </w:tcPr>
          <w:p w14:paraId="6FEA9A9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702D89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4D0BA70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36B2028">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05A8EF4">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4AB8235">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7FF564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13</w:t>
            </w:r>
          </w:p>
        </w:tc>
        <w:tc>
          <w:tcPr>
            <w:tcW w:w="330" w:type="pct"/>
            <w:tcBorders>
              <w:top w:val="nil"/>
              <w:left w:val="nil"/>
              <w:bottom w:val="single" w:color="auto" w:sz="4" w:space="0"/>
              <w:right w:val="single" w:color="auto" w:sz="4" w:space="0"/>
            </w:tcBorders>
            <w:shd w:val="clear" w:color="000000" w:fill="FFFFFF"/>
            <w:noWrap/>
            <w:vAlign w:val="bottom"/>
          </w:tcPr>
          <w:p w14:paraId="28914AD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6D1E959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5B40814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903.32</w:t>
            </w:r>
          </w:p>
        </w:tc>
        <w:tc>
          <w:tcPr>
            <w:tcW w:w="938" w:type="pct"/>
            <w:tcBorders>
              <w:top w:val="nil"/>
              <w:left w:val="nil"/>
              <w:bottom w:val="single" w:color="auto" w:sz="4" w:space="0"/>
              <w:right w:val="single" w:color="auto" w:sz="4" w:space="0"/>
            </w:tcBorders>
            <w:shd w:val="clear" w:color="000000" w:fill="FFFFFF"/>
            <w:noWrap/>
            <w:vAlign w:val="center"/>
          </w:tcPr>
          <w:p w14:paraId="155C91C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537.89</w:t>
            </w:r>
          </w:p>
        </w:tc>
        <w:tc>
          <w:tcPr>
            <w:tcW w:w="300" w:type="pct"/>
            <w:tcBorders>
              <w:top w:val="nil"/>
              <w:left w:val="nil"/>
              <w:bottom w:val="single" w:color="auto" w:sz="4" w:space="0"/>
              <w:right w:val="single" w:color="auto" w:sz="4" w:space="0"/>
            </w:tcBorders>
            <w:shd w:val="clear" w:color="000000" w:fill="FFFFFF"/>
            <w:noWrap/>
            <w:vAlign w:val="center"/>
          </w:tcPr>
          <w:p w14:paraId="0D8F410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1A93C8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6EA20A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15B8FD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46BBD39">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B4AEC41">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EEDFE4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14</w:t>
            </w:r>
          </w:p>
        </w:tc>
        <w:tc>
          <w:tcPr>
            <w:tcW w:w="330" w:type="pct"/>
            <w:tcBorders>
              <w:top w:val="nil"/>
              <w:left w:val="nil"/>
              <w:bottom w:val="single" w:color="auto" w:sz="4" w:space="0"/>
              <w:right w:val="single" w:color="auto" w:sz="4" w:space="0"/>
            </w:tcBorders>
            <w:shd w:val="clear" w:color="000000" w:fill="FFFFFF"/>
            <w:noWrap/>
            <w:vAlign w:val="bottom"/>
          </w:tcPr>
          <w:p w14:paraId="3C56C43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27BE5C3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3BF045A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892.55</w:t>
            </w:r>
          </w:p>
        </w:tc>
        <w:tc>
          <w:tcPr>
            <w:tcW w:w="938" w:type="pct"/>
            <w:tcBorders>
              <w:top w:val="nil"/>
              <w:left w:val="nil"/>
              <w:bottom w:val="single" w:color="auto" w:sz="4" w:space="0"/>
              <w:right w:val="single" w:color="auto" w:sz="4" w:space="0"/>
            </w:tcBorders>
            <w:shd w:val="clear" w:color="000000" w:fill="FFFFFF"/>
            <w:noWrap/>
            <w:vAlign w:val="center"/>
          </w:tcPr>
          <w:p w14:paraId="479065E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531.48</w:t>
            </w:r>
          </w:p>
        </w:tc>
        <w:tc>
          <w:tcPr>
            <w:tcW w:w="300" w:type="pct"/>
            <w:tcBorders>
              <w:top w:val="nil"/>
              <w:left w:val="nil"/>
              <w:bottom w:val="single" w:color="auto" w:sz="4" w:space="0"/>
              <w:right w:val="single" w:color="auto" w:sz="4" w:space="0"/>
            </w:tcBorders>
            <w:shd w:val="clear" w:color="000000" w:fill="FFFFFF"/>
            <w:noWrap/>
            <w:vAlign w:val="center"/>
          </w:tcPr>
          <w:p w14:paraId="4CCCD6F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955545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6E965C9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65B9655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69CCA15">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7C8FD8E">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45C807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15</w:t>
            </w:r>
          </w:p>
        </w:tc>
        <w:tc>
          <w:tcPr>
            <w:tcW w:w="330" w:type="pct"/>
            <w:tcBorders>
              <w:top w:val="nil"/>
              <w:left w:val="nil"/>
              <w:bottom w:val="single" w:color="auto" w:sz="4" w:space="0"/>
              <w:right w:val="single" w:color="auto" w:sz="4" w:space="0"/>
            </w:tcBorders>
            <w:shd w:val="clear" w:color="000000" w:fill="FFFFFF"/>
            <w:noWrap/>
            <w:vAlign w:val="bottom"/>
          </w:tcPr>
          <w:p w14:paraId="46B417A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73D9789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51946B1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883.60</w:t>
            </w:r>
          </w:p>
        </w:tc>
        <w:tc>
          <w:tcPr>
            <w:tcW w:w="938" w:type="pct"/>
            <w:tcBorders>
              <w:top w:val="nil"/>
              <w:left w:val="nil"/>
              <w:bottom w:val="single" w:color="auto" w:sz="4" w:space="0"/>
              <w:right w:val="single" w:color="auto" w:sz="4" w:space="0"/>
            </w:tcBorders>
            <w:shd w:val="clear" w:color="000000" w:fill="FFFFFF"/>
            <w:noWrap/>
            <w:vAlign w:val="center"/>
          </w:tcPr>
          <w:p w14:paraId="31C0381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526.15</w:t>
            </w:r>
          </w:p>
        </w:tc>
        <w:tc>
          <w:tcPr>
            <w:tcW w:w="300" w:type="pct"/>
            <w:tcBorders>
              <w:top w:val="nil"/>
              <w:left w:val="nil"/>
              <w:bottom w:val="single" w:color="auto" w:sz="4" w:space="0"/>
              <w:right w:val="single" w:color="auto" w:sz="4" w:space="0"/>
            </w:tcBorders>
            <w:shd w:val="clear" w:color="000000" w:fill="FFFFFF"/>
            <w:noWrap/>
            <w:vAlign w:val="center"/>
          </w:tcPr>
          <w:p w14:paraId="27B7AB7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599630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ADD891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E20972C">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C284622">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C6452B1">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30DB86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16</w:t>
            </w:r>
          </w:p>
        </w:tc>
        <w:tc>
          <w:tcPr>
            <w:tcW w:w="330" w:type="pct"/>
            <w:tcBorders>
              <w:top w:val="nil"/>
              <w:left w:val="nil"/>
              <w:bottom w:val="single" w:color="auto" w:sz="4" w:space="0"/>
              <w:right w:val="single" w:color="auto" w:sz="4" w:space="0"/>
            </w:tcBorders>
            <w:shd w:val="clear" w:color="000000" w:fill="FFFFFF"/>
            <w:noWrap/>
            <w:vAlign w:val="bottom"/>
          </w:tcPr>
          <w:p w14:paraId="020AA6D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3CFF63C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-109</w:t>
            </w:r>
          </w:p>
        </w:tc>
        <w:tc>
          <w:tcPr>
            <w:tcW w:w="677" w:type="pct"/>
            <w:tcBorders>
              <w:top w:val="nil"/>
              <w:left w:val="nil"/>
              <w:bottom w:val="single" w:color="auto" w:sz="4" w:space="0"/>
              <w:right w:val="single" w:color="auto" w:sz="4" w:space="0"/>
            </w:tcBorders>
            <w:shd w:val="clear" w:color="000000" w:fill="FFFFFF"/>
            <w:noWrap/>
            <w:vAlign w:val="center"/>
          </w:tcPr>
          <w:p w14:paraId="2DF1CB0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934.77</w:t>
            </w:r>
          </w:p>
        </w:tc>
        <w:tc>
          <w:tcPr>
            <w:tcW w:w="938" w:type="pct"/>
            <w:tcBorders>
              <w:top w:val="nil"/>
              <w:left w:val="nil"/>
              <w:bottom w:val="single" w:color="auto" w:sz="4" w:space="0"/>
              <w:right w:val="single" w:color="auto" w:sz="4" w:space="0"/>
            </w:tcBorders>
            <w:shd w:val="clear" w:color="000000" w:fill="FFFFFF"/>
            <w:noWrap/>
            <w:vAlign w:val="center"/>
          </w:tcPr>
          <w:p w14:paraId="6A0EE19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556.62</w:t>
            </w:r>
          </w:p>
        </w:tc>
        <w:tc>
          <w:tcPr>
            <w:tcW w:w="300" w:type="pct"/>
            <w:tcBorders>
              <w:top w:val="nil"/>
              <w:left w:val="nil"/>
              <w:bottom w:val="single" w:color="auto" w:sz="4" w:space="0"/>
              <w:right w:val="single" w:color="auto" w:sz="4" w:space="0"/>
            </w:tcBorders>
            <w:shd w:val="clear" w:color="000000" w:fill="FFFFFF"/>
            <w:noWrap/>
            <w:vAlign w:val="center"/>
          </w:tcPr>
          <w:p w14:paraId="465CFED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5056CC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5CE03C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B1538EF">
        <w:tblPrEx>
          <w:tblCellMar>
            <w:top w:w="0" w:type="dxa"/>
            <w:left w:w="108" w:type="dxa"/>
            <w:bottom w:w="0" w:type="dxa"/>
            <w:right w:w="108" w:type="dxa"/>
          </w:tblCellMar>
        </w:tblPrEx>
        <w:trPr>
          <w:trHeight w:val="266"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122060B">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7D07AF37">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3500D5A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6DCB326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52123E3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8822.48 </w:t>
            </w:r>
          </w:p>
        </w:tc>
        <w:tc>
          <w:tcPr>
            <w:tcW w:w="938" w:type="pct"/>
            <w:tcBorders>
              <w:top w:val="nil"/>
              <w:left w:val="nil"/>
              <w:bottom w:val="single" w:color="auto" w:sz="4" w:space="0"/>
              <w:right w:val="single" w:color="auto" w:sz="4" w:space="0"/>
            </w:tcBorders>
            <w:shd w:val="clear" w:color="000000" w:fill="FFFFFF"/>
            <w:noWrap/>
            <w:vAlign w:val="center"/>
          </w:tcPr>
          <w:p w14:paraId="79A379B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5253.44 </w:t>
            </w:r>
          </w:p>
        </w:tc>
        <w:tc>
          <w:tcPr>
            <w:tcW w:w="300" w:type="pct"/>
            <w:tcBorders>
              <w:top w:val="nil"/>
              <w:left w:val="nil"/>
              <w:bottom w:val="single" w:color="auto" w:sz="4" w:space="0"/>
              <w:right w:val="single" w:color="auto" w:sz="4" w:space="0"/>
            </w:tcBorders>
            <w:shd w:val="clear" w:color="000000" w:fill="FFFFFF"/>
            <w:noWrap/>
            <w:vAlign w:val="center"/>
          </w:tcPr>
          <w:p w14:paraId="535D008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AD35EA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5362765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4C3A8B9A">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000000" w:sz="4" w:space="0"/>
              <w:right w:val="single" w:color="auto" w:sz="4" w:space="0"/>
            </w:tcBorders>
            <w:shd w:val="clear" w:color="000000" w:fill="FFFFFF"/>
            <w:noWrap/>
            <w:vAlign w:val="center"/>
          </w:tcPr>
          <w:p w14:paraId="060057F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合计</w:t>
            </w:r>
          </w:p>
        </w:tc>
        <w:tc>
          <w:tcPr>
            <w:tcW w:w="625" w:type="pct"/>
            <w:tcBorders>
              <w:top w:val="nil"/>
              <w:left w:val="nil"/>
              <w:bottom w:val="single" w:color="auto" w:sz="4" w:space="0"/>
              <w:right w:val="single" w:color="auto" w:sz="4" w:space="0"/>
            </w:tcBorders>
            <w:shd w:val="clear" w:color="000000" w:fill="FFFFFF"/>
            <w:noWrap/>
            <w:vAlign w:val="center"/>
          </w:tcPr>
          <w:p w14:paraId="2B1C274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6CAC47E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14110.31</w:t>
            </w:r>
          </w:p>
        </w:tc>
        <w:tc>
          <w:tcPr>
            <w:tcW w:w="938" w:type="pct"/>
            <w:tcBorders>
              <w:top w:val="nil"/>
              <w:left w:val="nil"/>
              <w:bottom w:val="single" w:color="auto" w:sz="4" w:space="0"/>
              <w:right w:val="single" w:color="auto" w:sz="4" w:space="0"/>
            </w:tcBorders>
            <w:shd w:val="clear" w:color="000000" w:fill="FFFFFF"/>
            <w:noWrap/>
            <w:vAlign w:val="center"/>
          </w:tcPr>
          <w:p w14:paraId="1D37EDC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9306.41</w:t>
            </w:r>
          </w:p>
        </w:tc>
        <w:tc>
          <w:tcPr>
            <w:tcW w:w="300" w:type="pct"/>
            <w:tcBorders>
              <w:top w:val="nil"/>
              <w:left w:val="nil"/>
              <w:bottom w:val="single" w:color="auto" w:sz="4" w:space="0"/>
              <w:right w:val="single" w:color="auto" w:sz="4" w:space="0"/>
            </w:tcBorders>
            <w:shd w:val="clear" w:color="000000" w:fill="FFFFFF"/>
            <w:noWrap/>
            <w:vAlign w:val="center"/>
          </w:tcPr>
          <w:p w14:paraId="0CFE734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7646325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2E7722A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333E4B87">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bottom w:val="single" w:color="000000" w:sz="4" w:space="0"/>
              <w:right w:val="single" w:color="auto" w:sz="4" w:space="0"/>
            </w:tcBorders>
            <w:shd w:val="clear" w:color="000000" w:fill="FFFFFF"/>
            <w:noWrap/>
            <w:vAlign w:val="center"/>
          </w:tcPr>
          <w:p w14:paraId="608807B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044地块</w:t>
            </w:r>
          </w:p>
        </w:tc>
        <w:tc>
          <w:tcPr>
            <w:tcW w:w="535" w:type="pct"/>
            <w:vMerge w:val="restart"/>
            <w:tcBorders>
              <w:top w:val="nil"/>
              <w:left w:val="nil"/>
              <w:right w:val="single" w:color="auto" w:sz="4" w:space="0"/>
            </w:tcBorders>
            <w:shd w:val="clear" w:color="000000" w:fill="FFFFFF"/>
            <w:noWrap/>
            <w:vAlign w:val="center"/>
          </w:tcPr>
          <w:p w14:paraId="51DF590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房山区长阳镇FS00-LX10-0044地块6#商业楼</w:t>
            </w:r>
          </w:p>
        </w:tc>
        <w:tc>
          <w:tcPr>
            <w:tcW w:w="320" w:type="pct"/>
            <w:tcBorders>
              <w:top w:val="nil"/>
              <w:left w:val="nil"/>
              <w:bottom w:val="single" w:color="auto" w:sz="4" w:space="0"/>
              <w:right w:val="single" w:color="auto" w:sz="4" w:space="0"/>
            </w:tcBorders>
            <w:shd w:val="clear" w:color="000000" w:fill="FFFFFF"/>
            <w:noWrap/>
            <w:vAlign w:val="center"/>
          </w:tcPr>
          <w:p w14:paraId="537414D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w:t>
            </w:r>
          </w:p>
        </w:tc>
        <w:tc>
          <w:tcPr>
            <w:tcW w:w="330" w:type="pct"/>
            <w:tcBorders>
              <w:top w:val="nil"/>
              <w:left w:val="nil"/>
              <w:bottom w:val="single" w:color="auto" w:sz="4" w:space="0"/>
              <w:right w:val="single" w:color="auto" w:sz="4" w:space="0"/>
            </w:tcBorders>
            <w:shd w:val="clear" w:color="000000" w:fill="FFFFFF"/>
            <w:noWrap/>
            <w:vAlign w:val="bottom"/>
          </w:tcPr>
          <w:p w14:paraId="479EDAE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20D3E30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7D7118A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867.37</w:t>
            </w:r>
          </w:p>
        </w:tc>
        <w:tc>
          <w:tcPr>
            <w:tcW w:w="938" w:type="pct"/>
            <w:tcBorders>
              <w:top w:val="nil"/>
              <w:left w:val="nil"/>
              <w:bottom w:val="single" w:color="auto" w:sz="4" w:space="0"/>
              <w:right w:val="single" w:color="auto" w:sz="4" w:space="0"/>
            </w:tcBorders>
            <w:shd w:val="clear" w:color="000000" w:fill="FFFFFF"/>
            <w:noWrap/>
            <w:vAlign w:val="center"/>
          </w:tcPr>
          <w:p w14:paraId="2D6BB19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734.86 </w:t>
            </w:r>
          </w:p>
        </w:tc>
        <w:tc>
          <w:tcPr>
            <w:tcW w:w="300" w:type="pct"/>
            <w:tcBorders>
              <w:top w:val="nil"/>
              <w:left w:val="nil"/>
              <w:bottom w:val="single" w:color="auto" w:sz="4" w:space="0"/>
              <w:right w:val="single" w:color="auto" w:sz="4" w:space="0"/>
            </w:tcBorders>
            <w:shd w:val="clear" w:color="000000" w:fill="FFFFFF"/>
            <w:noWrap/>
            <w:vAlign w:val="center"/>
          </w:tcPr>
          <w:p w14:paraId="5A45583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DACD47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2E69125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172F281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274DC3A">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A75C692">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5C7819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18</w:t>
            </w:r>
          </w:p>
        </w:tc>
        <w:tc>
          <w:tcPr>
            <w:tcW w:w="330" w:type="pct"/>
            <w:tcBorders>
              <w:top w:val="nil"/>
              <w:left w:val="nil"/>
              <w:bottom w:val="single" w:color="auto" w:sz="4" w:space="0"/>
              <w:right w:val="single" w:color="auto" w:sz="4" w:space="0"/>
            </w:tcBorders>
            <w:shd w:val="clear" w:color="000000" w:fill="FFFFFF"/>
            <w:noWrap/>
            <w:vAlign w:val="bottom"/>
          </w:tcPr>
          <w:p w14:paraId="7F17650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D9A231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19034D5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771.32</w:t>
            </w:r>
          </w:p>
        </w:tc>
        <w:tc>
          <w:tcPr>
            <w:tcW w:w="938" w:type="pct"/>
            <w:tcBorders>
              <w:top w:val="nil"/>
              <w:left w:val="nil"/>
              <w:bottom w:val="single" w:color="auto" w:sz="4" w:space="0"/>
              <w:right w:val="single" w:color="auto" w:sz="4" w:space="0"/>
            </w:tcBorders>
            <w:shd w:val="clear" w:color="000000" w:fill="FFFFFF"/>
            <w:noWrap/>
            <w:vAlign w:val="center"/>
          </w:tcPr>
          <w:p w14:paraId="1DF950F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653.48 </w:t>
            </w:r>
          </w:p>
        </w:tc>
        <w:tc>
          <w:tcPr>
            <w:tcW w:w="300" w:type="pct"/>
            <w:tcBorders>
              <w:top w:val="nil"/>
              <w:left w:val="nil"/>
              <w:bottom w:val="single" w:color="auto" w:sz="4" w:space="0"/>
              <w:right w:val="single" w:color="auto" w:sz="4" w:space="0"/>
            </w:tcBorders>
            <w:shd w:val="clear" w:color="000000" w:fill="FFFFFF"/>
            <w:noWrap/>
            <w:vAlign w:val="center"/>
          </w:tcPr>
          <w:p w14:paraId="31527A5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613438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3C5DB6B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65BE834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2081595">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47AEAD8">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3967DC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19</w:t>
            </w:r>
          </w:p>
        </w:tc>
        <w:tc>
          <w:tcPr>
            <w:tcW w:w="330" w:type="pct"/>
            <w:tcBorders>
              <w:top w:val="nil"/>
              <w:left w:val="nil"/>
              <w:bottom w:val="single" w:color="auto" w:sz="4" w:space="0"/>
              <w:right w:val="single" w:color="auto" w:sz="4" w:space="0"/>
            </w:tcBorders>
            <w:shd w:val="clear" w:color="000000" w:fill="FFFFFF"/>
            <w:noWrap/>
            <w:vAlign w:val="bottom"/>
          </w:tcPr>
          <w:p w14:paraId="48CAFCE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41CFFD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1D73840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746.79</w:t>
            </w:r>
          </w:p>
        </w:tc>
        <w:tc>
          <w:tcPr>
            <w:tcW w:w="938" w:type="pct"/>
            <w:tcBorders>
              <w:top w:val="nil"/>
              <w:left w:val="nil"/>
              <w:bottom w:val="single" w:color="auto" w:sz="4" w:space="0"/>
              <w:right w:val="single" w:color="auto" w:sz="4" w:space="0"/>
            </w:tcBorders>
            <w:shd w:val="clear" w:color="000000" w:fill="FFFFFF"/>
            <w:noWrap/>
            <w:vAlign w:val="center"/>
          </w:tcPr>
          <w:p w14:paraId="3400723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632.70 </w:t>
            </w:r>
          </w:p>
        </w:tc>
        <w:tc>
          <w:tcPr>
            <w:tcW w:w="300" w:type="pct"/>
            <w:tcBorders>
              <w:top w:val="nil"/>
              <w:left w:val="nil"/>
              <w:bottom w:val="single" w:color="auto" w:sz="4" w:space="0"/>
              <w:right w:val="single" w:color="auto" w:sz="4" w:space="0"/>
            </w:tcBorders>
            <w:shd w:val="clear" w:color="000000" w:fill="FFFFFF"/>
            <w:noWrap/>
            <w:vAlign w:val="center"/>
          </w:tcPr>
          <w:p w14:paraId="3268553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05AD60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402CF92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50029916">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AB59E5C">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C0676C6">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DFF74D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20</w:t>
            </w:r>
          </w:p>
        </w:tc>
        <w:tc>
          <w:tcPr>
            <w:tcW w:w="330" w:type="pct"/>
            <w:tcBorders>
              <w:top w:val="nil"/>
              <w:left w:val="nil"/>
              <w:bottom w:val="single" w:color="auto" w:sz="4" w:space="0"/>
              <w:right w:val="single" w:color="auto" w:sz="4" w:space="0"/>
            </w:tcBorders>
            <w:shd w:val="clear" w:color="000000" w:fill="FFFFFF"/>
            <w:noWrap/>
            <w:vAlign w:val="bottom"/>
          </w:tcPr>
          <w:p w14:paraId="4EFE0FB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7DC2260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38F0E93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762.37</w:t>
            </w:r>
          </w:p>
        </w:tc>
        <w:tc>
          <w:tcPr>
            <w:tcW w:w="938" w:type="pct"/>
            <w:tcBorders>
              <w:top w:val="nil"/>
              <w:left w:val="nil"/>
              <w:bottom w:val="single" w:color="auto" w:sz="4" w:space="0"/>
              <w:right w:val="single" w:color="auto" w:sz="4" w:space="0"/>
            </w:tcBorders>
            <w:shd w:val="clear" w:color="000000" w:fill="FFFFFF"/>
            <w:noWrap/>
            <w:vAlign w:val="center"/>
          </w:tcPr>
          <w:p w14:paraId="48B0429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645.90 </w:t>
            </w:r>
          </w:p>
        </w:tc>
        <w:tc>
          <w:tcPr>
            <w:tcW w:w="300" w:type="pct"/>
            <w:tcBorders>
              <w:top w:val="nil"/>
              <w:left w:val="nil"/>
              <w:bottom w:val="single" w:color="auto" w:sz="4" w:space="0"/>
              <w:right w:val="single" w:color="auto" w:sz="4" w:space="0"/>
            </w:tcBorders>
            <w:shd w:val="clear" w:color="000000" w:fill="FFFFFF"/>
            <w:noWrap/>
            <w:vAlign w:val="center"/>
          </w:tcPr>
          <w:p w14:paraId="2225562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5F9FE9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52BB05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61FDD7B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E7C5F70">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F50273D">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B77DFB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21</w:t>
            </w:r>
          </w:p>
        </w:tc>
        <w:tc>
          <w:tcPr>
            <w:tcW w:w="330" w:type="pct"/>
            <w:tcBorders>
              <w:top w:val="nil"/>
              <w:left w:val="nil"/>
              <w:bottom w:val="single" w:color="auto" w:sz="4" w:space="0"/>
              <w:right w:val="single" w:color="auto" w:sz="4" w:space="0"/>
            </w:tcBorders>
            <w:shd w:val="clear" w:color="000000" w:fill="FFFFFF"/>
            <w:noWrap/>
            <w:vAlign w:val="bottom"/>
          </w:tcPr>
          <w:p w14:paraId="161F153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1DDFC1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3E9D64C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762.21</w:t>
            </w:r>
          </w:p>
        </w:tc>
        <w:tc>
          <w:tcPr>
            <w:tcW w:w="938" w:type="pct"/>
            <w:tcBorders>
              <w:top w:val="nil"/>
              <w:left w:val="nil"/>
              <w:bottom w:val="single" w:color="auto" w:sz="4" w:space="0"/>
              <w:right w:val="single" w:color="auto" w:sz="4" w:space="0"/>
            </w:tcBorders>
            <w:shd w:val="clear" w:color="000000" w:fill="FFFFFF"/>
            <w:noWrap/>
            <w:vAlign w:val="center"/>
          </w:tcPr>
          <w:p w14:paraId="6867AE4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645.76 </w:t>
            </w:r>
          </w:p>
        </w:tc>
        <w:tc>
          <w:tcPr>
            <w:tcW w:w="300" w:type="pct"/>
            <w:tcBorders>
              <w:top w:val="nil"/>
              <w:left w:val="nil"/>
              <w:bottom w:val="single" w:color="auto" w:sz="4" w:space="0"/>
              <w:right w:val="single" w:color="auto" w:sz="4" w:space="0"/>
            </w:tcBorders>
            <w:shd w:val="clear" w:color="000000" w:fill="FFFFFF"/>
            <w:noWrap/>
            <w:vAlign w:val="center"/>
          </w:tcPr>
          <w:p w14:paraId="7D13B79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FB5D2B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631ACE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7E334C8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0134506">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B98DCA4">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F9E665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22</w:t>
            </w:r>
          </w:p>
        </w:tc>
        <w:tc>
          <w:tcPr>
            <w:tcW w:w="330" w:type="pct"/>
            <w:tcBorders>
              <w:top w:val="nil"/>
              <w:left w:val="nil"/>
              <w:bottom w:val="single" w:color="auto" w:sz="4" w:space="0"/>
              <w:right w:val="single" w:color="auto" w:sz="4" w:space="0"/>
            </w:tcBorders>
            <w:shd w:val="clear" w:color="000000" w:fill="FFFFFF"/>
            <w:noWrap/>
            <w:vAlign w:val="bottom"/>
          </w:tcPr>
          <w:p w14:paraId="02486D1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21C2DCD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51D783E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875.03</w:t>
            </w:r>
          </w:p>
        </w:tc>
        <w:tc>
          <w:tcPr>
            <w:tcW w:w="938" w:type="pct"/>
            <w:tcBorders>
              <w:top w:val="nil"/>
              <w:left w:val="nil"/>
              <w:bottom w:val="single" w:color="auto" w:sz="4" w:space="0"/>
              <w:right w:val="single" w:color="auto" w:sz="4" w:space="0"/>
            </w:tcBorders>
            <w:shd w:val="clear" w:color="000000" w:fill="FFFFFF"/>
            <w:noWrap/>
            <w:vAlign w:val="center"/>
          </w:tcPr>
          <w:p w14:paraId="5313D7A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741.35 </w:t>
            </w:r>
          </w:p>
        </w:tc>
        <w:tc>
          <w:tcPr>
            <w:tcW w:w="300" w:type="pct"/>
            <w:tcBorders>
              <w:top w:val="nil"/>
              <w:left w:val="nil"/>
              <w:bottom w:val="single" w:color="auto" w:sz="4" w:space="0"/>
              <w:right w:val="single" w:color="auto" w:sz="4" w:space="0"/>
            </w:tcBorders>
            <w:shd w:val="clear" w:color="000000" w:fill="FFFFFF"/>
            <w:noWrap/>
            <w:vAlign w:val="center"/>
          </w:tcPr>
          <w:p w14:paraId="3DAF727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144E9C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6DA164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3B5A6949">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02E2438">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75EF2351">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nil"/>
            </w:tcBorders>
            <w:shd w:val="clear" w:color="000000" w:fill="FFFFFF"/>
            <w:noWrap/>
            <w:vAlign w:val="center"/>
          </w:tcPr>
          <w:p w14:paraId="6C27792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single" w:color="auto" w:sz="4" w:space="0"/>
              <w:bottom w:val="single" w:color="auto" w:sz="4" w:space="0"/>
              <w:right w:val="single" w:color="auto" w:sz="4" w:space="0"/>
            </w:tcBorders>
            <w:shd w:val="clear" w:color="000000" w:fill="FFFFFF"/>
            <w:noWrap/>
            <w:vAlign w:val="bottom"/>
          </w:tcPr>
          <w:p w14:paraId="32DD4A0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58F09CC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4785.09 </w:t>
            </w:r>
          </w:p>
        </w:tc>
        <w:tc>
          <w:tcPr>
            <w:tcW w:w="938" w:type="pct"/>
            <w:tcBorders>
              <w:top w:val="nil"/>
              <w:left w:val="nil"/>
              <w:bottom w:val="single" w:color="auto" w:sz="4" w:space="0"/>
              <w:right w:val="single" w:color="auto" w:sz="4" w:space="0"/>
            </w:tcBorders>
            <w:shd w:val="clear" w:color="000000" w:fill="FFFFFF"/>
            <w:noWrap/>
            <w:vAlign w:val="center"/>
          </w:tcPr>
          <w:p w14:paraId="53F2A81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4054.05 </w:t>
            </w:r>
          </w:p>
        </w:tc>
        <w:tc>
          <w:tcPr>
            <w:tcW w:w="300" w:type="pct"/>
            <w:tcBorders>
              <w:top w:val="nil"/>
              <w:left w:val="nil"/>
              <w:bottom w:val="single" w:color="auto" w:sz="4" w:space="0"/>
              <w:right w:val="single" w:color="auto" w:sz="4" w:space="0"/>
            </w:tcBorders>
            <w:shd w:val="clear" w:color="000000" w:fill="FFFFFF"/>
            <w:noWrap/>
            <w:vAlign w:val="center"/>
          </w:tcPr>
          <w:p w14:paraId="7E8C5FC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06E37B0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3FB2D6E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5AE76EA6">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A7A60ED">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1A48735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房山区长于大街28号院100幢</w:t>
            </w:r>
          </w:p>
        </w:tc>
        <w:tc>
          <w:tcPr>
            <w:tcW w:w="320" w:type="pct"/>
            <w:tcBorders>
              <w:top w:val="nil"/>
              <w:left w:val="nil"/>
              <w:bottom w:val="single" w:color="auto" w:sz="4" w:space="0"/>
              <w:right w:val="single" w:color="auto" w:sz="4" w:space="0"/>
            </w:tcBorders>
            <w:shd w:val="clear" w:color="000000" w:fill="FFFFFF"/>
            <w:noWrap/>
            <w:vAlign w:val="center"/>
          </w:tcPr>
          <w:p w14:paraId="2BAB047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23</w:t>
            </w:r>
          </w:p>
        </w:tc>
        <w:tc>
          <w:tcPr>
            <w:tcW w:w="330" w:type="pct"/>
            <w:tcBorders>
              <w:top w:val="nil"/>
              <w:left w:val="nil"/>
              <w:bottom w:val="single" w:color="auto" w:sz="4" w:space="0"/>
              <w:right w:val="single" w:color="auto" w:sz="4" w:space="0"/>
            </w:tcBorders>
            <w:shd w:val="clear" w:color="000000" w:fill="FFFFFF"/>
            <w:noWrap/>
            <w:vAlign w:val="bottom"/>
          </w:tcPr>
          <w:p w14:paraId="5EE2462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6257636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3D5877C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850.52 </w:t>
            </w:r>
          </w:p>
        </w:tc>
        <w:tc>
          <w:tcPr>
            <w:tcW w:w="938" w:type="pct"/>
            <w:tcBorders>
              <w:top w:val="nil"/>
              <w:left w:val="nil"/>
              <w:bottom w:val="single" w:color="auto" w:sz="4" w:space="0"/>
              <w:right w:val="single" w:color="auto" w:sz="4" w:space="0"/>
            </w:tcBorders>
            <w:shd w:val="clear" w:color="000000" w:fill="FFFFFF"/>
            <w:noWrap/>
            <w:vAlign w:val="center"/>
          </w:tcPr>
          <w:p w14:paraId="52E7E82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545.07 </w:t>
            </w:r>
          </w:p>
        </w:tc>
        <w:tc>
          <w:tcPr>
            <w:tcW w:w="300" w:type="pct"/>
            <w:tcBorders>
              <w:top w:val="nil"/>
              <w:left w:val="nil"/>
              <w:bottom w:val="single" w:color="auto" w:sz="4" w:space="0"/>
              <w:right w:val="single" w:color="auto" w:sz="4" w:space="0"/>
            </w:tcBorders>
            <w:shd w:val="clear" w:color="000000" w:fill="FFFFFF"/>
            <w:noWrap/>
            <w:vAlign w:val="center"/>
          </w:tcPr>
          <w:p w14:paraId="3ABB415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97840A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7B34CCA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1D8FE7B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1581A1C">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06C9609">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2E533D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24</w:t>
            </w:r>
          </w:p>
        </w:tc>
        <w:tc>
          <w:tcPr>
            <w:tcW w:w="330" w:type="pct"/>
            <w:tcBorders>
              <w:top w:val="nil"/>
              <w:left w:val="nil"/>
              <w:bottom w:val="single" w:color="auto" w:sz="4" w:space="0"/>
              <w:right w:val="single" w:color="auto" w:sz="4" w:space="0"/>
            </w:tcBorders>
            <w:shd w:val="clear" w:color="000000" w:fill="FFFFFF"/>
            <w:noWrap/>
            <w:vAlign w:val="bottom"/>
          </w:tcPr>
          <w:p w14:paraId="2A4B87F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BFDC35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293B52F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882.99 </w:t>
            </w:r>
          </w:p>
        </w:tc>
        <w:tc>
          <w:tcPr>
            <w:tcW w:w="938" w:type="pct"/>
            <w:tcBorders>
              <w:top w:val="nil"/>
              <w:left w:val="nil"/>
              <w:bottom w:val="single" w:color="auto" w:sz="4" w:space="0"/>
              <w:right w:val="single" w:color="auto" w:sz="4" w:space="0"/>
            </w:tcBorders>
            <w:shd w:val="clear" w:color="000000" w:fill="FFFFFF"/>
            <w:noWrap/>
            <w:vAlign w:val="center"/>
          </w:tcPr>
          <w:p w14:paraId="559505C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565.88 </w:t>
            </w:r>
          </w:p>
        </w:tc>
        <w:tc>
          <w:tcPr>
            <w:tcW w:w="300" w:type="pct"/>
            <w:tcBorders>
              <w:top w:val="nil"/>
              <w:left w:val="nil"/>
              <w:bottom w:val="single" w:color="auto" w:sz="4" w:space="0"/>
              <w:right w:val="single" w:color="auto" w:sz="4" w:space="0"/>
            </w:tcBorders>
            <w:shd w:val="clear" w:color="000000" w:fill="FFFFFF"/>
            <w:noWrap/>
            <w:vAlign w:val="center"/>
          </w:tcPr>
          <w:p w14:paraId="6AC7072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99EE27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F83894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71EDE127">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B68B9B8">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303478A">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36518F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25</w:t>
            </w:r>
          </w:p>
        </w:tc>
        <w:tc>
          <w:tcPr>
            <w:tcW w:w="330" w:type="pct"/>
            <w:tcBorders>
              <w:top w:val="nil"/>
              <w:left w:val="nil"/>
              <w:bottom w:val="single" w:color="auto" w:sz="4" w:space="0"/>
              <w:right w:val="single" w:color="auto" w:sz="4" w:space="0"/>
            </w:tcBorders>
            <w:shd w:val="clear" w:color="000000" w:fill="FFFFFF"/>
            <w:noWrap/>
            <w:vAlign w:val="bottom"/>
          </w:tcPr>
          <w:p w14:paraId="201E216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133DC95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254493B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815.94 </w:t>
            </w:r>
          </w:p>
        </w:tc>
        <w:tc>
          <w:tcPr>
            <w:tcW w:w="938" w:type="pct"/>
            <w:tcBorders>
              <w:top w:val="nil"/>
              <w:left w:val="nil"/>
              <w:bottom w:val="single" w:color="auto" w:sz="4" w:space="0"/>
              <w:right w:val="single" w:color="auto" w:sz="4" w:space="0"/>
            </w:tcBorders>
            <w:shd w:val="clear" w:color="000000" w:fill="FFFFFF"/>
            <w:noWrap/>
            <w:vAlign w:val="center"/>
          </w:tcPr>
          <w:p w14:paraId="334F417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522.91 </w:t>
            </w:r>
          </w:p>
        </w:tc>
        <w:tc>
          <w:tcPr>
            <w:tcW w:w="300" w:type="pct"/>
            <w:tcBorders>
              <w:top w:val="nil"/>
              <w:left w:val="nil"/>
              <w:bottom w:val="single" w:color="auto" w:sz="4" w:space="0"/>
              <w:right w:val="single" w:color="auto" w:sz="4" w:space="0"/>
            </w:tcBorders>
            <w:shd w:val="clear" w:color="000000" w:fill="FFFFFF"/>
            <w:noWrap/>
            <w:vAlign w:val="center"/>
          </w:tcPr>
          <w:p w14:paraId="4B594FA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9C8F58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61B57AE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1410AB87">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65E2226">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7F4E271">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3C3C59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26</w:t>
            </w:r>
          </w:p>
        </w:tc>
        <w:tc>
          <w:tcPr>
            <w:tcW w:w="330" w:type="pct"/>
            <w:tcBorders>
              <w:top w:val="nil"/>
              <w:left w:val="nil"/>
              <w:bottom w:val="single" w:color="auto" w:sz="4" w:space="0"/>
              <w:right w:val="single" w:color="auto" w:sz="4" w:space="0"/>
            </w:tcBorders>
            <w:shd w:val="clear" w:color="000000" w:fill="FFFFFF"/>
            <w:noWrap/>
            <w:vAlign w:val="bottom"/>
          </w:tcPr>
          <w:p w14:paraId="05F233F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4FAA95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751349C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885.53 </w:t>
            </w:r>
          </w:p>
        </w:tc>
        <w:tc>
          <w:tcPr>
            <w:tcW w:w="938" w:type="pct"/>
            <w:tcBorders>
              <w:top w:val="nil"/>
              <w:left w:val="nil"/>
              <w:bottom w:val="single" w:color="auto" w:sz="4" w:space="0"/>
              <w:right w:val="single" w:color="auto" w:sz="4" w:space="0"/>
            </w:tcBorders>
            <w:shd w:val="clear" w:color="000000" w:fill="FFFFFF"/>
            <w:noWrap/>
            <w:vAlign w:val="center"/>
          </w:tcPr>
          <w:p w14:paraId="06281F0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567.51 </w:t>
            </w:r>
          </w:p>
        </w:tc>
        <w:tc>
          <w:tcPr>
            <w:tcW w:w="300" w:type="pct"/>
            <w:tcBorders>
              <w:top w:val="nil"/>
              <w:left w:val="nil"/>
              <w:bottom w:val="single" w:color="auto" w:sz="4" w:space="0"/>
              <w:right w:val="single" w:color="auto" w:sz="4" w:space="0"/>
            </w:tcBorders>
            <w:shd w:val="clear" w:color="000000" w:fill="FFFFFF"/>
            <w:noWrap/>
            <w:vAlign w:val="center"/>
          </w:tcPr>
          <w:p w14:paraId="3CE7FE0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3F6FCB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4BADB03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24A4B25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23CD75A">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524955D">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172DA5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27</w:t>
            </w:r>
          </w:p>
        </w:tc>
        <w:tc>
          <w:tcPr>
            <w:tcW w:w="330" w:type="pct"/>
            <w:tcBorders>
              <w:top w:val="nil"/>
              <w:left w:val="nil"/>
              <w:bottom w:val="single" w:color="auto" w:sz="4" w:space="0"/>
              <w:right w:val="single" w:color="auto" w:sz="4" w:space="0"/>
            </w:tcBorders>
            <w:shd w:val="clear" w:color="000000" w:fill="FFFFFF"/>
            <w:noWrap/>
            <w:vAlign w:val="bottom"/>
          </w:tcPr>
          <w:p w14:paraId="57C87EF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126D64D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16A2E4C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802.28 </w:t>
            </w:r>
          </w:p>
        </w:tc>
        <w:tc>
          <w:tcPr>
            <w:tcW w:w="938" w:type="pct"/>
            <w:tcBorders>
              <w:top w:val="nil"/>
              <w:left w:val="nil"/>
              <w:bottom w:val="single" w:color="auto" w:sz="4" w:space="0"/>
              <w:right w:val="single" w:color="auto" w:sz="4" w:space="0"/>
            </w:tcBorders>
            <w:shd w:val="clear" w:color="000000" w:fill="FFFFFF"/>
            <w:noWrap/>
            <w:vAlign w:val="center"/>
          </w:tcPr>
          <w:p w14:paraId="01BC4C1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514.16 </w:t>
            </w:r>
          </w:p>
        </w:tc>
        <w:tc>
          <w:tcPr>
            <w:tcW w:w="300" w:type="pct"/>
            <w:tcBorders>
              <w:top w:val="nil"/>
              <w:left w:val="nil"/>
              <w:bottom w:val="single" w:color="auto" w:sz="4" w:space="0"/>
              <w:right w:val="single" w:color="auto" w:sz="4" w:space="0"/>
            </w:tcBorders>
            <w:shd w:val="clear" w:color="000000" w:fill="FFFFFF"/>
            <w:noWrap/>
            <w:vAlign w:val="center"/>
          </w:tcPr>
          <w:p w14:paraId="41EBB11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72D036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B496DA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79C0A30D">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02E50AA">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94ED7F2">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4D742E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28</w:t>
            </w:r>
          </w:p>
        </w:tc>
        <w:tc>
          <w:tcPr>
            <w:tcW w:w="330" w:type="pct"/>
            <w:tcBorders>
              <w:top w:val="nil"/>
              <w:left w:val="nil"/>
              <w:bottom w:val="single" w:color="auto" w:sz="4" w:space="0"/>
              <w:right w:val="single" w:color="auto" w:sz="4" w:space="0"/>
            </w:tcBorders>
            <w:shd w:val="clear" w:color="000000" w:fill="FFFFFF"/>
            <w:noWrap/>
            <w:vAlign w:val="bottom"/>
          </w:tcPr>
          <w:p w14:paraId="1D59B7E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F46051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421AEAC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841.70 </w:t>
            </w:r>
          </w:p>
        </w:tc>
        <w:tc>
          <w:tcPr>
            <w:tcW w:w="938" w:type="pct"/>
            <w:tcBorders>
              <w:top w:val="nil"/>
              <w:left w:val="nil"/>
              <w:bottom w:val="single" w:color="auto" w:sz="4" w:space="0"/>
              <w:right w:val="single" w:color="auto" w:sz="4" w:space="0"/>
            </w:tcBorders>
            <w:shd w:val="clear" w:color="000000" w:fill="FFFFFF"/>
            <w:noWrap/>
            <w:vAlign w:val="center"/>
          </w:tcPr>
          <w:p w14:paraId="0DA94E3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539.42 </w:t>
            </w:r>
          </w:p>
        </w:tc>
        <w:tc>
          <w:tcPr>
            <w:tcW w:w="300" w:type="pct"/>
            <w:tcBorders>
              <w:top w:val="nil"/>
              <w:left w:val="nil"/>
              <w:bottom w:val="single" w:color="auto" w:sz="4" w:space="0"/>
              <w:right w:val="single" w:color="auto" w:sz="4" w:space="0"/>
            </w:tcBorders>
            <w:shd w:val="clear" w:color="000000" w:fill="FFFFFF"/>
            <w:noWrap/>
            <w:vAlign w:val="center"/>
          </w:tcPr>
          <w:p w14:paraId="027A30C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E27183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4953B95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22341A43">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A1C5801">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624E690">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E17E94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29</w:t>
            </w:r>
          </w:p>
        </w:tc>
        <w:tc>
          <w:tcPr>
            <w:tcW w:w="330" w:type="pct"/>
            <w:tcBorders>
              <w:top w:val="nil"/>
              <w:left w:val="nil"/>
              <w:bottom w:val="single" w:color="auto" w:sz="4" w:space="0"/>
              <w:right w:val="single" w:color="auto" w:sz="4" w:space="0"/>
            </w:tcBorders>
            <w:shd w:val="clear" w:color="000000" w:fill="FFFFFF"/>
            <w:noWrap/>
            <w:vAlign w:val="bottom"/>
          </w:tcPr>
          <w:p w14:paraId="574E3FA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69130B5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1791200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897.31 </w:t>
            </w:r>
          </w:p>
        </w:tc>
        <w:tc>
          <w:tcPr>
            <w:tcW w:w="938" w:type="pct"/>
            <w:tcBorders>
              <w:top w:val="nil"/>
              <w:left w:val="nil"/>
              <w:bottom w:val="single" w:color="auto" w:sz="4" w:space="0"/>
              <w:right w:val="single" w:color="auto" w:sz="4" w:space="0"/>
            </w:tcBorders>
            <w:shd w:val="clear" w:color="000000" w:fill="FFFFFF"/>
            <w:noWrap/>
            <w:vAlign w:val="center"/>
          </w:tcPr>
          <w:p w14:paraId="066FCC0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575.06 </w:t>
            </w:r>
          </w:p>
        </w:tc>
        <w:tc>
          <w:tcPr>
            <w:tcW w:w="300" w:type="pct"/>
            <w:tcBorders>
              <w:top w:val="nil"/>
              <w:left w:val="nil"/>
              <w:bottom w:val="single" w:color="auto" w:sz="4" w:space="0"/>
              <w:right w:val="single" w:color="auto" w:sz="4" w:space="0"/>
            </w:tcBorders>
            <w:shd w:val="clear" w:color="000000" w:fill="FFFFFF"/>
            <w:noWrap/>
            <w:vAlign w:val="center"/>
          </w:tcPr>
          <w:p w14:paraId="6193A0B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626F78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6757F7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29AD86DB">
        <w:tblPrEx>
          <w:tblCellMar>
            <w:top w:w="0" w:type="dxa"/>
            <w:left w:w="108" w:type="dxa"/>
            <w:bottom w:w="0" w:type="dxa"/>
            <w:right w:w="108" w:type="dxa"/>
          </w:tblCellMar>
        </w:tblPrEx>
        <w:trPr>
          <w:trHeight w:val="182" w:hRule="atLeast"/>
          <w:jc w:val="center"/>
        </w:trPr>
        <w:tc>
          <w:tcPr>
            <w:tcW w:w="289" w:type="pct"/>
            <w:vMerge w:val="continue"/>
            <w:tcBorders>
              <w:top w:val="nil"/>
              <w:left w:val="single" w:color="auto" w:sz="4" w:space="0"/>
              <w:bottom w:val="single" w:color="auto" w:sz="4" w:space="0"/>
              <w:right w:val="single" w:color="auto" w:sz="4" w:space="0"/>
            </w:tcBorders>
            <w:vAlign w:val="center"/>
          </w:tcPr>
          <w:p w14:paraId="0B3CA031">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3414B5AF">
            <w:pPr>
              <w:widowControl/>
              <w:adjustRightInd/>
              <w:spacing w:line="240" w:lineRule="auto"/>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3AF153F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28130E4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5EC3E19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5976.27</w:t>
            </w:r>
          </w:p>
        </w:tc>
        <w:tc>
          <w:tcPr>
            <w:tcW w:w="938" w:type="pct"/>
            <w:tcBorders>
              <w:top w:val="nil"/>
              <w:left w:val="nil"/>
              <w:bottom w:val="single" w:color="auto" w:sz="4" w:space="0"/>
              <w:right w:val="single" w:color="auto" w:sz="4" w:space="0"/>
            </w:tcBorders>
            <w:shd w:val="clear" w:color="000000" w:fill="FFFFFF"/>
            <w:noWrap/>
            <w:vAlign w:val="center"/>
          </w:tcPr>
          <w:p w14:paraId="676D256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3830.01</w:t>
            </w:r>
          </w:p>
        </w:tc>
        <w:tc>
          <w:tcPr>
            <w:tcW w:w="300" w:type="pct"/>
            <w:tcBorders>
              <w:top w:val="nil"/>
              <w:left w:val="nil"/>
              <w:bottom w:val="single" w:color="auto" w:sz="4" w:space="0"/>
              <w:right w:val="single" w:color="auto" w:sz="4" w:space="0"/>
            </w:tcBorders>
            <w:shd w:val="clear" w:color="000000" w:fill="FFFFFF"/>
            <w:noWrap/>
            <w:vAlign w:val="center"/>
          </w:tcPr>
          <w:p w14:paraId="63E293F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4EF382A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33753B1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6A84B3DE">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395B466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合计</w:t>
            </w:r>
          </w:p>
        </w:tc>
        <w:tc>
          <w:tcPr>
            <w:tcW w:w="625" w:type="pct"/>
            <w:tcBorders>
              <w:top w:val="nil"/>
              <w:left w:val="nil"/>
              <w:bottom w:val="single" w:color="auto" w:sz="4" w:space="0"/>
              <w:right w:val="single" w:color="auto" w:sz="4" w:space="0"/>
            </w:tcBorders>
            <w:shd w:val="clear" w:color="000000" w:fill="FFFFFF"/>
            <w:noWrap/>
            <w:vAlign w:val="center"/>
          </w:tcPr>
          <w:p w14:paraId="29D7CED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140E12B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10761.36</w:t>
            </w:r>
          </w:p>
        </w:tc>
        <w:tc>
          <w:tcPr>
            <w:tcW w:w="938" w:type="pct"/>
            <w:tcBorders>
              <w:top w:val="nil"/>
              <w:left w:val="nil"/>
              <w:bottom w:val="single" w:color="auto" w:sz="4" w:space="0"/>
              <w:right w:val="single" w:color="auto" w:sz="4" w:space="0"/>
            </w:tcBorders>
            <w:shd w:val="clear" w:color="000000" w:fill="FFFFFF"/>
            <w:noWrap/>
            <w:vAlign w:val="center"/>
          </w:tcPr>
          <w:p w14:paraId="3949665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7884.06</w:t>
            </w:r>
          </w:p>
        </w:tc>
        <w:tc>
          <w:tcPr>
            <w:tcW w:w="300" w:type="pct"/>
            <w:tcBorders>
              <w:top w:val="nil"/>
              <w:left w:val="nil"/>
              <w:bottom w:val="single" w:color="auto" w:sz="4" w:space="0"/>
              <w:right w:val="single" w:color="auto" w:sz="4" w:space="0"/>
            </w:tcBorders>
            <w:shd w:val="clear" w:color="000000" w:fill="FFFFFF"/>
            <w:noWrap/>
            <w:vAlign w:val="center"/>
          </w:tcPr>
          <w:p w14:paraId="4F9FF2F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6E3A6D7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5FE3671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292B38C2">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64EAC3A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总计</w:t>
            </w:r>
          </w:p>
        </w:tc>
        <w:tc>
          <w:tcPr>
            <w:tcW w:w="625" w:type="pct"/>
            <w:tcBorders>
              <w:top w:val="nil"/>
              <w:left w:val="nil"/>
              <w:bottom w:val="single" w:color="auto" w:sz="4" w:space="0"/>
              <w:right w:val="single" w:color="auto" w:sz="4" w:space="0"/>
            </w:tcBorders>
            <w:shd w:val="clear" w:color="000000" w:fill="FFFFFF"/>
            <w:noWrap/>
            <w:vAlign w:val="center"/>
          </w:tcPr>
          <w:p w14:paraId="6C470E5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7BF579A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24871.67 </w:t>
            </w:r>
          </w:p>
        </w:tc>
        <w:tc>
          <w:tcPr>
            <w:tcW w:w="938" w:type="pct"/>
            <w:tcBorders>
              <w:top w:val="nil"/>
              <w:left w:val="nil"/>
              <w:bottom w:val="single" w:color="auto" w:sz="4" w:space="0"/>
              <w:right w:val="single" w:color="auto" w:sz="4" w:space="0"/>
            </w:tcBorders>
            <w:shd w:val="clear" w:color="000000" w:fill="FFFFFF"/>
            <w:noWrap/>
            <w:vAlign w:val="center"/>
          </w:tcPr>
          <w:p w14:paraId="4367AA0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17190.47</w:t>
            </w:r>
          </w:p>
        </w:tc>
        <w:tc>
          <w:tcPr>
            <w:tcW w:w="300" w:type="pct"/>
            <w:tcBorders>
              <w:top w:val="nil"/>
              <w:left w:val="nil"/>
              <w:bottom w:val="single" w:color="auto" w:sz="4" w:space="0"/>
              <w:right w:val="single" w:color="auto" w:sz="4" w:space="0"/>
            </w:tcBorders>
            <w:shd w:val="clear" w:color="000000" w:fill="FFFFFF"/>
            <w:noWrap/>
            <w:vAlign w:val="center"/>
          </w:tcPr>
          <w:p w14:paraId="2D596DD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7B59CD8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4A55AFC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bl>
    <w:p w14:paraId="66715B25">
      <w:pPr>
        <w:overflowPunct w:val="0"/>
        <w:spacing w:before="240" w:beforeLines="100"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kern w:val="2"/>
          <w:sz w:val="21"/>
        </w:rPr>
        <w:t>为估价委托人了解估价对象房地产市场租金水平提供参考依据</w:t>
      </w:r>
      <w:r>
        <w:rPr>
          <w:rFonts w:ascii="Arial" w:hAnsi="Arial" w:cs="Arial"/>
          <w:sz w:val="21"/>
          <w:szCs w:val="21"/>
        </w:rPr>
        <w:t>。</w:t>
      </w:r>
    </w:p>
    <w:p w14:paraId="68C5B51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2026年1月14日（评估专业人员实地查勘日）</w:t>
      </w:r>
    </w:p>
    <w:p w14:paraId="2BD23D00">
      <w:pPr>
        <w:spacing w:line="480" w:lineRule="auto"/>
        <w:ind w:firstLine="413" w:firstLineChars="196"/>
        <w:jc w:val="both"/>
        <w:rPr>
          <w:rFonts w:eastAsia="楷体_GB2312"/>
          <w:sz w:val="28"/>
          <w:szCs w:val="28"/>
        </w:rPr>
      </w:pPr>
      <w:r>
        <w:rPr>
          <w:rFonts w:ascii="Arial" w:hAnsi="Arial" w:cs="Arial"/>
          <w:b/>
          <w:bCs/>
          <w:sz w:val="21"/>
          <w:szCs w:val="21"/>
        </w:rPr>
        <w:t>价值类型：</w:t>
      </w:r>
      <w:r>
        <w:rPr>
          <w:rFonts w:hint="eastAsia" w:ascii="Arial" w:hAnsi="Arial"/>
          <w:bCs/>
          <w:sz w:val="21"/>
        </w:rPr>
        <w:t>根据房地产估价规范、国家现行有关标准规定和项目的具体要求，本次评估采用的是</w:t>
      </w:r>
      <w:r>
        <w:rPr>
          <w:rFonts w:hint="eastAsia" w:ascii="Arial" w:hAnsi="Arial" w:cs="Arial"/>
          <w:sz w:val="21"/>
          <w:szCs w:val="21"/>
        </w:rPr>
        <w:t>市场价值</w:t>
      </w:r>
      <w:r>
        <w:rPr>
          <w:rFonts w:hint="eastAsia" w:ascii="Arial" w:hAnsi="Arial"/>
          <w:bCs/>
          <w:sz w:val="21"/>
        </w:rPr>
        <w:t>标准。</w:t>
      </w:r>
      <w:r>
        <w:rPr>
          <w:rFonts w:ascii="Arial" w:hAnsi="Arial"/>
          <w:bCs/>
          <w:sz w:val="21"/>
        </w:rPr>
        <w:t>根据</w:t>
      </w:r>
      <w:r>
        <w:rPr>
          <w:rFonts w:hint="eastAsia" w:ascii="Arial" w:hAnsi="Arial"/>
          <w:bCs/>
          <w:sz w:val="21"/>
        </w:rPr>
        <w:t>《房地产估价基本术语标准》[GB/T50899-2013]，</w:t>
      </w:r>
      <w:r>
        <w:rPr>
          <w:rFonts w:ascii="Arial" w:hAnsi="Arial"/>
          <w:bCs/>
          <w:sz w:val="21"/>
        </w:rPr>
        <w:t>市场价值是经适当营销后，由熟悉情况、谨慎行事且不受强迫的交易双方，以公平交易方式在价值时点自愿进行交易的金额</w:t>
      </w:r>
      <w:r>
        <w:rPr>
          <w:rFonts w:hint="eastAsia" w:ascii="Arial" w:hAnsi="Arial"/>
          <w:bCs/>
          <w:sz w:val="21"/>
        </w:rPr>
        <w:t>。</w:t>
      </w:r>
    </w:p>
    <w:p w14:paraId="0AA56FF3">
      <w:pPr>
        <w:tabs>
          <w:tab w:val="left" w:pos="7920"/>
        </w:tabs>
        <w:overflowPunct w:val="0"/>
        <w:spacing w:line="480" w:lineRule="auto"/>
        <w:ind w:firstLine="420" w:firstLineChars="200"/>
        <w:jc w:val="both"/>
        <w:textAlignment w:val="auto"/>
        <w:rPr>
          <w:rFonts w:ascii="Arial" w:hAnsi="Arial" w:cs="Arial"/>
          <w:sz w:val="21"/>
          <w:szCs w:val="21"/>
        </w:rPr>
      </w:pPr>
      <w:r>
        <w:rPr>
          <w:rFonts w:hint="eastAsia" w:ascii="Arial" w:hAnsi="Arial"/>
          <w:bCs/>
          <w:sz w:val="21"/>
        </w:rPr>
        <w:t>本次估价的“</w:t>
      </w:r>
      <w:r>
        <w:rPr>
          <w:rFonts w:hint="eastAsia" w:ascii="Arial" w:hAnsi="Arial" w:cs="Arial"/>
          <w:sz w:val="21"/>
          <w:szCs w:val="21"/>
        </w:rPr>
        <w:t>房地产市场租金水平</w:t>
      </w:r>
      <w:r>
        <w:rPr>
          <w:rFonts w:hint="eastAsia" w:ascii="Arial" w:hAnsi="Arial"/>
          <w:bCs/>
          <w:sz w:val="21"/>
        </w:rPr>
        <w:t>”是指在正常市场情况下，在价值时点</w:t>
      </w:r>
      <w:r>
        <w:rPr>
          <w:rFonts w:hint="eastAsia" w:ascii="Arial" w:hAnsi="Arial" w:cs="Arial"/>
          <w:sz w:val="21"/>
          <w:szCs w:val="21"/>
        </w:rPr>
        <w:t>2026年1月14日</w:t>
      </w:r>
      <w:r>
        <w:rPr>
          <w:rFonts w:hint="eastAsia" w:ascii="Arial" w:hAnsi="Arial"/>
          <w:bCs/>
          <w:sz w:val="21"/>
        </w:rPr>
        <w:t>，估价对象规划用途为商业</w:t>
      </w:r>
      <w:r>
        <w:rPr>
          <w:rFonts w:hint="eastAsia" w:ascii="Arial" w:hAnsi="Arial" w:cs="Arial"/>
          <w:sz w:val="21"/>
          <w:szCs w:val="21"/>
        </w:rPr>
        <w:t>，</w:t>
      </w:r>
      <w:r>
        <w:rPr>
          <w:rFonts w:ascii="Arial" w:hAnsi="Arial"/>
          <w:bCs/>
          <w:sz w:val="21"/>
        </w:rPr>
        <w:t>土地取得方式</w:t>
      </w:r>
      <w:r>
        <w:rPr>
          <w:rFonts w:hint="eastAsia" w:ascii="Arial" w:hAnsi="Arial"/>
          <w:bCs/>
          <w:sz w:val="21"/>
        </w:rPr>
        <w:t>为出让的房地产租赁价格</w:t>
      </w:r>
      <w:r>
        <w:rPr>
          <w:rFonts w:hint="eastAsia" w:ascii="Arial" w:hAnsi="Arial"/>
          <w:bCs/>
          <w:sz w:val="21"/>
        </w:rPr>
        <w:t>（价税合计）</w:t>
      </w:r>
      <w:commentRangeStart w:id="0"/>
      <w:r>
        <w:rPr>
          <w:rFonts w:hint="eastAsia" w:ascii="Arial" w:hAnsi="Arial"/>
          <w:bCs/>
          <w:sz w:val="21"/>
        </w:rPr>
        <w:t>，不包含物业管理费、能</w:t>
      </w:r>
      <w:commentRangeEnd w:id="0"/>
      <w:r>
        <w:rPr>
          <w:rStyle w:val="39"/>
        </w:rPr>
        <w:commentReference w:id="0"/>
      </w:r>
      <w:r>
        <w:rPr>
          <w:rFonts w:hint="eastAsia" w:ascii="Arial" w:hAnsi="Arial"/>
          <w:bCs/>
          <w:sz w:val="21"/>
        </w:rPr>
        <w:t>源费、房地产经纪公司服务费等。</w:t>
      </w:r>
    </w:p>
    <w:p w14:paraId="5E4ADEAD">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w:t>
      </w:r>
      <w:r>
        <w:rPr>
          <w:rFonts w:hint="eastAsia" w:ascii="Arial" w:hAnsi="Arial" w:cs="Arial"/>
          <w:bCs/>
          <w:sz w:val="21"/>
          <w:szCs w:val="21"/>
        </w:rPr>
        <w:t>为</w:t>
      </w:r>
      <w:r>
        <w:rPr>
          <w:rFonts w:hint="eastAsia" w:ascii="Arial" w:hAnsi="Arial" w:cs="宋体"/>
          <w:sz w:val="21"/>
          <w:szCs w:val="21"/>
        </w:rPr>
        <w:t>比较法</w:t>
      </w:r>
      <w:r>
        <w:rPr>
          <w:rFonts w:ascii="Arial" w:hAnsi="Arial" w:cs="Arial"/>
          <w:sz w:val="21"/>
          <w:szCs w:val="21"/>
        </w:rPr>
        <w:t>。</w:t>
      </w:r>
    </w:p>
    <w:p w14:paraId="6FB51AFA">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r>
        <w:rPr>
          <w:rFonts w:hint="eastAsia" w:ascii="Arial" w:hAnsi="Arial" w:cs="Arial"/>
          <w:sz w:val="21"/>
          <w:szCs w:val="21"/>
        </w:rPr>
        <w:t xml:space="preserve"> </w:t>
      </w:r>
    </w:p>
    <w:p w14:paraId="44A04C42">
      <w:pPr>
        <w:overflowPunct w:val="0"/>
        <w:spacing w:line="480" w:lineRule="auto"/>
        <w:jc w:val="both"/>
        <w:textAlignment w:val="auto"/>
        <w:rPr>
          <w:rFonts w:ascii="Arial" w:hAnsi="Arial" w:cs="Arial"/>
          <w:sz w:val="21"/>
          <w:szCs w:val="21"/>
        </w:rPr>
      </w:pPr>
    </w:p>
    <w:p w14:paraId="64EB3D12">
      <w:pPr>
        <w:overflowPunct w:val="0"/>
        <w:spacing w:line="480" w:lineRule="auto"/>
        <w:jc w:val="both"/>
        <w:textAlignment w:val="auto"/>
        <w:rPr>
          <w:rFonts w:ascii="楷体_GB2312" w:hAnsi="Arial" w:eastAsia="楷体_GB2312" w:cs="Arial"/>
          <w:sz w:val="21"/>
          <w:szCs w:val="21"/>
        </w:rPr>
      </w:pPr>
      <w:r>
        <w:rPr>
          <w:rFonts w:hint="eastAsia" w:ascii="楷体_GB2312" w:hAnsi="Arial" w:eastAsia="楷体_GB2312" w:cs="Arial"/>
          <w:sz w:val="21"/>
          <w:szCs w:val="21"/>
        </w:rPr>
        <w:t>（转下页）</w:t>
      </w:r>
    </w:p>
    <w:p w14:paraId="7CBAD700">
      <w:pPr>
        <w:spacing w:line="240" w:lineRule="auto"/>
        <w:jc w:val="center"/>
        <w:rPr>
          <w:rFonts w:ascii="Arial" w:hAnsi="Arial" w:eastAsia="方正黑体简体" w:cs="Arial"/>
          <w:szCs w:val="24"/>
        </w:rPr>
      </w:pPr>
      <w:r>
        <w:rPr>
          <w:rFonts w:hint="eastAsia" w:ascii="Arial" w:hAnsi="Arial" w:eastAsia="方正黑体简体"/>
          <w:szCs w:val="24"/>
        </w:rPr>
        <w:br w:type="page"/>
      </w:r>
      <w:r>
        <w:rPr>
          <w:rFonts w:hint="eastAsia" w:ascii="Arial" w:hAnsi="Arial" w:eastAsia="方正黑体简体" w:cs="Arial"/>
          <w:szCs w:val="24"/>
        </w:rPr>
        <w:t>估价结果一览表</w:t>
      </w:r>
    </w:p>
    <w:p w14:paraId="3DDFB772">
      <w:pPr>
        <w:spacing w:line="240" w:lineRule="auto"/>
        <w:jc w:val="center"/>
        <w:rPr>
          <w:rFonts w:ascii="Arial" w:hAnsi="Arial" w:eastAsia="方正黑体简体" w:cs="Arial"/>
          <w:szCs w:val="24"/>
        </w:rPr>
      </w:pPr>
      <w:r>
        <w:rPr>
          <w:rFonts w:hint="eastAsia" w:ascii="Arial" w:hAnsi="Arial" w:eastAsia="方正黑体简体" w:cs="Arial"/>
          <w:szCs w:val="24"/>
        </w:rPr>
        <w:t>结果表-1</w:t>
      </w:r>
    </w:p>
    <w:tbl>
      <w:tblPr>
        <w:tblStyle w:val="32"/>
        <w:tblW w:w="5000" w:type="pct"/>
        <w:jc w:val="center"/>
        <w:tblLayout w:type="autofit"/>
        <w:tblCellMar>
          <w:top w:w="57" w:type="dxa"/>
          <w:left w:w="57" w:type="dxa"/>
          <w:bottom w:w="57" w:type="dxa"/>
          <w:right w:w="57" w:type="dxa"/>
        </w:tblCellMar>
      </w:tblPr>
      <w:tblGrid>
        <w:gridCol w:w="4612"/>
        <w:gridCol w:w="4801"/>
      </w:tblGrid>
      <w:tr w14:paraId="264AF1BB">
        <w:tblPrEx>
          <w:tblCellMar>
            <w:top w:w="57" w:type="dxa"/>
            <w:left w:w="57" w:type="dxa"/>
            <w:bottom w:w="57" w:type="dxa"/>
            <w:right w:w="57" w:type="dxa"/>
          </w:tblCellMar>
        </w:tblPrEx>
        <w:trPr>
          <w:cantSplit/>
          <w:trHeight w:val="567" w:hRule="atLeast"/>
          <w:jc w:val="center"/>
        </w:trPr>
        <w:tc>
          <w:tcPr>
            <w:tcW w:w="2450"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15D867C8">
            <w:pPr>
              <w:widowControl/>
              <w:adjustRightInd/>
              <w:spacing w:line="240" w:lineRule="exact"/>
              <w:jc w:val="righ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                                 租金水平</w:t>
            </w:r>
          </w:p>
          <w:p w14:paraId="7C6AADB7">
            <w:pPr>
              <w:widowControl/>
              <w:adjustRightInd/>
              <w:spacing w:line="240" w:lineRule="exac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相关结果</w:t>
            </w:r>
          </w:p>
        </w:tc>
        <w:tc>
          <w:tcPr>
            <w:tcW w:w="2550" w:type="pct"/>
            <w:tcBorders>
              <w:top w:val="thinThickThinSmallGap" w:color="auto" w:sz="12" w:space="0"/>
              <w:left w:val="dotted" w:color="auto" w:sz="2" w:space="0"/>
              <w:bottom w:val="dotted" w:color="auto" w:sz="2" w:space="0"/>
              <w:right w:val="dotted" w:color="auto" w:sz="2" w:space="0"/>
            </w:tcBorders>
            <w:vAlign w:val="center"/>
          </w:tcPr>
          <w:p w14:paraId="39ABABB6">
            <w:pPr>
              <w:widowControl/>
              <w:adjustRightInd/>
              <w:spacing w:line="240" w:lineRule="exact"/>
              <w:jc w:val="center"/>
              <w:textAlignment w:val="auto"/>
              <w:rPr>
                <w:rFonts w:ascii="Arial" w:hAnsi="Arial" w:eastAsia="华文细黑" w:cs="Arial"/>
                <w:color w:val="000000"/>
                <w:sz w:val="18"/>
                <w:szCs w:val="18"/>
              </w:rPr>
            </w:pPr>
            <w:commentRangeStart w:id="1"/>
            <w:r>
              <w:rPr>
                <w:rFonts w:hint="eastAsia" w:ascii="Arial" w:hAnsi="Arial" w:eastAsia="华文细黑" w:cs="Arial"/>
                <w:color w:val="000000"/>
                <w:sz w:val="18"/>
                <w:szCs w:val="18"/>
              </w:rPr>
              <w:t>房山区阜盛西街11号院3号楼101号</w:t>
            </w:r>
          </w:p>
          <w:p w14:paraId="7DB68462">
            <w:pPr>
              <w:widowControl/>
              <w:adjustRightInd/>
              <w:spacing w:line="240" w:lineRule="exact"/>
              <w:jc w:val="center"/>
              <w:textAlignment w:val="auto"/>
              <w:rPr>
                <w:rFonts w:hint="default" w:ascii="Arial" w:hAnsi="Arial" w:eastAsia="华文细黑" w:cs="Arial"/>
                <w:color w:val="000000"/>
                <w:sz w:val="18"/>
                <w:szCs w:val="18"/>
                <w:lang w:val="en-US"/>
              </w:rPr>
            </w:pPr>
            <w:r>
              <w:rPr>
                <w:rFonts w:hint="eastAsia" w:ascii="Arial" w:hAnsi="Arial" w:eastAsia="华文细黑" w:cs="Arial"/>
                <w:color w:val="000000"/>
                <w:sz w:val="18"/>
                <w:szCs w:val="18"/>
              </w:rPr>
              <w:t>商业用房市场租金水平</w:t>
            </w:r>
            <w:commentRangeEnd w:id="1"/>
            <w:r>
              <w:rPr>
                <w:rStyle w:val="39"/>
              </w:rPr>
              <w:commentReference w:id="1"/>
            </w:r>
            <w:r>
              <w:rPr>
                <w:rStyle w:val="39"/>
                <w:rFonts w:hint="eastAsia"/>
                <w:lang w:eastAsia="zh-CN"/>
              </w:rPr>
              <w:t>（</w:t>
            </w:r>
            <w:r>
              <w:rPr>
                <w:rFonts w:hint="eastAsia" w:ascii="Arial" w:hAnsi="Arial" w:eastAsia="华文细黑" w:cs="Arial"/>
                <w:color w:val="000000"/>
                <w:sz w:val="18"/>
                <w:szCs w:val="18"/>
                <w:lang w:val="en-US" w:eastAsia="zh-CN"/>
              </w:rPr>
              <w:t>042地块）</w:t>
            </w:r>
          </w:p>
        </w:tc>
      </w:tr>
      <w:tr w14:paraId="68DB1408">
        <w:tblPrEx>
          <w:tblCellMar>
            <w:top w:w="57" w:type="dxa"/>
            <w:left w:w="57" w:type="dxa"/>
            <w:bottom w:w="57" w:type="dxa"/>
            <w:right w:w="57" w:type="dxa"/>
          </w:tblCellMar>
        </w:tblPrEx>
        <w:trPr>
          <w:cantSplit/>
          <w:trHeight w:val="567" w:hRule="atLeast"/>
          <w:jc w:val="center"/>
        </w:trPr>
        <w:tc>
          <w:tcPr>
            <w:tcW w:w="2450" w:type="pct"/>
            <w:tcBorders>
              <w:top w:val="dotted" w:color="auto" w:sz="2" w:space="0"/>
              <w:left w:val="dotted" w:color="auto" w:sz="2" w:space="0"/>
              <w:bottom w:val="thinThickThinSmallGap" w:color="auto" w:sz="12" w:space="0"/>
              <w:right w:val="dotted" w:color="auto" w:sz="2" w:space="0"/>
            </w:tcBorders>
            <w:vAlign w:val="center"/>
          </w:tcPr>
          <w:p w14:paraId="341DD35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评估结果</w:t>
            </w:r>
          </w:p>
        </w:tc>
        <w:tc>
          <w:tcPr>
            <w:tcW w:w="2550" w:type="pct"/>
            <w:tcBorders>
              <w:top w:val="dotted" w:color="auto" w:sz="2" w:space="0"/>
              <w:left w:val="dotted" w:color="auto" w:sz="2" w:space="0"/>
              <w:bottom w:val="thinThickThinSmallGap" w:color="auto" w:sz="12" w:space="0"/>
              <w:right w:val="dotted" w:color="auto" w:sz="2" w:space="0"/>
            </w:tcBorders>
            <w:vAlign w:val="center"/>
          </w:tcPr>
          <w:p w14:paraId="3DDA97E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bl>
    <w:p w14:paraId="174E5AE8">
      <w:pPr>
        <w:widowControl/>
        <w:adjustRightInd/>
        <w:spacing w:line="240" w:lineRule="auto"/>
        <w:jc w:val="both"/>
        <w:textAlignment w:val="auto"/>
        <w:rPr>
          <w:rFonts w:ascii="Arial" w:hAnsi="Arial" w:eastAsia="华文细黑" w:cs="宋体"/>
          <w:sz w:val="18"/>
          <w:szCs w:val="18"/>
        </w:rPr>
      </w:pPr>
      <w:r>
        <w:rPr>
          <w:rFonts w:hint="eastAsia" w:ascii="Arial" w:hAnsi="Arial" w:eastAsia="华文细黑" w:cs="宋体"/>
          <w:sz w:val="18"/>
          <w:szCs w:val="18"/>
        </w:rPr>
        <w:t>单位：元/建筑</w:t>
      </w:r>
      <w:r>
        <w:rPr>
          <w:rFonts w:ascii="Arial" w:hAnsi="Arial" w:eastAsia="华文细黑" w:cs="宋体"/>
          <w:sz w:val="18"/>
          <w:szCs w:val="18"/>
        </w:rPr>
        <w:t>面积</w:t>
      </w:r>
      <w:r>
        <w:rPr>
          <w:rFonts w:hint="eastAsia" w:ascii="Arial" w:hAnsi="Arial" w:eastAsia="华文细黑" w:cs="宋体"/>
          <w:sz w:val="18"/>
          <w:szCs w:val="18"/>
        </w:rPr>
        <w:t>平方米·天</w:t>
      </w:r>
    </w:p>
    <w:p w14:paraId="78EB7F46">
      <w:pPr>
        <w:spacing w:line="240" w:lineRule="auto"/>
        <w:jc w:val="center"/>
        <w:outlineLvl w:val="0"/>
        <w:rPr>
          <w:rFonts w:ascii="Arial" w:hAnsi="Arial" w:eastAsia="方正黑体简体"/>
          <w:szCs w:val="24"/>
        </w:rPr>
      </w:pPr>
      <w:r>
        <w:rPr>
          <w:rFonts w:hint="eastAsia" w:ascii="Arial" w:hAnsi="Arial" w:eastAsia="方正黑体简体"/>
          <w:szCs w:val="24"/>
        </w:rPr>
        <w:t>结果表-2</w:t>
      </w:r>
    </w:p>
    <w:tbl>
      <w:tblPr>
        <w:tblStyle w:val="32"/>
        <w:tblW w:w="5000" w:type="pct"/>
        <w:jc w:val="center"/>
        <w:tblLayout w:type="autofit"/>
        <w:tblCellMar>
          <w:top w:w="57" w:type="dxa"/>
          <w:left w:w="57" w:type="dxa"/>
          <w:bottom w:w="57" w:type="dxa"/>
          <w:right w:w="57" w:type="dxa"/>
        </w:tblCellMar>
      </w:tblPr>
      <w:tblGrid>
        <w:gridCol w:w="2750"/>
        <w:gridCol w:w="876"/>
        <w:gridCol w:w="1887"/>
        <w:gridCol w:w="2066"/>
        <w:gridCol w:w="1834"/>
      </w:tblGrid>
      <w:tr w14:paraId="6566460D">
        <w:tblPrEx>
          <w:tblCellMar>
            <w:top w:w="57" w:type="dxa"/>
            <w:left w:w="57" w:type="dxa"/>
            <w:bottom w:w="57" w:type="dxa"/>
            <w:right w:w="57" w:type="dxa"/>
          </w:tblCellMar>
        </w:tblPrEx>
        <w:trPr>
          <w:cantSplit/>
          <w:trHeight w:val="567" w:hRule="atLeast"/>
          <w:jc w:val="center"/>
        </w:trPr>
        <w:tc>
          <w:tcPr>
            <w:tcW w:w="1461"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145D5ED6">
            <w:pPr>
              <w:widowControl/>
              <w:adjustRightInd/>
              <w:spacing w:line="240" w:lineRule="exact"/>
              <w:jc w:val="righ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分层租金明细</w:t>
            </w:r>
          </w:p>
          <w:p w14:paraId="3D4AE09E">
            <w:pPr>
              <w:widowControl/>
              <w:adjustRightInd/>
              <w:spacing w:line="240" w:lineRule="exac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估价对象</w:t>
            </w:r>
          </w:p>
        </w:tc>
        <w:tc>
          <w:tcPr>
            <w:tcW w:w="465" w:type="pct"/>
            <w:tcBorders>
              <w:top w:val="thinThickThinSmallGap" w:color="auto" w:sz="12" w:space="0"/>
              <w:left w:val="dotted" w:color="auto" w:sz="2" w:space="0"/>
              <w:bottom w:val="dotted" w:color="auto" w:sz="2" w:space="0"/>
              <w:right w:val="dotted" w:color="auto" w:sz="2" w:space="0"/>
            </w:tcBorders>
            <w:vAlign w:val="center"/>
          </w:tcPr>
          <w:p w14:paraId="3F1D50D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楼层</w:t>
            </w:r>
          </w:p>
        </w:tc>
        <w:tc>
          <w:tcPr>
            <w:tcW w:w="1000" w:type="pct"/>
            <w:tcBorders>
              <w:top w:val="thinThickThinSmallGap" w:color="auto" w:sz="12" w:space="0"/>
              <w:left w:val="dotted" w:color="auto" w:sz="2" w:space="0"/>
              <w:bottom w:val="dotted" w:color="auto" w:sz="2" w:space="0"/>
              <w:right w:val="dotted" w:color="auto" w:sz="2" w:space="0"/>
            </w:tcBorders>
            <w:vAlign w:val="center"/>
          </w:tcPr>
          <w:p w14:paraId="6E7482C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097" w:type="pct"/>
            <w:tcBorders>
              <w:top w:val="thinThickThinSmallGap" w:color="auto" w:sz="12" w:space="0"/>
              <w:left w:val="dotted" w:color="auto" w:sz="2" w:space="0"/>
              <w:bottom w:val="dotted" w:color="auto" w:sz="2" w:space="0"/>
              <w:right w:val="dotted" w:color="auto" w:sz="2" w:space="0"/>
            </w:tcBorders>
            <w:vAlign w:val="center"/>
          </w:tcPr>
          <w:p w14:paraId="3636C15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974" w:type="pct"/>
            <w:tcBorders>
              <w:top w:val="thinThickThinSmallGap" w:color="auto" w:sz="12" w:space="0"/>
              <w:left w:val="dotted" w:color="auto" w:sz="2" w:space="0"/>
              <w:bottom w:val="dotted" w:color="auto" w:sz="2" w:space="0"/>
              <w:right w:val="dotted" w:color="auto" w:sz="2" w:space="0"/>
            </w:tcBorders>
            <w:vAlign w:val="center"/>
          </w:tcPr>
          <w:p w14:paraId="3338309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2B7A5110">
        <w:tblPrEx>
          <w:tblCellMar>
            <w:top w:w="57" w:type="dxa"/>
            <w:left w:w="57" w:type="dxa"/>
            <w:bottom w:w="57" w:type="dxa"/>
            <w:right w:w="57" w:type="dxa"/>
          </w:tblCellMar>
        </w:tblPrEx>
        <w:trPr>
          <w:cantSplit/>
          <w:trHeight w:val="291" w:hRule="atLeast"/>
          <w:jc w:val="center"/>
        </w:trPr>
        <w:tc>
          <w:tcPr>
            <w:tcW w:w="1461" w:type="pct"/>
            <w:vMerge w:val="restart"/>
            <w:tcBorders>
              <w:top w:val="dotted" w:color="auto" w:sz="2" w:space="0"/>
              <w:left w:val="dotted" w:color="auto" w:sz="2" w:space="0"/>
              <w:right w:val="dotted" w:color="auto" w:sz="2" w:space="0"/>
            </w:tcBorders>
            <w:vAlign w:val="center"/>
          </w:tcPr>
          <w:p w14:paraId="7A904F6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北京市房山区阜盛西街11号院3号楼地上1层101号等29套商业用房</w:t>
            </w:r>
          </w:p>
        </w:tc>
        <w:tc>
          <w:tcPr>
            <w:tcW w:w="465" w:type="pct"/>
            <w:vMerge w:val="restart"/>
            <w:tcBorders>
              <w:top w:val="dotted" w:color="auto" w:sz="2" w:space="0"/>
              <w:left w:val="dotted" w:color="auto" w:sz="2" w:space="0"/>
              <w:right w:val="dotted" w:color="auto" w:sz="2" w:space="0"/>
            </w:tcBorders>
            <w:vAlign w:val="center"/>
          </w:tcPr>
          <w:p w14:paraId="1F4B572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1000" w:type="pct"/>
            <w:tcBorders>
              <w:top w:val="dotted" w:color="auto" w:sz="2" w:space="0"/>
              <w:left w:val="dotted" w:color="auto" w:sz="2" w:space="0"/>
              <w:bottom w:val="dotted" w:color="auto" w:sz="2" w:space="0"/>
              <w:right w:val="dotted" w:color="auto" w:sz="2" w:space="0"/>
            </w:tcBorders>
            <w:vAlign w:val="center"/>
          </w:tcPr>
          <w:p w14:paraId="26D241B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1B73532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1834" w:type="dxa"/>
            <w:tcBorders>
              <w:top w:val="dotted" w:color="auto" w:sz="2" w:space="0"/>
              <w:left w:val="dotted" w:color="auto" w:sz="2" w:space="0"/>
              <w:bottom w:val="dotted" w:color="auto" w:sz="2" w:space="0"/>
              <w:right w:val="dotted" w:color="auto" w:sz="2" w:space="0"/>
            </w:tcBorders>
            <w:vAlign w:val="center"/>
          </w:tcPr>
          <w:p w14:paraId="5336AC7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5E9B78E3">
        <w:tblPrEx>
          <w:tblCellMar>
            <w:top w:w="57" w:type="dxa"/>
            <w:left w:w="57" w:type="dxa"/>
            <w:bottom w:w="57" w:type="dxa"/>
            <w:right w:w="57" w:type="dxa"/>
          </w:tblCellMar>
        </w:tblPrEx>
        <w:trPr>
          <w:cantSplit/>
          <w:trHeight w:val="297" w:hRule="atLeast"/>
          <w:jc w:val="center"/>
        </w:trPr>
        <w:tc>
          <w:tcPr>
            <w:tcW w:w="1461" w:type="pct"/>
            <w:vMerge w:val="continue"/>
            <w:tcBorders>
              <w:left w:val="dotted" w:color="auto" w:sz="2" w:space="0"/>
              <w:right w:val="dotted" w:color="auto" w:sz="2" w:space="0"/>
            </w:tcBorders>
            <w:vAlign w:val="center"/>
          </w:tcPr>
          <w:p w14:paraId="543DB2B4">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4616F3DF">
            <w:pPr>
              <w:widowControl/>
              <w:adjustRightInd/>
              <w:spacing w:line="240" w:lineRule="exact"/>
              <w:jc w:val="center"/>
              <w:textAlignment w:val="auto"/>
              <w:rPr>
                <w:rFonts w:ascii="Arial" w:hAnsi="Arial" w:eastAsia="华文细黑" w:cs="Arial"/>
                <w:color w:val="000000"/>
                <w:sz w:val="18"/>
                <w:szCs w:val="18"/>
              </w:rPr>
            </w:pPr>
          </w:p>
        </w:tc>
        <w:tc>
          <w:tcPr>
            <w:tcW w:w="1000" w:type="pct"/>
            <w:tcBorders>
              <w:top w:val="dotted" w:color="auto" w:sz="2" w:space="0"/>
              <w:left w:val="dotted" w:color="auto" w:sz="2" w:space="0"/>
              <w:bottom w:val="dotted" w:color="auto" w:sz="2" w:space="0"/>
              <w:right w:val="dotted" w:color="auto" w:sz="2" w:space="0"/>
            </w:tcBorders>
            <w:vAlign w:val="center"/>
          </w:tcPr>
          <w:p w14:paraId="16B76CF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0B48465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1834" w:type="dxa"/>
            <w:tcBorders>
              <w:top w:val="dotted" w:color="auto" w:sz="2" w:space="0"/>
              <w:left w:val="dotted" w:color="auto" w:sz="2" w:space="0"/>
              <w:bottom w:val="dotted" w:color="auto" w:sz="2" w:space="0"/>
              <w:right w:val="dotted" w:color="auto" w:sz="2" w:space="0"/>
            </w:tcBorders>
            <w:vAlign w:val="center"/>
          </w:tcPr>
          <w:p w14:paraId="73B9383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27AB9229">
        <w:tblPrEx>
          <w:tblCellMar>
            <w:top w:w="57" w:type="dxa"/>
            <w:left w:w="57" w:type="dxa"/>
            <w:bottom w:w="57" w:type="dxa"/>
            <w:right w:w="57" w:type="dxa"/>
          </w:tblCellMar>
        </w:tblPrEx>
        <w:trPr>
          <w:cantSplit/>
          <w:trHeight w:val="317" w:hRule="atLeast"/>
          <w:jc w:val="center"/>
        </w:trPr>
        <w:tc>
          <w:tcPr>
            <w:tcW w:w="1461" w:type="pct"/>
            <w:vMerge w:val="continue"/>
            <w:tcBorders>
              <w:left w:val="dotted" w:color="auto" w:sz="2" w:space="0"/>
              <w:right w:val="dotted" w:color="auto" w:sz="2" w:space="0"/>
            </w:tcBorders>
            <w:vAlign w:val="center"/>
          </w:tcPr>
          <w:p w14:paraId="15436C57">
            <w:pPr>
              <w:widowControl/>
              <w:adjustRightInd/>
              <w:spacing w:line="240" w:lineRule="exact"/>
              <w:jc w:val="center"/>
              <w:textAlignment w:val="auto"/>
              <w:rPr>
                <w:rFonts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1E9AFE7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w:t>
            </w:r>
          </w:p>
        </w:tc>
        <w:tc>
          <w:tcPr>
            <w:tcW w:w="1000" w:type="pct"/>
            <w:tcBorders>
              <w:top w:val="dotted" w:color="auto" w:sz="2" w:space="0"/>
              <w:left w:val="dotted" w:color="auto" w:sz="2" w:space="0"/>
              <w:bottom w:val="dotted" w:color="auto" w:sz="2" w:space="0"/>
              <w:right w:val="dotted" w:color="auto" w:sz="2" w:space="0"/>
            </w:tcBorders>
            <w:vAlign w:val="center"/>
          </w:tcPr>
          <w:p w14:paraId="0799B00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13A9EDF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1834" w:type="dxa"/>
            <w:tcBorders>
              <w:top w:val="dotted" w:color="auto" w:sz="2" w:space="0"/>
              <w:left w:val="dotted" w:color="auto" w:sz="2" w:space="0"/>
              <w:bottom w:val="dotted" w:color="auto" w:sz="2" w:space="0"/>
              <w:right w:val="dotted" w:color="auto" w:sz="2" w:space="0"/>
            </w:tcBorders>
            <w:vAlign w:val="center"/>
          </w:tcPr>
          <w:p w14:paraId="7F78D45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71EAB51C">
        <w:tblPrEx>
          <w:tblCellMar>
            <w:top w:w="57" w:type="dxa"/>
            <w:left w:w="57" w:type="dxa"/>
            <w:bottom w:w="57" w:type="dxa"/>
            <w:right w:w="57" w:type="dxa"/>
          </w:tblCellMar>
        </w:tblPrEx>
        <w:trPr>
          <w:cantSplit/>
          <w:trHeight w:val="295" w:hRule="atLeast"/>
          <w:jc w:val="center"/>
        </w:trPr>
        <w:tc>
          <w:tcPr>
            <w:tcW w:w="1461" w:type="pct"/>
            <w:vMerge w:val="continue"/>
            <w:tcBorders>
              <w:left w:val="dotted" w:color="auto" w:sz="2" w:space="0"/>
              <w:right w:val="dotted" w:color="auto" w:sz="2" w:space="0"/>
            </w:tcBorders>
            <w:vAlign w:val="center"/>
          </w:tcPr>
          <w:p w14:paraId="4A782E46">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61686C1A">
            <w:pPr>
              <w:widowControl/>
              <w:adjustRightInd/>
              <w:spacing w:line="240" w:lineRule="exact"/>
              <w:jc w:val="center"/>
              <w:textAlignment w:val="auto"/>
              <w:rPr>
                <w:rFonts w:ascii="Arial" w:hAnsi="Arial" w:eastAsia="华文细黑" w:cs="Arial"/>
                <w:color w:val="000000"/>
                <w:sz w:val="18"/>
                <w:szCs w:val="18"/>
              </w:rPr>
            </w:pPr>
          </w:p>
        </w:tc>
        <w:tc>
          <w:tcPr>
            <w:tcW w:w="1000" w:type="pct"/>
            <w:tcBorders>
              <w:top w:val="dotted" w:color="auto" w:sz="2" w:space="0"/>
              <w:left w:val="dotted" w:color="auto" w:sz="2" w:space="0"/>
              <w:bottom w:val="dotted" w:color="auto" w:sz="2" w:space="0"/>
              <w:right w:val="dotted" w:color="auto" w:sz="2" w:space="0"/>
            </w:tcBorders>
            <w:vAlign w:val="center"/>
          </w:tcPr>
          <w:p w14:paraId="102663D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089D1F5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1834" w:type="dxa"/>
            <w:tcBorders>
              <w:top w:val="dotted" w:color="auto" w:sz="2" w:space="0"/>
              <w:left w:val="dotted" w:color="auto" w:sz="2" w:space="0"/>
              <w:bottom w:val="dotted" w:color="auto" w:sz="2" w:space="0"/>
              <w:right w:val="dotted" w:color="auto" w:sz="2" w:space="0"/>
            </w:tcBorders>
            <w:vAlign w:val="center"/>
          </w:tcPr>
          <w:p w14:paraId="1BC6CCF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386AA65B">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69DCDC4B">
            <w:pPr>
              <w:widowControl/>
              <w:adjustRightInd/>
              <w:spacing w:line="240" w:lineRule="exact"/>
              <w:jc w:val="center"/>
              <w:textAlignment w:val="auto"/>
              <w:rPr>
                <w:rFonts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35934C9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1000" w:type="pct"/>
            <w:tcBorders>
              <w:top w:val="dotted" w:color="auto" w:sz="2" w:space="0"/>
              <w:left w:val="dotted" w:color="auto" w:sz="2" w:space="0"/>
              <w:bottom w:val="dotted" w:color="auto" w:sz="2" w:space="0"/>
              <w:right w:val="dotted" w:color="auto" w:sz="2" w:space="0"/>
            </w:tcBorders>
            <w:vAlign w:val="center"/>
          </w:tcPr>
          <w:p w14:paraId="24485A5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2066" w:type="dxa"/>
            <w:tcBorders>
              <w:top w:val="dotted" w:color="auto" w:sz="2" w:space="0"/>
              <w:left w:val="dotted" w:color="auto" w:sz="2" w:space="0"/>
              <w:bottom w:val="dotted" w:color="auto" w:sz="2" w:space="0"/>
              <w:right w:val="dotted" w:color="auto" w:sz="2" w:space="0"/>
            </w:tcBorders>
            <w:vAlign w:val="center"/>
          </w:tcPr>
          <w:p w14:paraId="2B96882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1834" w:type="dxa"/>
            <w:tcBorders>
              <w:top w:val="dotted" w:color="auto" w:sz="2" w:space="0"/>
              <w:left w:val="dotted" w:color="auto" w:sz="2" w:space="0"/>
              <w:bottom w:val="dotted" w:color="auto" w:sz="2" w:space="0"/>
              <w:right w:val="dotted" w:color="auto" w:sz="2" w:space="0"/>
            </w:tcBorders>
            <w:vAlign w:val="center"/>
          </w:tcPr>
          <w:p w14:paraId="6450644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52A5E2FF">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06057F62">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2D1B33CF">
            <w:pPr>
              <w:widowControl/>
              <w:adjustRightInd/>
              <w:spacing w:line="240" w:lineRule="exact"/>
              <w:jc w:val="center"/>
              <w:textAlignment w:val="auto"/>
              <w:rPr>
                <w:rFonts w:ascii="Arial" w:hAnsi="Arial" w:eastAsia="华文细黑" w:cs="Arial"/>
                <w:color w:val="000000"/>
                <w:sz w:val="18"/>
                <w:szCs w:val="18"/>
              </w:rPr>
            </w:pPr>
          </w:p>
        </w:tc>
        <w:tc>
          <w:tcPr>
            <w:tcW w:w="1000" w:type="pct"/>
            <w:tcBorders>
              <w:top w:val="dotted" w:color="auto" w:sz="2" w:space="0"/>
              <w:left w:val="dotted" w:color="auto" w:sz="2" w:space="0"/>
              <w:bottom w:val="dotted" w:color="auto" w:sz="2" w:space="0"/>
              <w:right w:val="dotted" w:color="auto" w:sz="2" w:space="0"/>
            </w:tcBorders>
            <w:vAlign w:val="center"/>
          </w:tcPr>
          <w:p w14:paraId="730F9FE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2066" w:type="dxa"/>
            <w:tcBorders>
              <w:top w:val="dotted" w:color="auto" w:sz="2" w:space="0"/>
              <w:left w:val="dotted" w:color="auto" w:sz="2" w:space="0"/>
              <w:bottom w:val="dotted" w:color="auto" w:sz="2" w:space="0"/>
              <w:right w:val="dotted" w:color="auto" w:sz="2" w:space="0"/>
            </w:tcBorders>
            <w:vAlign w:val="center"/>
          </w:tcPr>
          <w:p w14:paraId="571500C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1834" w:type="dxa"/>
            <w:tcBorders>
              <w:top w:val="dotted" w:color="auto" w:sz="2" w:space="0"/>
              <w:left w:val="dotted" w:color="auto" w:sz="2" w:space="0"/>
              <w:bottom w:val="dotted" w:color="auto" w:sz="2" w:space="0"/>
              <w:right w:val="dotted" w:color="auto" w:sz="2" w:space="0"/>
            </w:tcBorders>
            <w:vAlign w:val="center"/>
          </w:tcPr>
          <w:p w14:paraId="4881A17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r w14:paraId="002318BB">
        <w:tblPrEx>
          <w:tblCellMar>
            <w:top w:w="57" w:type="dxa"/>
            <w:left w:w="57" w:type="dxa"/>
            <w:bottom w:w="57" w:type="dxa"/>
            <w:right w:w="57" w:type="dxa"/>
          </w:tblCellMar>
        </w:tblPrEx>
        <w:trPr>
          <w:cantSplit/>
          <w:trHeight w:val="307" w:hRule="atLeast"/>
          <w:jc w:val="center"/>
        </w:trPr>
        <w:tc>
          <w:tcPr>
            <w:tcW w:w="2928" w:type="pct"/>
            <w:gridSpan w:val="3"/>
            <w:tcBorders>
              <w:top w:val="dotted" w:color="auto" w:sz="2" w:space="0"/>
              <w:left w:val="dotted" w:color="auto" w:sz="2" w:space="0"/>
              <w:bottom w:val="thinThickThinSmallGap" w:color="auto" w:sz="12" w:space="0"/>
              <w:right w:val="dotted" w:color="auto" w:sz="2" w:space="0"/>
            </w:tcBorders>
            <w:vAlign w:val="center"/>
          </w:tcPr>
          <w:p w14:paraId="1652F907">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合计</w:t>
            </w:r>
          </w:p>
        </w:tc>
        <w:tc>
          <w:tcPr>
            <w:tcW w:w="2066" w:type="dxa"/>
            <w:tcBorders>
              <w:top w:val="dotted" w:color="auto" w:sz="2" w:space="0"/>
              <w:left w:val="dotted" w:color="auto" w:sz="2" w:space="0"/>
              <w:bottom w:val="thinThickThinSmallGap" w:color="auto" w:sz="12" w:space="0"/>
              <w:right w:val="dotted" w:color="auto" w:sz="2" w:space="0"/>
            </w:tcBorders>
            <w:vAlign w:val="center"/>
          </w:tcPr>
          <w:p w14:paraId="7FFBA43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24871.67 </w:t>
            </w:r>
          </w:p>
        </w:tc>
        <w:tc>
          <w:tcPr>
            <w:tcW w:w="974" w:type="pct"/>
            <w:tcBorders>
              <w:top w:val="dotted" w:color="auto" w:sz="2" w:space="0"/>
              <w:left w:val="dotted" w:color="auto" w:sz="2" w:space="0"/>
              <w:bottom w:val="thinThickThinSmallGap" w:color="auto" w:sz="12" w:space="0"/>
              <w:right w:val="dotted" w:color="auto" w:sz="2" w:space="0"/>
            </w:tcBorders>
            <w:vAlign w:val="center"/>
          </w:tcPr>
          <w:p w14:paraId="0F029D2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w:t>
            </w:r>
          </w:p>
        </w:tc>
      </w:tr>
    </w:tbl>
    <w:p w14:paraId="5D826FEC">
      <w:pPr>
        <w:widowControl/>
        <w:adjustRightInd/>
        <w:spacing w:line="240" w:lineRule="auto"/>
        <w:ind w:firstLine="180" w:firstLineChars="100"/>
        <w:jc w:val="both"/>
        <w:textAlignment w:val="auto"/>
        <w:rPr>
          <w:rFonts w:ascii="Arial" w:hAnsi="Arial" w:eastAsia="华文细黑"/>
          <w:sz w:val="18"/>
        </w:rPr>
      </w:pPr>
      <w:r>
        <w:rPr>
          <w:rFonts w:hint="eastAsia" w:ascii="Arial" w:hAnsi="Arial" w:eastAsia="华文细黑"/>
          <w:sz w:val="18"/>
        </w:rPr>
        <w:t>单位：</w:t>
      </w:r>
      <w:r>
        <w:rPr>
          <w:rFonts w:hint="eastAsia" w:ascii="Arial" w:hAnsi="Arial" w:eastAsia="华文细黑" w:cs="宋体"/>
          <w:sz w:val="18"/>
          <w:szCs w:val="18"/>
        </w:rPr>
        <w:t>平方米、元/建筑</w:t>
      </w:r>
      <w:r>
        <w:rPr>
          <w:rFonts w:ascii="Arial" w:hAnsi="Arial" w:eastAsia="华文细黑" w:cs="宋体"/>
          <w:sz w:val="18"/>
          <w:szCs w:val="18"/>
        </w:rPr>
        <w:t>面积</w:t>
      </w:r>
      <w:r>
        <w:rPr>
          <w:rFonts w:hint="eastAsia" w:ascii="Arial" w:hAnsi="Arial" w:eastAsia="华文细黑" w:cs="宋体"/>
          <w:sz w:val="18"/>
          <w:szCs w:val="18"/>
        </w:rPr>
        <w:t>平方米·天</w:t>
      </w:r>
      <w:r>
        <w:rPr>
          <w:rFonts w:hint="eastAsia" w:ascii="Arial" w:hAnsi="Arial" w:eastAsia="华文细黑"/>
          <w:sz w:val="18"/>
        </w:rPr>
        <w:t>（币种：人民币）</w:t>
      </w:r>
    </w:p>
    <w:p w14:paraId="7D76A504">
      <w:pPr>
        <w:widowControl/>
        <w:adjustRightInd/>
        <w:spacing w:line="240" w:lineRule="auto"/>
        <w:ind w:firstLine="180" w:firstLineChars="100"/>
        <w:jc w:val="both"/>
        <w:textAlignment w:val="auto"/>
        <w:rPr>
          <w:rFonts w:ascii="Arial" w:hAnsi="Arial" w:eastAsia="华文细黑" w:cs="宋体"/>
          <w:sz w:val="18"/>
          <w:szCs w:val="18"/>
        </w:rPr>
      </w:pPr>
      <w:r>
        <w:rPr>
          <w:rFonts w:hint="eastAsia" w:ascii="Arial" w:hAnsi="Arial" w:eastAsia="华文细黑" w:cs="宋体"/>
          <w:sz w:val="18"/>
          <w:szCs w:val="18"/>
        </w:rPr>
        <w:t>备注：因市场情况复杂，实际签订价格将受交易双方对项目心理预期的影响，会在估价结果的基础上出现一定范围内的上下浮动。</w:t>
      </w:r>
    </w:p>
    <w:p w14:paraId="0965470B">
      <w:pPr>
        <w:widowControl/>
        <w:adjustRightInd/>
        <w:spacing w:line="240" w:lineRule="auto"/>
        <w:ind w:firstLine="180" w:firstLineChars="100"/>
        <w:jc w:val="both"/>
        <w:textAlignment w:val="auto"/>
        <w:rPr>
          <w:rFonts w:ascii="Arial" w:hAnsi="Arial" w:eastAsia="华文细黑" w:cs="宋体"/>
          <w:sz w:val="18"/>
          <w:szCs w:val="18"/>
        </w:rPr>
      </w:pPr>
    </w:p>
    <w:p w14:paraId="5F374004">
      <w:pPr>
        <w:widowControl/>
        <w:adjustRightInd/>
        <w:spacing w:line="240" w:lineRule="auto"/>
        <w:ind w:firstLine="180" w:firstLineChars="100"/>
        <w:jc w:val="both"/>
        <w:textAlignment w:val="auto"/>
        <w:rPr>
          <w:rFonts w:ascii="Arial" w:hAnsi="Arial" w:eastAsia="华文细黑" w:cs="宋体"/>
          <w:sz w:val="18"/>
          <w:szCs w:val="18"/>
        </w:rPr>
      </w:pPr>
    </w:p>
    <w:p w14:paraId="36D250D7">
      <w:pPr>
        <w:widowControl/>
        <w:adjustRightInd/>
        <w:spacing w:line="240" w:lineRule="auto"/>
        <w:ind w:firstLine="180" w:firstLineChars="100"/>
        <w:jc w:val="both"/>
        <w:textAlignment w:val="auto"/>
        <w:rPr>
          <w:rFonts w:ascii="Arial" w:hAnsi="Arial" w:eastAsia="华文细黑" w:cs="宋体"/>
          <w:sz w:val="18"/>
          <w:szCs w:val="18"/>
        </w:rPr>
      </w:pPr>
    </w:p>
    <w:p w14:paraId="30CC0207">
      <w:pPr>
        <w:spacing w:line="480" w:lineRule="auto"/>
        <w:jc w:val="both"/>
        <w:rPr>
          <w:rFonts w:ascii="Arial" w:hAnsi="Arial" w:cs="Arial"/>
          <w:b/>
          <w:bCs/>
          <w:sz w:val="21"/>
          <w:szCs w:val="21"/>
        </w:rPr>
      </w:pPr>
      <w:r>
        <w:rPr>
          <w:rFonts w:ascii="Arial" w:hAnsi="Arial" w:cs="Arial"/>
          <w:b/>
          <w:bCs/>
          <w:sz w:val="21"/>
          <w:szCs w:val="21"/>
        </w:rPr>
        <w:t>特别提示：</w:t>
      </w:r>
    </w:p>
    <w:p w14:paraId="52D630F7">
      <w:pPr>
        <w:spacing w:line="480" w:lineRule="auto"/>
        <w:jc w:val="both"/>
        <w:rPr>
          <w:rFonts w:ascii="Arial" w:hAnsi="Arial" w:cs="Arial"/>
          <w:color w:val="E36C0A"/>
          <w:sz w:val="21"/>
          <w:szCs w:val="21"/>
        </w:rPr>
      </w:pPr>
      <w:r>
        <w:rPr>
          <w:rFonts w:ascii="Arial" w:hAnsi="Arial" w:cs="Arial"/>
          <w:bCs/>
          <w:sz w:val="21"/>
          <w:szCs w:val="21"/>
        </w:rPr>
        <w:t>1.</w:t>
      </w:r>
      <w:r>
        <w:rPr>
          <w:rFonts w:hint="eastAsia" w:ascii="Arial" w:hAnsi="Arial"/>
          <w:bCs/>
          <w:sz w:val="21"/>
          <w:szCs w:val="21"/>
        </w:rPr>
        <w:t>本次评估设定估价对象权属清晰、合法、无争议，未被查封或者以其他形式限制其房地产权利，不涉及第三方权利义务。</w:t>
      </w:r>
    </w:p>
    <w:p w14:paraId="19DB8201">
      <w:pPr>
        <w:spacing w:line="480" w:lineRule="auto"/>
        <w:jc w:val="both"/>
        <w:rPr>
          <w:rFonts w:ascii="Arial" w:hAnsi="Arial" w:cs="Arial"/>
          <w:bCs/>
          <w:sz w:val="21"/>
          <w:szCs w:val="21"/>
        </w:rPr>
      </w:pPr>
      <w:r>
        <w:rPr>
          <w:rFonts w:hint="eastAsia" w:ascii="Arial" w:hAnsi="Arial" w:cs="Arial"/>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hint="eastAsia" w:ascii="Arial" w:hAnsi="Arial" w:cs="Arial"/>
          <w:bCs/>
          <w:sz w:val="21"/>
          <w:szCs w:val="21"/>
        </w:rPr>
        <w:t>“</w:t>
      </w:r>
      <w:r>
        <w:rPr>
          <w:rFonts w:ascii="Arial" w:hAnsi="Arial" w:cs="Arial"/>
          <w:bCs/>
          <w:sz w:val="21"/>
          <w:szCs w:val="21"/>
        </w:rPr>
        <w:t>估价的假设和限制条件</w:t>
      </w:r>
      <w:r>
        <w:rPr>
          <w:rFonts w:hint="eastAsia" w:ascii="Arial" w:hAnsi="Arial" w:cs="Arial"/>
          <w:bCs/>
          <w:sz w:val="21"/>
          <w:szCs w:val="21"/>
        </w:rPr>
        <w:t>”</w:t>
      </w:r>
      <w:r>
        <w:rPr>
          <w:rFonts w:ascii="Arial" w:hAnsi="Arial" w:cs="Arial"/>
          <w:bCs/>
          <w:sz w:val="21"/>
          <w:szCs w:val="21"/>
        </w:rPr>
        <w:t>限制。</w:t>
      </w:r>
    </w:p>
    <w:tbl>
      <w:tblPr>
        <w:tblStyle w:val="32"/>
        <w:tblW w:w="9299" w:type="dxa"/>
        <w:jc w:val="center"/>
        <w:tblLayout w:type="fixed"/>
        <w:tblCellMar>
          <w:top w:w="0" w:type="dxa"/>
          <w:left w:w="0" w:type="dxa"/>
          <w:bottom w:w="0" w:type="dxa"/>
          <w:right w:w="0" w:type="dxa"/>
        </w:tblCellMar>
      </w:tblPr>
      <w:tblGrid>
        <w:gridCol w:w="6096"/>
        <w:gridCol w:w="3203"/>
      </w:tblGrid>
      <w:tr w14:paraId="37B315C6">
        <w:tblPrEx>
          <w:tblCellMar>
            <w:top w:w="0" w:type="dxa"/>
            <w:left w:w="0" w:type="dxa"/>
            <w:bottom w:w="0" w:type="dxa"/>
            <w:right w:w="0" w:type="dxa"/>
          </w:tblCellMar>
        </w:tblPrEx>
        <w:trPr>
          <w:cantSplit/>
          <w:trHeight w:val="454" w:hRule="exact"/>
          <w:jc w:val="center"/>
        </w:trPr>
        <w:tc>
          <w:tcPr>
            <w:tcW w:w="6096" w:type="dxa"/>
          </w:tcPr>
          <w:p w14:paraId="14773DF9">
            <w:pPr>
              <w:spacing w:line="480" w:lineRule="auto"/>
              <w:ind w:firstLine="1575" w:firstLineChars="750"/>
              <w:rPr>
                <w:rFonts w:ascii="Arial" w:hAnsi="Arial" w:cs="Arial"/>
                <w:sz w:val="21"/>
                <w:szCs w:val="21"/>
              </w:rPr>
            </w:pPr>
            <w:r>
              <w:rPr>
                <w:rFonts w:ascii="Arial" w:hAnsi="Arial" w:cs="Arial"/>
                <w:sz w:val="21"/>
                <w:szCs w:val="21"/>
              </w:rPr>
              <w:t>顺致</w:t>
            </w:r>
          </w:p>
        </w:tc>
        <w:tc>
          <w:tcPr>
            <w:tcW w:w="3203" w:type="dxa"/>
          </w:tcPr>
          <w:p w14:paraId="05E59B0A">
            <w:pPr>
              <w:spacing w:line="480" w:lineRule="auto"/>
              <w:jc w:val="right"/>
              <w:rPr>
                <w:rFonts w:ascii="Arial" w:hAnsi="Arial" w:cs="Arial"/>
                <w:sz w:val="21"/>
                <w:szCs w:val="21"/>
              </w:rPr>
            </w:pPr>
          </w:p>
        </w:tc>
      </w:tr>
      <w:tr w14:paraId="2D9E0C1D">
        <w:tblPrEx>
          <w:tblCellMar>
            <w:top w:w="0" w:type="dxa"/>
            <w:left w:w="0" w:type="dxa"/>
            <w:bottom w:w="0" w:type="dxa"/>
            <w:right w:w="0" w:type="dxa"/>
          </w:tblCellMar>
        </w:tblPrEx>
        <w:trPr>
          <w:cantSplit/>
          <w:trHeight w:val="454" w:hRule="exact"/>
          <w:jc w:val="center"/>
        </w:trPr>
        <w:tc>
          <w:tcPr>
            <w:tcW w:w="6096" w:type="dxa"/>
          </w:tcPr>
          <w:p w14:paraId="7EB7790B">
            <w:pPr>
              <w:spacing w:line="480" w:lineRule="auto"/>
              <w:rPr>
                <w:rFonts w:ascii="Arial" w:hAnsi="Arial" w:cs="Arial"/>
                <w:sz w:val="21"/>
                <w:szCs w:val="21"/>
              </w:rPr>
            </w:pPr>
            <w:r>
              <w:rPr>
                <w:rFonts w:ascii="Arial" w:hAnsi="Arial" w:cs="Arial"/>
                <w:sz w:val="21"/>
                <w:szCs w:val="21"/>
              </w:rPr>
              <w:t>商祺</w:t>
            </w:r>
          </w:p>
        </w:tc>
        <w:tc>
          <w:tcPr>
            <w:tcW w:w="3203" w:type="dxa"/>
          </w:tcPr>
          <w:p w14:paraId="4B49669B">
            <w:pPr>
              <w:spacing w:line="480" w:lineRule="auto"/>
              <w:jc w:val="right"/>
              <w:rPr>
                <w:rFonts w:ascii="Arial" w:hAnsi="Arial" w:cs="Arial"/>
                <w:sz w:val="21"/>
                <w:szCs w:val="21"/>
              </w:rPr>
            </w:pPr>
          </w:p>
        </w:tc>
      </w:tr>
      <w:tr w14:paraId="4D2F4AD8">
        <w:tblPrEx>
          <w:tblCellMar>
            <w:top w:w="0" w:type="dxa"/>
            <w:left w:w="0" w:type="dxa"/>
            <w:bottom w:w="0" w:type="dxa"/>
            <w:right w:w="0" w:type="dxa"/>
          </w:tblCellMar>
        </w:tblPrEx>
        <w:trPr>
          <w:cantSplit/>
          <w:jc w:val="center"/>
        </w:trPr>
        <w:tc>
          <w:tcPr>
            <w:tcW w:w="6096" w:type="dxa"/>
          </w:tcPr>
          <w:p w14:paraId="210A5FEE">
            <w:pPr>
              <w:spacing w:line="480" w:lineRule="auto"/>
              <w:jc w:val="right"/>
              <w:rPr>
                <w:rFonts w:ascii="Arial" w:hAnsi="Arial" w:cs="Arial"/>
                <w:sz w:val="21"/>
                <w:szCs w:val="21"/>
              </w:rPr>
            </w:pPr>
          </w:p>
        </w:tc>
        <w:tc>
          <w:tcPr>
            <w:tcW w:w="3203" w:type="dxa"/>
          </w:tcPr>
          <w:p w14:paraId="4F8068CA">
            <w:pPr>
              <w:spacing w:line="480" w:lineRule="auto"/>
              <w:rPr>
                <w:rFonts w:ascii="Arial" w:hAnsi="Arial" w:cs="Arial"/>
                <w:sz w:val="21"/>
                <w:szCs w:val="21"/>
              </w:rPr>
            </w:pPr>
            <w:r>
              <w:rPr>
                <w:rFonts w:ascii="Arial" w:hAnsi="Arial" w:cs="Arial"/>
                <w:sz w:val="21"/>
                <w:szCs w:val="21"/>
              </w:rPr>
              <w:t>北京康正宏基房地产评估有限公司</w:t>
            </w:r>
          </w:p>
        </w:tc>
      </w:tr>
      <w:tr w14:paraId="74FCC7BB">
        <w:tblPrEx>
          <w:tblCellMar>
            <w:top w:w="0" w:type="dxa"/>
            <w:left w:w="0" w:type="dxa"/>
            <w:bottom w:w="0" w:type="dxa"/>
            <w:right w:w="0" w:type="dxa"/>
          </w:tblCellMar>
        </w:tblPrEx>
        <w:trPr>
          <w:cantSplit/>
          <w:trHeight w:val="1134" w:hRule="exact"/>
          <w:jc w:val="center"/>
        </w:trPr>
        <w:tc>
          <w:tcPr>
            <w:tcW w:w="6096" w:type="dxa"/>
          </w:tcPr>
          <w:p w14:paraId="461BDE92">
            <w:pPr>
              <w:spacing w:line="480" w:lineRule="auto"/>
              <w:jc w:val="right"/>
              <w:rPr>
                <w:rFonts w:ascii="Arial" w:hAnsi="Arial" w:cs="Arial"/>
                <w:sz w:val="21"/>
                <w:szCs w:val="21"/>
              </w:rPr>
            </w:pPr>
          </w:p>
        </w:tc>
        <w:tc>
          <w:tcPr>
            <w:tcW w:w="3203" w:type="dxa"/>
          </w:tcPr>
          <w:p w14:paraId="7520DB10">
            <w:pPr>
              <w:spacing w:line="480" w:lineRule="auto"/>
              <w:rPr>
                <w:rFonts w:ascii="Arial" w:hAnsi="Arial" w:cs="Arial"/>
                <w:sz w:val="21"/>
                <w:szCs w:val="21"/>
              </w:rPr>
            </w:pPr>
            <w:r>
              <w:rPr>
                <w:rFonts w:ascii="Arial" w:hAnsi="Arial" w:cs="Arial"/>
                <w:sz w:val="21"/>
                <w:szCs w:val="21"/>
              </w:rPr>
              <w:t>法定代表人：</w:t>
            </w:r>
          </w:p>
        </w:tc>
      </w:tr>
      <w:tr w14:paraId="328FB383">
        <w:tblPrEx>
          <w:tblCellMar>
            <w:top w:w="0" w:type="dxa"/>
            <w:left w:w="0" w:type="dxa"/>
            <w:bottom w:w="0" w:type="dxa"/>
            <w:right w:w="0" w:type="dxa"/>
          </w:tblCellMar>
        </w:tblPrEx>
        <w:trPr>
          <w:cantSplit/>
          <w:jc w:val="center"/>
        </w:trPr>
        <w:tc>
          <w:tcPr>
            <w:tcW w:w="6096" w:type="dxa"/>
          </w:tcPr>
          <w:p w14:paraId="4942A577">
            <w:pPr>
              <w:spacing w:line="480" w:lineRule="auto"/>
              <w:jc w:val="right"/>
              <w:rPr>
                <w:rFonts w:ascii="Arial" w:hAnsi="Arial" w:cs="Arial"/>
                <w:sz w:val="21"/>
                <w:szCs w:val="21"/>
              </w:rPr>
            </w:pPr>
          </w:p>
        </w:tc>
        <w:tc>
          <w:tcPr>
            <w:tcW w:w="3203" w:type="dxa"/>
          </w:tcPr>
          <w:p w14:paraId="509E063C">
            <w:pPr>
              <w:spacing w:line="480" w:lineRule="auto"/>
              <w:jc w:val="right"/>
              <w:rPr>
                <w:rFonts w:ascii="Arial" w:hAnsi="Arial" w:cs="Arial"/>
                <w:sz w:val="21"/>
                <w:szCs w:val="21"/>
              </w:rPr>
            </w:pPr>
            <w:r>
              <w:rPr>
                <w:rFonts w:ascii="Arial" w:hAnsi="Arial" w:cs="Arial"/>
                <w:sz w:val="21"/>
                <w:szCs w:val="21"/>
              </w:rPr>
              <w:t>二</w:t>
            </w:r>
            <w:r>
              <w:rPr>
                <w:rFonts w:hint="eastAsia" w:ascii="Arial" w:hAnsi="Arial" w:cs="Arial"/>
                <w:sz w:val="21"/>
                <w:szCs w:val="21"/>
              </w:rPr>
              <w:t>○二六</w:t>
            </w:r>
            <w:r>
              <w:rPr>
                <w:rFonts w:ascii="Arial" w:hAnsi="Arial" w:cs="Arial"/>
                <w:sz w:val="21"/>
                <w:szCs w:val="21"/>
              </w:rPr>
              <w:t>年</w:t>
            </w:r>
            <w:r>
              <w:rPr>
                <w:rFonts w:hint="eastAsia" w:ascii="Arial" w:hAnsi="Arial" w:cs="Arial"/>
                <w:sz w:val="21"/>
                <w:szCs w:val="21"/>
              </w:rPr>
              <w:t>一月三十日</w:t>
            </w:r>
          </w:p>
        </w:tc>
      </w:tr>
    </w:tbl>
    <w:p w14:paraId="0968DB4F">
      <w:pPr>
        <w:spacing w:line="480" w:lineRule="auto"/>
        <w:jc w:val="right"/>
        <w:rPr>
          <w:rFonts w:ascii="Arial" w:hAnsi="Arial" w:cs="Arial"/>
          <w:sz w:val="21"/>
          <w:szCs w:val="21"/>
        </w:rPr>
      </w:pPr>
    </w:p>
    <w:p w14:paraId="5AF1EA59">
      <w:pPr>
        <w:spacing w:line="480" w:lineRule="auto"/>
        <w:rPr>
          <w:rFonts w:ascii="Arial" w:hAnsi="Arial" w:cs="Arial"/>
          <w:color w:val="E36C0A"/>
          <w:sz w:val="21"/>
          <w:szCs w:val="21"/>
        </w:rPr>
        <w:sectPr>
          <w:headerReference r:id="rId11" w:type="default"/>
          <w:footerReference r:id="rId12" w:type="default"/>
          <w:pgSz w:w="11907" w:h="16840"/>
          <w:pgMar w:top="1843" w:right="1304" w:bottom="1134" w:left="1304" w:header="1134" w:footer="907" w:gutter="0"/>
          <w:cols w:space="720" w:num="1"/>
          <w:docGrid w:linePitch="326" w:charSpace="0"/>
        </w:sectPr>
      </w:pPr>
    </w:p>
    <w:p w14:paraId="7775B62F">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0107CBC5">
      <w:pPr>
        <w:pStyle w:val="22"/>
        <w:rPr>
          <w:rFonts w:ascii="Arial" w:hAnsi="Arial"/>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r>
        <w:fldChar w:fldCharType="begin"/>
      </w:r>
      <w:r>
        <w:instrText xml:space="preserve"> HYPERLINK \l "_Toc477252438" </w:instrText>
      </w:r>
      <w:r>
        <w:fldChar w:fldCharType="separate"/>
      </w:r>
      <w:r>
        <w:rPr>
          <w:rStyle w:val="38"/>
          <w:rFonts w:hint="eastAsia" w:ascii="Arial" w:hAnsi="Arial" w:eastAsia="宋体"/>
          <w:color w:val="auto"/>
          <w:sz w:val="21"/>
          <w:szCs w:val="21"/>
        </w:rPr>
        <w:t>估价师声明</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_Toc477252438 \h </w:instrText>
      </w:r>
      <w:r>
        <w:rPr>
          <w:rFonts w:ascii="Arial" w:hAnsi="Arial"/>
          <w:sz w:val="21"/>
          <w:szCs w:val="21"/>
        </w:rPr>
        <w:fldChar w:fldCharType="separate"/>
      </w:r>
      <w:r>
        <w:rPr>
          <w:rFonts w:ascii="Arial" w:hAnsi="Arial"/>
          <w:sz w:val="21"/>
          <w:szCs w:val="21"/>
        </w:rPr>
        <w:t>7</w:t>
      </w:r>
      <w:r>
        <w:rPr>
          <w:rFonts w:ascii="Arial" w:hAnsi="Arial"/>
          <w:sz w:val="21"/>
          <w:szCs w:val="21"/>
        </w:rPr>
        <w:fldChar w:fldCharType="end"/>
      </w:r>
      <w:r>
        <w:rPr>
          <w:rFonts w:ascii="Arial" w:hAnsi="Arial"/>
          <w:sz w:val="21"/>
          <w:szCs w:val="21"/>
        </w:rPr>
        <w:fldChar w:fldCharType="end"/>
      </w:r>
    </w:p>
    <w:p w14:paraId="1318CB71">
      <w:pPr>
        <w:pStyle w:val="22"/>
        <w:rPr>
          <w:rFonts w:ascii="Arial" w:hAnsi="Arial"/>
          <w:kern w:val="2"/>
          <w:sz w:val="21"/>
          <w:szCs w:val="21"/>
        </w:rPr>
      </w:pPr>
      <w:r>
        <w:fldChar w:fldCharType="begin"/>
      </w:r>
      <w:r>
        <w:instrText xml:space="preserve"> HYPERLINK \l "_Toc477252439" </w:instrText>
      </w:r>
      <w:r>
        <w:fldChar w:fldCharType="separate"/>
      </w:r>
      <w:r>
        <w:rPr>
          <w:rStyle w:val="38"/>
          <w:rFonts w:hint="eastAsia" w:ascii="Arial" w:hAnsi="Arial" w:eastAsia="宋体"/>
          <w:color w:val="auto"/>
          <w:sz w:val="21"/>
          <w:szCs w:val="21"/>
        </w:rPr>
        <w:t>估价假设和限制条件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_Toc477252439 \h </w:instrText>
      </w:r>
      <w:r>
        <w:rPr>
          <w:rFonts w:ascii="Arial" w:hAnsi="Arial"/>
          <w:sz w:val="21"/>
          <w:szCs w:val="21"/>
        </w:rPr>
        <w:fldChar w:fldCharType="separate"/>
      </w:r>
      <w:r>
        <w:rPr>
          <w:rFonts w:ascii="Arial" w:hAnsi="Arial"/>
          <w:sz w:val="21"/>
          <w:szCs w:val="21"/>
        </w:rPr>
        <w:t>8</w:t>
      </w:r>
      <w:r>
        <w:rPr>
          <w:rFonts w:ascii="Arial" w:hAnsi="Arial"/>
          <w:sz w:val="21"/>
          <w:szCs w:val="21"/>
        </w:rPr>
        <w:fldChar w:fldCharType="end"/>
      </w:r>
      <w:r>
        <w:rPr>
          <w:rFonts w:ascii="Arial" w:hAnsi="Arial"/>
          <w:sz w:val="21"/>
          <w:szCs w:val="21"/>
        </w:rPr>
        <w:fldChar w:fldCharType="end"/>
      </w:r>
    </w:p>
    <w:p w14:paraId="458CAA69">
      <w:pPr>
        <w:pStyle w:val="22"/>
        <w:rPr>
          <w:rFonts w:ascii="Arial" w:hAnsi="Arial"/>
          <w:kern w:val="2"/>
          <w:sz w:val="21"/>
          <w:szCs w:val="21"/>
        </w:rPr>
      </w:pPr>
      <w:r>
        <w:fldChar w:fldCharType="begin"/>
      </w:r>
      <w:r>
        <w:instrText xml:space="preserve"> HYPERLINK \l "_Toc477252440" </w:instrText>
      </w:r>
      <w:r>
        <w:fldChar w:fldCharType="separate"/>
      </w:r>
      <w:r>
        <w:rPr>
          <w:rStyle w:val="38"/>
          <w:rFonts w:hint="eastAsia" w:ascii="Arial" w:hAnsi="Arial" w:eastAsia="宋体"/>
          <w:color w:val="auto"/>
          <w:sz w:val="21"/>
          <w:szCs w:val="21"/>
        </w:rPr>
        <w:t>估　价　结</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果</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报　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_Toc477252440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4BC62DFE">
      <w:pPr>
        <w:pStyle w:val="26"/>
        <w:rPr>
          <w:rFonts w:ascii="Arial" w:hAnsi="Arial"/>
          <w:kern w:val="2"/>
          <w:sz w:val="21"/>
          <w:szCs w:val="21"/>
        </w:rPr>
      </w:pPr>
      <w:r>
        <w:fldChar w:fldCharType="begin"/>
      </w:r>
      <w:r>
        <w:instrText xml:space="preserve"> HYPERLINK \l "_Toc477252441" </w:instrText>
      </w:r>
      <w:r>
        <w:fldChar w:fldCharType="separate"/>
      </w:r>
      <w:r>
        <w:rPr>
          <w:rStyle w:val="38"/>
          <w:rFonts w:hint="eastAsia" w:ascii="Arial" w:hAnsi="Arial" w:eastAsia="宋体"/>
          <w:color w:val="auto"/>
          <w:sz w:val="21"/>
          <w:szCs w:val="21"/>
        </w:rPr>
        <w:t>一、估价委托人</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_Toc477252441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402AC8E8">
      <w:pPr>
        <w:pStyle w:val="26"/>
        <w:rPr>
          <w:rFonts w:ascii="Arial" w:hAnsi="Arial"/>
          <w:kern w:val="2"/>
          <w:sz w:val="21"/>
          <w:szCs w:val="21"/>
        </w:rPr>
      </w:pPr>
      <w:r>
        <w:fldChar w:fldCharType="begin"/>
      </w:r>
      <w:r>
        <w:instrText xml:space="preserve"> HYPERLINK \l "_Toc477252442" </w:instrText>
      </w:r>
      <w:r>
        <w:fldChar w:fldCharType="separate"/>
      </w:r>
      <w:r>
        <w:rPr>
          <w:rStyle w:val="38"/>
          <w:rFonts w:hint="eastAsia" w:ascii="Arial" w:hAnsi="Arial" w:eastAsia="宋体"/>
          <w:color w:val="auto"/>
          <w:sz w:val="21"/>
          <w:szCs w:val="21"/>
        </w:rPr>
        <w:t>二、房地产估价机构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_Toc477252442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0B9BA705">
      <w:pPr>
        <w:pStyle w:val="26"/>
        <w:rPr>
          <w:rFonts w:ascii="Arial" w:hAnsi="Arial"/>
          <w:kern w:val="2"/>
          <w:sz w:val="21"/>
          <w:szCs w:val="21"/>
        </w:rPr>
      </w:pPr>
      <w:r>
        <w:fldChar w:fldCharType="begin"/>
      </w:r>
      <w:r>
        <w:instrText xml:space="preserve"> HYPERLINK \l "_Toc477252443" </w:instrText>
      </w:r>
      <w:r>
        <w:fldChar w:fldCharType="separate"/>
      </w:r>
      <w:r>
        <w:rPr>
          <w:rStyle w:val="38"/>
          <w:rFonts w:hint="eastAsia" w:ascii="Arial" w:hAnsi="Arial" w:eastAsia="宋体"/>
          <w:color w:val="auto"/>
          <w:sz w:val="21"/>
          <w:szCs w:val="21"/>
        </w:rPr>
        <w:t>三、估价目的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_Toc477252443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1524884E">
      <w:pPr>
        <w:pStyle w:val="26"/>
        <w:rPr>
          <w:rFonts w:ascii="Arial" w:hAnsi="Arial"/>
          <w:kern w:val="2"/>
          <w:sz w:val="21"/>
          <w:szCs w:val="21"/>
        </w:rPr>
      </w:pPr>
      <w:r>
        <w:fldChar w:fldCharType="begin"/>
      </w:r>
      <w:r>
        <w:instrText xml:space="preserve"> HYPERLINK \l "_Toc477252444" </w:instrText>
      </w:r>
      <w:r>
        <w:fldChar w:fldCharType="separate"/>
      </w:r>
      <w:r>
        <w:rPr>
          <w:rStyle w:val="38"/>
          <w:rFonts w:hint="eastAsia" w:ascii="Arial" w:hAnsi="Arial" w:eastAsia="宋体"/>
          <w:color w:val="auto"/>
          <w:sz w:val="21"/>
          <w:szCs w:val="21"/>
        </w:rPr>
        <w:t>四、估价对象</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_Toc477252444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2BC71F76">
      <w:pPr>
        <w:pStyle w:val="26"/>
        <w:rPr>
          <w:rFonts w:ascii="Arial" w:hAnsi="Arial"/>
          <w:kern w:val="2"/>
          <w:sz w:val="21"/>
          <w:szCs w:val="21"/>
        </w:rPr>
      </w:pPr>
      <w:r>
        <w:fldChar w:fldCharType="begin"/>
      </w:r>
      <w:r>
        <w:instrText xml:space="preserve"> HYPERLINK \l "_Toc477252445" </w:instrText>
      </w:r>
      <w:r>
        <w:fldChar w:fldCharType="separate"/>
      </w:r>
      <w:r>
        <w:rPr>
          <w:rStyle w:val="38"/>
          <w:rFonts w:hint="eastAsia" w:ascii="Arial" w:hAnsi="Arial" w:eastAsia="宋体"/>
          <w:color w:val="auto"/>
          <w:sz w:val="21"/>
          <w:szCs w:val="21"/>
        </w:rPr>
        <w:t>五、价值时点</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_Toc477252445 \h </w:instrText>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r>
        <w:rPr>
          <w:rFonts w:ascii="Arial" w:hAnsi="Arial"/>
          <w:sz w:val="21"/>
          <w:szCs w:val="21"/>
        </w:rPr>
        <w:fldChar w:fldCharType="end"/>
      </w:r>
    </w:p>
    <w:p w14:paraId="10D6C6CC">
      <w:pPr>
        <w:pStyle w:val="26"/>
        <w:rPr>
          <w:rFonts w:ascii="Arial" w:hAnsi="Arial"/>
          <w:kern w:val="2"/>
          <w:sz w:val="21"/>
          <w:szCs w:val="21"/>
        </w:rPr>
      </w:pPr>
      <w:r>
        <w:fldChar w:fldCharType="begin"/>
      </w:r>
      <w:r>
        <w:instrText xml:space="preserve"> HYPERLINK \l "_Toc477252446" </w:instrText>
      </w:r>
      <w:r>
        <w:fldChar w:fldCharType="separate"/>
      </w:r>
      <w:r>
        <w:rPr>
          <w:rStyle w:val="38"/>
          <w:rFonts w:hint="eastAsia" w:ascii="Arial" w:hAnsi="Arial" w:eastAsia="宋体"/>
          <w:color w:val="auto"/>
          <w:sz w:val="21"/>
          <w:szCs w:val="21"/>
        </w:rPr>
        <w:t>六、价值类型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_Toc477252446 \h </w:instrText>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r>
        <w:rPr>
          <w:rFonts w:ascii="Arial" w:hAnsi="Arial"/>
          <w:sz w:val="21"/>
          <w:szCs w:val="21"/>
        </w:rPr>
        <w:fldChar w:fldCharType="end"/>
      </w:r>
    </w:p>
    <w:p w14:paraId="7077A1CE">
      <w:pPr>
        <w:pStyle w:val="26"/>
        <w:rPr>
          <w:rFonts w:ascii="Arial" w:hAnsi="Arial"/>
          <w:kern w:val="2"/>
          <w:sz w:val="21"/>
          <w:szCs w:val="21"/>
        </w:rPr>
      </w:pPr>
      <w:r>
        <w:fldChar w:fldCharType="begin"/>
      </w:r>
      <w:r>
        <w:instrText xml:space="preserve"> HYPERLINK \l "_Toc477252447" </w:instrText>
      </w:r>
      <w:r>
        <w:fldChar w:fldCharType="separate"/>
      </w:r>
      <w:r>
        <w:rPr>
          <w:rStyle w:val="38"/>
          <w:rFonts w:hint="eastAsia" w:ascii="Arial" w:hAnsi="Arial" w:eastAsia="宋体"/>
          <w:color w:val="auto"/>
          <w:sz w:val="21"/>
          <w:szCs w:val="21"/>
        </w:rPr>
        <w:t>七、估价原则</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_Toc477252447 \h </w:instrText>
      </w:r>
      <w:r>
        <w:rPr>
          <w:rFonts w:ascii="Arial" w:hAnsi="Arial"/>
          <w:sz w:val="21"/>
          <w:szCs w:val="21"/>
        </w:rPr>
        <w:fldChar w:fldCharType="separate"/>
      </w:r>
      <w:r>
        <w:rPr>
          <w:rFonts w:ascii="Arial" w:hAnsi="Arial"/>
          <w:sz w:val="21"/>
          <w:szCs w:val="21"/>
        </w:rPr>
        <w:t>16</w:t>
      </w:r>
      <w:r>
        <w:rPr>
          <w:rFonts w:ascii="Arial" w:hAnsi="Arial"/>
          <w:sz w:val="21"/>
          <w:szCs w:val="21"/>
        </w:rPr>
        <w:fldChar w:fldCharType="end"/>
      </w:r>
      <w:r>
        <w:rPr>
          <w:rFonts w:ascii="Arial" w:hAnsi="Arial"/>
          <w:sz w:val="21"/>
          <w:szCs w:val="21"/>
        </w:rPr>
        <w:fldChar w:fldCharType="end"/>
      </w:r>
    </w:p>
    <w:p w14:paraId="43DADB6D">
      <w:pPr>
        <w:pStyle w:val="26"/>
        <w:rPr>
          <w:rFonts w:ascii="Arial" w:hAnsi="Arial"/>
          <w:kern w:val="2"/>
          <w:sz w:val="21"/>
          <w:szCs w:val="21"/>
        </w:rPr>
      </w:pPr>
      <w:r>
        <w:fldChar w:fldCharType="begin"/>
      </w:r>
      <w:r>
        <w:instrText xml:space="preserve"> HYPERLINK \l "_Toc477252448" </w:instrText>
      </w:r>
      <w:r>
        <w:fldChar w:fldCharType="separate"/>
      </w:r>
      <w:r>
        <w:rPr>
          <w:rStyle w:val="38"/>
          <w:rFonts w:hint="eastAsia" w:ascii="Arial" w:hAnsi="Arial" w:eastAsia="宋体"/>
          <w:color w:val="auto"/>
          <w:sz w:val="21"/>
          <w:szCs w:val="21"/>
        </w:rPr>
        <w:t>八、估价</w:t>
      </w:r>
      <w:bookmarkStart w:id="2" w:name="_Hlt218580884"/>
      <w:r>
        <w:rPr>
          <w:rStyle w:val="38"/>
          <w:rFonts w:hint="eastAsia" w:ascii="Arial" w:hAnsi="Arial" w:eastAsia="宋体"/>
          <w:color w:val="auto"/>
          <w:sz w:val="21"/>
          <w:szCs w:val="21"/>
        </w:rPr>
        <w:t>依</w:t>
      </w:r>
      <w:bookmarkEnd w:id="2"/>
      <w:r>
        <w:rPr>
          <w:rStyle w:val="38"/>
          <w:rFonts w:hint="eastAsia" w:ascii="Arial" w:hAnsi="Arial" w:eastAsia="宋体"/>
          <w:color w:val="auto"/>
          <w:sz w:val="21"/>
          <w:szCs w:val="21"/>
        </w:rPr>
        <w:t>据</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_Toc477252448 \h </w:instrText>
      </w:r>
      <w:r>
        <w:rPr>
          <w:rFonts w:ascii="Arial" w:hAnsi="Arial"/>
          <w:sz w:val="21"/>
          <w:szCs w:val="21"/>
        </w:rPr>
        <w:fldChar w:fldCharType="separate"/>
      </w:r>
      <w:r>
        <w:rPr>
          <w:rFonts w:ascii="Arial" w:hAnsi="Arial"/>
          <w:sz w:val="21"/>
          <w:szCs w:val="21"/>
        </w:rPr>
        <w:t>17</w:t>
      </w:r>
      <w:r>
        <w:rPr>
          <w:rFonts w:ascii="Arial" w:hAnsi="Arial"/>
          <w:sz w:val="21"/>
          <w:szCs w:val="21"/>
        </w:rPr>
        <w:fldChar w:fldCharType="end"/>
      </w:r>
      <w:r>
        <w:rPr>
          <w:rFonts w:ascii="Arial" w:hAnsi="Arial"/>
          <w:sz w:val="21"/>
          <w:szCs w:val="21"/>
        </w:rPr>
        <w:fldChar w:fldCharType="end"/>
      </w:r>
    </w:p>
    <w:p w14:paraId="6E8227D8">
      <w:pPr>
        <w:pStyle w:val="26"/>
        <w:rPr>
          <w:rFonts w:ascii="Arial" w:hAnsi="Arial"/>
          <w:kern w:val="2"/>
          <w:sz w:val="21"/>
          <w:szCs w:val="21"/>
        </w:rPr>
      </w:pPr>
      <w:r>
        <w:fldChar w:fldCharType="begin"/>
      </w:r>
      <w:r>
        <w:instrText xml:space="preserve"> HYPERLINK \l "_Toc477252449" </w:instrText>
      </w:r>
      <w:r>
        <w:fldChar w:fldCharType="separate"/>
      </w:r>
      <w:r>
        <w:rPr>
          <w:rStyle w:val="38"/>
          <w:rFonts w:hint="eastAsia" w:ascii="Arial" w:hAnsi="Arial" w:eastAsia="宋体"/>
          <w:color w:val="auto"/>
          <w:sz w:val="21"/>
          <w:szCs w:val="21"/>
        </w:rPr>
        <w:t>九、估价方</w:t>
      </w:r>
      <w:bookmarkStart w:id="3" w:name="_Hlt146637667"/>
      <w:r>
        <w:rPr>
          <w:rStyle w:val="38"/>
          <w:rFonts w:hint="eastAsia" w:ascii="Arial" w:hAnsi="Arial" w:eastAsia="宋体"/>
          <w:color w:val="auto"/>
          <w:sz w:val="21"/>
          <w:szCs w:val="21"/>
        </w:rPr>
        <w:t>法</w:t>
      </w:r>
      <w:bookmarkEnd w:id="3"/>
      <w:bookmarkStart w:id="4" w:name="_Hlt146790062"/>
      <w:bookmarkStart w:id="5" w:name="_Hlt146790063"/>
      <w:r>
        <w:rPr>
          <w:rFonts w:ascii="Arial" w:hAnsi="Arial"/>
          <w:sz w:val="21"/>
          <w:szCs w:val="21"/>
        </w:rPr>
        <w:tab/>
      </w:r>
      <w:bookmarkEnd w:id="4"/>
      <w:bookmarkEnd w:id="5"/>
      <w:r>
        <w:rPr>
          <w:rFonts w:ascii="Arial" w:hAnsi="Arial"/>
          <w:sz w:val="21"/>
          <w:szCs w:val="21"/>
        </w:rPr>
        <w:fldChar w:fldCharType="begin"/>
      </w:r>
      <w:r>
        <w:rPr>
          <w:rFonts w:ascii="Arial" w:hAnsi="Arial"/>
          <w:sz w:val="21"/>
          <w:szCs w:val="21"/>
        </w:rPr>
        <w:instrText xml:space="preserve"> PAGEREF _Toc477252449 \h </w:instrText>
      </w:r>
      <w:r>
        <w:rPr>
          <w:rFonts w:ascii="Arial" w:hAnsi="Arial"/>
          <w:sz w:val="21"/>
          <w:szCs w:val="21"/>
        </w:rPr>
        <w:fldChar w:fldCharType="separate"/>
      </w:r>
      <w:r>
        <w:rPr>
          <w:rFonts w:ascii="Arial" w:hAnsi="Arial"/>
          <w:sz w:val="21"/>
          <w:szCs w:val="21"/>
        </w:rPr>
        <w:t>20</w:t>
      </w:r>
      <w:r>
        <w:rPr>
          <w:rFonts w:ascii="Arial" w:hAnsi="Arial"/>
          <w:sz w:val="21"/>
          <w:szCs w:val="21"/>
        </w:rPr>
        <w:fldChar w:fldCharType="end"/>
      </w:r>
      <w:r>
        <w:rPr>
          <w:rFonts w:ascii="Arial" w:hAnsi="Arial"/>
          <w:sz w:val="21"/>
          <w:szCs w:val="21"/>
        </w:rPr>
        <w:fldChar w:fldCharType="end"/>
      </w:r>
    </w:p>
    <w:p w14:paraId="53C229A7">
      <w:pPr>
        <w:pStyle w:val="26"/>
        <w:rPr>
          <w:rFonts w:ascii="Arial" w:hAnsi="Arial"/>
          <w:kern w:val="2"/>
          <w:sz w:val="21"/>
          <w:szCs w:val="21"/>
        </w:rPr>
      </w:pPr>
      <w:r>
        <w:fldChar w:fldCharType="begin"/>
      </w:r>
      <w:r>
        <w:instrText xml:space="preserve"> HYPERLINK \l "_Toc477252450" </w:instrText>
      </w:r>
      <w:r>
        <w:fldChar w:fldCharType="separate"/>
      </w:r>
      <w:r>
        <w:rPr>
          <w:rStyle w:val="38"/>
          <w:rFonts w:hint="eastAsia" w:ascii="Arial" w:hAnsi="Arial" w:eastAsia="宋体"/>
          <w:color w:val="auto"/>
          <w:sz w:val="21"/>
          <w:szCs w:val="21"/>
        </w:rPr>
        <w:t>十、估价结果</w:t>
      </w:r>
      <w:bookmarkStart w:id="6" w:name="_Hlt151644350"/>
      <w:bookmarkStart w:id="7" w:name="_Hlt151644349"/>
      <w:r>
        <w:rPr>
          <w:rFonts w:ascii="Arial" w:hAnsi="Arial"/>
          <w:sz w:val="21"/>
          <w:szCs w:val="21"/>
        </w:rPr>
        <w:tab/>
      </w:r>
      <w:bookmarkEnd w:id="6"/>
      <w:bookmarkEnd w:id="7"/>
      <w:r>
        <w:rPr>
          <w:rFonts w:ascii="Arial" w:hAnsi="Arial"/>
          <w:sz w:val="21"/>
          <w:szCs w:val="21"/>
        </w:rPr>
        <w:fldChar w:fldCharType="begin"/>
      </w:r>
      <w:r>
        <w:rPr>
          <w:rFonts w:ascii="Arial" w:hAnsi="Arial"/>
          <w:sz w:val="21"/>
          <w:szCs w:val="21"/>
        </w:rPr>
        <w:instrText xml:space="preserve"> PAGEREF _Toc477252450 \h </w:instrText>
      </w:r>
      <w:r>
        <w:rPr>
          <w:rFonts w:ascii="Arial" w:hAnsi="Arial"/>
          <w:sz w:val="21"/>
          <w:szCs w:val="21"/>
        </w:rPr>
        <w:fldChar w:fldCharType="separate"/>
      </w:r>
      <w:r>
        <w:rPr>
          <w:rFonts w:ascii="Arial" w:hAnsi="Arial"/>
          <w:sz w:val="21"/>
          <w:szCs w:val="21"/>
        </w:rPr>
        <w:t>21</w:t>
      </w:r>
      <w:r>
        <w:rPr>
          <w:rFonts w:ascii="Arial" w:hAnsi="Arial"/>
          <w:sz w:val="21"/>
          <w:szCs w:val="21"/>
        </w:rPr>
        <w:fldChar w:fldCharType="end"/>
      </w:r>
      <w:r>
        <w:rPr>
          <w:rFonts w:ascii="Arial" w:hAnsi="Arial"/>
          <w:sz w:val="21"/>
          <w:szCs w:val="21"/>
        </w:rPr>
        <w:fldChar w:fldCharType="end"/>
      </w:r>
    </w:p>
    <w:p w14:paraId="549A9E64">
      <w:pPr>
        <w:pStyle w:val="26"/>
        <w:rPr>
          <w:rFonts w:ascii="Arial" w:hAnsi="Arial"/>
          <w:kern w:val="2"/>
          <w:sz w:val="21"/>
          <w:szCs w:val="21"/>
        </w:rPr>
      </w:pPr>
      <w:r>
        <w:fldChar w:fldCharType="begin"/>
      </w:r>
      <w:r>
        <w:instrText xml:space="preserve"> HYPERLINK \l "_Toc477252451" </w:instrText>
      </w:r>
      <w:r>
        <w:fldChar w:fldCharType="separate"/>
      </w:r>
      <w:r>
        <w:rPr>
          <w:rStyle w:val="38"/>
          <w:rFonts w:hint="eastAsia" w:ascii="Arial" w:hAnsi="Arial" w:eastAsia="宋体"/>
          <w:color w:val="auto"/>
          <w:sz w:val="21"/>
          <w:szCs w:val="21"/>
          <w:highlight w:val="lightGray"/>
        </w:rPr>
        <w:t>十一、评估专业人员</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_Toc477252451 \h </w:instrText>
      </w:r>
      <w:r>
        <w:rPr>
          <w:rFonts w:ascii="Arial" w:hAnsi="Arial"/>
          <w:sz w:val="21"/>
          <w:szCs w:val="21"/>
          <w:highlight w:val="lightGray"/>
        </w:rPr>
        <w:fldChar w:fldCharType="separate"/>
      </w:r>
      <w:r>
        <w:rPr>
          <w:rFonts w:ascii="Arial" w:hAnsi="Arial"/>
          <w:sz w:val="21"/>
          <w:szCs w:val="21"/>
          <w:highlight w:val="lightGray"/>
        </w:rPr>
        <w:t>22</w:t>
      </w:r>
      <w:r>
        <w:rPr>
          <w:rFonts w:ascii="Arial" w:hAnsi="Arial"/>
          <w:sz w:val="21"/>
          <w:szCs w:val="21"/>
          <w:highlight w:val="lightGray"/>
        </w:rPr>
        <w:fldChar w:fldCharType="end"/>
      </w:r>
      <w:r>
        <w:rPr>
          <w:rFonts w:ascii="Arial" w:hAnsi="Arial"/>
          <w:sz w:val="21"/>
          <w:szCs w:val="21"/>
          <w:highlight w:val="lightGray"/>
        </w:rPr>
        <w:fldChar w:fldCharType="end"/>
      </w:r>
    </w:p>
    <w:p w14:paraId="57A43818">
      <w:pPr>
        <w:pStyle w:val="26"/>
        <w:rPr>
          <w:rFonts w:ascii="Arial" w:hAnsi="Arial"/>
          <w:kern w:val="2"/>
          <w:sz w:val="21"/>
          <w:szCs w:val="21"/>
        </w:rPr>
      </w:pPr>
      <w:r>
        <w:fldChar w:fldCharType="begin"/>
      </w:r>
      <w:r>
        <w:instrText xml:space="preserve"> HYPERLINK \l "_Toc477252452" </w:instrText>
      </w:r>
      <w:r>
        <w:fldChar w:fldCharType="separate"/>
      </w:r>
      <w:r>
        <w:rPr>
          <w:rStyle w:val="38"/>
          <w:rFonts w:hint="eastAsia" w:ascii="Arial" w:hAnsi="Arial" w:eastAsia="宋体"/>
          <w:color w:val="auto"/>
          <w:sz w:val="21"/>
          <w:szCs w:val="21"/>
        </w:rPr>
        <w:t>十二、实地查勘期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_Toc477252452 \h </w:instrText>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r>
        <w:rPr>
          <w:rFonts w:ascii="Arial" w:hAnsi="Arial"/>
          <w:sz w:val="21"/>
          <w:szCs w:val="21"/>
        </w:rPr>
        <w:fldChar w:fldCharType="end"/>
      </w:r>
    </w:p>
    <w:p w14:paraId="75D3EEB4">
      <w:pPr>
        <w:pStyle w:val="26"/>
        <w:rPr>
          <w:rFonts w:ascii="Arial" w:hAnsi="Arial"/>
          <w:kern w:val="2"/>
          <w:sz w:val="21"/>
          <w:szCs w:val="21"/>
        </w:rPr>
      </w:pPr>
      <w:r>
        <w:fldChar w:fldCharType="begin"/>
      </w:r>
      <w:r>
        <w:instrText xml:space="preserve"> HYPERLINK \l "_Toc477252453" </w:instrText>
      </w:r>
      <w:r>
        <w:fldChar w:fldCharType="separate"/>
      </w:r>
      <w:r>
        <w:rPr>
          <w:rStyle w:val="38"/>
          <w:rFonts w:hint="eastAsia" w:ascii="Arial" w:hAnsi="Arial" w:eastAsia="宋体"/>
          <w:color w:val="auto"/>
          <w:sz w:val="21"/>
          <w:szCs w:val="21"/>
        </w:rPr>
        <w:t>十三、估价作业期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_Toc477252453 \h </w:instrText>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r>
        <w:rPr>
          <w:rFonts w:ascii="Arial" w:hAnsi="Arial"/>
          <w:sz w:val="21"/>
          <w:szCs w:val="21"/>
        </w:rPr>
        <w:fldChar w:fldCharType="end"/>
      </w:r>
    </w:p>
    <w:p w14:paraId="32E074AE">
      <w:pPr>
        <w:pStyle w:val="22"/>
        <w:rPr>
          <w:rFonts w:ascii="Arial" w:hAnsi="Arial"/>
          <w:kern w:val="2"/>
          <w:sz w:val="21"/>
          <w:szCs w:val="21"/>
        </w:rPr>
      </w:pPr>
      <w:r>
        <w:fldChar w:fldCharType="begin"/>
      </w:r>
      <w:r>
        <w:instrText xml:space="preserve"> HYPERLINK \l "_Toc477252454" </w:instrText>
      </w:r>
      <w:r>
        <w:fldChar w:fldCharType="separate"/>
      </w:r>
      <w:r>
        <w:rPr>
          <w:rStyle w:val="38"/>
          <w:rFonts w:hint="eastAsia" w:ascii="Arial" w:hAnsi="Arial" w:eastAsia="宋体"/>
          <w:color w:val="auto"/>
          <w:sz w:val="21"/>
          <w:szCs w:val="21"/>
        </w:rPr>
        <w:t>估</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价</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技</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术</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报</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_Toc477252454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r>
        <w:rPr>
          <w:rFonts w:ascii="Arial" w:hAnsi="Arial"/>
          <w:sz w:val="21"/>
          <w:szCs w:val="21"/>
        </w:rPr>
        <w:fldChar w:fldCharType="end"/>
      </w:r>
    </w:p>
    <w:p w14:paraId="1D0A9EB2">
      <w:pPr>
        <w:pStyle w:val="26"/>
        <w:rPr>
          <w:rFonts w:ascii="Arial" w:hAnsi="Arial"/>
          <w:kern w:val="2"/>
          <w:sz w:val="21"/>
          <w:szCs w:val="21"/>
        </w:rPr>
      </w:pPr>
      <w:r>
        <w:fldChar w:fldCharType="begin"/>
      </w:r>
      <w:r>
        <w:instrText xml:space="preserve"> HYPERLINK \l "_Toc477252455" </w:instrText>
      </w:r>
      <w:r>
        <w:fldChar w:fldCharType="separate"/>
      </w:r>
      <w:r>
        <w:rPr>
          <w:rStyle w:val="38"/>
          <w:rFonts w:hint="eastAsia" w:ascii="Arial" w:hAnsi="Arial" w:eastAsia="宋体"/>
          <w:color w:val="auto"/>
          <w:sz w:val="21"/>
          <w:szCs w:val="21"/>
        </w:rPr>
        <w:t>一、估价对象描述与分析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_Toc477252455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r>
        <w:rPr>
          <w:rFonts w:ascii="Arial" w:hAnsi="Arial"/>
          <w:sz w:val="21"/>
          <w:szCs w:val="21"/>
        </w:rPr>
        <w:fldChar w:fldCharType="end"/>
      </w:r>
    </w:p>
    <w:p w14:paraId="72F829CE">
      <w:pPr>
        <w:pStyle w:val="26"/>
        <w:rPr>
          <w:rFonts w:ascii="Arial" w:hAnsi="Arial"/>
          <w:kern w:val="2"/>
          <w:sz w:val="21"/>
          <w:szCs w:val="21"/>
        </w:rPr>
      </w:pPr>
      <w:r>
        <w:fldChar w:fldCharType="begin"/>
      </w:r>
      <w:r>
        <w:instrText xml:space="preserve"> HYPERLINK \l "_Toc477252456" </w:instrText>
      </w:r>
      <w:r>
        <w:fldChar w:fldCharType="separate"/>
      </w:r>
      <w:r>
        <w:rPr>
          <w:rStyle w:val="38"/>
          <w:rFonts w:hint="eastAsia" w:ascii="Arial" w:hAnsi="Arial" w:eastAsia="宋体"/>
          <w:color w:val="auto"/>
          <w:sz w:val="21"/>
          <w:szCs w:val="21"/>
        </w:rPr>
        <w:t>（一）实物状况分析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_Toc477252456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r>
        <w:rPr>
          <w:rFonts w:ascii="Arial" w:hAnsi="Arial"/>
          <w:sz w:val="21"/>
          <w:szCs w:val="21"/>
        </w:rPr>
        <w:fldChar w:fldCharType="end"/>
      </w:r>
    </w:p>
    <w:p w14:paraId="348ECF1C">
      <w:pPr>
        <w:pStyle w:val="26"/>
        <w:rPr>
          <w:rFonts w:ascii="Arial" w:hAnsi="Arial"/>
          <w:kern w:val="2"/>
          <w:sz w:val="21"/>
          <w:szCs w:val="21"/>
        </w:rPr>
      </w:pPr>
      <w:r>
        <w:fldChar w:fldCharType="begin"/>
      </w:r>
      <w:r>
        <w:instrText xml:space="preserve"> HYPERLINK \l "_Toc477252457" </w:instrText>
      </w:r>
      <w:r>
        <w:fldChar w:fldCharType="separate"/>
      </w:r>
      <w:r>
        <w:rPr>
          <w:rStyle w:val="38"/>
          <w:rFonts w:hint="eastAsia" w:ascii="Arial" w:hAnsi="Arial" w:eastAsia="宋体"/>
          <w:color w:val="auto"/>
          <w:sz w:val="21"/>
          <w:szCs w:val="21"/>
        </w:rPr>
        <w:t>（二）权益状况分析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_Toc477252457 \h </w:instrText>
      </w:r>
      <w:r>
        <w:rPr>
          <w:rFonts w:ascii="Arial" w:hAnsi="Arial"/>
          <w:sz w:val="21"/>
          <w:szCs w:val="21"/>
        </w:rPr>
        <w:fldChar w:fldCharType="separate"/>
      </w:r>
      <w:r>
        <w:rPr>
          <w:rFonts w:ascii="Arial" w:hAnsi="Arial"/>
          <w:sz w:val="21"/>
          <w:szCs w:val="21"/>
        </w:rPr>
        <w:t>25</w:t>
      </w:r>
      <w:r>
        <w:rPr>
          <w:rFonts w:ascii="Arial" w:hAnsi="Arial"/>
          <w:sz w:val="21"/>
          <w:szCs w:val="21"/>
        </w:rPr>
        <w:fldChar w:fldCharType="end"/>
      </w:r>
      <w:r>
        <w:rPr>
          <w:rFonts w:ascii="Arial" w:hAnsi="Arial"/>
          <w:sz w:val="21"/>
          <w:szCs w:val="21"/>
        </w:rPr>
        <w:fldChar w:fldCharType="end"/>
      </w:r>
    </w:p>
    <w:p w14:paraId="2E176136">
      <w:pPr>
        <w:pStyle w:val="26"/>
        <w:rPr>
          <w:rFonts w:ascii="Arial" w:hAnsi="Arial"/>
          <w:kern w:val="2"/>
          <w:sz w:val="21"/>
          <w:szCs w:val="21"/>
        </w:rPr>
      </w:pPr>
      <w:r>
        <w:fldChar w:fldCharType="begin"/>
      </w:r>
      <w:r>
        <w:instrText xml:space="preserve"> HYPERLINK \l "_Toc477252458" </w:instrText>
      </w:r>
      <w:r>
        <w:fldChar w:fldCharType="separate"/>
      </w:r>
      <w:r>
        <w:rPr>
          <w:rStyle w:val="38"/>
          <w:rFonts w:hint="eastAsia" w:ascii="Arial" w:hAnsi="Arial" w:eastAsia="宋体"/>
          <w:color w:val="auto"/>
          <w:sz w:val="21"/>
          <w:szCs w:val="21"/>
        </w:rPr>
        <w:t>（三）区位状况分析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_Toc477252458 \h </w:instrText>
      </w:r>
      <w:r>
        <w:rPr>
          <w:rFonts w:ascii="Arial" w:hAnsi="Arial"/>
          <w:sz w:val="21"/>
          <w:szCs w:val="21"/>
        </w:rPr>
        <w:fldChar w:fldCharType="separate"/>
      </w:r>
      <w:r>
        <w:rPr>
          <w:rFonts w:ascii="Arial" w:hAnsi="Arial"/>
          <w:sz w:val="21"/>
          <w:szCs w:val="21"/>
        </w:rPr>
        <w:t>26</w:t>
      </w:r>
      <w:r>
        <w:rPr>
          <w:rFonts w:ascii="Arial" w:hAnsi="Arial"/>
          <w:sz w:val="21"/>
          <w:szCs w:val="21"/>
        </w:rPr>
        <w:fldChar w:fldCharType="end"/>
      </w:r>
      <w:r>
        <w:rPr>
          <w:rFonts w:ascii="Arial" w:hAnsi="Arial"/>
          <w:sz w:val="21"/>
          <w:szCs w:val="21"/>
        </w:rPr>
        <w:fldChar w:fldCharType="end"/>
      </w:r>
    </w:p>
    <w:p w14:paraId="2D0527A4">
      <w:pPr>
        <w:pStyle w:val="26"/>
        <w:rPr>
          <w:rFonts w:ascii="Arial" w:hAnsi="Arial"/>
          <w:kern w:val="2"/>
          <w:sz w:val="21"/>
          <w:szCs w:val="21"/>
        </w:rPr>
      </w:pPr>
      <w:r>
        <w:fldChar w:fldCharType="begin"/>
      </w:r>
      <w:r>
        <w:instrText xml:space="preserve"> HYPERLINK \l "_Toc477252459" </w:instrText>
      </w:r>
      <w:r>
        <w:fldChar w:fldCharType="separate"/>
      </w:r>
      <w:r>
        <w:rPr>
          <w:rStyle w:val="38"/>
          <w:rFonts w:hint="eastAsia" w:ascii="Arial" w:hAnsi="Arial" w:eastAsia="宋体"/>
          <w:color w:val="auto"/>
          <w:sz w:val="21"/>
          <w:szCs w:val="21"/>
        </w:rPr>
        <w:t>二、市场背景描述与分析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_Toc477252459 \h </w:instrText>
      </w:r>
      <w:r>
        <w:rPr>
          <w:rFonts w:ascii="Arial" w:hAnsi="Arial"/>
          <w:sz w:val="21"/>
          <w:szCs w:val="21"/>
        </w:rPr>
        <w:fldChar w:fldCharType="separate"/>
      </w:r>
      <w:r>
        <w:rPr>
          <w:rFonts w:ascii="Arial" w:hAnsi="Arial"/>
          <w:sz w:val="21"/>
          <w:szCs w:val="21"/>
        </w:rPr>
        <w:t>27</w:t>
      </w:r>
      <w:r>
        <w:rPr>
          <w:rFonts w:ascii="Arial" w:hAnsi="Arial"/>
          <w:sz w:val="21"/>
          <w:szCs w:val="21"/>
        </w:rPr>
        <w:fldChar w:fldCharType="end"/>
      </w:r>
      <w:r>
        <w:rPr>
          <w:rFonts w:ascii="Arial" w:hAnsi="Arial"/>
          <w:sz w:val="21"/>
          <w:szCs w:val="21"/>
        </w:rPr>
        <w:fldChar w:fldCharType="end"/>
      </w:r>
    </w:p>
    <w:p w14:paraId="480BB7EC">
      <w:pPr>
        <w:pStyle w:val="26"/>
        <w:rPr>
          <w:rFonts w:ascii="Arial" w:hAnsi="Arial"/>
          <w:kern w:val="2"/>
          <w:sz w:val="21"/>
          <w:szCs w:val="21"/>
        </w:rPr>
      </w:pPr>
      <w:r>
        <w:fldChar w:fldCharType="begin"/>
      </w:r>
      <w:r>
        <w:instrText xml:space="preserve"> HYPERLINK \l "_Toc477252460" </w:instrText>
      </w:r>
      <w:r>
        <w:fldChar w:fldCharType="separate"/>
      </w:r>
      <w:r>
        <w:rPr>
          <w:rStyle w:val="38"/>
          <w:rFonts w:hint="eastAsia" w:ascii="Arial" w:hAnsi="Arial" w:eastAsia="宋体"/>
          <w:color w:val="auto"/>
          <w:sz w:val="21"/>
          <w:szCs w:val="21"/>
          <w:highlight w:val="lightGray"/>
        </w:rPr>
        <w:t>三、估价对象</w:t>
      </w:r>
      <w:bookmarkStart w:id="8" w:name="_Hlt218580770"/>
      <w:r>
        <w:rPr>
          <w:rStyle w:val="38"/>
          <w:rFonts w:hint="eastAsia" w:ascii="Arial" w:hAnsi="Arial" w:eastAsia="宋体"/>
          <w:color w:val="auto"/>
          <w:sz w:val="21"/>
          <w:szCs w:val="21"/>
          <w:highlight w:val="lightGray"/>
        </w:rPr>
        <w:t>最</w:t>
      </w:r>
      <w:bookmarkEnd w:id="8"/>
      <w:r>
        <w:rPr>
          <w:rStyle w:val="38"/>
          <w:rFonts w:hint="eastAsia" w:ascii="Arial" w:hAnsi="Arial" w:eastAsia="宋体"/>
          <w:color w:val="auto"/>
          <w:sz w:val="21"/>
          <w:szCs w:val="21"/>
          <w:highlight w:val="lightGray"/>
        </w:rPr>
        <w:t>高最佳利用分析</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_Toc477252460 \h </w:instrText>
      </w:r>
      <w:r>
        <w:rPr>
          <w:rFonts w:ascii="Arial" w:hAnsi="Arial"/>
          <w:sz w:val="21"/>
          <w:szCs w:val="21"/>
          <w:highlight w:val="lightGray"/>
        </w:rPr>
        <w:fldChar w:fldCharType="separate"/>
      </w:r>
      <w:r>
        <w:rPr>
          <w:rFonts w:ascii="Arial" w:hAnsi="Arial"/>
          <w:sz w:val="21"/>
          <w:szCs w:val="21"/>
          <w:highlight w:val="lightGray"/>
        </w:rPr>
        <w:t>42</w:t>
      </w:r>
      <w:r>
        <w:rPr>
          <w:rFonts w:ascii="Arial" w:hAnsi="Arial"/>
          <w:sz w:val="21"/>
          <w:szCs w:val="21"/>
          <w:highlight w:val="lightGray"/>
        </w:rPr>
        <w:fldChar w:fldCharType="end"/>
      </w:r>
      <w:r>
        <w:rPr>
          <w:rFonts w:ascii="Arial" w:hAnsi="Arial"/>
          <w:sz w:val="21"/>
          <w:szCs w:val="21"/>
          <w:highlight w:val="lightGray"/>
        </w:rPr>
        <w:fldChar w:fldCharType="end"/>
      </w:r>
    </w:p>
    <w:p w14:paraId="3F96F218">
      <w:pPr>
        <w:pStyle w:val="26"/>
        <w:rPr>
          <w:rFonts w:ascii="Arial" w:hAnsi="Arial"/>
          <w:kern w:val="2"/>
          <w:sz w:val="21"/>
          <w:szCs w:val="21"/>
        </w:rPr>
      </w:pPr>
      <w:r>
        <w:fldChar w:fldCharType="begin"/>
      </w:r>
      <w:r>
        <w:instrText xml:space="preserve"> HYPERLINK \l "_Toc477252461" </w:instrText>
      </w:r>
      <w:r>
        <w:fldChar w:fldCharType="separate"/>
      </w:r>
      <w:r>
        <w:rPr>
          <w:rStyle w:val="38"/>
          <w:rFonts w:hint="eastAsia" w:ascii="Arial" w:hAnsi="Arial" w:eastAsia="宋体"/>
          <w:color w:val="auto"/>
          <w:sz w:val="21"/>
          <w:szCs w:val="21"/>
        </w:rPr>
        <w:t>四、估价</w:t>
      </w:r>
      <w:bookmarkStart w:id="9" w:name="_Hlt146790104"/>
      <w:r>
        <w:rPr>
          <w:rStyle w:val="38"/>
          <w:rFonts w:hint="eastAsia" w:ascii="Arial" w:hAnsi="Arial" w:eastAsia="宋体"/>
          <w:color w:val="auto"/>
          <w:sz w:val="21"/>
          <w:szCs w:val="21"/>
        </w:rPr>
        <w:t>方</w:t>
      </w:r>
      <w:bookmarkEnd w:id="9"/>
      <w:r>
        <w:rPr>
          <w:rStyle w:val="38"/>
          <w:rFonts w:hint="eastAsia" w:ascii="Arial" w:hAnsi="Arial" w:eastAsia="宋体"/>
          <w:color w:val="auto"/>
          <w:sz w:val="21"/>
          <w:szCs w:val="21"/>
        </w:rPr>
        <w:t>法适用性分析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_Toc477252461 \h </w:instrText>
      </w:r>
      <w:r>
        <w:rPr>
          <w:rFonts w:ascii="Arial" w:hAnsi="Arial"/>
          <w:sz w:val="21"/>
          <w:szCs w:val="21"/>
        </w:rPr>
        <w:fldChar w:fldCharType="separate"/>
      </w:r>
      <w:r>
        <w:rPr>
          <w:rFonts w:ascii="Arial" w:hAnsi="Arial"/>
          <w:sz w:val="21"/>
          <w:szCs w:val="21"/>
        </w:rPr>
        <w:t>43</w:t>
      </w:r>
      <w:r>
        <w:rPr>
          <w:rFonts w:ascii="Arial" w:hAnsi="Arial"/>
          <w:sz w:val="21"/>
          <w:szCs w:val="21"/>
        </w:rPr>
        <w:fldChar w:fldCharType="end"/>
      </w:r>
      <w:r>
        <w:rPr>
          <w:rFonts w:ascii="Arial" w:hAnsi="Arial"/>
          <w:sz w:val="21"/>
          <w:szCs w:val="21"/>
        </w:rPr>
        <w:fldChar w:fldCharType="end"/>
      </w:r>
    </w:p>
    <w:p w14:paraId="4B6C92BA">
      <w:pPr>
        <w:pStyle w:val="26"/>
        <w:rPr>
          <w:rFonts w:ascii="Arial" w:hAnsi="Arial"/>
          <w:kern w:val="2"/>
          <w:sz w:val="21"/>
          <w:szCs w:val="21"/>
        </w:rPr>
      </w:pPr>
      <w:r>
        <w:fldChar w:fldCharType="begin"/>
      </w:r>
      <w:r>
        <w:instrText xml:space="preserve"> HYPERLINK \l "_Toc477252462" </w:instrText>
      </w:r>
      <w:r>
        <w:fldChar w:fldCharType="separate"/>
      </w:r>
      <w:r>
        <w:rPr>
          <w:rStyle w:val="38"/>
          <w:rFonts w:hint="eastAsia" w:ascii="Arial" w:hAnsi="Arial" w:eastAsia="宋体"/>
          <w:color w:val="auto"/>
          <w:sz w:val="21"/>
          <w:szCs w:val="21"/>
        </w:rPr>
        <w:t>五、估价测算过程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_Toc477252462 \h </w:instrText>
      </w:r>
      <w:r>
        <w:rPr>
          <w:rFonts w:ascii="Arial" w:hAnsi="Arial"/>
          <w:sz w:val="21"/>
          <w:szCs w:val="21"/>
        </w:rPr>
        <w:fldChar w:fldCharType="separate"/>
      </w:r>
      <w:r>
        <w:rPr>
          <w:rFonts w:ascii="Arial" w:hAnsi="Arial"/>
          <w:sz w:val="21"/>
          <w:szCs w:val="21"/>
        </w:rPr>
        <w:t>46</w:t>
      </w:r>
      <w:r>
        <w:rPr>
          <w:rFonts w:ascii="Arial" w:hAnsi="Arial"/>
          <w:sz w:val="21"/>
          <w:szCs w:val="21"/>
        </w:rPr>
        <w:fldChar w:fldCharType="end"/>
      </w:r>
      <w:r>
        <w:rPr>
          <w:rFonts w:ascii="Arial" w:hAnsi="Arial"/>
          <w:sz w:val="21"/>
          <w:szCs w:val="21"/>
        </w:rPr>
        <w:fldChar w:fldCharType="end"/>
      </w:r>
    </w:p>
    <w:p w14:paraId="5CE5339E">
      <w:pPr>
        <w:pStyle w:val="26"/>
        <w:rPr>
          <w:rFonts w:ascii="Arial" w:hAnsi="Arial"/>
          <w:kern w:val="2"/>
          <w:sz w:val="21"/>
          <w:szCs w:val="21"/>
        </w:rPr>
      </w:pPr>
      <w:r>
        <w:fldChar w:fldCharType="begin"/>
      </w:r>
      <w:r>
        <w:instrText xml:space="preserve"> HYPERLINK \l "_Toc477252463" </w:instrText>
      </w:r>
      <w:r>
        <w:fldChar w:fldCharType="separate"/>
      </w:r>
      <w:r>
        <w:rPr>
          <w:rStyle w:val="38"/>
          <w:rFonts w:hint="eastAsia" w:ascii="Arial" w:hAnsi="Arial" w:eastAsia="宋体"/>
          <w:color w:val="auto"/>
          <w:sz w:val="21"/>
          <w:szCs w:val="21"/>
        </w:rPr>
        <w:t>六、估价结果确定</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_Toc477252463 \h </w:instrText>
      </w:r>
      <w:r>
        <w:rPr>
          <w:rFonts w:ascii="Arial" w:hAnsi="Arial"/>
          <w:sz w:val="21"/>
          <w:szCs w:val="21"/>
        </w:rPr>
        <w:fldChar w:fldCharType="separate"/>
      </w:r>
      <w:r>
        <w:rPr>
          <w:rFonts w:ascii="Arial" w:hAnsi="Arial"/>
          <w:sz w:val="21"/>
          <w:szCs w:val="21"/>
        </w:rPr>
        <w:t>56</w:t>
      </w:r>
      <w:r>
        <w:rPr>
          <w:rFonts w:ascii="Arial" w:hAnsi="Arial"/>
          <w:sz w:val="21"/>
          <w:szCs w:val="21"/>
        </w:rPr>
        <w:fldChar w:fldCharType="end"/>
      </w:r>
      <w:r>
        <w:rPr>
          <w:rFonts w:ascii="Arial" w:hAnsi="Arial"/>
          <w:sz w:val="21"/>
          <w:szCs w:val="21"/>
        </w:rPr>
        <w:fldChar w:fldCharType="end"/>
      </w:r>
    </w:p>
    <w:p w14:paraId="385F478C">
      <w:pPr>
        <w:pStyle w:val="22"/>
        <w:rPr>
          <w:rFonts w:ascii="Arial" w:hAnsi="Arial"/>
          <w:kern w:val="2"/>
          <w:sz w:val="21"/>
          <w:szCs w:val="21"/>
        </w:rPr>
      </w:pPr>
      <w:r>
        <w:fldChar w:fldCharType="begin"/>
      </w:r>
      <w:r>
        <w:instrText xml:space="preserve"> HYPERLINK \l "_Toc477252467" </w:instrText>
      </w:r>
      <w:r>
        <w:fldChar w:fldCharType="separate"/>
      </w:r>
      <w:r>
        <w:rPr>
          <w:rStyle w:val="38"/>
          <w:rFonts w:hint="eastAsia" w:ascii="Arial" w:hAnsi="Arial" w:eastAsia="宋体"/>
          <w:color w:val="auto"/>
          <w:sz w:val="21"/>
          <w:szCs w:val="21"/>
        </w:rPr>
        <w:t>附</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_Toc477252467 \h </w:instrText>
      </w:r>
      <w:r>
        <w:rPr>
          <w:rFonts w:ascii="Arial" w:hAnsi="Arial"/>
          <w:sz w:val="21"/>
          <w:szCs w:val="21"/>
        </w:rPr>
        <w:fldChar w:fldCharType="separate"/>
      </w:r>
      <w:r>
        <w:rPr>
          <w:rFonts w:ascii="Arial" w:hAnsi="Arial"/>
          <w:sz w:val="21"/>
          <w:szCs w:val="21"/>
        </w:rPr>
        <w:t>57</w:t>
      </w:r>
      <w:r>
        <w:rPr>
          <w:rFonts w:ascii="Arial" w:hAnsi="Arial"/>
          <w:sz w:val="21"/>
          <w:szCs w:val="21"/>
        </w:rPr>
        <w:fldChar w:fldCharType="end"/>
      </w:r>
      <w:r>
        <w:rPr>
          <w:rFonts w:ascii="Arial" w:hAnsi="Arial"/>
          <w:sz w:val="21"/>
          <w:szCs w:val="21"/>
        </w:rPr>
        <w:fldChar w:fldCharType="end"/>
      </w:r>
    </w:p>
    <w:p w14:paraId="6E26E1F7">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192149FD">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4E7D3810">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14:paraId="67F9DA16">
      <w:pPr>
        <w:numPr>
          <w:ilvl w:val="0"/>
          <w:numId w:val="5"/>
        </w:numPr>
        <w:spacing w:line="360" w:lineRule="auto"/>
        <w:jc w:val="both"/>
        <w:rPr>
          <w:rFonts w:ascii="Arial" w:hAnsi="Arial" w:cs="Arial"/>
          <w:sz w:val="21"/>
          <w:szCs w:val="21"/>
        </w:rPr>
      </w:pPr>
      <w:r>
        <w:rPr>
          <w:rFonts w:hint="eastAsia" w:ascii="Arial" w:hAnsi="Arial"/>
          <w:bCs/>
          <w:sz w:val="21"/>
        </w:rPr>
        <w:t>《不动产权证书》[京（2021）房不动产权第0024765号]</w:t>
      </w:r>
      <w:r>
        <w:rPr>
          <w:rFonts w:ascii="Arial" w:hAnsi="Arial" w:cs="Arial"/>
          <w:sz w:val="21"/>
          <w:szCs w:val="21"/>
        </w:rPr>
        <w:t>复印件</w:t>
      </w:r>
    </w:p>
    <w:p w14:paraId="4A14B0F1">
      <w:pPr>
        <w:numPr>
          <w:ilvl w:val="0"/>
          <w:numId w:val="5"/>
        </w:numPr>
        <w:spacing w:line="360" w:lineRule="auto"/>
        <w:jc w:val="both"/>
        <w:rPr>
          <w:rFonts w:ascii="Arial" w:hAnsi="Arial" w:cs="Arial"/>
          <w:sz w:val="21"/>
          <w:szCs w:val="21"/>
        </w:rPr>
      </w:pPr>
      <w:r>
        <w:rPr>
          <w:rFonts w:hint="eastAsia" w:ascii="Arial" w:hAnsi="Arial"/>
          <w:bCs/>
          <w:sz w:val="21"/>
        </w:rPr>
        <w:t>《不动产权证书》[京（2022）房不动产权第0001792、0001795号]</w:t>
      </w:r>
      <w:r>
        <w:rPr>
          <w:rFonts w:ascii="Arial" w:hAnsi="Arial" w:cs="Arial"/>
          <w:sz w:val="21"/>
          <w:szCs w:val="21"/>
        </w:rPr>
        <w:t>复印件</w:t>
      </w:r>
    </w:p>
    <w:p w14:paraId="6B96149C">
      <w:pPr>
        <w:numPr>
          <w:ilvl w:val="0"/>
          <w:numId w:val="5"/>
        </w:numPr>
        <w:spacing w:line="360" w:lineRule="auto"/>
        <w:jc w:val="both"/>
        <w:rPr>
          <w:rFonts w:ascii="Arial" w:hAnsi="Arial" w:cs="Arial"/>
          <w:sz w:val="21"/>
          <w:szCs w:val="21"/>
        </w:rPr>
      </w:pPr>
      <w:r>
        <w:rPr>
          <w:rFonts w:hint="eastAsia" w:ascii="Arial" w:hAnsi="Arial"/>
          <w:bCs/>
          <w:sz w:val="21"/>
        </w:rPr>
        <w:t>《房屋面积测算技术报告书（商品房类使用）》</w:t>
      </w:r>
    </w:p>
    <w:p w14:paraId="5C954751">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2BC15C0C">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14:paraId="4E1BF30A">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hint="eastAsia" w:ascii="Arial" w:hAnsi="Arial" w:cs="Arial"/>
          <w:sz w:val="21"/>
          <w:szCs w:val="21"/>
        </w:rPr>
        <w:t>估价资质</w:t>
      </w:r>
      <w:r>
        <w:rPr>
          <w:rFonts w:ascii="Arial" w:hAnsi="Arial" w:cs="Arial"/>
          <w:sz w:val="21"/>
          <w:szCs w:val="21"/>
        </w:rPr>
        <w:t>证书复印件</w:t>
      </w:r>
    </w:p>
    <w:p w14:paraId="2EA6842E">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p w14:paraId="4690A2F1">
      <w:pPr>
        <w:spacing w:line="240" w:lineRule="auto"/>
        <w:jc w:val="both"/>
        <w:outlineLvl w:val="0"/>
        <w:rPr>
          <w:rFonts w:ascii="Arial" w:hAnsi="Arial" w:eastAsia="楷体_GB2312" w:cs="Arial"/>
          <w:i/>
          <w:color w:val="548DD4"/>
          <w:kern w:val="2"/>
          <w:sz w:val="28"/>
          <w:szCs w:val="28"/>
        </w:rPr>
        <w:sectPr>
          <w:headerReference r:id="rId15" w:type="first"/>
          <w:footerReference r:id="rId18" w:type="first"/>
          <w:headerReference r:id="rId13" w:type="default"/>
          <w:footerReference r:id="rId16" w:type="default"/>
          <w:headerReference r:id="rId14" w:type="even"/>
          <w:footerReference r:id="rId17" w:type="even"/>
          <w:pgSz w:w="11907" w:h="16840"/>
          <w:pgMar w:top="1843" w:right="1304" w:bottom="1134" w:left="1304" w:header="1134" w:footer="907" w:gutter="0"/>
          <w:cols w:space="720" w:num="1"/>
          <w:docGrid w:linePitch="326" w:charSpace="0"/>
        </w:sectPr>
      </w:pPr>
    </w:p>
    <w:p w14:paraId="626C0380">
      <w:pPr>
        <w:pStyle w:val="2"/>
        <w:spacing w:line="480" w:lineRule="auto"/>
        <w:jc w:val="center"/>
        <w:rPr>
          <w:rFonts w:eastAsia="方正黑体简体"/>
          <w:b w:val="0"/>
          <w:kern w:val="2"/>
          <w:sz w:val="32"/>
          <w:szCs w:val="32"/>
        </w:rPr>
      </w:pPr>
      <w:bookmarkStart w:id="10" w:name="_Toc477252438"/>
      <w:bookmarkStart w:id="11" w:name="_Toc379795041"/>
      <w:r>
        <w:rPr>
          <w:rFonts w:hint="eastAsia" w:eastAsia="方正黑体简体"/>
          <w:b w:val="0"/>
          <w:kern w:val="2"/>
          <w:sz w:val="32"/>
          <w:szCs w:val="32"/>
        </w:rPr>
        <w:t>估价师声明</w:t>
      </w:r>
      <w:bookmarkEnd w:id="10"/>
      <w:bookmarkEnd w:id="11"/>
    </w:p>
    <w:p w14:paraId="1869C80B">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1E6A7388">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103B73A8">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1DF85BBF">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7564ADB8">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hint="eastAsia" w:ascii="Arial" w:hAnsi="Arial" w:cs="Arial"/>
          <w:color w:val="000000"/>
          <w:kern w:val="2"/>
          <w:sz w:val="21"/>
          <w:szCs w:val="21"/>
        </w:rPr>
        <w:t>及</w:t>
      </w:r>
      <w:r>
        <w:rPr>
          <w:rFonts w:ascii="Arial" w:hAnsi="Arial" w:cs="Arial"/>
          <w:color w:val="000000"/>
          <w:kern w:val="2"/>
          <w:sz w:val="21"/>
          <w:szCs w:val="21"/>
        </w:rPr>
        <w:t>《房地产估价基本术语标准》</w:t>
      </w:r>
      <w:r>
        <w:rPr>
          <w:rFonts w:hint="eastAsia" w:ascii="Arial" w:hAnsi="Arial" w:cs="Arial"/>
          <w:color w:val="000000"/>
          <w:kern w:val="2"/>
          <w:sz w:val="21"/>
          <w:szCs w:val="21"/>
        </w:rPr>
        <w:t>，由中华人民共和国建设部、中国人民银行、中国银行业监督管理委员会联合颁布的</w:t>
      </w:r>
      <w:r>
        <w:rPr>
          <w:rFonts w:ascii="Arial" w:hAnsi="Arial" w:cs="Arial"/>
          <w:color w:val="000000"/>
          <w:kern w:val="2"/>
          <w:sz w:val="21"/>
          <w:szCs w:val="21"/>
        </w:rPr>
        <w:t>《房地产抵押估价指导意见》</w:t>
      </w:r>
      <w:r>
        <w:rPr>
          <w:rFonts w:hint="eastAsia" w:ascii="Arial" w:hAnsi="Arial" w:cs="Arial"/>
          <w:color w:val="000000"/>
          <w:kern w:val="2"/>
          <w:sz w:val="21"/>
          <w:szCs w:val="21"/>
        </w:rPr>
        <w:t>，</w:t>
      </w:r>
      <w:r>
        <w:rPr>
          <w:rFonts w:ascii="Arial" w:hAnsi="Arial" w:cs="Arial"/>
          <w:kern w:val="2"/>
          <w:sz w:val="21"/>
          <w:szCs w:val="21"/>
        </w:rPr>
        <w:t>以及相关房地产估价专项标准进行估价工作，撰写本估价报告。</w:t>
      </w:r>
    </w:p>
    <w:p w14:paraId="0925CAF1">
      <w:pPr>
        <w:spacing w:line="480" w:lineRule="auto"/>
        <w:jc w:val="both"/>
        <w:outlineLvl w:val="0"/>
        <w:rPr>
          <w:rFonts w:ascii="Arial" w:hAnsi="Arial" w:eastAsia="楷体_GB2312" w:cs="Arial"/>
          <w:kern w:val="2"/>
          <w:sz w:val="28"/>
        </w:rPr>
      </w:pPr>
      <w:bookmarkStart w:id="12" w:name="_Toc168225811"/>
    </w:p>
    <w:p w14:paraId="2F7F114B">
      <w:pPr>
        <w:rPr>
          <w:rFonts w:ascii="Arial" w:hAnsi="Arial" w:eastAsia="楷体_GB2312" w:cs="Arial"/>
          <w:kern w:val="2"/>
          <w:sz w:val="28"/>
        </w:rPr>
        <w:sectPr>
          <w:headerReference r:id="rId21" w:type="first"/>
          <w:footerReference r:id="rId22" w:type="first"/>
          <w:headerReference r:id="rId19" w:type="default"/>
          <w:headerReference r:id="rId20" w:type="even"/>
          <w:pgSz w:w="11907" w:h="16840"/>
          <w:pgMar w:top="1843" w:right="1304" w:bottom="1134" w:left="1304" w:header="1134" w:footer="907" w:gutter="0"/>
          <w:cols w:space="720" w:num="1"/>
          <w:docGrid w:linePitch="326" w:charSpace="0"/>
        </w:sectPr>
      </w:pPr>
    </w:p>
    <w:p w14:paraId="23E5BC42">
      <w:pPr>
        <w:pStyle w:val="2"/>
        <w:spacing w:line="480" w:lineRule="auto"/>
        <w:jc w:val="center"/>
        <w:rPr>
          <w:rFonts w:eastAsia="方正黑体简体"/>
          <w:b w:val="0"/>
          <w:kern w:val="2"/>
          <w:sz w:val="32"/>
          <w:szCs w:val="32"/>
        </w:rPr>
      </w:pPr>
      <w:bookmarkStart w:id="13" w:name="_Toc477252439"/>
      <w:bookmarkStart w:id="14" w:name="_Toc379795042"/>
      <w:r>
        <w:rPr>
          <w:rFonts w:hint="eastAsia" w:eastAsia="方正黑体简体"/>
          <w:b w:val="0"/>
          <w:kern w:val="2"/>
          <w:sz w:val="32"/>
          <w:szCs w:val="32"/>
        </w:rPr>
        <w:t>估价假设和限制条件</w:t>
      </w:r>
      <w:bookmarkEnd w:id="13"/>
      <w:bookmarkEnd w:id="14"/>
    </w:p>
    <w:p w14:paraId="2F4902B9">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61AB829F">
      <w:pPr>
        <w:numPr>
          <w:ilvl w:val="0"/>
          <w:numId w:val="6"/>
        </w:numP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在价值时点的房地产市场为公开、平等、自愿的交易市场。</w:t>
      </w:r>
    </w:p>
    <w:p w14:paraId="19D8B132">
      <w:pPr>
        <w:numPr>
          <w:ilvl w:val="0"/>
          <w:numId w:val="6"/>
        </w:numPr>
        <w:overflowPunct w:val="0"/>
        <w:spacing w:line="480" w:lineRule="auto"/>
        <w:ind w:left="0" w:firstLine="420" w:firstLineChars="200"/>
        <w:jc w:val="both"/>
        <w:rPr>
          <w:rFonts w:ascii="Arial" w:hAnsi="Arial" w:cs="Arial"/>
          <w:kern w:val="2"/>
          <w:sz w:val="21"/>
          <w:szCs w:val="21"/>
        </w:rPr>
      </w:pPr>
      <w:r>
        <w:rPr>
          <w:rFonts w:hint="eastAsia" w:ascii="Arial" w:hAnsi="Arial" w:cs="Arial"/>
          <w:kern w:val="2"/>
          <w:sz w:val="21"/>
          <w:szCs w:val="21"/>
        </w:rPr>
        <w:t>本估价报告的估价结果是以正常条件下的公开市场价值为基础，并遵循谨慎原则评估出的价值。正常条件下的公开市场价值是指</w:t>
      </w:r>
      <w:r>
        <w:rPr>
          <w:rFonts w:ascii="Arial" w:hAnsi="Arial" w:cs="Arial"/>
          <w:kern w:val="2"/>
          <w:sz w:val="21"/>
          <w:szCs w:val="21"/>
        </w:rPr>
        <w:t>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本估价报告未考虑这种变化对估价对象</w:t>
      </w:r>
      <w:r>
        <w:rPr>
          <w:rFonts w:hint="eastAsia" w:ascii="Arial" w:hAnsi="Arial" w:cs="Arial"/>
          <w:kern w:val="2"/>
          <w:sz w:val="21"/>
          <w:szCs w:val="21"/>
        </w:rPr>
        <w:t>市场</w:t>
      </w:r>
      <w:r>
        <w:rPr>
          <w:rFonts w:ascii="Arial" w:hAnsi="Arial" w:cs="Arial"/>
          <w:kern w:val="2"/>
          <w:sz w:val="21"/>
          <w:szCs w:val="21"/>
        </w:rPr>
        <w:t>价值产生的影响</w:t>
      </w:r>
      <w:r>
        <w:rPr>
          <w:rFonts w:hint="eastAsia" w:ascii="Arial" w:hAnsi="Arial" w:cs="Arial"/>
          <w:kern w:val="2"/>
          <w:sz w:val="21"/>
          <w:szCs w:val="21"/>
        </w:rPr>
        <w:t>。</w:t>
      </w:r>
    </w:p>
    <w:p w14:paraId="53671A3F">
      <w:pPr>
        <w:numPr>
          <w:ilvl w:val="0"/>
          <w:numId w:val="6"/>
        </w:numP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估价对象的出让国有建设用地使用权和建筑物所有权均为合法方式取得，并支付相关税费，估价对象能够正常上市交易。</w:t>
      </w:r>
    </w:p>
    <w:p w14:paraId="534503FE">
      <w:pPr>
        <w:numPr>
          <w:ilvl w:val="0"/>
          <w:numId w:val="6"/>
        </w:numP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评估专业人员已对估价委托人所提供</w:t>
      </w:r>
      <w:r>
        <w:rPr>
          <w:rFonts w:ascii="Arial" w:hAnsi="Arial" w:cs="Arial"/>
          <w:color w:val="000000"/>
          <w:kern w:val="2"/>
          <w:sz w:val="21"/>
          <w:szCs w:val="21"/>
        </w:rPr>
        <w:t>的、本估价报告所依据的估价对象的权属以及其他相关资料进行了检查</w:t>
      </w:r>
      <w:r>
        <w:rPr>
          <w:rFonts w:hint="eastAsia" w:ascii="Arial" w:hAnsi="Arial" w:cs="Arial"/>
          <w:color w:val="000000"/>
          <w:kern w:val="2"/>
          <w:sz w:val="21"/>
          <w:szCs w:val="21"/>
        </w:rPr>
        <w:t>，并通过</w:t>
      </w:r>
      <w:r>
        <w:rPr>
          <w:rFonts w:hint="eastAsia" w:ascii="Arial" w:hAnsi="Arial" w:cs="Arial"/>
          <w:kern w:val="2"/>
          <w:sz w:val="21"/>
          <w:szCs w:val="21"/>
        </w:rPr>
        <w:t>北京市不动产登记信息网上查询获取估价对象《不动产登记信息查询结果告知单》，对其不动产登记信息进行了核对</w:t>
      </w:r>
      <w:r>
        <w:rPr>
          <w:rFonts w:ascii="Arial" w:hAnsi="Arial" w:cs="Arial"/>
          <w:kern w:val="2"/>
          <w:sz w:val="21"/>
          <w:szCs w:val="21"/>
        </w:rPr>
        <w:t>，无理由怀疑其合法性、真实性、准确性和完整性。本次评估设定估价委托人提供的资料合法</w:t>
      </w:r>
      <w:r>
        <w:rPr>
          <w:rFonts w:ascii="Arial" w:hAnsi="Arial" w:cs="Arial"/>
          <w:color w:val="000000"/>
          <w:kern w:val="2"/>
          <w:sz w:val="21"/>
          <w:szCs w:val="21"/>
        </w:rPr>
        <w:t>、属实，并且提供了与本次评估有关的所有资料，没有保留及隐瞒</w:t>
      </w:r>
      <w:r>
        <w:rPr>
          <w:rFonts w:ascii="Arial" w:hAnsi="Arial" w:cs="Arial"/>
          <w:kern w:val="2"/>
          <w:sz w:val="21"/>
          <w:szCs w:val="21"/>
        </w:rPr>
        <w:t>。</w:t>
      </w:r>
    </w:p>
    <w:p w14:paraId="69EA774B">
      <w:pPr>
        <w:numPr>
          <w:ilvl w:val="0"/>
          <w:numId w:val="6"/>
        </w:numPr>
        <w:overflowPunct w:val="0"/>
        <w:spacing w:line="480" w:lineRule="auto"/>
        <w:ind w:left="0" w:firstLine="420" w:firstLineChars="200"/>
        <w:jc w:val="both"/>
        <w:rPr>
          <w:rFonts w:ascii="Arial" w:hAnsi="Arial" w:cs="Arial"/>
          <w:color w:val="000000"/>
          <w:kern w:val="2"/>
          <w:sz w:val="21"/>
          <w:szCs w:val="21"/>
        </w:rPr>
      </w:pPr>
      <w:r>
        <w:rPr>
          <w:rFonts w:ascii="Arial" w:hAnsi="Arial" w:cs="Arial"/>
          <w:sz w:val="21"/>
          <w:szCs w:val="21"/>
        </w:rPr>
        <w:t>估价对象建筑面积以</w:t>
      </w:r>
      <w:r>
        <w:rPr>
          <w:rFonts w:hint="eastAsia" w:ascii="Arial" w:hAnsi="Arial"/>
          <w:bCs/>
          <w:sz w:val="21"/>
        </w:rPr>
        <w:t>《不动产权证书》[京（2021）房不动产权第0024765号、京（2022）房不动产权第0001792、0001795号]、《房屋面积测算技术报告书（商品房类使用）》、《估价委托书》</w:t>
      </w:r>
      <w:r>
        <w:rPr>
          <w:rFonts w:ascii="Arial" w:hAnsi="Arial" w:cs="Arial"/>
          <w:sz w:val="21"/>
          <w:szCs w:val="21"/>
        </w:rPr>
        <w:t>上载明的为依据。</w:t>
      </w:r>
      <w:r>
        <w:rPr>
          <w:rFonts w:ascii="Arial" w:hAnsi="Arial" w:cs="Arial"/>
          <w:kern w:val="2"/>
          <w:sz w:val="21"/>
          <w:szCs w:val="21"/>
        </w:rPr>
        <w:t>评估专业人员对估价对象及</w:t>
      </w:r>
      <w:r>
        <w:rPr>
          <w:rFonts w:ascii="Arial" w:hAnsi="Arial" w:cs="Arial"/>
          <w:color w:val="000000"/>
          <w:kern w:val="2"/>
          <w:sz w:val="21"/>
          <w:szCs w:val="21"/>
        </w:rPr>
        <w:t>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0F4933D">
      <w:pPr>
        <w:numPr>
          <w:ilvl w:val="0"/>
          <w:numId w:val="6"/>
        </w:numPr>
        <w:overflowPunct w:val="0"/>
        <w:spacing w:line="480" w:lineRule="auto"/>
        <w:ind w:left="0" w:firstLine="426"/>
        <w:jc w:val="both"/>
        <w:rPr>
          <w:rFonts w:ascii="Arial" w:hAnsi="Arial" w:cs="Arial"/>
          <w:color w:val="000000"/>
          <w:kern w:val="2"/>
          <w:sz w:val="21"/>
          <w:szCs w:val="21"/>
        </w:rPr>
      </w:pPr>
      <w:r>
        <w:rPr>
          <w:rFonts w:hint="eastAsia" w:ascii="Arial" w:hAnsi="Arial" w:cs="Arial"/>
          <w:color w:val="000000"/>
          <w:kern w:val="2"/>
          <w:sz w:val="21"/>
          <w:szCs w:val="21"/>
        </w:rPr>
        <w:t>基于《增值税法》颁布实施对增值税价外税法律地位的确立，为有效衔接法律规定与市场惯例，本报告在技术测算中严格遵循价税分离原则，在结果呈现时统一调整至市场通用的价税合计口径，报告最终呈现的估价结果采用价税合计的形式。在涉及增值税处理的测算中，基于估价的谨慎性原则以及对估价对象作为经营性物业其典型市场参与者为一般纳税人的判断，统一采用增值税一般纳税人的计税口径（适用税率为9%）进行相关计算。该假设旨在提供一项更为审慎、稳健且符合主流市场条件价值参考。提请估价报告使用者请注意，本报告的估值结论不替代任何实际的税务计算或咨询。该转换仅为提供符合主流市场交易口径的价值参考，实际应纳税额须以税务机关核定为准。整体评估坚持“过程分离、结果价税合一”框架，确保结论兼具理论合规性与市场适用性。</w:t>
      </w:r>
    </w:p>
    <w:p w14:paraId="237713E7">
      <w:pPr>
        <w:numPr>
          <w:ilvl w:val="0"/>
          <w:numId w:val="6"/>
        </w:numP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任何有关估价对象的运作方式、程序符合国家、地方的有关法律、法规。</w:t>
      </w:r>
    </w:p>
    <w:p w14:paraId="2CB11787">
      <w:pPr>
        <w:numPr>
          <w:ilvl w:val="0"/>
          <w:numId w:val="6"/>
        </w:numPr>
        <w:overflowPunct w:val="0"/>
        <w:spacing w:line="480" w:lineRule="auto"/>
        <w:ind w:left="0" w:firstLine="420" w:firstLineChars="200"/>
        <w:jc w:val="both"/>
        <w:rPr>
          <w:rFonts w:ascii="Arial" w:hAnsi="Arial" w:cs="Arial"/>
          <w:color w:val="000000"/>
          <w:kern w:val="2"/>
          <w:sz w:val="21"/>
          <w:szCs w:val="21"/>
        </w:rPr>
      </w:pPr>
      <w:r>
        <w:rPr>
          <w:rFonts w:ascii="Arial" w:hAnsi="Arial" w:cs="Arial"/>
          <w:color w:val="000000"/>
          <w:kern w:val="2"/>
          <w:sz w:val="21"/>
          <w:szCs w:val="21"/>
        </w:rPr>
        <w:t>本次估价结果未考虑国家宏观政策发生重大变化以及遇有自然力和其他不可抗力对估价结果的影响。</w:t>
      </w:r>
    </w:p>
    <w:p w14:paraId="11A33599">
      <w:pPr>
        <w:numPr>
          <w:ilvl w:val="0"/>
          <w:numId w:val="6"/>
        </w:numP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估价结果未考虑估价对象及其运营企业已承担的债务、或有债务及经营决策失误或市场运作失当对其价值的影响。</w:t>
      </w:r>
    </w:p>
    <w:p w14:paraId="3C8132D5">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特殊事项假设前提</w:t>
      </w:r>
    </w:p>
    <w:p w14:paraId="68F90E2F">
      <w:pPr>
        <w:overflowPunct w:val="0"/>
        <w:spacing w:line="480" w:lineRule="auto"/>
        <w:ind w:firstLine="420" w:firstLineChars="200"/>
        <w:jc w:val="both"/>
        <w:textAlignment w:val="auto"/>
        <w:rPr>
          <w:rFonts w:ascii="Arial" w:hAnsi="Arial"/>
          <w:color w:val="000000"/>
          <w:kern w:val="2"/>
          <w:sz w:val="21"/>
        </w:rPr>
      </w:pPr>
      <w:r>
        <w:rPr>
          <w:rFonts w:hint="eastAsia" w:ascii="Arial" w:hAnsi="Arial"/>
          <w:color w:val="000000"/>
          <w:kern w:val="2"/>
          <w:sz w:val="21"/>
        </w:rPr>
        <w:t>1.未定事项假设</w:t>
      </w:r>
    </w:p>
    <w:p w14:paraId="7C8D0A0E">
      <w:pPr>
        <w:overflowPunct w:val="0"/>
        <w:spacing w:line="480" w:lineRule="auto"/>
        <w:ind w:firstLine="420" w:firstLineChars="200"/>
        <w:jc w:val="both"/>
        <w:textAlignment w:val="auto"/>
        <w:rPr>
          <w:rFonts w:ascii="Arial" w:hAnsi="Arial"/>
          <w:color w:val="E36C0A"/>
          <w:kern w:val="2"/>
          <w:sz w:val="21"/>
        </w:rPr>
      </w:pPr>
      <w:r>
        <w:rPr>
          <w:rFonts w:hint="eastAsia" w:ascii="Arial" w:hAnsi="Arial"/>
          <w:color w:val="000000"/>
          <w:kern w:val="2"/>
          <w:sz w:val="21"/>
        </w:rPr>
        <w:t>截至报告出具日，估价对象中房山区长阳镇FS00-LX10-0044地块6号商业楼地上1-2层商业用房尚未取得《不动产权证书》。根据《估价委托书》，本次评估设定6号商业楼101-103、201-203号房屋均为</w:t>
      </w:r>
      <w:r>
        <w:rPr>
          <w:rFonts w:hint="eastAsia" w:ascii="Arial" w:hAnsi="Arial"/>
          <w:bCs/>
          <w:sz w:val="21"/>
        </w:rPr>
        <w:t>北京首开龙湖盈泰置业有限公司单独所有，规划用途为商业，土地使用年限为4</w:t>
      </w:r>
      <w:r>
        <w:rPr>
          <w:rFonts w:ascii="Arial" w:hAnsi="Arial"/>
          <w:bCs/>
          <w:sz w:val="21"/>
        </w:rPr>
        <w:t>0</w:t>
      </w:r>
      <w:r>
        <w:rPr>
          <w:rFonts w:hint="eastAsia" w:ascii="Arial" w:hAnsi="Arial"/>
          <w:bCs/>
          <w:sz w:val="21"/>
        </w:rPr>
        <w:t>年，自2</w:t>
      </w:r>
      <w:r>
        <w:rPr>
          <w:rFonts w:ascii="Arial" w:hAnsi="Arial"/>
          <w:bCs/>
          <w:sz w:val="21"/>
        </w:rPr>
        <w:t>016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6</w:t>
      </w:r>
      <w:r>
        <w:rPr>
          <w:rFonts w:hint="eastAsia" w:ascii="Arial" w:hAnsi="Arial"/>
          <w:bCs/>
          <w:sz w:val="21"/>
        </w:rPr>
        <w:t>日起20</w:t>
      </w:r>
      <w:r>
        <w:rPr>
          <w:rFonts w:ascii="Arial" w:hAnsi="Arial"/>
          <w:bCs/>
          <w:sz w:val="21"/>
        </w:rPr>
        <w:t>56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5</w:t>
      </w:r>
      <w:r>
        <w:rPr>
          <w:rFonts w:hint="eastAsia" w:ascii="Arial" w:hAnsi="Arial"/>
          <w:bCs/>
          <w:sz w:val="21"/>
        </w:rPr>
        <w:t>日止，现已具备竣备条件。建筑面积以《房屋面积测算技术报告书（商品房类使用）》及《估价委托书》记载的为依据，若实际情况与设定情况不符，需调整报告描述。</w:t>
      </w:r>
    </w:p>
    <w:p w14:paraId="3ADBF667">
      <w:pPr>
        <w:overflowPunct w:val="0"/>
        <w:spacing w:line="480" w:lineRule="auto"/>
        <w:ind w:firstLine="420" w:firstLineChars="200"/>
        <w:jc w:val="both"/>
        <w:textAlignment w:val="auto"/>
        <w:rPr>
          <w:rFonts w:ascii="Arial" w:hAnsi="Arial"/>
          <w:color w:val="000000"/>
          <w:kern w:val="2"/>
          <w:sz w:val="21"/>
        </w:rPr>
      </w:pPr>
      <w:r>
        <w:rPr>
          <w:rFonts w:hint="eastAsia" w:ascii="Arial" w:hAnsi="Arial"/>
          <w:color w:val="000000"/>
          <w:kern w:val="2"/>
          <w:sz w:val="21"/>
        </w:rPr>
        <w:t>2.背离事实假设</w:t>
      </w:r>
    </w:p>
    <w:p w14:paraId="26EB7661">
      <w:pPr>
        <w:overflowPunct w:val="0"/>
        <w:spacing w:line="480" w:lineRule="auto"/>
        <w:ind w:firstLine="420" w:firstLineChars="200"/>
        <w:jc w:val="both"/>
        <w:textAlignment w:val="auto"/>
        <w:rPr>
          <w:rFonts w:ascii="Arial" w:hAnsi="Arial"/>
          <w:color w:val="548DD4"/>
          <w:kern w:val="2"/>
          <w:sz w:val="21"/>
        </w:rPr>
      </w:pPr>
      <w:r>
        <w:rPr>
          <w:rFonts w:ascii="Arial" w:hAnsi="Arial" w:cs="Arial"/>
          <w:sz w:val="21"/>
          <w:szCs w:val="21"/>
        </w:rPr>
        <w:t>根据不动产权利人介绍</w:t>
      </w:r>
      <w:r>
        <w:rPr>
          <w:rFonts w:hint="eastAsia" w:ascii="Arial" w:hAnsi="Arial" w:cs="Arial"/>
          <w:sz w:val="21"/>
          <w:szCs w:val="21"/>
        </w:rPr>
        <w:t>及评估专业人员实地查勘</w:t>
      </w:r>
      <w:r>
        <w:rPr>
          <w:rFonts w:ascii="Arial" w:hAnsi="Arial" w:cs="Arial"/>
          <w:sz w:val="21"/>
          <w:szCs w:val="21"/>
        </w:rPr>
        <w:t>，截至价值时点，估价对象北京市房山区阜盛西街11号院3号楼地上1层101号</w:t>
      </w:r>
      <w:r>
        <w:rPr>
          <w:rFonts w:hint="eastAsia" w:ascii="Arial" w:hAnsi="Arial" w:cs="Arial"/>
          <w:sz w:val="21"/>
          <w:szCs w:val="21"/>
        </w:rPr>
        <w:t>商业用房已出租作为售楼处使用，其余房源均未出租，本次评估是</w:t>
      </w:r>
      <w:r>
        <w:rPr>
          <w:rFonts w:hint="eastAsia" w:ascii="Arial" w:hAnsi="Arial"/>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14:paraId="62410770">
      <w:pPr>
        <w:overflowPunct w:val="0"/>
        <w:spacing w:line="480" w:lineRule="auto"/>
        <w:ind w:firstLine="420" w:firstLineChars="200"/>
        <w:jc w:val="both"/>
        <w:textAlignment w:val="auto"/>
        <w:rPr>
          <w:rFonts w:ascii="Arial" w:hAnsi="Arial"/>
          <w:color w:val="000000"/>
          <w:kern w:val="2"/>
          <w:sz w:val="21"/>
        </w:rPr>
      </w:pPr>
      <w:r>
        <w:rPr>
          <w:rFonts w:hint="eastAsia" w:ascii="Arial" w:hAnsi="Arial"/>
          <w:color w:val="000000"/>
          <w:kern w:val="2"/>
          <w:sz w:val="21"/>
        </w:rPr>
        <w:t>3.不相一致假设</w:t>
      </w:r>
    </w:p>
    <w:p w14:paraId="3F63C9BF">
      <w:pPr>
        <w:overflowPunct w:val="0"/>
        <w:spacing w:line="480" w:lineRule="auto"/>
        <w:ind w:firstLine="420" w:firstLineChars="200"/>
        <w:jc w:val="both"/>
        <w:textAlignment w:val="auto"/>
        <w:rPr>
          <w:rFonts w:ascii="Arial" w:hAnsi="Arial"/>
          <w:color w:val="000000"/>
          <w:kern w:val="2"/>
          <w:sz w:val="21"/>
        </w:rPr>
      </w:pPr>
      <w:r>
        <w:rPr>
          <w:rFonts w:hint="eastAsia" w:ascii="Arial" w:hAnsi="Arial"/>
          <w:color w:val="000000"/>
          <w:kern w:val="2"/>
          <w:sz w:val="21"/>
        </w:rPr>
        <w:t>无。</w:t>
      </w:r>
    </w:p>
    <w:p w14:paraId="357511CD">
      <w:pPr>
        <w:overflowPunct w:val="0"/>
        <w:spacing w:line="480" w:lineRule="auto"/>
        <w:ind w:firstLine="420" w:firstLineChars="200"/>
        <w:jc w:val="both"/>
        <w:textAlignment w:val="auto"/>
        <w:rPr>
          <w:rFonts w:ascii="Arial" w:hAnsi="Arial"/>
          <w:color w:val="E36C0A"/>
          <w:kern w:val="2"/>
          <w:sz w:val="21"/>
        </w:rPr>
      </w:pPr>
      <w:r>
        <w:rPr>
          <w:rFonts w:hint="eastAsia" w:ascii="Arial" w:hAnsi="Arial"/>
          <w:color w:val="000000"/>
          <w:kern w:val="2"/>
          <w:sz w:val="21"/>
        </w:rPr>
        <w:t>4.依据不足假设</w:t>
      </w:r>
    </w:p>
    <w:p w14:paraId="36A0BBB7">
      <w:pPr>
        <w:overflowPunct w:val="0"/>
        <w:spacing w:line="480" w:lineRule="auto"/>
        <w:ind w:firstLine="420" w:firstLineChars="200"/>
        <w:jc w:val="both"/>
        <w:textAlignment w:val="auto"/>
        <w:rPr>
          <w:rFonts w:ascii="Arial" w:hAnsi="Arial" w:cs="Arial"/>
          <w:b/>
          <w:color w:val="E36C0A"/>
          <w:kern w:val="2"/>
          <w:sz w:val="21"/>
          <w:szCs w:val="21"/>
        </w:rPr>
      </w:pPr>
      <w:r>
        <w:rPr>
          <w:rFonts w:hint="eastAsia" w:ascii="Arial" w:hAnsi="Arial"/>
          <w:color w:val="000000"/>
          <w:kern w:val="2"/>
          <w:sz w:val="21"/>
        </w:rPr>
        <w:t>截至报告出具日，</w:t>
      </w:r>
      <w:r>
        <w:rPr>
          <w:rFonts w:hint="eastAsia" w:ascii="Arial" w:hAnsi="Arial"/>
          <w:bCs/>
          <w:sz w:val="21"/>
        </w:rPr>
        <w:t>估价委托人</w:t>
      </w:r>
      <w:r>
        <w:rPr>
          <w:rFonts w:hint="eastAsia" w:ascii="Arial" w:hAnsi="Arial"/>
          <w:kern w:val="2"/>
          <w:sz w:val="21"/>
        </w:rPr>
        <w:t>未能提供</w:t>
      </w:r>
      <w:r>
        <w:rPr>
          <w:rFonts w:hint="eastAsia" w:ascii="Arial" w:hAnsi="Arial"/>
          <w:bCs/>
          <w:sz w:val="21"/>
        </w:rPr>
        <w:t>《不动产权证书》[京（2021）房不动产权第0024765号、京（2022）房不动产权第0001792、0001795号]</w:t>
      </w:r>
      <w:r>
        <w:rPr>
          <w:rFonts w:hint="eastAsia" w:ascii="Arial" w:hAnsi="Arial"/>
          <w:kern w:val="2"/>
          <w:sz w:val="21"/>
        </w:rPr>
        <w:t>原件供评估专业人员核对。本次评估以</w:t>
      </w:r>
      <w:r>
        <w:rPr>
          <w:rFonts w:hint="eastAsia" w:ascii="Arial" w:hAnsi="Arial"/>
          <w:bCs/>
          <w:sz w:val="21"/>
        </w:rPr>
        <w:t>估价委托人</w:t>
      </w:r>
      <w:r>
        <w:rPr>
          <w:rFonts w:hint="eastAsia" w:ascii="Arial" w:hAnsi="Arial"/>
          <w:kern w:val="2"/>
          <w:sz w:val="21"/>
        </w:rPr>
        <w:t>提供的</w:t>
      </w:r>
      <w:r>
        <w:rPr>
          <w:rFonts w:hint="eastAsia" w:ascii="Arial" w:hAnsi="Arial"/>
          <w:bCs/>
          <w:sz w:val="21"/>
        </w:rPr>
        <w:t>《不动产权证书》[京（2021）房不动产权第0024765号、京（2022）房不动产权第0001792、0001795号]</w:t>
      </w:r>
      <w:r>
        <w:rPr>
          <w:rFonts w:hint="eastAsia" w:ascii="Arial" w:hAnsi="Arial"/>
          <w:kern w:val="2"/>
          <w:sz w:val="21"/>
        </w:rPr>
        <w:t>复印件与原件一致为估价的假设前提。</w:t>
      </w:r>
    </w:p>
    <w:p w14:paraId="6FBD9978">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估价报告使用限制</w:t>
      </w:r>
    </w:p>
    <w:p w14:paraId="78AE0240">
      <w:pPr>
        <w:numPr>
          <w:ilvl w:val="0"/>
          <w:numId w:val="7"/>
        </w:numPr>
        <w:spacing w:line="480" w:lineRule="auto"/>
        <w:ind w:left="0" w:firstLine="420" w:firstLineChars="200"/>
        <w:jc w:val="both"/>
        <w:rPr>
          <w:rFonts w:ascii="Arial" w:hAnsi="Arial" w:cs="Arial"/>
          <w:kern w:val="2"/>
          <w:sz w:val="21"/>
          <w:szCs w:val="21"/>
        </w:rPr>
      </w:pPr>
      <w:r>
        <w:rPr>
          <w:rFonts w:hint="eastAsia" w:ascii="Arial" w:hAnsi="Arial" w:cs="Arial"/>
          <w:kern w:val="2"/>
          <w:sz w:val="21"/>
          <w:szCs w:val="21"/>
        </w:rPr>
        <w:t>使用范围：本估价报告只能由估价报告载明的报告使用者使用，且只能用于本报告载明的唯一估价目的和用途。</w:t>
      </w:r>
    </w:p>
    <w:p w14:paraId="4676C9B1">
      <w:pPr>
        <w:numPr>
          <w:ilvl w:val="0"/>
          <w:numId w:val="7"/>
        </w:numPr>
        <w:spacing w:line="480" w:lineRule="auto"/>
        <w:ind w:left="0" w:firstLine="420" w:firstLineChars="200"/>
        <w:jc w:val="both"/>
        <w:rPr>
          <w:rFonts w:ascii="Arial" w:hAnsi="Arial" w:cs="Arial"/>
          <w:kern w:val="2"/>
          <w:sz w:val="21"/>
          <w:szCs w:val="21"/>
        </w:rPr>
      </w:pPr>
      <w:r>
        <w:rPr>
          <w:rFonts w:hint="eastAsia" w:ascii="Arial" w:hAnsi="Arial" w:cs="Arial"/>
          <w:kern w:val="2"/>
          <w:sz w:val="21"/>
          <w:szCs w:val="21"/>
        </w:rPr>
        <w:t>估价报告使用者：本次估价业务的估价委托人及本次估价业务委托合同所约定的使用者。</w:t>
      </w:r>
    </w:p>
    <w:p w14:paraId="4D162EDE">
      <w:pPr>
        <w:numPr>
          <w:ilvl w:val="0"/>
          <w:numId w:val="7"/>
        </w:numPr>
        <w:spacing w:line="480" w:lineRule="auto"/>
        <w:ind w:left="0" w:firstLine="420" w:firstLineChars="200"/>
        <w:jc w:val="both"/>
        <w:rPr>
          <w:rFonts w:ascii="Arial" w:hAnsi="Arial" w:cs="Arial"/>
          <w:kern w:val="2"/>
          <w:sz w:val="21"/>
          <w:szCs w:val="21"/>
        </w:rPr>
      </w:pPr>
      <w:r>
        <w:rPr>
          <w:rFonts w:hint="eastAsia" w:ascii="Arial" w:hAnsi="Arial" w:cs="Arial"/>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57C3ABC1">
      <w:pPr>
        <w:numPr>
          <w:ilvl w:val="0"/>
          <w:numId w:val="7"/>
        </w:numPr>
        <w:spacing w:line="480" w:lineRule="auto"/>
        <w:ind w:left="0" w:firstLine="420" w:firstLineChars="200"/>
        <w:jc w:val="both"/>
        <w:rPr>
          <w:rFonts w:ascii="Arial" w:hAnsi="Arial" w:cs="Arial"/>
          <w:kern w:val="2"/>
          <w:sz w:val="21"/>
          <w:szCs w:val="21"/>
        </w:rPr>
      </w:pPr>
      <w:r>
        <w:rPr>
          <w:rFonts w:hint="eastAsia" w:ascii="Arial" w:hAnsi="Arial" w:cs="Arial"/>
          <w:kern w:val="2"/>
          <w:sz w:val="21"/>
          <w:szCs w:val="21"/>
        </w:rPr>
        <w:t>除估价委托人、估价委托合同中约定的其他估价报告使用者和法律、行政法规规定的估价报告使用者之外，其他任何机构和个人不能成为估价报告的使用者。</w:t>
      </w:r>
    </w:p>
    <w:p w14:paraId="070A02B7">
      <w:pPr>
        <w:numPr>
          <w:ilvl w:val="0"/>
          <w:numId w:val="7"/>
        </w:numPr>
        <w:spacing w:line="480" w:lineRule="auto"/>
        <w:ind w:left="0" w:firstLine="420" w:firstLineChars="200"/>
        <w:jc w:val="both"/>
        <w:rPr>
          <w:rFonts w:ascii="Arial" w:hAnsi="Arial" w:cs="Arial"/>
          <w:kern w:val="2"/>
          <w:sz w:val="21"/>
          <w:szCs w:val="21"/>
        </w:rPr>
      </w:pPr>
      <w:r>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641AB8C0">
      <w:pPr>
        <w:numPr>
          <w:ilvl w:val="0"/>
          <w:numId w:val="7"/>
        </w:numPr>
        <w:spacing w:line="480" w:lineRule="auto"/>
        <w:ind w:left="0" w:firstLine="420" w:firstLineChars="200"/>
        <w:jc w:val="both"/>
        <w:rPr>
          <w:rFonts w:ascii="Arial" w:hAnsi="Arial" w:cs="Arial"/>
          <w:kern w:val="2"/>
          <w:sz w:val="21"/>
          <w:szCs w:val="21"/>
        </w:rPr>
      </w:pPr>
      <w:r>
        <w:rPr>
          <w:rFonts w:hint="eastAsia" w:ascii="Arial" w:hAnsi="Arial" w:cs="Arial"/>
          <w:kern w:val="2"/>
          <w:sz w:val="21"/>
          <w:szCs w:val="21"/>
        </w:rPr>
        <w:t>估价报告使用者应当正确理解估价结论。估价结论不等同于估价对象可实现价格，估价结论不应当被认为是对估价对象可实现价格的保证。</w:t>
      </w:r>
    </w:p>
    <w:p w14:paraId="2C1FC96D">
      <w:pPr>
        <w:numPr>
          <w:ilvl w:val="0"/>
          <w:numId w:val="7"/>
        </w:numPr>
        <w:spacing w:line="480" w:lineRule="auto"/>
        <w:ind w:left="0" w:firstLine="420" w:firstLineChars="200"/>
        <w:jc w:val="both"/>
        <w:rPr>
          <w:rFonts w:ascii="Arial" w:hAnsi="Arial" w:cs="Arial"/>
          <w:kern w:val="2"/>
          <w:sz w:val="21"/>
          <w:szCs w:val="21"/>
        </w:rPr>
      </w:pP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kern w:val="2"/>
          <w:sz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2008F16C">
      <w:pPr>
        <w:numPr>
          <w:ilvl w:val="0"/>
          <w:numId w:val="7"/>
        </w:numPr>
        <w:spacing w:line="480" w:lineRule="auto"/>
        <w:ind w:left="0" w:firstLine="420" w:firstLineChars="200"/>
        <w:jc w:val="both"/>
        <w:rPr>
          <w:rFonts w:ascii="Arial" w:hAnsi="Arial" w:cs="Arial"/>
          <w:sz w:val="21"/>
          <w:szCs w:val="21"/>
        </w:rPr>
      </w:pPr>
      <w:r>
        <w:rPr>
          <w:rFonts w:ascii="Arial" w:hAnsi="Arial" w:cs="Arial"/>
          <w:kern w:val="2"/>
          <w:sz w:val="21"/>
          <w:szCs w:val="21"/>
        </w:rPr>
        <w:t>本</w:t>
      </w:r>
      <w:r>
        <w:rPr>
          <w:rFonts w:hint="eastAsia" w:ascii="Arial" w:hAnsi="Arial" w:cs="Arial"/>
          <w:kern w:val="2"/>
          <w:sz w:val="21"/>
          <w:szCs w:val="21"/>
        </w:rPr>
        <w:t>估价</w:t>
      </w:r>
      <w:r>
        <w:rPr>
          <w:rFonts w:ascii="Arial" w:hAnsi="Arial" w:cs="Arial"/>
          <w:kern w:val="2"/>
          <w:sz w:val="21"/>
          <w:szCs w:val="21"/>
        </w:rPr>
        <w:t>报告估价结果为价值时点下估价对象</w:t>
      </w:r>
      <w:r>
        <w:rPr>
          <w:rFonts w:hint="eastAsia" w:ascii="Arial" w:hAnsi="Arial" w:cs="Arial"/>
          <w:kern w:val="2"/>
          <w:sz w:val="21"/>
          <w:szCs w:val="21"/>
        </w:rPr>
        <w:t>于本估价报告所列设定条件及假设前提下的</w:t>
      </w:r>
      <w:r>
        <w:rPr>
          <w:rFonts w:ascii="Arial" w:hAnsi="Arial" w:cs="Arial"/>
          <w:kern w:val="2"/>
          <w:sz w:val="21"/>
          <w:szCs w:val="21"/>
        </w:rPr>
        <w:t>价值，如设定条件发生变化，估价结果需要做相应的调整直至重新评估</w:t>
      </w:r>
      <w:r>
        <w:rPr>
          <w:rFonts w:ascii="Arial" w:hAnsi="Arial" w:cs="Arial"/>
          <w:sz w:val="21"/>
          <w:szCs w:val="21"/>
        </w:rPr>
        <w:t>。</w:t>
      </w:r>
    </w:p>
    <w:p w14:paraId="09896A6E">
      <w:pPr>
        <w:numPr>
          <w:ilvl w:val="0"/>
          <w:numId w:val="7"/>
        </w:numPr>
        <w:spacing w:line="480" w:lineRule="auto"/>
        <w:ind w:left="0" w:firstLine="420" w:firstLineChars="200"/>
        <w:jc w:val="both"/>
        <w:rPr>
          <w:rFonts w:ascii="Arial" w:hAnsi="Arial" w:cs="Arial"/>
          <w:sz w:val="21"/>
          <w:szCs w:val="21"/>
        </w:rPr>
      </w:pPr>
      <w:r>
        <w:rPr>
          <w:rFonts w:hint="eastAsia" w:ascii="Arial" w:hAnsi="Arial" w:cs="Arial"/>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kern w:val="2"/>
          <w:sz w:val="21"/>
          <w:szCs w:val="21"/>
        </w:rPr>
        <w:t>实或资料提供人有所隐匿而导致估价结果失真，估价机构不承担相应的责任。</w:t>
      </w:r>
    </w:p>
    <w:p w14:paraId="1743DDF3">
      <w:pPr>
        <w:numPr>
          <w:ilvl w:val="0"/>
          <w:numId w:val="7"/>
        </w:numPr>
        <w:spacing w:line="480" w:lineRule="auto"/>
        <w:ind w:left="0" w:firstLine="420" w:firstLineChars="200"/>
        <w:jc w:val="both"/>
        <w:rPr>
          <w:rFonts w:ascii="Arial" w:hAnsi="Arial" w:cs="Arial"/>
          <w:sz w:val="21"/>
          <w:szCs w:val="21"/>
        </w:rPr>
      </w:pPr>
      <w:r>
        <w:rPr>
          <w:rFonts w:ascii="Arial" w:hAnsi="Arial" w:cs="Arial"/>
          <w:sz w:val="21"/>
          <w:szCs w:val="21"/>
        </w:rPr>
        <w:t>本估价报告中数据全部采用电算化连续计算得出，由于在报告中计算的数据均按四舍五入取整或保留小数</w:t>
      </w:r>
      <w:r>
        <w:rPr>
          <w:rFonts w:hint="eastAsia" w:ascii="Arial" w:hAnsi="Arial" w:cs="Arial"/>
          <w:sz w:val="21"/>
          <w:szCs w:val="21"/>
        </w:rPr>
        <w:t>位</w:t>
      </w:r>
      <w:r>
        <w:rPr>
          <w:rFonts w:ascii="Arial" w:hAnsi="Arial" w:cs="Arial"/>
          <w:sz w:val="21"/>
          <w:szCs w:val="21"/>
        </w:rPr>
        <w:t>，故可能出现个别等式左右不完全相等的情况，但不影响计算结果及最终评估结论的准确性。</w:t>
      </w:r>
    </w:p>
    <w:p w14:paraId="5228DD8B">
      <w:pPr>
        <w:numPr>
          <w:ilvl w:val="0"/>
          <w:numId w:val="7"/>
        </w:numPr>
        <w:spacing w:line="480" w:lineRule="auto"/>
        <w:ind w:left="0" w:firstLine="420" w:firstLineChars="200"/>
        <w:jc w:val="both"/>
        <w:rPr>
          <w:rFonts w:ascii="Arial" w:hAnsi="Arial" w:cs="Arial"/>
          <w:kern w:val="2"/>
          <w:sz w:val="21"/>
        </w:rPr>
      </w:pPr>
      <w:r>
        <w:rPr>
          <w:rFonts w:ascii="Arial" w:hAnsi="Arial" w:cs="Arial"/>
          <w:sz w:val="21"/>
          <w:szCs w:val="21"/>
        </w:rPr>
        <w:t>本估价报告在估价机构盖章和注册房地产估价师签字或签章的条件下有效。</w:t>
      </w:r>
    </w:p>
    <w:p w14:paraId="7F6630F7">
      <w:pPr>
        <w:numPr>
          <w:ilvl w:val="0"/>
          <w:numId w:val="7"/>
        </w:numPr>
        <w:spacing w:line="480" w:lineRule="auto"/>
        <w:ind w:left="0" w:firstLine="420" w:firstLineChars="200"/>
        <w:jc w:val="both"/>
        <w:rPr>
          <w:rFonts w:ascii="Arial" w:hAnsi="Arial" w:cs="Arial"/>
          <w:kern w:val="2"/>
          <w:sz w:val="21"/>
        </w:rPr>
      </w:pPr>
      <w:r>
        <w:rPr>
          <w:rFonts w:ascii="Arial" w:hAnsi="Arial" w:cs="Arial"/>
          <w:kern w:val="2"/>
          <w:sz w:val="21"/>
        </w:rPr>
        <w:t>本估价报告</w:t>
      </w:r>
      <w:r>
        <w:rPr>
          <w:rFonts w:hint="eastAsia" w:ascii="Arial" w:hAnsi="Arial" w:cs="Arial"/>
          <w:kern w:val="2"/>
          <w:sz w:val="21"/>
        </w:rPr>
        <w:t>使用期限</w:t>
      </w:r>
      <w:r>
        <w:rPr>
          <w:rFonts w:ascii="Arial" w:hAnsi="Arial" w:cs="Arial"/>
          <w:kern w:val="2"/>
          <w:sz w:val="21"/>
        </w:rPr>
        <w:t>自</w:t>
      </w:r>
      <w:r>
        <w:rPr>
          <w:rFonts w:hint="eastAsia" w:ascii="Arial" w:hAnsi="Arial" w:cs="Arial"/>
          <w:kern w:val="2"/>
          <w:sz w:val="21"/>
        </w:rPr>
        <w:t>2026年1月30日</w:t>
      </w:r>
      <w:r>
        <w:rPr>
          <w:rFonts w:ascii="Arial" w:hAnsi="Arial" w:cs="Arial"/>
          <w:kern w:val="2"/>
          <w:sz w:val="21"/>
        </w:rPr>
        <w:t>起</w:t>
      </w:r>
      <w:r>
        <w:rPr>
          <w:rFonts w:hint="eastAsia" w:ascii="Arial" w:hAnsi="Arial" w:cs="Arial"/>
          <w:kern w:val="2"/>
          <w:sz w:val="21"/>
        </w:rPr>
        <w:t>至2027年1月29日止。</w:t>
      </w:r>
    </w:p>
    <w:p w14:paraId="666A61CD">
      <w:pPr>
        <w:numPr>
          <w:ilvl w:val="0"/>
          <w:numId w:val="7"/>
        </w:numPr>
        <w:spacing w:line="480" w:lineRule="auto"/>
        <w:ind w:left="0" w:firstLine="420" w:firstLineChars="200"/>
        <w:jc w:val="both"/>
        <w:rPr>
          <w:rFonts w:ascii="Arial" w:hAnsi="Arial" w:cs="Arial"/>
          <w:sz w:val="21"/>
          <w:szCs w:val="21"/>
        </w:rPr>
      </w:pPr>
      <w:r>
        <w:rPr>
          <w:rFonts w:ascii="Arial" w:hAnsi="Arial" w:cs="Arial"/>
          <w:kern w:val="2"/>
          <w:sz w:val="21"/>
          <w:szCs w:val="21"/>
        </w:rPr>
        <w:t>本估价报告由北京康正宏基房地产评估有限公司负责解释</w:t>
      </w:r>
      <w:r>
        <w:rPr>
          <w:rFonts w:hint="eastAsia" w:ascii="Arial" w:hAnsi="Arial" w:cs="Arial"/>
          <w:kern w:val="2"/>
          <w:sz w:val="21"/>
          <w:szCs w:val="21"/>
        </w:rPr>
        <w:t>。</w:t>
      </w:r>
    </w:p>
    <w:bookmarkEnd w:id="12"/>
    <w:p w14:paraId="784462FD">
      <w:pPr>
        <w:spacing w:line="480" w:lineRule="auto"/>
        <w:ind w:firstLine="420" w:firstLineChars="200"/>
        <w:jc w:val="both"/>
        <w:rPr>
          <w:rFonts w:ascii="Arial" w:hAnsi="Arial" w:cs="Arial"/>
          <w:kern w:val="2"/>
          <w:sz w:val="21"/>
          <w:szCs w:val="21"/>
        </w:rPr>
        <w:sectPr>
          <w:pgSz w:w="11907" w:h="16840"/>
          <w:pgMar w:top="1843" w:right="1304" w:bottom="1134" w:left="1304" w:header="1134" w:footer="907" w:gutter="0"/>
          <w:cols w:space="720" w:num="1"/>
          <w:docGrid w:linePitch="326" w:charSpace="0"/>
        </w:sectPr>
      </w:pPr>
    </w:p>
    <w:p w14:paraId="50E052EC">
      <w:pPr>
        <w:pStyle w:val="2"/>
        <w:spacing w:line="480" w:lineRule="auto"/>
        <w:jc w:val="center"/>
        <w:rPr>
          <w:rFonts w:eastAsia="方正黑体简体"/>
          <w:b w:val="0"/>
          <w:kern w:val="2"/>
          <w:sz w:val="32"/>
          <w:szCs w:val="32"/>
        </w:rPr>
      </w:pPr>
      <w:bookmarkStart w:id="15" w:name="_Toc168225812"/>
      <w:bookmarkStart w:id="16" w:name="_Toc477252440"/>
      <w:r>
        <w:rPr>
          <w:rFonts w:hint="eastAsia" w:eastAsia="方正黑体简体"/>
          <w:b w:val="0"/>
          <w:kern w:val="2"/>
          <w:sz w:val="32"/>
          <w:szCs w:val="32"/>
        </w:rPr>
        <w:t>估价结果报告</w:t>
      </w:r>
      <w:bookmarkEnd w:id="15"/>
      <w:bookmarkEnd w:id="16"/>
    </w:p>
    <w:p w14:paraId="3C5135E9">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477252441"/>
      <w:r>
        <w:rPr>
          <w:rFonts w:eastAsia="宋体"/>
          <w:kern w:val="2"/>
          <w:sz w:val="21"/>
          <w:szCs w:val="21"/>
        </w:rPr>
        <w:t>一</w:t>
      </w:r>
      <w:bookmarkEnd w:id="17"/>
      <w:r>
        <w:rPr>
          <w:rFonts w:eastAsia="宋体"/>
          <w:kern w:val="2"/>
          <w:sz w:val="21"/>
          <w:szCs w:val="21"/>
        </w:rPr>
        <w:t>、估价委托人</w:t>
      </w:r>
      <w:bookmarkEnd w:id="18"/>
    </w:p>
    <w:p w14:paraId="58A8CF6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本次评估估价委托人为</w:t>
      </w:r>
      <w:r>
        <w:rPr>
          <w:rFonts w:hint="eastAsia" w:ascii="Arial" w:hAnsi="Arial"/>
          <w:kern w:val="2"/>
          <w:sz w:val="21"/>
        </w:rPr>
        <w:t>北京首开龙湖盈泰置业有限公司</w:t>
      </w:r>
      <w:r>
        <w:rPr>
          <w:rFonts w:ascii="Arial" w:hAnsi="Arial" w:cs="Arial"/>
          <w:sz w:val="21"/>
          <w:szCs w:val="21"/>
        </w:rPr>
        <w:t>，为估价对象的不动产权利人。</w:t>
      </w:r>
    </w:p>
    <w:p w14:paraId="5A47D775">
      <w:pPr>
        <w:wordWrap w:val="0"/>
        <w:overflowPunct w:val="0"/>
        <w:spacing w:line="480" w:lineRule="auto"/>
        <w:ind w:firstLine="420" w:firstLineChars="200"/>
        <w:jc w:val="both"/>
        <w:textAlignment w:val="auto"/>
        <w:rPr>
          <w:rFonts w:ascii="Arial" w:hAnsi="Arial"/>
          <w:kern w:val="2"/>
          <w:sz w:val="21"/>
        </w:rPr>
      </w:pPr>
      <w:r>
        <w:rPr>
          <w:rFonts w:ascii="Arial" w:hAnsi="Arial" w:cs="Arial"/>
          <w:sz w:val="21"/>
          <w:szCs w:val="21"/>
        </w:rPr>
        <w:t>单位名称：</w:t>
      </w:r>
      <w:r>
        <w:rPr>
          <w:rFonts w:hint="eastAsia" w:ascii="Arial" w:hAnsi="Arial"/>
          <w:kern w:val="2"/>
          <w:sz w:val="21"/>
        </w:rPr>
        <w:t>北京首开龙湖盈泰置业有限公司</w:t>
      </w:r>
    </w:p>
    <w:p w14:paraId="4172CF7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住所：</w:t>
      </w:r>
      <w:r>
        <w:rPr>
          <w:rFonts w:hint="eastAsia" w:ascii="Arial" w:hAnsi="Arial" w:cs="Arial"/>
          <w:sz w:val="21"/>
          <w:szCs w:val="21"/>
        </w:rPr>
        <w:t>北京市东城区东花市北里东区1号1号楼三段五层</w:t>
      </w:r>
    </w:p>
    <w:p w14:paraId="3B19E816">
      <w:pPr>
        <w:wordWrap w:val="0"/>
        <w:overflowPunct w:val="0"/>
        <w:spacing w:line="480" w:lineRule="auto"/>
        <w:ind w:firstLine="420" w:firstLineChars="200"/>
        <w:jc w:val="both"/>
        <w:textAlignment w:val="auto"/>
        <w:rPr>
          <w:rFonts w:ascii="Arial" w:hAnsi="Arial"/>
          <w:kern w:val="2"/>
          <w:sz w:val="21"/>
        </w:rPr>
      </w:pPr>
      <w:r>
        <w:rPr>
          <w:rFonts w:ascii="Arial" w:hAnsi="Arial" w:cs="Arial"/>
          <w:sz w:val="21"/>
          <w:szCs w:val="21"/>
        </w:rPr>
        <w:t>法定代表人：</w:t>
      </w:r>
      <w:r>
        <w:rPr>
          <w:rFonts w:hint="eastAsia" w:ascii="Arial" w:hAnsi="Arial" w:cs="Arial"/>
          <w:sz w:val="21"/>
          <w:szCs w:val="21"/>
        </w:rPr>
        <w:t xml:space="preserve">刘泉 </w:t>
      </w:r>
    </w:p>
    <w:p w14:paraId="6735E81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联系人：</w:t>
      </w:r>
      <w:r>
        <w:rPr>
          <w:rFonts w:hint="eastAsia" w:ascii="Arial" w:hAnsi="Arial" w:cs="Arial"/>
          <w:sz w:val="21"/>
          <w:szCs w:val="21"/>
        </w:rPr>
        <w:t>常园园</w:t>
      </w:r>
    </w:p>
    <w:p w14:paraId="194BAD5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w:t>
      </w:r>
      <w:r>
        <w:rPr>
          <w:rFonts w:hint="eastAsia" w:ascii="Arial" w:hAnsi="Arial" w:cs="Arial"/>
          <w:sz w:val="21"/>
          <w:szCs w:val="21"/>
        </w:rPr>
        <w:t>13911780173</w:t>
      </w:r>
    </w:p>
    <w:p w14:paraId="28FBC555">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477252442"/>
      <w:bookmarkStart w:id="20" w:name="_Toc168225814"/>
      <w:r>
        <w:rPr>
          <w:rFonts w:eastAsia="宋体"/>
          <w:kern w:val="2"/>
          <w:sz w:val="21"/>
          <w:szCs w:val="21"/>
        </w:rPr>
        <w:t>二、房地产估价机构</w:t>
      </w:r>
      <w:bookmarkEnd w:id="19"/>
      <w:bookmarkEnd w:id="20"/>
    </w:p>
    <w:p w14:paraId="3731EEA1">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受托机构：北京康正宏基房地产评估有限公司</w:t>
      </w:r>
    </w:p>
    <w:p w14:paraId="41DA4EB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备案等级</w:t>
      </w:r>
      <w:r>
        <w:rPr>
          <w:rFonts w:ascii="Arial" w:hAnsi="Arial" w:cs="Arial"/>
          <w:sz w:val="21"/>
          <w:szCs w:val="21"/>
        </w:rPr>
        <w:t>：</w:t>
      </w:r>
      <w:r>
        <w:rPr>
          <w:rFonts w:hint="eastAsia" w:ascii="Arial" w:hAnsi="Arial" w:cs="Arial"/>
          <w:sz w:val="21"/>
          <w:szCs w:val="21"/>
        </w:rPr>
        <w:t>一</w:t>
      </w:r>
      <w:r>
        <w:rPr>
          <w:rFonts w:ascii="Arial" w:hAnsi="Arial" w:cs="Arial"/>
          <w:sz w:val="21"/>
          <w:szCs w:val="21"/>
        </w:rPr>
        <w:t>级</w:t>
      </w:r>
    </w:p>
    <w:p w14:paraId="4B090BF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w:t>
      </w:r>
      <w:r>
        <w:rPr>
          <w:rFonts w:ascii="Arial" w:hAnsi="Arial" w:cs="Arial"/>
          <w:sz w:val="21"/>
          <w:szCs w:val="21"/>
        </w:rPr>
        <w:t>证书</w:t>
      </w:r>
      <w:r>
        <w:rPr>
          <w:rFonts w:hint="eastAsia" w:ascii="Arial" w:hAnsi="Arial" w:cs="Arial"/>
          <w:sz w:val="21"/>
          <w:szCs w:val="21"/>
        </w:rPr>
        <w:t>编</w:t>
      </w:r>
      <w:r>
        <w:rPr>
          <w:rFonts w:ascii="Arial" w:hAnsi="Arial" w:cs="Arial"/>
          <w:sz w:val="21"/>
          <w:szCs w:val="21"/>
        </w:rPr>
        <w:t>号：建房估</w:t>
      </w:r>
      <w:r>
        <w:rPr>
          <w:rFonts w:hint="eastAsia" w:ascii="Arial" w:hAnsi="Arial" w:cs="Arial"/>
          <w:sz w:val="21"/>
          <w:szCs w:val="21"/>
        </w:rPr>
        <w:t>备</w:t>
      </w:r>
      <w:r>
        <w:rPr>
          <w:rFonts w:ascii="Arial" w:hAnsi="Arial" w:cs="Arial"/>
          <w:sz w:val="21"/>
          <w:szCs w:val="21"/>
        </w:rPr>
        <w:t>字[2013]</w:t>
      </w:r>
      <w:r>
        <w:rPr>
          <w:rFonts w:hint="eastAsia" w:ascii="Arial" w:hAnsi="Arial"/>
          <w:sz w:val="21"/>
          <w:szCs w:val="21"/>
        </w:rPr>
        <w:t>第</w:t>
      </w:r>
      <w:r>
        <w:rPr>
          <w:rFonts w:ascii="Arial" w:hAnsi="Arial" w:cs="Arial"/>
          <w:sz w:val="21"/>
          <w:szCs w:val="21"/>
        </w:rPr>
        <w:t>081号</w:t>
      </w:r>
    </w:p>
    <w:p w14:paraId="2172B69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有效期限：20</w:t>
      </w:r>
      <w:r>
        <w:rPr>
          <w:rFonts w:hint="eastAsia" w:ascii="Arial" w:hAnsi="Arial" w:cs="Arial"/>
          <w:sz w:val="21"/>
          <w:szCs w:val="21"/>
        </w:rPr>
        <w:t>25</w:t>
      </w:r>
      <w:r>
        <w:rPr>
          <w:rFonts w:ascii="Arial" w:hAnsi="Arial" w:cs="Arial"/>
          <w:sz w:val="21"/>
          <w:szCs w:val="21"/>
        </w:rPr>
        <w:t>年</w:t>
      </w:r>
      <w:r>
        <w:rPr>
          <w:rFonts w:hint="eastAsia" w:ascii="Arial" w:hAnsi="Arial" w:cs="Arial"/>
          <w:sz w:val="21"/>
          <w:szCs w:val="21"/>
        </w:rPr>
        <w:t>7</w:t>
      </w:r>
      <w:r>
        <w:rPr>
          <w:rFonts w:ascii="Arial" w:hAnsi="Arial" w:cs="Arial"/>
          <w:sz w:val="21"/>
          <w:szCs w:val="21"/>
        </w:rPr>
        <w:t>月</w:t>
      </w:r>
      <w:r>
        <w:rPr>
          <w:rFonts w:hint="eastAsia" w:ascii="Arial" w:hAnsi="Arial" w:cs="Arial"/>
          <w:sz w:val="21"/>
          <w:szCs w:val="21"/>
        </w:rPr>
        <w:t>1</w:t>
      </w:r>
      <w:r>
        <w:rPr>
          <w:rFonts w:ascii="Arial" w:hAnsi="Arial" w:cs="Arial"/>
          <w:sz w:val="21"/>
          <w:szCs w:val="21"/>
        </w:rPr>
        <w:t>日至20</w:t>
      </w:r>
      <w:r>
        <w:rPr>
          <w:rFonts w:hint="eastAsia" w:ascii="Arial" w:hAnsi="Arial" w:cs="Arial"/>
          <w:sz w:val="21"/>
          <w:szCs w:val="21"/>
        </w:rPr>
        <w:t>28</w:t>
      </w:r>
      <w:r>
        <w:rPr>
          <w:rFonts w:ascii="Arial" w:hAnsi="Arial" w:cs="Arial"/>
          <w:sz w:val="21"/>
          <w:szCs w:val="21"/>
        </w:rPr>
        <w:t>年</w:t>
      </w:r>
      <w:r>
        <w:rPr>
          <w:rFonts w:hint="eastAsia" w:ascii="Arial" w:hAnsi="Arial" w:cs="Arial"/>
          <w:sz w:val="21"/>
          <w:szCs w:val="21"/>
        </w:rPr>
        <w:t>6</w:t>
      </w:r>
      <w:r>
        <w:rPr>
          <w:rFonts w:ascii="Arial" w:hAnsi="Arial" w:cs="Arial"/>
          <w:sz w:val="21"/>
          <w:szCs w:val="21"/>
        </w:rPr>
        <w:t>月</w:t>
      </w:r>
      <w:r>
        <w:rPr>
          <w:rFonts w:hint="eastAsia" w:ascii="Arial" w:hAnsi="Arial" w:cs="Arial"/>
          <w:sz w:val="21"/>
          <w:szCs w:val="21"/>
        </w:rPr>
        <w:t>30</w:t>
      </w:r>
      <w:r>
        <w:rPr>
          <w:rFonts w:ascii="Arial" w:hAnsi="Arial" w:cs="Arial"/>
          <w:sz w:val="21"/>
          <w:szCs w:val="21"/>
        </w:rPr>
        <w:t>日</w:t>
      </w:r>
    </w:p>
    <w:p w14:paraId="45CAB67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地址：北京市朝阳区裕民路</w:t>
      </w:r>
      <w:r>
        <w:rPr>
          <w:rFonts w:hint="eastAsia" w:ascii="Arial" w:hAnsi="Arial" w:cs="Arial"/>
          <w:sz w:val="21"/>
          <w:szCs w:val="21"/>
        </w:rPr>
        <w:t>12号中国国际科技会展中心B座1003</w:t>
      </w:r>
    </w:p>
    <w:p w14:paraId="525E19B1">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法定代表人：齐宏</w:t>
      </w:r>
    </w:p>
    <w:p w14:paraId="70CB67E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0E1013D5">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sz w:val="21"/>
          <w:szCs w:val="21"/>
        </w:rPr>
        <w:t>联系电话：010-82253558</w:t>
      </w:r>
    </w:p>
    <w:p w14:paraId="5C844203">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68225815"/>
      <w:bookmarkStart w:id="22" w:name="_Toc477252443"/>
      <w:r>
        <w:rPr>
          <w:rFonts w:eastAsia="宋体"/>
          <w:kern w:val="2"/>
          <w:sz w:val="21"/>
          <w:szCs w:val="21"/>
        </w:rPr>
        <w:t>三、估价目的</w:t>
      </w:r>
      <w:bookmarkEnd w:id="21"/>
      <w:bookmarkEnd w:id="22"/>
    </w:p>
    <w:p w14:paraId="55D8676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kern w:val="2"/>
          <w:sz w:val="21"/>
        </w:rPr>
        <w:t>为估价委托人了解估价对象房地产市场租金水平提供参考依据</w:t>
      </w:r>
      <w:r>
        <w:rPr>
          <w:rFonts w:ascii="Arial" w:hAnsi="Arial" w:cs="Arial"/>
          <w:sz w:val="21"/>
          <w:szCs w:val="21"/>
        </w:rPr>
        <w:t>。</w:t>
      </w:r>
    </w:p>
    <w:p w14:paraId="3369590F">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68225816"/>
      <w:bookmarkStart w:id="24" w:name="_Toc477252444"/>
      <w:r>
        <w:rPr>
          <w:rFonts w:eastAsia="宋体"/>
          <w:kern w:val="2"/>
          <w:sz w:val="21"/>
          <w:szCs w:val="21"/>
        </w:rPr>
        <w:t>四、估价对象</w:t>
      </w:r>
      <w:bookmarkEnd w:id="23"/>
      <w:bookmarkEnd w:id="24"/>
    </w:p>
    <w:p w14:paraId="402D4DA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5002133">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本次评估估价对象为</w:t>
      </w:r>
      <w:r>
        <w:rPr>
          <w:rFonts w:hint="eastAsia" w:ascii="Arial" w:hAnsi="Arial" w:cs="Arial"/>
          <w:kern w:val="2"/>
          <w:sz w:val="21"/>
          <w:szCs w:val="21"/>
        </w:rPr>
        <w:t>北京市房山区阜盛西街11号院3号楼地上1层101号等29套商业用房</w:t>
      </w:r>
      <w:r>
        <w:rPr>
          <w:rFonts w:hint="eastAsia" w:ascii="Arial" w:hAnsi="Arial" w:cs="Arial"/>
          <w:sz w:val="21"/>
          <w:szCs w:val="21"/>
        </w:rPr>
        <w:t>房地产</w:t>
      </w:r>
      <w:r>
        <w:rPr>
          <w:rFonts w:ascii="Arial" w:hAnsi="Arial" w:cs="Arial"/>
          <w:kern w:val="2"/>
          <w:sz w:val="21"/>
          <w:szCs w:val="21"/>
        </w:rPr>
        <w:t>。估价对象范围为其</w:t>
      </w:r>
      <w:r>
        <w:rPr>
          <w:rFonts w:ascii="Arial" w:hAnsi="Arial" w:cs="Arial"/>
          <w:sz w:val="21"/>
          <w:szCs w:val="21"/>
        </w:rPr>
        <w:t>房屋所有权及出让国有建设用地使用权，</w:t>
      </w:r>
      <w:r>
        <w:rPr>
          <w:rFonts w:ascii="Arial" w:hAnsi="Arial" w:cs="Arial"/>
          <w:kern w:val="2"/>
          <w:sz w:val="21"/>
          <w:szCs w:val="21"/>
        </w:rPr>
        <w:t>不包含动产、债权债务、特许经营权等其他财产或权益。</w:t>
      </w:r>
    </w:p>
    <w:p w14:paraId="0D18612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（二）估价对象基本状况</w:t>
      </w:r>
    </w:p>
    <w:p w14:paraId="6BD54045">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估价对象位于</w:t>
      </w:r>
      <w:r>
        <w:rPr>
          <w:rFonts w:hint="eastAsia" w:ascii="Arial" w:hAnsi="Arial"/>
          <w:bCs/>
          <w:sz w:val="21"/>
        </w:rPr>
        <w:t>北京市房山区阜盛西街11号院</w:t>
      </w:r>
      <w:r>
        <w:rPr>
          <w:rFonts w:ascii="Arial" w:hAnsi="Arial" w:cs="Arial"/>
          <w:kern w:val="2"/>
          <w:sz w:val="21"/>
          <w:szCs w:val="21"/>
        </w:rPr>
        <w:t>，</w:t>
      </w:r>
      <w:r>
        <w:rPr>
          <w:rFonts w:hint="eastAsia" w:ascii="Arial" w:hAnsi="Arial" w:cs="Arial"/>
          <w:kern w:val="2"/>
          <w:sz w:val="21"/>
          <w:szCs w:val="21"/>
        </w:rPr>
        <w:t>属熙悦天街项目，</w:t>
      </w:r>
      <w:r>
        <w:rPr>
          <w:rFonts w:ascii="Arial" w:hAnsi="Arial" w:cs="Arial"/>
          <w:kern w:val="2"/>
          <w:sz w:val="21"/>
          <w:szCs w:val="21"/>
        </w:rPr>
        <w:t>估价对象的范围是</w:t>
      </w:r>
      <w:r>
        <w:rPr>
          <w:rFonts w:hint="eastAsia" w:ascii="Arial" w:hAnsi="Arial" w:cs="Arial"/>
          <w:kern w:val="2"/>
          <w:sz w:val="21"/>
          <w:szCs w:val="21"/>
        </w:rPr>
        <w:t>北京市房山区阜盛西街11号院3号楼地上1层101号等29套商业用房</w:t>
      </w:r>
      <w:r>
        <w:rPr>
          <w:rFonts w:ascii="Arial" w:hAnsi="Arial" w:cs="Arial"/>
          <w:kern w:val="2"/>
          <w:sz w:val="21"/>
          <w:szCs w:val="21"/>
        </w:rPr>
        <w:t>，</w:t>
      </w:r>
      <w:r>
        <w:rPr>
          <w:rFonts w:hint="eastAsia" w:ascii="Arial" w:hAnsi="Arial" w:cs="Arial"/>
          <w:kern w:val="2"/>
          <w:sz w:val="21"/>
          <w:szCs w:val="21"/>
        </w:rPr>
        <w:t>不动产权利人为</w:t>
      </w:r>
      <w:r>
        <w:rPr>
          <w:rFonts w:hint="eastAsia" w:ascii="Arial" w:hAnsi="Arial"/>
          <w:bCs/>
          <w:sz w:val="21"/>
        </w:rPr>
        <w:t>北京首开龙湖盈泰置业有限公司</w:t>
      </w:r>
      <w:r>
        <w:rPr>
          <w:rFonts w:hint="eastAsia" w:ascii="Arial" w:hAnsi="Arial" w:cs="Arial"/>
          <w:kern w:val="2"/>
          <w:sz w:val="21"/>
          <w:szCs w:val="21"/>
        </w:rPr>
        <w:t>，即本次评估</w:t>
      </w:r>
      <w:r>
        <w:rPr>
          <w:rFonts w:ascii="Arial" w:hAnsi="Arial" w:cs="Arial"/>
          <w:kern w:val="2"/>
          <w:sz w:val="21"/>
          <w:szCs w:val="21"/>
        </w:rPr>
        <w:t>估价委托人。</w:t>
      </w:r>
      <w:r>
        <w:rPr>
          <w:rFonts w:hint="eastAsia" w:ascii="Arial" w:hAnsi="Arial" w:cs="Arial"/>
          <w:kern w:val="2"/>
          <w:sz w:val="21"/>
          <w:szCs w:val="21"/>
        </w:rPr>
        <w:t>估价对象</w:t>
      </w:r>
      <w:r>
        <w:rPr>
          <w:rFonts w:hint="eastAsia" w:ascii="Arial" w:hAnsi="Arial"/>
          <w:bCs/>
          <w:sz w:val="21"/>
        </w:rPr>
        <w:t>总建筑面积为24871.67平方米</w:t>
      </w:r>
      <w:r>
        <w:rPr>
          <w:rFonts w:hint="eastAsia" w:ascii="Arial" w:hAnsi="Arial"/>
          <w:bCs/>
          <w:sz w:val="21"/>
          <w:lang w:val="en-US" w:eastAsia="zh-CN"/>
        </w:rPr>
        <w:t>,</w:t>
      </w:r>
      <w:r>
        <w:rPr>
          <w:rFonts w:hint="eastAsia" w:ascii="Arial" w:hAnsi="Arial"/>
          <w:bCs/>
          <w:sz w:val="21"/>
        </w:rPr>
        <w:t>套内建筑面积为</w:t>
      </w:r>
      <w:commentRangeStart w:id="2"/>
      <w:r>
        <w:rPr>
          <w:rFonts w:hint="eastAsia" w:ascii="Arial" w:hAnsi="Arial"/>
          <w:bCs/>
          <w:sz w:val="21"/>
        </w:rPr>
        <w:t>17190.47</w:t>
      </w:r>
      <w:commentRangeEnd w:id="2"/>
      <w:r>
        <w:rPr>
          <w:rStyle w:val="39"/>
        </w:rPr>
        <w:commentReference w:id="2"/>
      </w:r>
      <w:r>
        <w:rPr>
          <w:rFonts w:hint="eastAsia" w:ascii="Arial" w:hAnsi="Arial"/>
          <w:bCs/>
          <w:sz w:val="21"/>
        </w:rPr>
        <w:t>平方米</w:t>
      </w:r>
      <w:r>
        <w:rPr>
          <w:rFonts w:ascii="Arial" w:hAnsi="Arial" w:cs="Arial"/>
          <w:sz w:val="21"/>
          <w:szCs w:val="21"/>
        </w:rPr>
        <w:t>，</w:t>
      </w:r>
      <w:r>
        <w:rPr>
          <w:rFonts w:hint="eastAsia" w:ascii="Arial" w:hAnsi="Arial" w:cs="Arial"/>
          <w:sz w:val="21"/>
          <w:szCs w:val="21"/>
        </w:rPr>
        <w:t>规划用途为商业</w:t>
      </w:r>
      <w:r>
        <w:rPr>
          <w:rFonts w:ascii="Arial" w:hAnsi="Arial" w:cs="Arial"/>
          <w:kern w:val="2"/>
          <w:sz w:val="21"/>
          <w:szCs w:val="21"/>
        </w:rPr>
        <w:t>。</w:t>
      </w:r>
    </w:p>
    <w:p w14:paraId="2D450C8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71C113D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1.根据</w:t>
      </w:r>
      <w:r>
        <w:rPr>
          <w:rFonts w:hint="eastAsia" w:ascii="Arial" w:hAnsi="Arial"/>
          <w:bCs/>
          <w:sz w:val="21"/>
        </w:rPr>
        <w:t>《不动产权证书》[京（2021）房不动产权第0024765号、京（2022）房不动产权第0001792、0001795号]、《估价委托书》</w:t>
      </w:r>
      <w:r>
        <w:rPr>
          <w:rFonts w:ascii="Arial" w:hAnsi="Arial" w:cs="Arial"/>
          <w:sz w:val="21"/>
          <w:szCs w:val="21"/>
        </w:rPr>
        <w:t>，估价对象土地为国有土地，土地所有权归国家所有；</w:t>
      </w:r>
      <w:r>
        <w:rPr>
          <w:rFonts w:hint="eastAsia" w:ascii="Arial" w:hAnsi="Arial"/>
          <w:kern w:val="2"/>
          <w:sz w:val="21"/>
        </w:rPr>
        <w:t>北京首开龙湖盈泰置业有限公司</w:t>
      </w:r>
      <w:r>
        <w:rPr>
          <w:rFonts w:ascii="Arial" w:hAnsi="Arial" w:cs="Arial"/>
          <w:sz w:val="21"/>
          <w:szCs w:val="21"/>
        </w:rPr>
        <w:t>拥有估价对象出让国有建设用地使用权，土地用途为</w:t>
      </w:r>
      <w:r>
        <w:rPr>
          <w:rFonts w:hint="eastAsia" w:ascii="Arial" w:hAnsi="Arial"/>
          <w:bCs/>
          <w:sz w:val="21"/>
        </w:rPr>
        <w:t>商业</w:t>
      </w:r>
      <w:r>
        <w:rPr>
          <w:rFonts w:ascii="Arial" w:hAnsi="Arial" w:cs="Arial"/>
          <w:sz w:val="21"/>
          <w:szCs w:val="21"/>
        </w:rPr>
        <w:t>，</w:t>
      </w:r>
      <w:r>
        <w:rPr>
          <w:rFonts w:hint="eastAsia" w:ascii="Arial" w:hAnsi="Arial"/>
          <w:bCs/>
          <w:sz w:val="21"/>
        </w:rPr>
        <w:t>土地使用年限为40年，自2016年12月26日起2056年12月25日止</w:t>
      </w:r>
      <w:r>
        <w:rPr>
          <w:rFonts w:hint="eastAsia" w:ascii="Arial" w:hAnsi="Arial" w:cs="Arial"/>
          <w:sz w:val="21"/>
          <w:szCs w:val="21"/>
        </w:rPr>
        <w:t>。截至价值时点，</w:t>
      </w:r>
      <w:r>
        <w:rPr>
          <w:rFonts w:ascii="Arial" w:hAnsi="Arial" w:cs="Arial"/>
          <w:sz w:val="21"/>
          <w:szCs w:val="21"/>
        </w:rPr>
        <w:t>出让国有建设用地使用权剩余土地使用年限为</w:t>
      </w:r>
      <w:r>
        <w:rPr>
          <w:rFonts w:hint="eastAsia" w:ascii="Arial" w:hAnsi="Arial" w:cs="Arial"/>
          <w:sz w:val="21"/>
          <w:szCs w:val="21"/>
        </w:rPr>
        <w:t>30.95</w:t>
      </w:r>
      <w:r>
        <w:rPr>
          <w:rFonts w:ascii="Arial" w:hAnsi="Arial" w:cs="Arial"/>
          <w:sz w:val="21"/>
          <w:szCs w:val="21"/>
        </w:rPr>
        <w:t>年。</w:t>
      </w:r>
    </w:p>
    <w:p w14:paraId="2E4CE0B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2.估价对象现状已按规划要求完成开发建设，无特别规划限制条件。</w:t>
      </w:r>
    </w:p>
    <w:p w14:paraId="7656D50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3.估价对象所属项目用地四至：</w:t>
      </w:r>
    </w:p>
    <w:tbl>
      <w:tblPr>
        <w:tblStyle w:val="32"/>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1560"/>
        <w:gridCol w:w="3869"/>
        <w:gridCol w:w="3870"/>
      </w:tblGrid>
      <w:tr w14:paraId="4006B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182C4FD2">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方位</w:t>
            </w:r>
          </w:p>
        </w:tc>
        <w:tc>
          <w:tcPr>
            <w:tcW w:w="3869" w:type="dxa"/>
          </w:tcPr>
          <w:p w14:paraId="534A97B1">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证载</w:t>
            </w:r>
          </w:p>
        </w:tc>
        <w:tc>
          <w:tcPr>
            <w:tcW w:w="3870" w:type="dxa"/>
          </w:tcPr>
          <w:p w14:paraId="7F47A36B">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现状</w:t>
            </w:r>
          </w:p>
        </w:tc>
      </w:tr>
      <w:tr w14:paraId="46AA4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7186BD2D">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东</w:t>
            </w:r>
          </w:p>
        </w:tc>
        <w:tc>
          <w:tcPr>
            <w:tcW w:w="3869" w:type="dxa"/>
          </w:tcPr>
          <w:p w14:paraId="12EAD118">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164A2AFD">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阜盛西街</w:t>
            </w:r>
          </w:p>
        </w:tc>
      </w:tr>
      <w:tr w14:paraId="7A8F0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0138A5F4">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南</w:t>
            </w:r>
          </w:p>
        </w:tc>
        <w:tc>
          <w:tcPr>
            <w:tcW w:w="3869" w:type="dxa"/>
          </w:tcPr>
          <w:p w14:paraId="6F3D1395">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67A761E5">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良乡东路</w:t>
            </w:r>
          </w:p>
        </w:tc>
      </w:tr>
      <w:tr w14:paraId="2CBED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2559A5FC">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西</w:t>
            </w:r>
          </w:p>
        </w:tc>
        <w:tc>
          <w:tcPr>
            <w:tcW w:w="3869" w:type="dxa"/>
          </w:tcPr>
          <w:p w14:paraId="3B8AA148">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209A3378">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长于大街</w:t>
            </w:r>
          </w:p>
        </w:tc>
      </w:tr>
      <w:tr w14:paraId="3AEBF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68CD517F">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北</w:t>
            </w:r>
          </w:p>
        </w:tc>
        <w:tc>
          <w:tcPr>
            <w:tcW w:w="3869" w:type="dxa"/>
          </w:tcPr>
          <w:p w14:paraId="0FA2C7D4">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7B8697E5">
            <w:pPr>
              <w:wordWrap w:val="0"/>
              <w:overflowPunct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文昌东路</w:t>
            </w:r>
          </w:p>
        </w:tc>
      </w:tr>
    </w:tbl>
    <w:p w14:paraId="6A75ADD6">
      <w:pPr>
        <w:spacing w:line="480" w:lineRule="auto"/>
        <w:ind w:firstLine="420" w:firstLineChars="200"/>
        <w:jc w:val="both"/>
        <w:rPr>
          <w:rFonts w:ascii="Arial" w:hAnsi="Arial" w:cs="Arial"/>
          <w:bCs/>
          <w:sz w:val="21"/>
          <w:szCs w:val="21"/>
        </w:rPr>
      </w:pPr>
    </w:p>
    <w:p w14:paraId="593E489A">
      <w:pPr>
        <w:wordWrap w:val="0"/>
        <w:overflowPunct w:val="0"/>
        <w:spacing w:line="480" w:lineRule="auto"/>
        <w:jc w:val="both"/>
        <w:textAlignment w:val="auto"/>
        <w:rPr>
          <w:rFonts w:ascii="Arial" w:hAnsi="Arial" w:cs="Arial"/>
          <w:sz w:val="21"/>
          <w:szCs w:val="21"/>
        </w:rPr>
      </w:pPr>
      <w:r>
        <w:rPr>
          <w:rFonts w:hint="eastAsia" w:ascii="Arial" w:hAnsi="Arial" w:eastAsia="楷体_GB2312" w:cs="Arial"/>
          <w:bCs/>
          <w:sz w:val="21"/>
          <w:szCs w:val="21"/>
        </w:rPr>
        <w:t>（转下页）</w:t>
      </w:r>
    </w:p>
    <w:tbl>
      <w:tblPr>
        <w:tblStyle w:val="32"/>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5"/>
        <w:gridCol w:w="8647"/>
        <w:gridCol w:w="367"/>
      </w:tblGrid>
      <w:tr w14:paraId="1802B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5670" w:hRule="exact"/>
          <w:jc w:val="center"/>
        </w:trPr>
        <w:tc>
          <w:tcPr>
            <w:tcW w:w="285" w:type="dxa"/>
            <w:tcBorders>
              <w:top w:val="nil"/>
              <w:left w:val="nil"/>
              <w:bottom w:val="nil"/>
              <w:right w:val="nil"/>
            </w:tcBorders>
          </w:tcPr>
          <w:p w14:paraId="7B22A0C9">
            <w:pPr>
              <w:wordWrap w:val="0"/>
              <w:overflowPunct w:val="0"/>
              <w:spacing w:line="480" w:lineRule="auto"/>
              <w:jc w:val="both"/>
              <w:textAlignment w:val="auto"/>
            </w:pPr>
            <w:r>
              <w:rPr>
                <w:rFonts w:ascii="Arial" w:hAnsi="Arial" w:cs="Arial"/>
                <w:b/>
                <w:color w:val="548DD4"/>
                <w:sz w:val="21"/>
                <w:szCs w:val="21"/>
              </w:rPr>
              <w:br w:type="page"/>
            </w:r>
            <w: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2089785</wp:posOffset>
                      </wp:positionV>
                      <wp:extent cx="2891790" cy="1579245"/>
                      <wp:effectExtent l="19050" t="19050" r="3810" b="1905"/>
                      <wp:wrapNone/>
                      <wp:docPr id="1203938415" name="直接连接符 2"/>
                      <wp:cNvGraphicFramePr/>
                      <a:graphic xmlns:a="http://schemas.openxmlformats.org/drawingml/2006/main">
                        <a:graphicData uri="http://schemas.microsoft.com/office/word/2010/wordprocessingShape">
                          <wps:wsp>
                            <wps:cNvCnPr/>
                            <wps:spPr>
                              <a:xfrm flipH="1">
                                <a:off x="0" y="0"/>
                                <a:ext cx="2891790" cy="157924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id="直接连接符 2" o:spid="_x0000_s1026" o:spt="20" style="position:absolute;left:0pt;flip:x;margin-left:0pt;margin-top:164.55pt;height:124.35pt;width:227.7pt;z-index:251665408;mso-width-relative:page;mso-height-relative:page;" filled="f" stroked="t" coordsize="21600,21600" o:gfxdata="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YxySfYAAAACAEAAA8AAAAAAAAAAQAg&#10;AAAAIgAAAGRycy9kb3ducmV2LnhtbFBLAQIUABQAAAAIAIdO4kDrSMlGDgIAAPsDAAAOAAAAAAAA&#10;AAEAIAAAACcBAABkcnMvZTJvRG9jLnhtbFBLBQYAAAAABgAGAFkBAACnBQAAAAA=&#10;">
                      <v:fill on="f" focussize="0,0"/>
                      <v:stroke weight="2.25pt" color="#4A7EBB" joinstyle="round"/>
                      <v:imagedata o:title=""/>
                      <o:lock v:ext="edit" aspectratio="f"/>
                    </v:line>
                  </w:pict>
                </mc:Fallback>
              </mc:AlternateContent>
            </w:r>
          </w:p>
        </w:tc>
        <w:tc>
          <w:tcPr>
            <w:tcW w:w="8647" w:type="dxa"/>
            <w:tcBorders>
              <w:top w:val="nil"/>
              <w:left w:val="nil"/>
              <w:bottom w:val="nil"/>
              <w:right w:val="nil"/>
            </w:tcBorders>
          </w:tcPr>
          <w:p w14:paraId="7C88A2ED">
            <w:r>
              <mc:AlternateContent>
                <mc:Choice Requires="wps">
                  <w:drawing>
                    <wp:anchor distT="0" distB="0" distL="114300" distR="114300" simplePos="0" relativeHeight="251665408" behindDoc="0" locked="0" layoutInCell="1" allowOverlap="1">
                      <wp:simplePos x="0" y="0"/>
                      <wp:positionH relativeFrom="column">
                        <wp:posOffset>2937510</wp:posOffset>
                      </wp:positionH>
                      <wp:positionV relativeFrom="paragraph">
                        <wp:posOffset>2091055</wp:posOffset>
                      </wp:positionV>
                      <wp:extent cx="2759075" cy="1577975"/>
                      <wp:effectExtent l="19050" t="19050" r="3175" b="3175"/>
                      <wp:wrapNone/>
                      <wp:docPr id="2134805870" name="直接连接符 1"/>
                      <wp:cNvGraphicFramePr/>
                      <a:graphic xmlns:a="http://schemas.openxmlformats.org/drawingml/2006/main">
                        <a:graphicData uri="http://schemas.microsoft.com/office/word/2010/wordprocessingShape">
                          <wps:wsp>
                            <wps:cNvCnPr/>
                            <wps:spPr>
                              <a:xfrm>
                                <a:off x="0" y="0"/>
                                <a:ext cx="2759075" cy="157797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id="直接连接符 1" o:spid="_x0000_s1026" o:spt="20" style="position:absolute;left:0pt;margin-left:231.3pt;margin-top:164.65pt;height:124.25pt;width:217.25pt;z-index:251665408;mso-width-relative:page;mso-height-relative:page;" filled="f" stroked="t" coordsize="21600,21600" o:gfxdata="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5qal9wAAAALAQAADwAAAAAAAAABACAAAAAi&#10;AAAAZHJzL2Rvd25yZXYueG1sUEsBAhQAFAAAAAgAh07iQN8UxhQGAgAA8QMAAA4AAAAAAAAAAQAg&#10;AAAAKwEAAGRycy9lMm9Eb2MueG1sUEsFBgAAAAAGAAYAWQEAAKMFAAAAAA==&#10;">
                      <v:fill on="f" focussize="0,0"/>
                      <v:stroke weight="2.25pt" color="#4A7EBB"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2667635</wp:posOffset>
                      </wp:positionH>
                      <wp:positionV relativeFrom="margin">
                        <wp:posOffset>1820545</wp:posOffset>
                      </wp:positionV>
                      <wp:extent cx="325120" cy="228600"/>
                      <wp:effectExtent l="19685" t="18415" r="18415" b="18415"/>
                      <wp:wrapNone/>
                      <wp:docPr id="1810842814" name="矩形 26"/>
                      <wp:cNvGraphicFramePr/>
                      <a:graphic xmlns:a="http://schemas.openxmlformats.org/drawingml/2006/main">
                        <a:graphicData uri="http://schemas.microsoft.com/office/word/2010/wordprocessingShape">
                          <wps:wsp>
                            <wps:cNvSpPr>
                              <a:spLocks noChangeArrowheads="1"/>
                            </wps:cNvSpPr>
                            <wps:spPr bwMode="auto">
                              <a:xfrm rot="-5400000">
                                <a:off x="0" y="0"/>
                                <a:ext cx="325120" cy="228600"/>
                              </a:xfrm>
                              <a:prstGeom prst="rect">
                                <a:avLst/>
                              </a:prstGeom>
                              <a:noFill/>
                              <a:ln w="28575" cmpd="sng">
                                <a:solidFill>
                                  <a:srgbClr val="4F81BD"/>
                                </a:solidFill>
                                <a:miter lim="800000"/>
                              </a:ln>
                              <a:effectLst/>
                            </wps:spPr>
                            <wps:bodyPr rot="0" vert="horz" wrap="square" lIns="0" tIns="0" rIns="0" bIns="0" anchor="t" anchorCtr="0" upright="1">
                              <a:noAutofit/>
                            </wps:bodyPr>
                          </wps:wsp>
                        </a:graphicData>
                      </a:graphic>
                    </wp:anchor>
                  </w:drawing>
                </mc:Choice>
                <mc:Fallback>
                  <w:pict>
                    <v:rect id="矩形 26" o:spid="_x0000_s1026" o:spt="1" style="position:absolute;left:0pt;margin-left:210.05pt;margin-top:143.35pt;height:18pt;width:25.6pt;mso-position-horizontal-relative:margin;mso-position-vertical-relative:margin;rotation:-5898240f;z-index:251666432;mso-width-relative:page;mso-height-relative:page;" filled="f" stroked="t" coordsize="21600,21600" o:gfxdata="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pa5C2gAAAAsBAAAPAAAAAAAAAAEA&#10;IAAAACIAAABkcnMvZG93bnJldi54bWxQSwECFAAUAAAACACHTuJAlwZlPUYCAABoBAAADgAAAAAA&#10;AAABACAAAAApAQAAZHJzL2Uyb0RvYy54bWxQSwUGAAAAAAYABgBZAQAA4QUAAAAA&#10;">
                      <v:fill on="f" focussize="0,0"/>
                      <v:stroke weight="2.25pt" color="#4F81BD" miterlimit="8" joinstyle="miter"/>
                      <v:imagedata o:title=""/>
                      <o:lock v:ext="edit" aspectratio="f"/>
                      <v:textbox inset="0mm,0mm,0mm,0mm"/>
                    </v:rect>
                  </w:pict>
                </mc:Fallback>
              </mc:AlternateContent>
            </w:r>
            <w:r>
              <w:drawing>
                <wp:inline distT="0" distB="0" distL="0" distR="0">
                  <wp:extent cx="5492115" cy="3837305"/>
                  <wp:effectExtent l="0" t="0" r="0"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92115" cy="3837305"/>
                          </a:xfrm>
                          <a:prstGeom prst="rect">
                            <a:avLst/>
                          </a:prstGeom>
                          <a:noFill/>
                          <a:ln>
                            <a:noFill/>
                          </a:ln>
                        </pic:spPr>
                      </pic:pic>
                    </a:graphicData>
                  </a:graphic>
                </wp:inline>
              </w:drawing>
            </w:r>
          </w:p>
        </w:tc>
        <w:tc>
          <w:tcPr>
            <w:tcW w:w="367" w:type="dxa"/>
            <w:tcBorders>
              <w:top w:val="nil"/>
              <w:left w:val="nil"/>
              <w:bottom w:val="nil"/>
              <w:right w:val="nil"/>
            </w:tcBorders>
          </w:tcPr>
          <w:p w14:paraId="3481AE9D"/>
        </w:tc>
      </w:tr>
      <w:tr w14:paraId="4F7DB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3" w:hRule="exact"/>
          <w:jc w:val="center"/>
        </w:trPr>
        <w:tc>
          <w:tcPr>
            <w:tcW w:w="285" w:type="dxa"/>
            <w:tcBorders>
              <w:top w:val="nil"/>
              <w:left w:val="nil"/>
              <w:bottom w:val="single" w:color="4F81BD" w:sz="18" w:space="0"/>
              <w:right w:val="nil"/>
            </w:tcBorders>
          </w:tcPr>
          <w:p w14:paraId="0E7E723F"/>
        </w:tc>
        <w:tc>
          <w:tcPr>
            <w:tcW w:w="8647" w:type="dxa"/>
            <w:tcBorders>
              <w:top w:val="nil"/>
              <w:left w:val="nil"/>
              <w:bottom w:val="single" w:color="4F81BD" w:sz="18" w:space="0"/>
              <w:right w:val="nil"/>
            </w:tcBorders>
          </w:tcPr>
          <w:p w14:paraId="6725FBE3"/>
        </w:tc>
        <w:tc>
          <w:tcPr>
            <w:tcW w:w="367" w:type="dxa"/>
            <w:tcBorders>
              <w:top w:val="nil"/>
              <w:left w:val="nil"/>
              <w:bottom w:val="single" w:color="4F81BD" w:sz="18" w:space="0"/>
              <w:right w:val="nil"/>
            </w:tcBorders>
          </w:tcPr>
          <w:p w14:paraId="3EA13757"/>
        </w:tc>
      </w:tr>
      <w:tr w14:paraId="3856B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0" w:hRule="exact"/>
          <w:jc w:val="center"/>
        </w:trPr>
        <w:tc>
          <w:tcPr>
            <w:tcW w:w="9299" w:type="dxa"/>
            <w:gridSpan w:val="3"/>
            <w:tcBorders>
              <w:top w:val="single" w:color="4F81BD" w:sz="18" w:space="0"/>
              <w:left w:val="single" w:color="4F81BD" w:sz="18" w:space="0"/>
              <w:bottom w:val="single" w:color="4F81BD" w:sz="18" w:space="0"/>
              <w:right w:val="single" w:color="4F81BD" w:sz="18" w:space="0"/>
            </w:tcBorders>
          </w:tcPr>
          <w:p w14:paraId="04BCDD9D">
            <w:r>
              <mc:AlternateContent>
                <mc:Choice Requires="wps">
                  <w:drawing>
                    <wp:anchor distT="0" distB="0" distL="114300" distR="114300" simplePos="0" relativeHeight="251664384" behindDoc="0" locked="0" layoutInCell="1" allowOverlap="1">
                      <wp:simplePos x="0" y="0"/>
                      <wp:positionH relativeFrom="column">
                        <wp:posOffset>2885440</wp:posOffset>
                      </wp:positionH>
                      <wp:positionV relativeFrom="paragraph">
                        <wp:posOffset>1517650</wp:posOffset>
                      </wp:positionV>
                      <wp:extent cx="1365250" cy="876935"/>
                      <wp:effectExtent l="18415" t="29845" r="28575" b="33655"/>
                      <wp:wrapNone/>
                      <wp:docPr id="237523296" name="任意多边形 11"/>
                      <wp:cNvGraphicFramePr/>
                      <a:graphic xmlns:a="http://schemas.openxmlformats.org/drawingml/2006/main">
                        <a:graphicData uri="http://schemas.microsoft.com/office/word/2010/wordprocessingShape">
                          <wps:wsp>
                            <wps:cNvSpPr/>
                            <wps:spPr bwMode="auto">
                              <a:xfrm rot="-5400000">
                                <a:off x="0" y="0"/>
                                <a:ext cx="1365250" cy="876935"/>
                              </a:xfrm>
                              <a:custGeom>
                                <a:avLst/>
                                <a:gdLst>
                                  <a:gd name="T0" fmla="*/ 158261 w 656492"/>
                                  <a:gd name="T1" fmla="*/ 0 h 351693"/>
                                  <a:gd name="T2" fmla="*/ 650631 w 656492"/>
                                  <a:gd name="T3" fmla="*/ 0 h 351693"/>
                                  <a:gd name="T4" fmla="*/ 656492 w 656492"/>
                                  <a:gd name="T5" fmla="*/ 345831 h 351693"/>
                                  <a:gd name="T6" fmla="*/ 0 w 656492"/>
                                  <a:gd name="T7" fmla="*/ 351693 h 351693"/>
                                  <a:gd name="T8" fmla="*/ 158261 w 656492"/>
                                  <a:gd name="T9" fmla="*/ 0 h 351693"/>
                                </a:gdLst>
                                <a:ahLst/>
                                <a:cxnLst>
                                  <a:cxn ang="0">
                                    <a:pos x="T0" y="T1"/>
                                  </a:cxn>
                                  <a:cxn ang="0">
                                    <a:pos x="T2" y="T3"/>
                                  </a:cxn>
                                  <a:cxn ang="0">
                                    <a:pos x="T4" y="T5"/>
                                  </a:cxn>
                                  <a:cxn ang="0">
                                    <a:pos x="T6" y="T7"/>
                                  </a:cxn>
                                  <a:cxn ang="0">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mpd="sng">
                                <a:solidFill>
                                  <a:srgbClr val="385D8A"/>
                                </a:solidFill>
                                <a:round/>
                              </a:ln>
                              <a:effectLst/>
                            </wps:spPr>
                            <wps:bodyPr rot="0" vert="horz" wrap="square" lIns="91440" tIns="45720" rIns="91440" bIns="45720" anchor="ctr" anchorCtr="0" upright="1">
                              <a:noAutofit/>
                            </wps:bodyPr>
                          </wps:wsp>
                        </a:graphicData>
                      </a:graphic>
                    </wp:anchor>
                  </w:drawing>
                </mc:Choice>
                <mc:Fallback>
                  <w:pict>
                    <v:shape id="任意多边形 11" o:spid="_x0000_s1026" o:spt="100" style="position:absolute;left:0pt;margin-left:227.2pt;margin-top:119.5pt;height:69.05pt;width:107.5pt;rotation:-5898240f;z-index:251664384;v-text-anchor:middle;mso-width-relative:page;mso-height-relative:page;" filled="f" stroked="t" coordsize="656492,351693" o:gfxdata="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P&#10;PLcq2QAAAAsBAAAPAAAAAAAAAAEAIAAAACIAAABkcnMvZG93bnJldi54bWxQSwECFAAUAAAACACH&#10;TuJAiTbQ4XkDAABsCAAADgAAAAAAAAABACAAAAAoAQAAZHJzL2Uyb0RvYy54bWxQSwUGAAAAAAYA&#10;BgBZAQAAEwcAAAAA&#10;" path="m158261,0l650631,0c652585,115277,654538,230554,656492,345831l0,351693,158261,0xe">
                      <v:path o:connectlocs="329121,0;1353061,0;1365250,862318;0,876935;329121,0" o:connectangles="0,0,0,0,0"/>
                      <v:fill on="f" focussize="0,0"/>
                      <v:stroke weight="2pt" color="#385D8A" joinstyle="round"/>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4354830</wp:posOffset>
                      </wp:positionH>
                      <wp:positionV relativeFrom="paragraph">
                        <wp:posOffset>1036320</wp:posOffset>
                      </wp:positionV>
                      <wp:extent cx="914400" cy="289560"/>
                      <wp:effectExtent l="386715" t="20955" r="13335" b="89535"/>
                      <wp:wrapNone/>
                      <wp:docPr id="1039055987" name="线形标注 1 6"/>
                      <wp:cNvGraphicFramePr/>
                      <a:graphic xmlns:a="http://schemas.openxmlformats.org/drawingml/2006/main">
                        <a:graphicData uri="http://schemas.microsoft.com/office/word/2010/wordprocessingShape">
                          <wps:wsp>
                            <wps:cNvSpPr/>
                            <wps:spPr bwMode="auto">
                              <a:xfrm>
                                <a:off x="0" y="0"/>
                                <a:ext cx="914400" cy="289560"/>
                              </a:xfrm>
                              <a:prstGeom prst="borderCallout1">
                                <a:avLst>
                                  <a:gd name="adj1" fmla="val 18750"/>
                                  <a:gd name="adj2" fmla="val -8333"/>
                                  <a:gd name="adj3" fmla="val 125657"/>
                                  <a:gd name="adj4" fmla="val -40759"/>
                                </a:avLst>
                              </a:prstGeom>
                              <a:solidFill>
                                <a:srgbClr val="4F81BD"/>
                              </a:solidFill>
                              <a:ln w="25400" cmpd="sng">
                                <a:solidFill>
                                  <a:srgbClr val="385D8A"/>
                                </a:solidFill>
                                <a:miter lim="800000"/>
                              </a:ln>
                              <a:effectLst/>
                            </wps:spPr>
                            <wps:txbx>
                              <w:txbxContent>
                                <w:p w14:paraId="3B5B7B8D">
                                  <w:pPr>
                                    <w:spacing w:line="240" w:lineRule="exact"/>
                                    <w:jc w:val="center"/>
                                    <w:rPr>
                                      <w:b/>
                                      <w:color w:val="FFFFFF"/>
                                    </w:rPr>
                                  </w:pPr>
                                  <w:r>
                                    <w:rPr>
                                      <w:rFonts w:hint="eastAsia"/>
                                      <w:b/>
                                      <w:color w:val="FFFFFF"/>
                                    </w:rPr>
                                    <w:t>估价对象</w:t>
                                  </w:r>
                                </w:p>
                              </w:txbxContent>
                            </wps:txbx>
                            <wps:bodyPr rot="0" vert="horz" wrap="square" lIns="91440" tIns="45720" rIns="91440" bIns="45720" anchor="ctr" anchorCtr="0" upright="1">
                              <a:noAutofit/>
                            </wps:bodyPr>
                          </wps:wsp>
                        </a:graphicData>
                      </a:graphic>
                    </wp:anchor>
                  </w:drawing>
                </mc:Choice>
                <mc:Fallback>
                  <w:pict>
                    <v:shape id="线形标注 1 6" o:spid="_x0000_s1026" o:spt="47" type="#_x0000_t47" style="position:absolute;left:0pt;margin-left:342.9pt;margin-top:81.6pt;height:22.8pt;width:72pt;z-index:251663360;v-text-anchor:middle;mso-width-relative:page;mso-height-relative:page;" fillcolor="#4F81BD" filled="t" stroked="t" coordsize="21600,21600" o:gfxdata="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rY/u9UAAAALAQAADwAAAAAAAAAB&#10;ACAAAAAiAAAAZHJzL2Rvd25yZXYueG1sUEsBAhQAFAAAAAgAh07iQM+Fnr2FAgAAGwUAAA4AAAAA&#10;AAAAAQAgAAAAJAEAAGRycy9lMm9Eb2MueG1sUEsFBgAAAAAGAAYAWQEAABsGAAAAAA==&#10;" adj="-8804,27142,-1800,4050">
                      <v:fill on="t" focussize="0,0"/>
                      <v:stroke weight="2pt" color="#385D8A" miterlimit="8" joinstyle="miter"/>
                      <v:imagedata o:title=""/>
                      <o:lock v:ext="edit" aspectratio="f"/>
                      <v:textbox>
                        <w:txbxContent>
                          <w:p w14:paraId="3B5B7B8D">
                            <w:pPr>
                              <w:spacing w:line="240" w:lineRule="exact"/>
                              <w:jc w:val="center"/>
                              <w:rPr>
                                <w:b/>
                                <w:color w:val="FFFFFF"/>
                              </w:rPr>
                            </w:pPr>
                            <w:r>
                              <w:rPr>
                                <w:rFonts w:hint="eastAsia"/>
                                <w:b/>
                                <w:color w:val="FFFFFF"/>
                              </w:rPr>
                              <w:t>估价对象</w:t>
                            </w:r>
                          </w:p>
                        </w:txbxContent>
                      </v:textbox>
                    </v:shape>
                  </w:pict>
                </mc:Fallback>
              </mc:AlternateContent>
            </w:r>
            <w:r>
              <w:drawing>
                <wp:inline distT="0" distB="0" distL="0" distR="0">
                  <wp:extent cx="5873750" cy="4083685"/>
                  <wp:effectExtent l="0" t="0" r="0"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73750" cy="4083685"/>
                          </a:xfrm>
                          <a:prstGeom prst="rect">
                            <a:avLst/>
                          </a:prstGeom>
                          <a:noFill/>
                          <a:ln>
                            <a:noFill/>
                          </a:ln>
                        </pic:spPr>
                      </pic:pic>
                    </a:graphicData>
                  </a:graphic>
                </wp:inline>
              </w:drawing>
            </w:r>
          </w:p>
        </w:tc>
      </w:tr>
    </w:tbl>
    <w:p w14:paraId="4D59BAC1">
      <w:pPr>
        <w:wordWrap w:val="0"/>
        <w:overflowPunct w:val="0"/>
        <w:spacing w:line="240" w:lineRule="exact"/>
        <w:ind w:firstLine="420" w:firstLineChars="200"/>
        <w:jc w:val="both"/>
        <w:textAlignment w:val="auto"/>
        <w:rPr>
          <w:rFonts w:ascii="Arial" w:hAnsi="Arial" w:cs="Arial"/>
          <w:i/>
          <w:color w:val="548DD4"/>
          <w:sz w:val="21"/>
          <w:szCs w:val="21"/>
        </w:rPr>
      </w:pPr>
    </w:p>
    <w:p w14:paraId="3198A23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4.估价对象所属项目用地呈近似规则形状，场地地势较平坦。</w:t>
      </w:r>
    </w:p>
    <w:p w14:paraId="51E0919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5.基础设施状况：</w:t>
      </w:r>
    </w:p>
    <w:p w14:paraId="33A0337C">
      <w:pPr>
        <w:wordWrap w:val="0"/>
        <w:overflowPunct w:val="0"/>
        <w:spacing w:line="480" w:lineRule="auto"/>
        <w:ind w:firstLine="420" w:firstLineChars="200"/>
        <w:jc w:val="both"/>
        <w:textAlignment w:val="auto"/>
        <w:rPr>
          <w:rFonts w:ascii="Arial" w:hAnsi="Arial" w:cs="Arial"/>
          <w:color w:val="000000"/>
          <w:sz w:val="21"/>
          <w:szCs w:val="21"/>
        </w:rPr>
      </w:pPr>
      <w:r>
        <w:rPr>
          <w:rFonts w:ascii="Arial" w:hAnsi="Arial" w:cs="Arial"/>
          <w:color w:val="000000"/>
          <w:sz w:val="21"/>
          <w:szCs w:val="21"/>
        </w:rPr>
        <w:t>估价对象现状市政基础</w:t>
      </w:r>
      <w:r>
        <w:rPr>
          <w:rFonts w:ascii="Arial" w:hAnsi="Arial" w:cs="Arial"/>
          <w:sz w:val="21"/>
          <w:szCs w:val="21"/>
        </w:rPr>
        <w:t>设施</w:t>
      </w:r>
      <w:r>
        <w:rPr>
          <w:rFonts w:hint="eastAsia" w:ascii="Arial" w:hAnsi="Arial" w:cs="Arial"/>
          <w:sz w:val="21"/>
          <w:szCs w:val="21"/>
        </w:rPr>
        <w:t>较</w:t>
      </w:r>
      <w:r>
        <w:rPr>
          <w:rFonts w:ascii="Arial" w:hAnsi="Arial" w:cs="Arial"/>
          <w:sz w:val="21"/>
          <w:szCs w:val="21"/>
        </w:rPr>
        <w:t>完备，达</w:t>
      </w:r>
      <w:r>
        <w:rPr>
          <w:rFonts w:hint="eastAsia" w:ascii="Arial" w:hAnsi="Arial"/>
          <w:kern w:val="2"/>
          <w:sz w:val="21"/>
        </w:rPr>
        <w:t>“六通”（即通路、通电、通讯、通上水、通下水、通燃气）</w:t>
      </w:r>
      <w:r>
        <w:rPr>
          <w:rFonts w:ascii="Arial" w:hAnsi="Arial" w:cs="Arial"/>
          <w:sz w:val="21"/>
          <w:szCs w:val="21"/>
        </w:rPr>
        <w:t>。</w:t>
      </w:r>
    </w:p>
    <w:p w14:paraId="5F1BAE1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（四）建筑物基本状况</w:t>
      </w:r>
    </w:p>
    <w:p w14:paraId="235683D2">
      <w:pPr>
        <w:wordWrap w:val="0"/>
        <w:overflowPunct w:val="0"/>
        <w:spacing w:line="480" w:lineRule="auto"/>
        <w:ind w:firstLine="420" w:firstLineChars="200"/>
        <w:jc w:val="both"/>
        <w:textAlignment w:val="auto"/>
        <w:rPr>
          <w:rFonts w:ascii="Arial" w:hAnsi="Arial"/>
          <w:kern w:val="2"/>
          <w:sz w:val="21"/>
        </w:rPr>
      </w:pPr>
      <w:r>
        <w:rPr>
          <w:rFonts w:ascii="Arial" w:hAnsi="Arial"/>
          <w:kern w:val="2"/>
          <w:sz w:val="21"/>
        </w:rPr>
        <w:t>估价对象为</w:t>
      </w:r>
      <w:r>
        <w:rPr>
          <w:rFonts w:hint="eastAsia" w:ascii="Arial" w:hAnsi="Arial" w:cs="Arial"/>
          <w:kern w:val="2"/>
          <w:sz w:val="21"/>
          <w:szCs w:val="21"/>
        </w:rPr>
        <w:t>北京市房山区阜盛西街11号院3号楼地上1层101号等29套商业用房。</w:t>
      </w:r>
      <w:r>
        <w:rPr>
          <w:rFonts w:hint="eastAsia" w:ascii="Arial" w:hAnsi="Arial"/>
          <w:kern w:val="2"/>
          <w:sz w:val="21"/>
        </w:rPr>
        <w:t>所属项目位于</w:t>
      </w:r>
      <w:r>
        <w:rPr>
          <w:rFonts w:hint="eastAsia" w:ascii="Arial" w:hAnsi="Arial"/>
          <w:bCs/>
          <w:sz w:val="21"/>
        </w:rPr>
        <w:t>北京市房山区长于大街与良乡东路交口东北角</w:t>
      </w:r>
      <w:r>
        <w:rPr>
          <w:rFonts w:hint="eastAsia" w:ascii="Arial" w:hAnsi="Arial"/>
          <w:kern w:val="2"/>
          <w:sz w:val="21"/>
        </w:rPr>
        <w:t>，地处良乡大学城商圈核心位置，介于高教园区与居民生活区之间，紧邻地铁房山线——良乡大学城北站及城市主干道长于大街，交通出行便捷。项目由</w:t>
      </w:r>
      <w:r>
        <w:rPr>
          <w:rFonts w:ascii="Arial" w:hAnsi="Arial"/>
          <w:kern w:val="2"/>
          <w:sz w:val="21"/>
        </w:rPr>
        <w:t>042、044、047</w:t>
      </w:r>
      <w:r>
        <w:rPr>
          <w:rFonts w:hint="eastAsia" w:ascii="Arial" w:hAnsi="Arial"/>
          <w:kern w:val="2"/>
          <w:sz w:val="21"/>
        </w:rPr>
        <w:t>号三个地块组成，项目总建筑面积301466.92平方米，地上建筑面积179120.40平方米（包含自持商业和销售商业），地下商业建筑面积37795.93平方米，地下车库建筑面积84550.59平方米</w:t>
      </w:r>
      <w:r>
        <w:rPr>
          <w:rFonts w:hint="eastAsia" w:ascii="Arial" w:hAnsi="Arial" w:cs="Arial"/>
          <w:sz w:val="21"/>
          <w:szCs w:val="21"/>
        </w:rPr>
        <w:t>‌。</w:t>
      </w:r>
    </w:p>
    <w:p w14:paraId="2A624BAA">
      <w:pPr>
        <w:wordWrap w:val="0"/>
        <w:overflowPunct w:val="0"/>
        <w:spacing w:line="480" w:lineRule="auto"/>
        <w:ind w:firstLine="420" w:firstLineChars="200"/>
        <w:jc w:val="both"/>
        <w:textAlignment w:val="auto"/>
        <w:rPr>
          <w:rFonts w:ascii="Arial" w:hAnsi="Arial"/>
          <w:bCs/>
          <w:sz w:val="21"/>
        </w:rPr>
      </w:pPr>
      <w:r>
        <w:rPr>
          <w:rFonts w:hint="eastAsia" w:ascii="Arial" w:hAnsi="Arial"/>
          <w:kern w:val="2"/>
          <w:sz w:val="21"/>
        </w:rPr>
        <w:t>估价对象为</w:t>
      </w:r>
      <w:r>
        <w:rPr>
          <w:rFonts w:hint="eastAsia" w:ascii="Arial" w:hAnsi="Arial" w:cs="Arial"/>
          <w:kern w:val="2"/>
          <w:sz w:val="21"/>
          <w:szCs w:val="21"/>
        </w:rPr>
        <w:t>北京市房山区阜盛西街11号院3号楼地上1层101号等29套商业用房，总建筑面积24871.67平方米，</w:t>
      </w:r>
      <w:r>
        <w:rPr>
          <w:rFonts w:hint="eastAsia" w:ascii="Arial" w:hAnsi="Arial"/>
          <w:kern w:val="2"/>
          <w:sz w:val="21"/>
        </w:rPr>
        <w:t>其中，042地块中包含</w:t>
      </w:r>
      <w:r>
        <w:rPr>
          <w:rFonts w:hint="eastAsia" w:ascii="Arial" w:hAnsi="Arial" w:cs="Arial"/>
          <w:kern w:val="2"/>
          <w:sz w:val="21"/>
          <w:szCs w:val="21"/>
        </w:rPr>
        <w:t>阜盛西街11号院3号楼（总层数为2（-2）层），地上1-2层共7套商业用房，总建筑面积5287.83平方米；阜盛西街11号院6号楼（总层数为1（-2）层），地下1层共9套商业用房，总建筑面积8822.48平方米，于2021年办理竣工验收</w:t>
      </w:r>
      <w:r>
        <w:rPr>
          <w:rFonts w:hint="eastAsia" w:ascii="Arial" w:hAnsi="Arial"/>
          <w:bCs/>
          <w:sz w:val="21"/>
        </w:rPr>
        <w:t>。0</w:t>
      </w:r>
      <w:r>
        <w:rPr>
          <w:rFonts w:ascii="Arial" w:hAnsi="Arial"/>
          <w:bCs/>
          <w:sz w:val="21"/>
        </w:rPr>
        <w:t>44</w:t>
      </w:r>
      <w:r>
        <w:rPr>
          <w:rFonts w:hint="eastAsia" w:ascii="Arial" w:hAnsi="Arial"/>
          <w:bCs/>
          <w:sz w:val="21"/>
        </w:rPr>
        <w:t>地块中包含</w:t>
      </w:r>
      <w:r>
        <w:rPr>
          <w:rFonts w:hint="eastAsia" w:ascii="Arial" w:hAnsi="Arial" w:cs="Arial"/>
          <w:kern w:val="2"/>
          <w:sz w:val="21"/>
          <w:szCs w:val="21"/>
        </w:rPr>
        <w:t>长于大街28号院100幢（总层数为-2层），地下1层共7套商业用房，总建筑面积5976.27平方米，于2021年办理竣工验收</w:t>
      </w:r>
      <w:r>
        <w:rPr>
          <w:rFonts w:hint="eastAsia" w:ascii="Arial" w:hAnsi="Arial"/>
          <w:bCs/>
          <w:sz w:val="21"/>
        </w:rPr>
        <w:t>。</w:t>
      </w:r>
      <w:r>
        <w:rPr>
          <w:rFonts w:hint="eastAsia" w:ascii="Arial" w:hAnsi="Arial"/>
          <w:color w:val="000000"/>
          <w:kern w:val="2"/>
          <w:sz w:val="21"/>
        </w:rPr>
        <w:t>长阳镇FS00-LX10-0044地块6号商业楼（测绘地址）（</w:t>
      </w:r>
      <w:r>
        <w:rPr>
          <w:rFonts w:hint="eastAsia" w:ascii="Arial" w:hAnsi="Arial" w:cs="Arial"/>
          <w:kern w:val="2"/>
          <w:sz w:val="21"/>
          <w:szCs w:val="21"/>
        </w:rPr>
        <w:t>总层数为2（-2）层），地上1-2层</w:t>
      </w:r>
      <w:r>
        <w:rPr>
          <w:rFonts w:hint="eastAsia" w:ascii="Arial" w:hAnsi="Arial"/>
          <w:bCs/>
          <w:sz w:val="21"/>
        </w:rPr>
        <w:t>共6套商业用房，总建筑面积4785.09平方米，现尚未办理不动产权证书，根据《估价委托书》，设定已具备竣备条件。估价对象地上商业多位于地块内部，主要分布在地上1-2层商业。地下商业多属于下沉式商业、封闭式地下商业，出入口有限，通达性较差，展示面遮挡严重，可视性较差。所属</w:t>
      </w:r>
      <w:r>
        <w:rPr>
          <w:rFonts w:hint="eastAsia" w:ascii="Arial" w:hAnsi="Arial"/>
          <w:kern w:val="2"/>
          <w:sz w:val="21"/>
        </w:rPr>
        <w:t>楼栋建筑结构均为钢混，</w:t>
      </w:r>
      <w:r>
        <w:rPr>
          <w:rFonts w:hint="eastAsia" w:ascii="Arial" w:hAnsi="Arial"/>
          <w:bCs/>
          <w:sz w:val="21"/>
        </w:rPr>
        <w:t>项目外立面装修均以金属外挂板为主，层高约6米，地上商业用房使用率约75%-85%，地下商业用房使用率约60%-65%，内部装修均为毛坯。</w:t>
      </w:r>
    </w:p>
    <w:p w14:paraId="3D4B189A">
      <w:pPr>
        <w:wordWrap w:val="0"/>
        <w:overflowPunct w:val="0"/>
        <w:spacing w:line="480" w:lineRule="auto"/>
        <w:ind w:firstLine="420" w:firstLineChars="200"/>
        <w:jc w:val="both"/>
        <w:textAlignment w:val="auto"/>
        <w:rPr>
          <w:rFonts w:ascii="Arial" w:hAnsi="Arial" w:cs="Arial"/>
          <w:color w:val="E36C0A"/>
          <w:sz w:val="21"/>
          <w:szCs w:val="21"/>
        </w:rPr>
      </w:pPr>
      <w:r>
        <w:rPr>
          <w:rFonts w:hint="eastAsia" w:ascii="Arial" w:hAnsi="Arial"/>
          <w:bCs/>
          <w:sz w:val="21"/>
        </w:rPr>
        <w:t>根据评估专业人员实地查勘，估价对象商业用房现状处于空置状态，未来用作出租经营使用，内部为毛坯，房屋维护情况良好。</w:t>
      </w:r>
    </w:p>
    <w:p w14:paraId="2AF735B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5" w:name="_Toc168225817"/>
      <w:bookmarkStart w:id="26" w:name="_Toc477252445"/>
      <w:r>
        <w:rPr>
          <w:rFonts w:eastAsia="宋体"/>
          <w:kern w:val="2"/>
          <w:sz w:val="21"/>
          <w:szCs w:val="21"/>
        </w:rPr>
        <w:t>五</w:t>
      </w:r>
      <w:bookmarkEnd w:id="25"/>
      <w:r>
        <w:rPr>
          <w:rFonts w:eastAsia="宋体"/>
          <w:kern w:val="2"/>
          <w:sz w:val="21"/>
          <w:szCs w:val="21"/>
        </w:rPr>
        <w:t>、价值时点</w:t>
      </w:r>
      <w:bookmarkEnd w:id="26"/>
    </w:p>
    <w:p w14:paraId="05C24153">
      <w:pPr>
        <w:pStyle w:val="17"/>
        <w:wordWrap w:val="0"/>
        <w:overflowPunct w:val="0"/>
        <w:spacing w:line="480" w:lineRule="auto"/>
        <w:ind w:firstLine="420" w:firstLineChars="200"/>
        <w:textAlignment w:val="auto"/>
        <w:rPr>
          <w:rFonts w:ascii="Arial" w:hAnsi="Arial" w:cs="Arial"/>
          <w:sz w:val="21"/>
          <w:szCs w:val="21"/>
        </w:rPr>
      </w:pPr>
      <w:r>
        <w:rPr>
          <w:rFonts w:hint="eastAsia" w:ascii="Arial" w:hAnsi="Arial" w:eastAsia="宋体" w:cs="Arial"/>
          <w:b w:val="0"/>
          <w:bCs/>
          <w:sz w:val="21"/>
          <w:szCs w:val="21"/>
        </w:rPr>
        <w:t>根据《估价委托书》，本次评估价值时点为2026年1月14日，且为评估专业人员实地查勘之日。</w:t>
      </w:r>
    </w:p>
    <w:p w14:paraId="0B6E39AA">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8"/>
      <w:bookmarkStart w:id="28" w:name="_Toc477252446"/>
      <w:r>
        <w:rPr>
          <w:rFonts w:eastAsia="宋体"/>
          <w:kern w:val="2"/>
          <w:sz w:val="21"/>
          <w:szCs w:val="21"/>
        </w:rPr>
        <w:t>六</w:t>
      </w:r>
      <w:bookmarkEnd w:id="27"/>
      <w:r>
        <w:rPr>
          <w:rFonts w:eastAsia="宋体"/>
          <w:kern w:val="2"/>
          <w:sz w:val="21"/>
          <w:szCs w:val="21"/>
        </w:rPr>
        <w:t>、价值类型</w:t>
      </w:r>
      <w:bookmarkEnd w:id="28"/>
    </w:p>
    <w:p w14:paraId="190CB237">
      <w:pPr>
        <w:spacing w:line="480" w:lineRule="auto"/>
        <w:ind w:firstLine="411" w:firstLineChars="196"/>
        <w:jc w:val="both"/>
        <w:rPr>
          <w:rFonts w:eastAsia="楷体_GB2312"/>
          <w:sz w:val="28"/>
          <w:szCs w:val="28"/>
        </w:rPr>
      </w:pPr>
      <w:r>
        <w:rPr>
          <w:rFonts w:hint="eastAsia" w:ascii="Arial" w:hAnsi="Arial"/>
          <w:bCs/>
          <w:sz w:val="21"/>
        </w:rPr>
        <w:t>根据房地产估价规范、国家现行有关标准规定和项目的具体要求，本次评估采用的是</w:t>
      </w:r>
      <w:r>
        <w:rPr>
          <w:rFonts w:hint="eastAsia" w:ascii="Arial" w:hAnsi="Arial" w:cs="Arial"/>
          <w:sz w:val="21"/>
          <w:szCs w:val="21"/>
        </w:rPr>
        <w:t>市场价值</w:t>
      </w:r>
      <w:r>
        <w:rPr>
          <w:rFonts w:hint="eastAsia" w:ascii="Arial" w:hAnsi="Arial"/>
          <w:bCs/>
          <w:sz w:val="21"/>
        </w:rPr>
        <w:t>标准。</w:t>
      </w:r>
      <w:r>
        <w:rPr>
          <w:rFonts w:ascii="Arial" w:hAnsi="Arial"/>
          <w:bCs/>
          <w:sz w:val="21"/>
        </w:rPr>
        <w:t>根据</w:t>
      </w:r>
      <w:r>
        <w:rPr>
          <w:rFonts w:hint="eastAsia" w:ascii="Arial" w:hAnsi="Arial"/>
          <w:bCs/>
          <w:sz w:val="21"/>
        </w:rPr>
        <w:t>《房地产估价基本术语标准》[GB/T50899-2013]，</w:t>
      </w:r>
      <w:r>
        <w:rPr>
          <w:rFonts w:ascii="Arial" w:hAnsi="Arial"/>
          <w:bCs/>
          <w:sz w:val="21"/>
        </w:rPr>
        <w:t>市场价值是经适当营销后，由熟悉情况、谨慎行事且不受强迫的交易双方，以公平交易方式在价值时点自愿进行交易的金额</w:t>
      </w:r>
      <w:r>
        <w:rPr>
          <w:rFonts w:hint="eastAsia" w:ascii="Arial" w:hAnsi="Arial"/>
          <w:bCs/>
          <w:sz w:val="21"/>
        </w:rPr>
        <w:t>。</w:t>
      </w:r>
    </w:p>
    <w:p w14:paraId="50ACBB9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bCs/>
          <w:sz w:val="21"/>
        </w:rPr>
        <w:t>本次估价的“</w:t>
      </w:r>
      <w:r>
        <w:rPr>
          <w:rFonts w:hint="eastAsia" w:ascii="Arial" w:hAnsi="Arial" w:cs="Arial"/>
          <w:sz w:val="21"/>
          <w:szCs w:val="21"/>
        </w:rPr>
        <w:t>房地产市场租金水平</w:t>
      </w:r>
      <w:r>
        <w:rPr>
          <w:rFonts w:hint="eastAsia" w:ascii="Arial" w:hAnsi="Arial"/>
          <w:bCs/>
          <w:sz w:val="21"/>
        </w:rPr>
        <w:t>”是指在正常市场情况下，在价值时点</w:t>
      </w:r>
      <w:r>
        <w:rPr>
          <w:rFonts w:hint="eastAsia" w:ascii="Arial" w:hAnsi="Arial" w:cs="Arial"/>
          <w:sz w:val="21"/>
          <w:szCs w:val="21"/>
        </w:rPr>
        <w:t>2026年1月14日</w:t>
      </w:r>
      <w:r>
        <w:rPr>
          <w:rFonts w:hint="eastAsia" w:ascii="Arial" w:hAnsi="Arial"/>
          <w:bCs/>
          <w:sz w:val="21"/>
        </w:rPr>
        <w:t>，估价对象规划用途为商业</w:t>
      </w:r>
      <w:r>
        <w:rPr>
          <w:rFonts w:hint="eastAsia" w:ascii="Arial" w:hAnsi="Arial" w:cs="Arial"/>
          <w:sz w:val="21"/>
          <w:szCs w:val="21"/>
        </w:rPr>
        <w:t>，</w:t>
      </w:r>
      <w:commentRangeStart w:id="3"/>
      <w:r>
        <w:rPr>
          <w:rFonts w:ascii="Arial" w:hAnsi="Arial"/>
          <w:bCs/>
          <w:sz w:val="21"/>
        </w:rPr>
        <w:t>土地取得方式</w:t>
      </w:r>
      <w:r>
        <w:rPr>
          <w:rFonts w:hint="eastAsia" w:ascii="Arial" w:hAnsi="Arial"/>
          <w:bCs/>
          <w:sz w:val="21"/>
        </w:rPr>
        <w:t>为出让的房地产租赁价格（价税合计）</w:t>
      </w:r>
      <w:r>
        <w:rPr>
          <w:rFonts w:hint="eastAsia" w:ascii="Arial" w:hAnsi="Arial"/>
          <w:bCs/>
          <w:sz w:val="21"/>
        </w:rPr>
        <w:t>，不包含物业管理费、能源费、房地产经纪公司服务费等。</w:t>
      </w:r>
      <w:commentRangeEnd w:id="3"/>
      <w:r>
        <w:rPr>
          <w:rStyle w:val="39"/>
        </w:rPr>
        <w:commentReference w:id="3"/>
      </w:r>
    </w:p>
    <w:p w14:paraId="56E472D1">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9" w:name="_Toc477252447"/>
      <w:bookmarkStart w:id="30" w:name="_Toc168225819"/>
      <w:r>
        <w:rPr>
          <w:rFonts w:eastAsia="宋体"/>
          <w:kern w:val="2"/>
          <w:sz w:val="21"/>
          <w:szCs w:val="21"/>
        </w:rPr>
        <w:t>七、估价原则</w:t>
      </w:r>
      <w:bookmarkEnd w:id="29"/>
      <w:bookmarkEnd w:id="30"/>
    </w:p>
    <w:p w14:paraId="37D22D3A">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3D57C505">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2656DF5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3AC638FB">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3F9ED5C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41D33A37">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估价对象在价值时点具有合法的产权且用途合法。估价对象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根据《估价委托书》，本次评估设定</w:t>
      </w:r>
      <w:r>
        <w:rPr>
          <w:rFonts w:ascii="Arial" w:hAnsi="Arial" w:cs="Arial"/>
          <w:sz w:val="21"/>
          <w:szCs w:val="21"/>
        </w:rPr>
        <w:t>估价对象在价值时点交易或处分方式是合法的。</w:t>
      </w:r>
    </w:p>
    <w:p w14:paraId="7A57FDC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（三）价值时点原则</w:t>
      </w:r>
    </w:p>
    <w:p w14:paraId="4B5F1F3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7128A1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2DACF47">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55FBFE7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1ADC51D1">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F155745">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（五）最高最佳利用原则</w:t>
      </w:r>
    </w:p>
    <w:p w14:paraId="18FF3E1E">
      <w:pPr>
        <w:wordWrap w:val="0"/>
        <w:overflowPunct w:val="0"/>
        <w:spacing w:line="480" w:lineRule="auto"/>
        <w:ind w:firstLine="420" w:firstLineChars="200"/>
        <w:jc w:val="both"/>
        <w:textAlignment w:val="auto"/>
        <w:rPr>
          <w:rFonts w:ascii="Arial" w:hAnsi="Arial" w:cs="Arial"/>
          <w:b/>
          <w:kern w:val="2"/>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根据《估价委托书》，估价对象</w:t>
      </w:r>
      <w:r>
        <w:rPr>
          <w:rFonts w:ascii="Arial" w:hAnsi="Arial" w:cs="Arial"/>
          <w:sz w:val="21"/>
          <w:szCs w:val="21"/>
        </w:rPr>
        <w:t>用途</w:t>
      </w:r>
      <w:r>
        <w:rPr>
          <w:rFonts w:hint="eastAsia" w:ascii="Arial" w:hAnsi="Arial" w:cs="Arial"/>
          <w:sz w:val="21"/>
          <w:szCs w:val="21"/>
        </w:rPr>
        <w:t>均</w:t>
      </w:r>
      <w:r>
        <w:rPr>
          <w:rFonts w:ascii="Arial" w:hAnsi="Arial" w:cs="Arial"/>
          <w:sz w:val="21"/>
          <w:szCs w:val="21"/>
        </w:rPr>
        <w:t>为</w:t>
      </w:r>
      <w:r>
        <w:rPr>
          <w:rFonts w:hint="eastAsia" w:ascii="Arial" w:hAnsi="Arial" w:cs="Arial"/>
          <w:sz w:val="21"/>
          <w:szCs w:val="21"/>
        </w:rPr>
        <w:t>商业</w:t>
      </w:r>
      <w:r>
        <w:rPr>
          <w:rFonts w:ascii="Arial" w:hAnsi="Arial" w:cs="Arial"/>
          <w:sz w:val="21"/>
          <w:szCs w:val="21"/>
        </w:rPr>
        <w:t>，符合最高最佳利用原则。</w:t>
      </w:r>
    </w:p>
    <w:p w14:paraId="39F8278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68225820"/>
      <w:bookmarkStart w:id="32" w:name="_Toc477252448"/>
      <w:r>
        <w:rPr>
          <w:rFonts w:eastAsia="宋体"/>
          <w:kern w:val="2"/>
          <w:sz w:val="21"/>
          <w:szCs w:val="21"/>
        </w:rPr>
        <w:t>八、估价</w:t>
      </w:r>
      <w:bookmarkEnd w:id="31"/>
      <w:r>
        <w:rPr>
          <w:rFonts w:eastAsia="宋体"/>
          <w:kern w:val="2"/>
          <w:sz w:val="21"/>
          <w:szCs w:val="21"/>
        </w:rPr>
        <w:t>依据</w:t>
      </w:r>
      <w:bookmarkEnd w:id="32"/>
    </w:p>
    <w:p w14:paraId="153CAA1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1B3BE98F">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《中华人民共和国土地管理法》（2019年8月26日第十三届全国人民代表大会常务委员会第十二次会议第三次修正通过，自2020年1月1日起施行）</w:t>
      </w:r>
    </w:p>
    <w:p w14:paraId="7D786FB4">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《中华人民共和国城市房地产管理法》（2019年8月26日第十三届全国人大常委会第十二次会议通过第三次修正，自2020年1月1日起施行）</w:t>
      </w:r>
    </w:p>
    <w:p w14:paraId="20894802">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《中华人民共和国城乡规划法》（根据</w:t>
      </w:r>
      <w:r>
        <w:rPr>
          <w:rFonts w:ascii="Arial" w:hAnsi="Arial" w:cs="Arial"/>
          <w:sz w:val="21"/>
          <w:szCs w:val="21"/>
        </w:rPr>
        <w:t>2019</w:t>
      </w:r>
      <w:r>
        <w:rPr>
          <w:rFonts w:hint="eastAsia" w:ascii="Arial" w:hAnsi="Arial" w:cs="Arial"/>
          <w:sz w:val="21"/>
          <w:szCs w:val="21"/>
        </w:rPr>
        <w:t>年</w:t>
      </w:r>
      <w:r>
        <w:rPr>
          <w:rFonts w:ascii="Arial" w:hAnsi="Arial" w:cs="Arial"/>
          <w:sz w:val="21"/>
          <w:szCs w:val="21"/>
        </w:rPr>
        <w:t>4</w:t>
      </w:r>
      <w:r>
        <w:rPr>
          <w:rFonts w:hint="eastAsia" w:ascii="Arial" w:hAnsi="Arial" w:cs="Arial"/>
          <w:sz w:val="21"/>
          <w:szCs w:val="21"/>
        </w:rPr>
        <w:t>月</w:t>
      </w:r>
      <w:r>
        <w:rPr>
          <w:rFonts w:ascii="Arial" w:hAnsi="Arial" w:cs="Arial"/>
          <w:sz w:val="21"/>
          <w:szCs w:val="21"/>
        </w:rPr>
        <w:t>23</w:t>
      </w:r>
      <w:r>
        <w:rPr>
          <w:rFonts w:hint="eastAsia" w:ascii="Arial" w:hAnsi="Arial" w:cs="Arial"/>
          <w:sz w:val="21"/>
          <w:szCs w:val="21"/>
        </w:rPr>
        <w:t>日第十三届全国人民代表大会常务委员会第十次会议通过第二次修正，自公布之日起施行）</w:t>
      </w:r>
    </w:p>
    <w:p w14:paraId="60C85504">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《中华人民共和国资产评估法》（2016年7月2日第十二届全国人民代表大会常务委员会第二十一次会议通过，2016年3月16日中华人民共和国主席令第46号公布，自2016年12月1日起施行）</w:t>
      </w:r>
    </w:p>
    <w:p w14:paraId="77B1A764">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《中华人民共和国民法典》（2020年5月28日第十三届全国人大三次会议表决通过，自2021年1月1日起施行）</w:t>
      </w:r>
    </w:p>
    <w:p w14:paraId="5BBD574B">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《中华人民共和国契税法》（2020年8月11日第十三届全国人民代表大会常务委员会第二十一次会议通过）</w:t>
      </w:r>
    </w:p>
    <w:p w14:paraId="4214AC32">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《中华人民共和国城市维护建设税法》（2020年8月11日第十三届全国人民代表大会常务委员会第二十一次会议通过）</w:t>
      </w:r>
    </w:p>
    <w:p w14:paraId="51C3F0CD">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《中华人民共和国印花税法》（2021年6月10日第十三届全国人民代表大会常务委员会第二十九次会议通过）</w:t>
      </w:r>
    </w:p>
    <w:p w14:paraId="6A8E2BAC">
      <w:pPr>
        <w:numPr>
          <w:ilvl w:val="0"/>
          <w:numId w:val="8"/>
        </w:numPr>
        <w:overflowPunct w:val="0"/>
        <w:spacing w:line="480" w:lineRule="auto"/>
        <w:ind w:left="0" w:firstLine="420" w:firstLineChars="200"/>
        <w:jc w:val="both"/>
        <w:textAlignment w:val="auto"/>
        <w:rPr>
          <w:rFonts w:ascii="Arial" w:hAnsi="Arial" w:cs="Arial"/>
          <w:sz w:val="21"/>
          <w:szCs w:val="21"/>
        </w:rPr>
      </w:pPr>
      <w:r>
        <w:rPr>
          <w:rFonts w:ascii="Arial" w:hAnsi="Arial" w:cs="Arial"/>
          <w:sz w:val="21"/>
          <w:szCs w:val="21"/>
        </w:rPr>
        <w:t>《中华人民共和国增值税法》（</w:t>
      </w:r>
      <w:r>
        <w:rPr>
          <w:rFonts w:hint="eastAsia" w:ascii="Arial" w:hAnsi="Arial" w:cs="Arial"/>
          <w:sz w:val="21"/>
          <w:szCs w:val="21"/>
        </w:rPr>
        <w:t>2024年12月25日第十四届全国人民代表大会常务委员会第十三次会议通过 自2026年1月1日起施行</w:t>
      </w:r>
      <w:r>
        <w:rPr>
          <w:rFonts w:ascii="Arial" w:hAnsi="Arial" w:cs="Arial"/>
          <w:sz w:val="21"/>
          <w:szCs w:val="21"/>
        </w:rPr>
        <w:t>）</w:t>
      </w:r>
    </w:p>
    <w:p w14:paraId="448DCB06">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《中华人民共和国城镇国有土地使用权出让和转让暂行条例》（根据2020年11月29日中华人民共和国国务院令第732号公布的《国务院关于修改和废止部分行政法规的决定》修订，自公布之日起施行）</w:t>
      </w:r>
    </w:p>
    <w:p w14:paraId="27487718">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《中华人民共和国土地管理法实施条例》（2021年4月21日国务院第132次会议第三次修订通过，2021年7月2日中华人民共和国国务院令第743号公布，自2021年9月1日起施行）</w:t>
      </w:r>
    </w:p>
    <w:p w14:paraId="44802053">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《不动产登记暂行条例》（根据2019年3月24日中华人民共和国国务院令第710号公布的《国务院关于修改部分行政法规的决定》修订，自公布之日起施行）</w:t>
      </w:r>
    </w:p>
    <w:p w14:paraId="34E4BDE7">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《不动产登记暂行条例实施细则》（根据2019年7月16日自然资源部第2次部务会议审议通过《自然资源部关于第一批废止和修改的部门规章的决定》[中华人民共和国自然资源部令第5号]修订，自公布之日起施行）</w:t>
      </w:r>
    </w:p>
    <w:p w14:paraId="0B8AA7E1">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《中华人民共和国增值税法实施条例》（2025年12月19日国务院第75次常务会议通过，2025年12月30日中华人民共和国国令第826号发布，自2026年1月1日起施行）</w:t>
      </w:r>
    </w:p>
    <w:p w14:paraId="42004789">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《北京市人民代表大会常务委员会关于北京市契税具体适用税率等有关事项的决定》（2021年7月30日北京市第十五届人民代表大会常务委员会第三十二次会议通过）</w:t>
      </w:r>
    </w:p>
    <w:p w14:paraId="0FEE32DB">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《关于印花税若干政策的通知》（财税[2006]162号）</w:t>
      </w:r>
    </w:p>
    <w:p w14:paraId="7AB361C4">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《北京市财政局 国家税务总局北京市税务局北京市民政局关于明确北京市城市维护建设税纳税人所在地具体地点的通知》[京财税〔2021〕1770号]</w:t>
      </w:r>
    </w:p>
    <w:p w14:paraId="7371EB11">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《征收教育费附加的暂行规定》（国务院令〔2005〕448号）</w:t>
      </w:r>
    </w:p>
    <w:p w14:paraId="58EFE60F">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《财政部关于统一地方教育附加政策有关问题的通知》（财综〔2010〕98号）</w:t>
      </w:r>
    </w:p>
    <w:p w14:paraId="54B1841F">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《北京市人民政府关于印发北京市地方教育附加征收使用管理办法的通知》[京政发[2011]72号]</w:t>
      </w:r>
    </w:p>
    <w:p w14:paraId="611E9091">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《中华人民共和国房产税暂行条例》[1986年9月15日国务院发布，根据2011年1月8日《国务院关于废止和修改部分行政法规的决定》修订]</w:t>
      </w:r>
    </w:p>
    <w:p w14:paraId="4E005040">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《北京市人民政府关于进一步落实&lt;中华人民共和国房产税暂行条例&gt;有关规定的通知》[京政发〔2016〕24号]</w:t>
      </w:r>
    </w:p>
    <w:p w14:paraId="16F10836">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《中华人民共和国城镇土地使用税暂行条例》[国令第〔1988〕17号，2011年修订]</w:t>
      </w:r>
    </w:p>
    <w:p w14:paraId="3578E33D">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《北京市实施&lt;中华人民共和国城镇土地使用税暂行条例&gt;办法》[根据2007年4月27日北京市人民政府第188号令第二次修改]</w:t>
      </w:r>
    </w:p>
    <w:p w14:paraId="3F5E481D">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《北京市地方税务局关于调整北京市城镇土地纳税等级分级范围的公告》（2015年11月26日发布）</w:t>
      </w:r>
    </w:p>
    <w:p w14:paraId="4251EC67">
      <w:pPr>
        <w:numPr>
          <w:ilvl w:val="0"/>
          <w:numId w:val="8"/>
        </w:numPr>
        <w:overflowPunct w:val="0"/>
        <w:spacing w:line="480" w:lineRule="auto"/>
        <w:ind w:left="0" w:firstLine="420" w:firstLineChars="200"/>
        <w:jc w:val="both"/>
        <w:textAlignment w:val="auto"/>
        <w:rPr>
          <w:rFonts w:ascii="Arial" w:hAnsi="Arial" w:cs="Arial"/>
          <w:sz w:val="21"/>
          <w:szCs w:val="21"/>
        </w:rPr>
      </w:pPr>
      <w:bookmarkStart w:id="33" w:name="OLE_LINK8"/>
      <w:r>
        <w:rPr>
          <w:rFonts w:hint="eastAsia" w:ascii="Arial" w:hAnsi="Arial" w:cs="Arial"/>
          <w:sz w:val="21"/>
          <w:szCs w:val="21"/>
        </w:rPr>
        <w:t>《土地利用现状分类》</w:t>
      </w:r>
      <w:r>
        <w:rPr>
          <w:rFonts w:ascii="Arial" w:hAnsi="Arial" w:cs="Arial"/>
          <w:sz w:val="21"/>
          <w:szCs w:val="21"/>
        </w:rPr>
        <w:t>[GB/T 21010</w:t>
      </w:r>
      <w:r>
        <w:rPr>
          <w:rFonts w:hint="eastAsia" w:ascii="Arial" w:hAnsi="Arial" w:cs="Arial"/>
          <w:sz w:val="21"/>
          <w:szCs w:val="21"/>
        </w:rPr>
        <w:t>—</w:t>
      </w:r>
      <w:r>
        <w:rPr>
          <w:rFonts w:ascii="Arial" w:hAnsi="Arial" w:cs="Arial"/>
          <w:sz w:val="21"/>
          <w:szCs w:val="21"/>
        </w:rPr>
        <w:t>2017]</w:t>
      </w:r>
    </w:p>
    <w:bookmarkEnd w:id="33"/>
    <w:p w14:paraId="7526E137">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《自然资源部关于印发《国土空间调查、规划、用途管制用地用海分类指南》的通知》[自然资发〔2023〕234号]</w:t>
      </w:r>
    </w:p>
    <w:p w14:paraId="24299660">
      <w:pPr>
        <w:numPr>
          <w:ilvl w:val="0"/>
          <w:numId w:val="8"/>
        </w:numPr>
        <w:overflowPunct w:val="0"/>
        <w:spacing w:line="480" w:lineRule="auto"/>
        <w:ind w:left="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《北京市国土空间调查、规划、用途管制用地分类指南（试行）》</w:t>
      </w:r>
    </w:p>
    <w:p w14:paraId="250ECA23">
      <w:pPr>
        <w:numPr>
          <w:ilvl w:val="0"/>
          <w:numId w:val="8"/>
        </w:numPr>
        <w:overflowPunct w:val="0"/>
        <w:spacing w:line="480" w:lineRule="auto"/>
        <w:ind w:left="0" w:firstLine="420" w:firstLineChars="200"/>
        <w:jc w:val="both"/>
        <w:textAlignment w:val="auto"/>
        <w:rPr>
          <w:rFonts w:ascii="Arial" w:hAnsi="Arial" w:cs="Arial"/>
          <w:color w:val="000000"/>
          <w:sz w:val="21"/>
          <w:szCs w:val="21"/>
        </w:rPr>
      </w:pPr>
      <w:commentRangeStart w:id="4"/>
      <w:r>
        <w:rPr>
          <w:rFonts w:hint="eastAsia" w:ascii="Arial" w:hAnsi="Arial" w:cs="Arial"/>
          <w:sz w:val="21"/>
          <w:szCs w:val="21"/>
        </w:rPr>
        <w:t>《住房租赁条例》（2025年7月16日中华人民共和国国务院令第812号公布，自2025年9月15日起施行）</w:t>
      </w:r>
      <w:commentRangeEnd w:id="4"/>
      <w:r>
        <w:commentReference w:id="4"/>
      </w:r>
    </w:p>
    <w:p w14:paraId="478A00F5">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《房地产估价规范》</w:t>
      </w:r>
      <w:r>
        <w:rPr>
          <w:rFonts w:ascii="Arial" w:hAnsi="Arial" w:cs="Arial"/>
          <w:sz w:val="21"/>
          <w:szCs w:val="21"/>
        </w:rPr>
        <w:t>[GB/T 50291-2015]</w:t>
      </w:r>
    </w:p>
    <w:p w14:paraId="77B02F76">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《房地产估价基本术语标准》</w:t>
      </w:r>
      <w:r>
        <w:rPr>
          <w:rFonts w:ascii="Arial" w:hAnsi="Arial" w:cs="Arial"/>
          <w:sz w:val="21"/>
          <w:szCs w:val="21"/>
        </w:rPr>
        <w:t>[GB/T 50899-2013]</w:t>
      </w:r>
    </w:p>
    <w:p w14:paraId="15C4579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32EF8BFA">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《估价委托书》</w:t>
      </w:r>
    </w:p>
    <w:p w14:paraId="303DFB3F">
      <w:pPr>
        <w:numPr>
          <w:ilvl w:val="0"/>
          <w:numId w:val="9"/>
        </w:numPr>
        <w:wordWrap w:val="0"/>
        <w:overflowPunct w:val="0"/>
        <w:spacing w:line="480" w:lineRule="auto"/>
        <w:ind w:left="0" w:firstLine="420"/>
        <w:jc w:val="both"/>
        <w:textAlignment w:val="auto"/>
        <w:rPr>
          <w:rFonts w:ascii="Arial" w:hAnsi="Arial" w:cs="Arial"/>
          <w:sz w:val="21"/>
          <w:szCs w:val="21"/>
        </w:rPr>
      </w:pPr>
      <w:r>
        <w:rPr>
          <w:rFonts w:hint="eastAsia" w:ascii="Arial" w:hAnsi="Arial"/>
          <w:bCs/>
          <w:sz w:val="21"/>
        </w:rPr>
        <w:t>《不动产权证书》[京（2021）房不动产权第0024765号]</w:t>
      </w:r>
    </w:p>
    <w:p w14:paraId="109DA374">
      <w:pPr>
        <w:numPr>
          <w:ilvl w:val="0"/>
          <w:numId w:val="9"/>
        </w:numPr>
        <w:wordWrap w:val="0"/>
        <w:overflowPunct w:val="0"/>
        <w:spacing w:line="480" w:lineRule="auto"/>
        <w:ind w:left="0" w:firstLine="420"/>
        <w:jc w:val="both"/>
        <w:textAlignment w:val="auto"/>
        <w:rPr>
          <w:rFonts w:ascii="Arial" w:hAnsi="Arial" w:cs="Arial"/>
          <w:sz w:val="21"/>
          <w:szCs w:val="21"/>
        </w:rPr>
      </w:pPr>
      <w:r>
        <w:rPr>
          <w:rFonts w:hint="eastAsia" w:ascii="Arial" w:hAnsi="Arial"/>
          <w:bCs/>
          <w:sz w:val="21"/>
        </w:rPr>
        <w:t>《不动产权证书》[京（2022）房不动产权第0001792、0001795号]</w:t>
      </w:r>
    </w:p>
    <w:p w14:paraId="7DD2EAE1">
      <w:pPr>
        <w:numPr>
          <w:ilvl w:val="0"/>
          <w:numId w:val="9"/>
        </w:numPr>
        <w:wordWrap w:val="0"/>
        <w:overflowPunct w:val="0"/>
        <w:spacing w:line="480" w:lineRule="auto"/>
        <w:ind w:left="0" w:firstLine="420"/>
        <w:jc w:val="both"/>
        <w:textAlignment w:val="auto"/>
        <w:rPr>
          <w:rFonts w:ascii="Arial" w:hAnsi="Arial" w:cs="Arial"/>
          <w:sz w:val="21"/>
          <w:szCs w:val="21"/>
        </w:rPr>
      </w:pPr>
      <w:r>
        <w:rPr>
          <w:rFonts w:hint="eastAsia" w:ascii="Arial" w:hAnsi="Arial"/>
          <w:bCs/>
          <w:sz w:val="21"/>
        </w:rPr>
        <w:t>《房屋面积测算技术报告书（商品房类使用）》</w:t>
      </w:r>
    </w:p>
    <w:p w14:paraId="61A6323D">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估价委托人《营业执照（副本）》复印件</w:t>
      </w:r>
    </w:p>
    <w:p w14:paraId="78864625">
      <w:pPr>
        <w:wordWrap w:val="0"/>
        <w:overflowPunct w:val="0"/>
        <w:spacing w:line="480" w:lineRule="auto"/>
        <w:jc w:val="both"/>
        <w:textAlignment w:val="auto"/>
        <w:rPr>
          <w:rFonts w:ascii="Arial" w:hAnsi="Arial" w:cs="Arial"/>
          <w:b/>
          <w:sz w:val="21"/>
          <w:szCs w:val="21"/>
        </w:rPr>
      </w:pPr>
      <w:r>
        <w:rPr>
          <w:rFonts w:ascii="Arial" w:hAnsi="Arial" w:cs="Arial"/>
          <w:b/>
          <w:color w:val="000000"/>
          <w:sz w:val="21"/>
          <w:szCs w:val="21"/>
        </w:rPr>
        <w:t>（</w:t>
      </w:r>
      <w:r>
        <w:rPr>
          <w:rFonts w:hint="eastAsia" w:ascii="Arial" w:hAnsi="Arial" w:cs="Arial"/>
          <w:b/>
          <w:color w:val="000000"/>
          <w:sz w:val="21"/>
          <w:szCs w:val="21"/>
        </w:rPr>
        <w:t>三</w:t>
      </w:r>
      <w:r>
        <w:rPr>
          <w:rFonts w:ascii="Arial" w:hAnsi="Arial" w:cs="Arial"/>
          <w:b/>
          <w:color w:val="000000"/>
          <w:sz w:val="21"/>
          <w:szCs w:val="21"/>
        </w:rPr>
        <w:t>）</w:t>
      </w:r>
      <w:r>
        <w:rPr>
          <w:rFonts w:hint="eastAsia" w:ascii="Arial" w:hAnsi="Arial" w:cs="Arial"/>
          <w:b/>
          <w:sz w:val="21"/>
          <w:szCs w:val="21"/>
        </w:rPr>
        <w:t>房地产估价机构及注册房地产估价师掌握和收集的估价所需资料</w:t>
      </w:r>
    </w:p>
    <w:p w14:paraId="2ED36CDE">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评估专业人员实地查勘估价对象的摄影和记录资料</w:t>
      </w:r>
    </w:p>
    <w:p w14:paraId="651D3FE1">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评估专业人员现场调查的估价对象所在区域公服设施、基础设施、交通、环境条件等摄影和记录资料</w:t>
      </w:r>
    </w:p>
    <w:p w14:paraId="699CE4B6">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估价对象及同类房地产的开发、交易、收益、成本等资料</w:t>
      </w:r>
    </w:p>
    <w:p w14:paraId="30BBDCBE">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区域社会经济统计数据、规划发展、产业政策等资料</w:t>
      </w:r>
    </w:p>
    <w:p w14:paraId="69A633DF">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区域城市资源、土地利用、不动产制度、金融及税收政策等资料</w:t>
      </w:r>
    </w:p>
    <w:p w14:paraId="30D7F143">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城市地价指数、房屋建安造价数据等资料</w:t>
      </w:r>
    </w:p>
    <w:p w14:paraId="76C55CD5">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人民银行公布的资金存、贷款利率</w:t>
      </w:r>
    </w:p>
    <w:p w14:paraId="43E110BF">
      <w:pPr>
        <w:numPr>
          <w:ilvl w:val="3"/>
          <w:numId w:val="10"/>
        </w:numP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房地产估价机构及评估专业人员掌握的其他相关信息资料</w:t>
      </w:r>
      <w:bookmarkStart w:id="34" w:name="_Toc168225821"/>
    </w:p>
    <w:p w14:paraId="1BF1E0C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5" w:name="_Toc477252449"/>
      <w:r>
        <w:rPr>
          <w:rFonts w:eastAsia="宋体"/>
          <w:kern w:val="2"/>
          <w:sz w:val="21"/>
          <w:szCs w:val="21"/>
        </w:rPr>
        <w:t>九、估价方法</w:t>
      </w:r>
      <w:bookmarkEnd w:id="34"/>
      <w:bookmarkEnd w:id="35"/>
    </w:p>
    <w:p w14:paraId="3105C6B0">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kern w:val="2"/>
          <w:sz w:val="21"/>
        </w:rPr>
        <w:t>为估价委托人了解估价对象房地</w:t>
      </w:r>
      <w:r>
        <w:rPr>
          <w:rFonts w:hint="eastAsia" w:ascii="Arial" w:hAnsi="Arial" w:cs="Arial"/>
          <w:bCs/>
          <w:spacing w:val="10"/>
          <w:sz w:val="21"/>
          <w:szCs w:val="21"/>
        </w:rPr>
        <w:t>产</w:t>
      </w:r>
      <w:r>
        <w:rPr>
          <w:rFonts w:hint="eastAsia" w:ascii="Arial" w:hAnsi="Arial"/>
          <w:sz w:val="21"/>
          <w:szCs w:val="21"/>
        </w:rPr>
        <w:t>市场租金水平</w:t>
      </w:r>
      <w:r>
        <w:rPr>
          <w:rFonts w:hint="eastAsia" w:ascii="Arial" w:hAnsi="Arial"/>
          <w:kern w:val="2"/>
          <w:sz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w:t>
      </w:r>
      <w:r>
        <w:rPr>
          <w:rFonts w:hint="eastAsia" w:ascii="Arial" w:hAnsi="Arial" w:cs="Arial"/>
          <w:sz w:val="21"/>
          <w:szCs w:val="21"/>
        </w:rPr>
        <w:t>结合本次评估估价目的，按照</w:t>
      </w:r>
      <w:r>
        <w:rPr>
          <w:rFonts w:ascii="Arial" w:hAnsi="Arial" w:cs="Arial"/>
          <w:sz w:val="21"/>
          <w:szCs w:val="21"/>
        </w:rPr>
        <w:t>《房地产估价规范》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w:t>
      </w:r>
      <w:r>
        <w:rPr>
          <w:rFonts w:hint="eastAsia" w:ascii="Arial" w:hAnsi="Arial" w:cs="Arial"/>
          <w:sz w:val="21"/>
          <w:szCs w:val="21"/>
        </w:rPr>
        <w:t>要求</w:t>
      </w:r>
      <w:r>
        <w:rPr>
          <w:rFonts w:ascii="Arial" w:hAnsi="Arial" w:cs="Arial"/>
          <w:sz w:val="21"/>
          <w:szCs w:val="21"/>
        </w:rPr>
        <w:t>，对估价方法分析如下：</w:t>
      </w:r>
    </w:p>
    <w:tbl>
      <w:tblPr>
        <w:tblStyle w:val="32"/>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1276"/>
        <w:gridCol w:w="6946"/>
        <w:gridCol w:w="1077"/>
      </w:tblGrid>
      <w:tr w14:paraId="44AC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tblHeader/>
          <w:jc w:val="center"/>
        </w:trPr>
        <w:tc>
          <w:tcPr>
            <w:tcW w:w="1276" w:type="dxa"/>
            <w:vAlign w:val="center"/>
          </w:tcPr>
          <w:p w14:paraId="5A69A95B">
            <w:pPr>
              <w:pStyle w:val="59"/>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估价方法</w:t>
            </w:r>
          </w:p>
        </w:tc>
        <w:tc>
          <w:tcPr>
            <w:tcW w:w="6946" w:type="dxa"/>
            <w:vAlign w:val="center"/>
          </w:tcPr>
          <w:p w14:paraId="72179F85">
            <w:pPr>
              <w:pStyle w:val="59"/>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适用性分析</w:t>
            </w:r>
          </w:p>
        </w:tc>
        <w:tc>
          <w:tcPr>
            <w:tcW w:w="1077" w:type="dxa"/>
            <w:vAlign w:val="center"/>
          </w:tcPr>
          <w:p w14:paraId="137773E3">
            <w:pPr>
              <w:pStyle w:val="59"/>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是否选用</w:t>
            </w:r>
          </w:p>
        </w:tc>
      </w:tr>
      <w:tr w14:paraId="60DB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196BB311">
            <w:pPr>
              <w:pStyle w:val="59"/>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比较法</w:t>
            </w:r>
          </w:p>
        </w:tc>
        <w:tc>
          <w:tcPr>
            <w:tcW w:w="6946" w:type="dxa"/>
            <w:vAlign w:val="center"/>
          </w:tcPr>
          <w:p w14:paraId="6A546DAA">
            <w:pPr>
              <w:pStyle w:val="29"/>
              <w:widowControl w:val="0"/>
              <w:autoSpaceDE w:val="0"/>
              <w:autoSpaceDN w:val="0"/>
              <w:adjustRightInd w:val="0"/>
              <w:snapToGrid w:val="0"/>
              <w:spacing w:line="240" w:lineRule="auto"/>
              <w:ind w:right="6"/>
              <w:textAlignment w:val="bottom"/>
              <w:rPr>
                <w:rFonts w:ascii="华文细黑" w:hAnsi="华文细黑" w:eastAsia="华文细黑" w:cs="Arial"/>
                <w:color w:val="000000"/>
              </w:rPr>
            </w:pPr>
            <w:r>
              <w:rPr>
                <w:rFonts w:ascii="Arial" w:hAnsi="Arial" w:eastAsia="华文细黑" w:cs="Arial"/>
              </w:rPr>
              <w:t>比较法主要用于同类房地产数量较多、经常发生交易且具有一定可比性的房地产。估价对象为信息服务用房，同小区同类房地产近期成交较多，可选用比较法。</w:t>
            </w:r>
          </w:p>
        </w:tc>
        <w:tc>
          <w:tcPr>
            <w:tcW w:w="1077" w:type="dxa"/>
            <w:vAlign w:val="center"/>
          </w:tcPr>
          <w:p w14:paraId="53C31BCB">
            <w:pPr>
              <w:pStyle w:val="29"/>
              <w:widowControl w:val="0"/>
              <w:autoSpaceDE w:val="0"/>
              <w:autoSpaceDN w:val="0"/>
              <w:adjustRightInd w:val="0"/>
              <w:spacing w:line="240" w:lineRule="auto"/>
              <w:ind w:right="6"/>
              <w:textAlignment w:val="bottom"/>
              <w:rPr>
                <w:rFonts w:ascii="华文细黑" w:hAnsi="华文细黑" w:eastAsia="华文细黑" w:cs="Arial"/>
                <w:color w:val="E36C0A"/>
              </w:rPr>
            </w:pPr>
            <w:r>
              <w:rPr>
                <w:rFonts w:ascii="Arial" w:hAnsi="Arial" w:eastAsia="华文细黑" w:cs="Arial"/>
              </w:rPr>
              <w:t>是</w:t>
            </w:r>
          </w:p>
        </w:tc>
      </w:tr>
      <w:tr w14:paraId="5684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06FCA0C9">
            <w:pPr>
              <w:pStyle w:val="59"/>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收益法</w:t>
            </w:r>
          </w:p>
        </w:tc>
        <w:tc>
          <w:tcPr>
            <w:tcW w:w="6946" w:type="dxa"/>
            <w:vAlign w:val="center"/>
          </w:tcPr>
          <w:p w14:paraId="712C9B66">
            <w:pPr>
              <w:pStyle w:val="29"/>
              <w:widowControl w:val="0"/>
              <w:autoSpaceDE w:val="0"/>
              <w:autoSpaceDN w:val="0"/>
              <w:adjustRightInd w:val="0"/>
              <w:spacing w:line="240" w:lineRule="auto"/>
              <w:ind w:right="6"/>
              <w:textAlignment w:val="bottom"/>
              <w:rPr>
                <w:rFonts w:ascii="华文细黑" w:hAnsi="华文细黑" w:eastAsia="华文细黑" w:cs="Arial"/>
                <w:color w:val="000000"/>
              </w:rPr>
            </w:pPr>
            <w:r>
              <w:rPr>
                <w:rFonts w:ascii="Arial" w:hAnsi="Arial" w:eastAsia="华文细黑" w:cs="Arial"/>
              </w:rPr>
              <w:t>收益法适用于估价对象或其同类房地产通常有租金等经济收入的收益性房地产。根据评估专业人员对周边同类物业的调查，估价对象所属同类物业存在租赁市场，属可收益物业，符合收益法的选用及应用条件，可采用收益法。</w:t>
            </w:r>
            <w:r>
              <w:rPr>
                <w:rFonts w:hint="eastAsia" w:ascii="Arial" w:hAnsi="Arial" w:eastAsia="华文细黑" w:cs="Arial"/>
              </w:rPr>
              <w:t>但因本次评估目的是为估价委托人了解估价对象房地产市场租金水平提供参考依据</w:t>
            </w:r>
            <w:r>
              <w:rPr>
                <w:rFonts w:ascii="Arial" w:hAnsi="Arial" w:eastAsia="华文细黑" w:cs="Arial"/>
              </w:rPr>
              <w:t>，故本次评估未选用</w:t>
            </w:r>
            <w:r>
              <w:rPr>
                <w:rFonts w:hint="eastAsia" w:ascii="Arial" w:hAnsi="Arial" w:eastAsia="华文细黑" w:cs="Arial"/>
              </w:rPr>
              <w:t>收益</w:t>
            </w:r>
            <w:r>
              <w:rPr>
                <w:rFonts w:ascii="Arial" w:hAnsi="Arial" w:eastAsia="华文细黑" w:cs="Arial"/>
              </w:rPr>
              <w:t>法。</w:t>
            </w:r>
          </w:p>
        </w:tc>
        <w:tc>
          <w:tcPr>
            <w:tcW w:w="1077" w:type="dxa"/>
            <w:vAlign w:val="center"/>
          </w:tcPr>
          <w:p w14:paraId="0CDF1307">
            <w:pPr>
              <w:pStyle w:val="29"/>
              <w:widowControl w:val="0"/>
              <w:autoSpaceDE w:val="0"/>
              <w:autoSpaceDN w:val="0"/>
              <w:adjustRightInd w:val="0"/>
              <w:spacing w:line="240" w:lineRule="auto"/>
              <w:ind w:right="6"/>
              <w:textAlignment w:val="bottom"/>
              <w:rPr>
                <w:rFonts w:ascii="华文细黑" w:hAnsi="华文细黑" w:eastAsia="华文细黑" w:cs="Arial"/>
                <w:color w:val="E36C0A"/>
              </w:rPr>
            </w:pPr>
            <w:r>
              <w:rPr>
                <w:rFonts w:hint="eastAsia" w:ascii="Arial" w:hAnsi="Arial" w:eastAsia="华文细黑" w:cs="Arial"/>
              </w:rPr>
              <w:t>否</w:t>
            </w:r>
          </w:p>
        </w:tc>
      </w:tr>
      <w:tr w14:paraId="55C6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73F693DE">
            <w:pPr>
              <w:pStyle w:val="59"/>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成本法</w:t>
            </w:r>
          </w:p>
        </w:tc>
        <w:tc>
          <w:tcPr>
            <w:tcW w:w="6946" w:type="dxa"/>
            <w:vAlign w:val="center"/>
          </w:tcPr>
          <w:p w14:paraId="3F79E8F3">
            <w:pPr>
              <w:pStyle w:val="29"/>
              <w:widowControl w:val="0"/>
              <w:autoSpaceDE w:val="0"/>
              <w:autoSpaceDN w:val="0"/>
              <w:adjustRightInd w:val="0"/>
              <w:spacing w:line="240" w:lineRule="auto"/>
              <w:ind w:right="6"/>
              <w:textAlignment w:val="bottom"/>
              <w:rPr>
                <w:rFonts w:ascii="华文细黑" w:hAnsi="华文细黑" w:eastAsia="华文细黑" w:cs="Arial"/>
                <w:color w:val="000000"/>
              </w:rPr>
            </w:pPr>
            <w:r>
              <w:rPr>
                <w:rFonts w:ascii="Arial" w:hAnsi="Arial" w:eastAsia="华文细黑" w:cs="Arial"/>
              </w:rPr>
              <w:t>成本法适用于新近开发完成的房地产(简称新开发的房地产)、可以假设重新开发的现有房地产(简称旧的房地产)、正在开发的房地产(即在建工程)、计划开发的房地产(如期房)或很少发生交易而限制了比较法运用，又没有经济收入或没有潜在经济收入而限制了收益法运用的房地产，估价对象为已建成物业，且交易市场活跃，故本次评估未选用成本法。</w:t>
            </w:r>
          </w:p>
        </w:tc>
        <w:tc>
          <w:tcPr>
            <w:tcW w:w="1077" w:type="dxa"/>
            <w:vAlign w:val="center"/>
          </w:tcPr>
          <w:p w14:paraId="3F59ED39">
            <w:pPr>
              <w:pStyle w:val="29"/>
              <w:widowControl w:val="0"/>
              <w:autoSpaceDE w:val="0"/>
              <w:autoSpaceDN w:val="0"/>
              <w:adjustRightInd w:val="0"/>
              <w:spacing w:line="240" w:lineRule="auto"/>
              <w:ind w:right="6"/>
              <w:textAlignment w:val="bottom"/>
              <w:rPr>
                <w:rFonts w:ascii="华文细黑" w:hAnsi="华文细黑" w:eastAsia="华文细黑" w:cs="Arial"/>
                <w:color w:val="E36C0A"/>
              </w:rPr>
            </w:pPr>
            <w:r>
              <w:rPr>
                <w:rFonts w:ascii="Arial" w:hAnsi="Arial" w:eastAsia="华文细黑" w:cs="Arial"/>
              </w:rPr>
              <w:t>否</w:t>
            </w:r>
          </w:p>
        </w:tc>
      </w:tr>
      <w:tr w14:paraId="6BCF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5266840C">
            <w:pPr>
              <w:pStyle w:val="59"/>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假设开发法</w:t>
            </w:r>
          </w:p>
        </w:tc>
        <w:tc>
          <w:tcPr>
            <w:tcW w:w="6946" w:type="dxa"/>
            <w:vAlign w:val="center"/>
          </w:tcPr>
          <w:p w14:paraId="5B138870">
            <w:pPr>
              <w:pStyle w:val="29"/>
              <w:widowControl w:val="0"/>
              <w:autoSpaceDE w:val="0"/>
              <w:autoSpaceDN w:val="0"/>
              <w:adjustRightInd w:val="0"/>
              <w:snapToGrid w:val="0"/>
              <w:spacing w:line="240" w:lineRule="auto"/>
              <w:ind w:right="6"/>
              <w:textAlignment w:val="bottom"/>
              <w:rPr>
                <w:rFonts w:ascii="华文细黑" w:hAnsi="华文细黑" w:eastAsia="华文细黑" w:cs="Arial"/>
                <w:color w:val="000000"/>
              </w:rPr>
            </w:pPr>
            <w:r>
              <w:rPr>
                <w:rFonts w:ascii="Arial" w:hAnsi="Arial" w:eastAsia="华文细黑" w:cs="Arial"/>
              </w:rPr>
              <w:t>估价对象为已建成物业，且处于正常运营状态，尚不具备开发或在开发潜力，故不符合假设开发法的选用及应用条件。</w:t>
            </w:r>
          </w:p>
        </w:tc>
        <w:tc>
          <w:tcPr>
            <w:tcW w:w="1077" w:type="dxa"/>
            <w:vAlign w:val="center"/>
          </w:tcPr>
          <w:p w14:paraId="34F5536B">
            <w:pPr>
              <w:pStyle w:val="29"/>
              <w:widowControl w:val="0"/>
              <w:autoSpaceDE w:val="0"/>
              <w:autoSpaceDN w:val="0"/>
              <w:adjustRightInd w:val="0"/>
              <w:snapToGrid w:val="0"/>
              <w:spacing w:line="240" w:lineRule="auto"/>
              <w:ind w:right="6"/>
              <w:textAlignment w:val="bottom"/>
              <w:rPr>
                <w:rFonts w:ascii="华文细黑" w:hAnsi="华文细黑" w:eastAsia="华文细黑" w:cs="Arial"/>
                <w:color w:val="E36C0A"/>
              </w:rPr>
            </w:pPr>
            <w:r>
              <w:rPr>
                <w:rFonts w:ascii="Arial" w:hAnsi="Arial" w:eastAsia="华文细黑" w:cs="Arial"/>
              </w:rPr>
              <w:t>否</w:t>
            </w:r>
          </w:p>
        </w:tc>
      </w:tr>
    </w:tbl>
    <w:p w14:paraId="21191FA6">
      <w:pPr>
        <w:pStyle w:val="59"/>
        <w:autoSpaceDE w:val="0"/>
        <w:autoSpaceDN w:val="0"/>
        <w:spacing w:line="240" w:lineRule="auto"/>
        <w:ind w:right="6"/>
        <w:jc w:val="left"/>
        <w:textAlignment w:val="bottom"/>
        <w:rPr>
          <w:rFonts w:ascii="Arial" w:hAnsi="Arial" w:eastAsia="华文细黑" w:cs="Arial"/>
          <w:color w:val="000000"/>
          <w:sz w:val="18"/>
          <w:szCs w:val="18"/>
        </w:rPr>
      </w:pPr>
    </w:p>
    <w:p w14:paraId="70D73702">
      <w:pPr>
        <w:pStyle w:val="44"/>
        <w:wordWrap w:val="0"/>
        <w:overflowPunct w:val="0"/>
        <w:autoSpaceDE w:val="0"/>
        <w:autoSpaceDN w:val="0"/>
        <w:spacing w:line="480" w:lineRule="auto"/>
        <w:ind w:right="6" w:firstLine="420" w:firstLineChars="200"/>
        <w:jc w:val="both"/>
        <w:textAlignment w:val="auto"/>
        <w:rPr>
          <w:rFonts w:ascii="Arial" w:hAnsi="Arial" w:cs="Arial"/>
          <w:sz w:val="21"/>
          <w:szCs w:val="21"/>
        </w:rPr>
      </w:pPr>
      <w:r>
        <w:rPr>
          <w:rFonts w:hint="eastAsia" w:ascii="Arial" w:hAnsi="Arial" w:cs="Arial"/>
          <w:sz w:val="21"/>
          <w:szCs w:val="21"/>
        </w:rPr>
        <w:t>综上，本次评估</w:t>
      </w:r>
      <w:r>
        <w:rPr>
          <w:rFonts w:ascii="Arial" w:hAnsi="Arial" w:cs="Arial"/>
          <w:sz w:val="21"/>
          <w:szCs w:val="21"/>
        </w:rPr>
        <w:t>选用</w:t>
      </w:r>
      <w:r>
        <w:rPr>
          <w:rFonts w:hint="eastAsia" w:ascii="Arial" w:hAnsi="Arial" w:cs="Arial"/>
          <w:sz w:val="21"/>
          <w:szCs w:val="21"/>
        </w:rPr>
        <w:t>比较法</w:t>
      </w:r>
      <w:r>
        <w:rPr>
          <w:rFonts w:ascii="Arial" w:hAnsi="Arial" w:cs="Arial"/>
          <w:sz w:val="21"/>
          <w:szCs w:val="21"/>
        </w:rPr>
        <w:t>进行估价</w:t>
      </w:r>
      <w:r>
        <w:rPr>
          <w:rFonts w:hint="eastAsia" w:ascii="Arial" w:hAnsi="Arial" w:cs="Arial"/>
          <w:sz w:val="21"/>
          <w:szCs w:val="21"/>
        </w:rPr>
        <w:t>，</w:t>
      </w:r>
      <w:r>
        <w:rPr>
          <w:rFonts w:ascii="Arial" w:hAnsi="Arial" w:cs="Arial"/>
          <w:sz w:val="21"/>
          <w:szCs w:val="21"/>
        </w:rPr>
        <w:t>估价方法简述如下：</w:t>
      </w:r>
    </w:p>
    <w:p w14:paraId="503C9BDF">
      <w:pPr>
        <w:pStyle w:val="44"/>
        <w:wordWrap w:val="0"/>
        <w:overflowPunct w:val="0"/>
        <w:autoSpaceDE w:val="0"/>
        <w:autoSpaceDN w:val="0"/>
        <w:spacing w:line="480" w:lineRule="auto"/>
        <w:ind w:right="6" w:firstLine="420" w:firstLineChars="200"/>
        <w:jc w:val="both"/>
        <w:textAlignment w:val="auto"/>
        <w:rPr>
          <w:rFonts w:ascii="Arial" w:hAnsi="Arial" w:cs="Arial"/>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75B35C8">
      <w:pPr>
        <w:pStyle w:val="44"/>
        <w:wordWrap w:val="0"/>
        <w:overflowPunct w:val="0"/>
        <w:autoSpaceDE w:val="0"/>
        <w:autoSpaceDN w:val="0"/>
        <w:spacing w:line="480" w:lineRule="auto"/>
        <w:ind w:right="6" w:firstLine="420" w:firstLineChars="200"/>
        <w:jc w:val="both"/>
        <w:textAlignment w:val="auto"/>
        <w:rPr>
          <w:rFonts w:ascii="Arial" w:hAnsi="Arial" w:cs="Arial"/>
          <w:b/>
          <w:kern w:val="2"/>
          <w:sz w:val="21"/>
          <w:szCs w:val="21"/>
        </w:rPr>
      </w:pPr>
      <w:r>
        <w:rPr>
          <w:rFonts w:hint="eastAsia" w:ascii="Arial" w:hAnsi="Arial"/>
          <w:kern w:val="2"/>
          <w:sz w:val="21"/>
        </w:rPr>
        <w:t>本次估价的技术路线：首先，采用</w:t>
      </w:r>
      <w:r>
        <w:rPr>
          <w:rFonts w:hint="eastAsia" w:ascii="Arial" w:hAnsi="Arial"/>
          <w:sz w:val="21"/>
          <w:szCs w:val="21"/>
        </w:rPr>
        <w:t>比较法</w:t>
      </w:r>
      <w:r>
        <w:rPr>
          <w:rFonts w:hint="eastAsia" w:ascii="Arial" w:hAnsi="Arial"/>
          <w:kern w:val="2"/>
          <w:sz w:val="21"/>
        </w:rPr>
        <w:t>求取</w:t>
      </w:r>
      <w:r>
        <w:rPr>
          <w:rFonts w:hint="eastAsia" w:ascii="Arial" w:hAnsi="Arial" w:cs="Arial"/>
          <w:sz w:val="21"/>
          <w:szCs w:val="28"/>
        </w:rPr>
        <w:t>估价对象</w:t>
      </w:r>
      <w:r>
        <w:rPr>
          <w:rFonts w:hint="eastAsia" w:ascii="Arial" w:hAnsi="Arial" w:cs="Arial"/>
          <w:kern w:val="2"/>
          <w:sz w:val="21"/>
          <w:szCs w:val="21"/>
        </w:rPr>
        <w:t>阜盛西街11号院3</w:t>
      </w:r>
      <w:r>
        <w:rPr>
          <w:rFonts w:hint="eastAsia" w:ascii="Arial" w:hAnsi="Arial" w:cs="Arial"/>
          <w:sz w:val="21"/>
          <w:szCs w:val="28"/>
        </w:rPr>
        <w:t>号楼1层商业用房</w:t>
      </w:r>
      <w:r>
        <w:rPr>
          <w:rFonts w:hint="eastAsia" w:ascii="Arial" w:hAnsi="Arial"/>
          <w:kern w:val="2"/>
          <w:sz w:val="21"/>
        </w:rPr>
        <w:t>房地产市场租金水平，其次，通过楼层、可视性、通达性、层高、使用率、平面布局等因素修正，</w:t>
      </w:r>
      <w:r>
        <w:rPr>
          <w:rFonts w:hint="eastAsia" w:ascii="Arial" w:hAnsi="Arial" w:cs="Arial"/>
          <w:sz w:val="21"/>
          <w:szCs w:val="28"/>
        </w:rPr>
        <w:t>求取估价对象各楼层商业用房房地产市场租金水平。</w:t>
      </w:r>
    </w:p>
    <w:p w14:paraId="285F8986">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6" w:name="_Toc168225822"/>
      <w:bookmarkStart w:id="37" w:name="_Toc477252450"/>
      <w:r>
        <w:rPr>
          <w:rFonts w:eastAsia="宋体"/>
          <w:kern w:val="2"/>
          <w:sz w:val="21"/>
          <w:szCs w:val="21"/>
        </w:rPr>
        <w:t>十、估价结果</w:t>
      </w:r>
      <w:bookmarkEnd w:id="36"/>
      <w:bookmarkEnd w:id="37"/>
    </w:p>
    <w:p w14:paraId="6F489DE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14:paraId="68B1E4BC">
      <w:pPr>
        <w:spacing w:line="240" w:lineRule="auto"/>
        <w:jc w:val="center"/>
        <w:rPr>
          <w:rFonts w:ascii="Arial" w:hAnsi="Arial" w:eastAsia="方正黑体简体" w:cs="Arial"/>
          <w:szCs w:val="24"/>
        </w:rPr>
      </w:pPr>
      <w:r>
        <w:rPr>
          <w:rFonts w:hint="eastAsia" w:ascii="Arial" w:hAnsi="Arial" w:eastAsia="方正黑体简体" w:cs="Arial"/>
          <w:szCs w:val="24"/>
        </w:rPr>
        <w:t>估价结果一览表</w:t>
      </w:r>
    </w:p>
    <w:p w14:paraId="6DBFA01F">
      <w:pPr>
        <w:spacing w:line="240" w:lineRule="auto"/>
        <w:jc w:val="center"/>
        <w:rPr>
          <w:rFonts w:ascii="Arial" w:hAnsi="Arial" w:eastAsia="方正黑体简体" w:cs="Arial"/>
          <w:szCs w:val="24"/>
        </w:rPr>
      </w:pPr>
      <w:r>
        <w:rPr>
          <w:rFonts w:hint="eastAsia" w:ascii="Arial" w:hAnsi="Arial" w:eastAsia="方正黑体简体" w:cs="Arial"/>
          <w:szCs w:val="24"/>
        </w:rPr>
        <w:t>结果表-1</w:t>
      </w:r>
    </w:p>
    <w:tbl>
      <w:tblPr>
        <w:tblStyle w:val="32"/>
        <w:tblW w:w="5000" w:type="pct"/>
        <w:jc w:val="center"/>
        <w:tblLayout w:type="autofit"/>
        <w:tblCellMar>
          <w:top w:w="57" w:type="dxa"/>
          <w:left w:w="57" w:type="dxa"/>
          <w:bottom w:w="57" w:type="dxa"/>
          <w:right w:w="57" w:type="dxa"/>
        </w:tblCellMar>
      </w:tblPr>
      <w:tblGrid>
        <w:gridCol w:w="4612"/>
        <w:gridCol w:w="4801"/>
      </w:tblGrid>
      <w:tr w14:paraId="2B5621D5">
        <w:tblPrEx>
          <w:tblCellMar>
            <w:top w:w="57" w:type="dxa"/>
            <w:left w:w="57" w:type="dxa"/>
            <w:bottom w:w="57" w:type="dxa"/>
            <w:right w:w="57" w:type="dxa"/>
          </w:tblCellMar>
        </w:tblPrEx>
        <w:trPr>
          <w:cantSplit/>
          <w:trHeight w:val="567" w:hRule="atLeast"/>
          <w:jc w:val="center"/>
        </w:trPr>
        <w:tc>
          <w:tcPr>
            <w:tcW w:w="2450"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382E1DAC">
            <w:pPr>
              <w:widowControl/>
              <w:adjustRightInd/>
              <w:spacing w:line="240" w:lineRule="exact"/>
              <w:jc w:val="righ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                                 租金水平</w:t>
            </w:r>
          </w:p>
          <w:p w14:paraId="457F2AB5">
            <w:pPr>
              <w:widowControl/>
              <w:adjustRightInd/>
              <w:spacing w:line="240" w:lineRule="exac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相关结果</w:t>
            </w:r>
          </w:p>
        </w:tc>
        <w:tc>
          <w:tcPr>
            <w:tcW w:w="2550" w:type="pct"/>
            <w:tcBorders>
              <w:top w:val="thinThickThinSmallGap" w:color="auto" w:sz="12" w:space="0"/>
              <w:left w:val="dotted" w:color="auto" w:sz="2" w:space="0"/>
              <w:bottom w:val="dotted" w:color="auto" w:sz="2" w:space="0"/>
              <w:right w:val="dotted" w:color="auto" w:sz="2" w:space="0"/>
            </w:tcBorders>
            <w:vAlign w:val="center"/>
          </w:tcPr>
          <w:p w14:paraId="31D4995D">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房山区阜盛西街11号院3号楼101号</w:t>
            </w:r>
          </w:p>
          <w:p w14:paraId="10DBB5C5">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rPr>
              <w:t>商业用房市场租金水平</w:t>
            </w:r>
            <w:r>
              <w:rPr>
                <w:rFonts w:hint="eastAsia" w:ascii="Arial" w:hAnsi="Arial" w:eastAsia="华文细黑" w:cs="Arial"/>
                <w:color w:val="000000"/>
                <w:sz w:val="18"/>
                <w:szCs w:val="18"/>
                <w:lang w:eastAsia="zh-CN"/>
              </w:rPr>
              <w:t>（</w:t>
            </w:r>
            <w:r>
              <w:rPr>
                <w:rFonts w:hint="eastAsia" w:ascii="Arial" w:hAnsi="Arial" w:eastAsia="华文细黑" w:cs="Arial"/>
                <w:color w:val="000000"/>
                <w:sz w:val="18"/>
                <w:szCs w:val="18"/>
                <w:lang w:val="en-US" w:eastAsia="zh-CN"/>
              </w:rPr>
              <w:t>042地块）</w:t>
            </w:r>
            <w:bookmarkStart w:id="58" w:name="_GoBack"/>
            <w:bookmarkEnd w:id="58"/>
          </w:p>
        </w:tc>
      </w:tr>
      <w:tr w14:paraId="361EBB28">
        <w:tblPrEx>
          <w:tblCellMar>
            <w:top w:w="57" w:type="dxa"/>
            <w:left w:w="57" w:type="dxa"/>
            <w:bottom w:w="57" w:type="dxa"/>
            <w:right w:w="57" w:type="dxa"/>
          </w:tblCellMar>
        </w:tblPrEx>
        <w:trPr>
          <w:cantSplit/>
          <w:trHeight w:val="567" w:hRule="atLeast"/>
          <w:jc w:val="center"/>
        </w:trPr>
        <w:tc>
          <w:tcPr>
            <w:tcW w:w="2450" w:type="pct"/>
            <w:tcBorders>
              <w:top w:val="dotted" w:color="auto" w:sz="2" w:space="0"/>
              <w:left w:val="dotted" w:color="auto" w:sz="2" w:space="0"/>
              <w:bottom w:val="thinThickThinSmallGap" w:color="auto" w:sz="12" w:space="0"/>
              <w:right w:val="dotted" w:color="auto" w:sz="2" w:space="0"/>
            </w:tcBorders>
            <w:vAlign w:val="center"/>
          </w:tcPr>
          <w:p w14:paraId="4157D26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评估结果</w:t>
            </w:r>
          </w:p>
        </w:tc>
        <w:tc>
          <w:tcPr>
            <w:tcW w:w="2550" w:type="pct"/>
            <w:tcBorders>
              <w:top w:val="dotted" w:color="auto" w:sz="2" w:space="0"/>
              <w:left w:val="dotted" w:color="auto" w:sz="2" w:space="0"/>
              <w:bottom w:val="thinThickThinSmallGap" w:color="auto" w:sz="12" w:space="0"/>
              <w:right w:val="dotted" w:color="auto" w:sz="2" w:space="0"/>
            </w:tcBorders>
            <w:vAlign w:val="center"/>
          </w:tcPr>
          <w:p w14:paraId="1803258C">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bl>
    <w:p w14:paraId="0F67B4BE">
      <w:pPr>
        <w:widowControl/>
        <w:adjustRightInd/>
        <w:spacing w:line="240" w:lineRule="auto"/>
        <w:jc w:val="both"/>
        <w:textAlignment w:val="auto"/>
        <w:rPr>
          <w:rFonts w:ascii="Arial" w:hAnsi="Arial" w:eastAsia="华文细黑" w:cs="宋体"/>
          <w:sz w:val="18"/>
          <w:szCs w:val="18"/>
        </w:rPr>
      </w:pPr>
      <w:r>
        <w:rPr>
          <w:rFonts w:hint="eastAsia" w:ascii="Arial" w:hAnsi="Arial" w:eastAsia="华文细黑" w:cs="宋体"/>
          <w:sz w:val="18"/>
          <w:szCs w:val="18"/>
        </w:rPr>
        <w:t>单位：元/建筑</w:t>
      </w:r>
      <w:r>
        <w:rPr>
          <w:rFonts w:ascii="Arial" w:hAnsi="Arial" w:eastAsia="华文细黑" w:cs="宋体"/>
          <w:sz w:val="18"/>
          <w:szCs w:val="18"/>
        </w:rPr>
        <w:t>面积</w:t>
      </w:r>
      <w:r>
        <w:rPr>
          <w:rFonts w:hint="eastAsia" w:ascii="Arial" w:hAnsi="Arial" w:eastAsia="华文细黑" w:cs="宋体"/>
          <w:sz w:val="18"/>
          <w:szCs w:val="18"/>
        </w:rPr>
        <w:t>平方米·天</w:t>
      </w:r>
    </w:p>
    <w:p w14:paraId="65C7477F">
      <w:pPr>
        <w:spacing w:line="240" w:lineRule="auto"/>
        <w:jc w:val="center"/>
        <w:outlineLvl w:val="0"/>
        <w:rPr>
          <w:rFonts w:ascii="Arial" w:hAnsi="Arial" w:eastAsia="方正黑体简体"/>
          <w:szCs w:val="24"/>
        </w:rPr>
      </w:pPr>
      <w:r>
        <w:rPr>
          <w:rFonts w:hint="eastAsia" w:ascii="Arial" w:hAnsi="Arial" w:eastAsia="方正黑体简体"/>
          <w:szCs w:val="24"/>
        </w:rPr>
        <w:t>结果表-2</w:t>
      </w:r>
    </w:p>
    <w:tbl>
      <w:tblPr>
        <w:tblStyle w:val="32"/>
        <w:tblW w:w="5000" w:type="pct"/>
        <w:jc w:val="center"/>
        <w:tblLayout w:type="autofit"/>
        <w:tblCellMar>
          <w:top w:w="57" w:type="dxa"/>
          <w:left w:w="57" w:type="dxa"/>
          <w:bottom w:w="57" w:type="dxa"/>
          <w:right w:w="57" w:type="dxa"/>
        </w:tblCellMar>
      </w:tblPr>
      <w:tblGrid>
        <w:gridCol w:w="2745"/>
        <w:gridCol w:w="876"/>
        <w:gridCol w:w="1892"/>
        <w:gridCol w:w="2066"/>
        <w:gridCol w:w="1834"/>
      </w:tblGrid>
      <w:tr w14:paraId="1F66B00E">
        <w:tblPrEx>
          <w:tblCellMar>
            <w:top w:w="57" w:type="dxa"/>
            <w:left w:w="57" w:type="dxa"/>
            <w:bottom w:w="57" w:type="dxa"/>
            <w:right w:w="57" w:type="dxa"/>
          </w:tblCellMar>
        </w:tblPrEx>
        <w:trPr>
          <w:cantSplit/>
          <w:trHeight w:val="567" w:hRule="atLeast"/>
          <w:jc w:val="center"/>
        </w:trPr>
        <w:tc>
          <w:tcPr>
            <w:tcW w:w="1458"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6A89104F">
            <w:pPr>
              <w:widowControl/>
              <w:adjustRightInd/>
              <w:spacing w:line="240" w:lineRule="exact"/>
              <w:jc w:val="righ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分层租金明细</w:t>
            </w:r>
          </w:p>
          <w:p w14:paraId="47AC03FC">
            <w:pPr>
              <w:widowControl/>
              <w:adjustRightInd/>
              <w:spacing w:line="240" w:lineRule="exac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估价对象</w:t>
            </w:r>
          </w:p>
        </w:tc>
        <w:tc>
          <w:tcPr>
            <w:tcW w:w="465" w:type="pct"/>
            <w:tcBorders>
              <w:top w:val="thinThickThinSmallGap" w:color="auto" w:sz="12" w:space="0"/>
              <w:left w:val="dotted" w:color="auto" w:sz="2" w:space="0"/>
              <w:bottom w:val="dotted" w:color="auto" w:sz="2" w:space="0"/>
              <w:right w:val="dotted" w:color="auto" w:sz="2" w:space="0"/>
            </w:tcBorders>
            <w:vAlign w:val="center"/>
          </w:tcPr>
          <w:p w14:paraId="08A4F4B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楼层</w:t>
            </w:r>
          </w:p>
        </w:tc>
        <w:tc>
          <w:tcPr>
            <w:tcW w:w="1004" w:type="pct"/>
            <w:tcBorders>
              <w:top w:val="thinThickThinSmallGap" w:color="auto" w:sz="12" w:space="0"/>
              <w:left w:val="dotted" w:color="auto" w:sz="2" w:space="0"/>
              <w:bottom w:val="dotted" w:color="auto" w:sz="2" w:space="0"/>
              <w:right w:val="dotted" w:color="auto" w:sz="2" w:space="0"/>
            </w:tcBorders>
            <w:vAlign w:val="center"/>
          </w:tcPr>
          <w:p w14:paraId="5E01330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097" w:type="pct"/>
            <w:tcBorders>
              <w:top w:val="thinThickThinSmallGap" w:color="auto" w:sz="12" w:space="0"/>
              <w:left w:val="dotted" w:color="auto" w:sz="2" w:space="0"/>
              <w:bottom w:val="dotted" w:color="auto" w:sz="2" w:space="0"/>
              <w:right w:val="dotted" w:color="auto" w:sz="2" w:space="0"/>
            </w:tcBorders>
            <w:vAlign w:val="center"/>
          </w:tcPr>
          <w:p w14:paraId="7601BA9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974" w:type="pct"/>
            <w:tcBorders>
              <w:top w:val="thinThickThinSmallGap" w:color="auto" w:sz="12" w:space="0"/>
              <w:left w:val="dotted" w:color="auto" w:sz="2" w:space="0"/>
              <w:bottom w:val="dotted" w:color="auto" w:sz="2" w:space="0"/>
              <w:right w:val="dotted" w:color="auto" w:sz="2" w:space="0"/>
            </w:tcBorders>
            <w:vAlign w:val="center"/>
          </w:tcPr>
          <w:p w14:paraId="26062EF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12BF5D76">
        <w:tblPrEx>
          <w:tblCellMar>
            <w:top w:w="57" w:type="dxa"/>
            <w:left w:w="57" w:type="dxa"/>
            <w:bottom w:w="57" w:type="dxa"/>
            <w:right w:w="57" w:type="dxa"/>
          </w:tblCellMar>
        </w:tblPrEx>
        <w:trPr>
          <w:cantSplit/>
          <w:trHeight w:val="291" w:hRule="atLeast"/>
          <w:jc w:val="center"/>
        </w:trPr>
        <w:tc>
          <w:tcPr>
            <w:tcW w:w="1458" w:type="pct"/>
            <w:vMerge w:val="restart"/>
            <w:tcBorders>
              <w:top w:val="dotted" w:color="auto" w:sz="2" w:space="0"/>
              <w:left w:val="dotted" w:color="auto" w:sz="2" w:space="0"/>
              <w:right w:val="dotted" w:color="auto" w:sz="2" w:space="0"/>
            </w:tcBorders>
            <w:vAlign w:val="center"/>
          </w:tcPr>
          <w:p w14:paraId="427BDB9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北京市房山区阜盛西街11号院3号楼地上1层101号等29套商业用房</w:t>
            </w:r>
          </w:p>
        </w:tc>
        <w:tc>
          <w:tcPr>
            <w:tcW w:w="465" w:type="pct"/>
            <w:vMerge w:val="restart"/>
            <w:tcBorders>
              <w:top w:val="dotted" w:color="auto" w:sz="2" w:space="0"/>
              <w:left w:val="dotted" w:color="auto" w:sz="2" w:space="0"/>
              <w:right w:val="dotted" w:color="auto" w:sz="2" w:space="0"/>
            </w:tcBorders>
            <w:vAlign w:val="center"/>
          </w:tcPr>
          <w:p w14:paraId="6091308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1004" w:type="pct"/>
            <w:tcBorders>
              <w:top w:val="dotted" w:color="auto" w:sz="2" w:space="0"/>
              <w:left w:val="dotted" w:color="auto" w:sz="2" w:space="0"/>
              <w:bottom w:val="dotted" w:color="auto" w:sz="2" w:space="0"/>
              <w:right w:val="dotted" w:color="auto" w:sz="2" w:space="0"/>
            </w:tcBorders>
            <w:vAlign w:val="center"/>
          </w:tcPr>
          <w:p w14:paraId="6EA0EF2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097" w:type="pct"/>
            <w:tcBorders>
              <w:top w:val="dotted" w:color="auto" w:sz="2" w:space="0"/>
              <w:left w:val="dotted" w:color="auto" w:sz="2" w:space="0"/>
              <w:bottom w:val="dotted" w:color="auto" w:sz="2" w:space="0"/>
              <w:right w:val="dotted" w:color="auto" w:sz="2" w:space="0"/>
            </w:tcBorders>
            <w:vAlign w:val="center"/>
          </w:tcPr>
          <w:p w14:paraId="4866E78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974" w:type="pct"/>
            <w:tcBorders>
              <w:top w:val="dotted" w:color="auto" w:sz="2" w:space="0"/>
              <w:left w:val="dotted" w:color="auto" w:sz="2" w:space="0"/>
              <w:bottom w:val="dotted" w:color="auto" w:sz="2" w:space="0"/>
              <w:right w:val="dotted" w:color="auto" w:sz="2" w:space="0"/>
            </w:tcBorders>
            <w:vAlign w:val="center"/>
          </w:tcPr>
          <w:p w14:paraId="1796475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1B01E2AB">
        <w:tblPrEx>
          <w:tblCellMar>
            <w:top w:w="57" w:type="dxa"/>
            <w:left w:w="57" w:type="dxa"/>
            <w:bottom w:w="57" w:type="dxa"/>
            <w:right w:w="57" w:type="dxa"/>
          </w:tblCellMar>
        </w:tblPrEx>
        <w:trPr>
          <w:cantSplit/>
          <w:trHeight w:val="297" w:hRule="atLeast"/>
          <w:jc w:val="center"/>
        </w:trPr>
        <w:tc>
          <w:tcPr>
            <w:tcW w:w="1458" w:type="pct"/>
            <w:vMerge w:val="continue"/>
            <w:tcBorders>
              <w:left w:val="dotted" w:color="auto" w:sz="2" w:space="0"/>
              <w:right w:val="dotted" w:color="auto" w:sz="2" w:space="0"/>
            </w:tcBorders>
            <w:vAlign w:val="center"/>
          </w:tcPr>
          <w:p w14:paraId="14649CCB">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72E4DD27">
            <w:pPr>
              <w:widowControl/>
              <w:adjustRightInd/>
              <w:spacing w:line="240" w:lineRule="exact"/>
              <w:jc w:val="center"/>
              <w:textAlignment w:val="auto"/>
              <w:rPr>
                <w:rFonts w:ascii="Arial" w:hAnsi="Arial" w:eastAsia="华文细黑" w:cs="Arial"/>
                <w:color w:val="000000"/>
                <w:sz w:val="18"/>
                <w:szCs w:val="18"/>
              </w:rPr>
            </w:pPr>
          </w:p>
        </w:tc>
        <w:tc>
          <w:tcPr>
            <w:tcW w:w="1004" w:type="pct"/>
            <w:tcBorders>
              <w:top w:val="dotted" w:color="auto" w:sz="2" w:space="0"/>
              <w:left w:val="dotted" w:color="auto" w:sz="2" w:space="0"/>
              <w:bottom w:val="dotted" w:color="auto" w:sz="2" w:space="0"/>
              <w:right w:val="dotted" w:color="auto" w:sz="2" w:space="0"/>
            </w:tcBorders>
            <w:vAlign w:val="center"/>
          </w:tcPr>
          <w:p w14:paraId="46C4425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097" w:type="pct"/>
            <w:tcBorders>
              <w:top w:val="dotted" w:color="auto" w:sz="2" w:space="0"/>
              <w:left w:val="dotted" w:color="auto" w:sz="2" w:space="0"/>
              <w:bottom w:val="dotted" w:color="auto" w:sz="2" w:space="0"/>
              <w:right w:val="dotted" w:color="auto" w:sz="2" w:space="0"/>
            </w:tcBorders>
            <w:vAlign w:val="center"/>
          </w:tcPr>
          <w:p w14:paraId="11E1D79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974" w:type="pct"/>
            <w:tcBorders>
              <w:top w:val="dotted" w:color="auto" w:sz="2" w:space="0"/>
              <w:left w:val="dotted" w:color="auto" w:sz="2" w:space="0"/>
              <w:bottom w:val="dotted" w:color="auto" w:sz="2" w:space="0"/>
              <w:right w:val="dotted" w:color="auto" w:sz="2" w:space="0"/>
            </w:tcBorders>
            <w:vAlign w:val="center"/>
          </w:tcPr>
          <w:p w14:paraId="23D4093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0C1425DB">
        <w:tblPrEx>
          <w:tblCellMar>
            <w:top w:w="57" w:type="dxa"/>
            <w:left w:w="57" w:type="dxa"/>
            <w:bottom w:w="57" w:type="dxa"/>
            <w:right w:w="57" w:type="dxa"/>
          </w:tblCellMar>
        </w:tblPrEx>
        <w:trPr>
          <w:cantSplit/>
          <w:trHeight w:val="317" w:hRule="atLeast"/>
          <w:jc w:val="center"/>
        </w:trPr>
        <w:tc>
          <w:tcPr>
            <w:tcW w:w="1458" w:type="pct"/>
            <w:vMerge w:val="continue"/>
            <w:tcBorders>
              <w:left w:val="dotted" w:color="auto" w:sz="2" w:space="0"/>
              <w:right w:val="dotted" w:color="auto" w:sz="2" w:space="0"/>
            </w:tcBorders>
            <w:vAlign w:val="center"/>
          </w:tcPr>
          <w:p w14:paraId="4D363EBD">
            <w:pPr>
              <w:widowControl/>
              <w:adjustRightInd/>
              <w:spacing w:line="240" w:lineRule="exact"/>
              <w:jc w:val="center"/>
              <w:textAlignment w:val="auto"/>
              <w:rPr>
                <w:rFonts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7C5BE37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w:t>
            </w:r>
          </w:p>
        </w:tc>
        <w:tc>
          <w:tcPr>
            <w:tcW w:w="1004" w:type="pct"/>
            <w:tcBorders>
              <w:top w:val="dotted" w:color="auto" w:sz="2" w:space="0"/>
              <w:left w:val="dotted" w:color="auto" w:sz="2" w:space="0"/>
              <w:bottom w:val="dotted" w:color="auto" w:sz="2" w:space="0"/>
              <w:right w:val="dotted" w:color="auto" w:sz="2" w:space="0"/>
            </w:tcBorders>
            <w:vAlign w:val="center"/>
          </w:tcPr>
          <w:p w14:paraId="5F1FFF1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097" w:type="pct"/>
            <w:tcBorders>
              <w:top w:val="dotted" w:color="auto" w:sz="2" w:space="0"/>
              <w:left w:val="dotted" w:color="auto" w:sz="2" w:space="0"/>
              <w:bottom w:val="dotted" w:color="auto" w:sz="2" w:space="0"/>
              <w:right w:val="dotted" w:color="auto" w:sz="2" w:space="0"/>
            </w:tcBorders>
            <w:vAlign w:val="center"/>
          </w:tcPr>
          <w:p w14:paraId="71149F0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974" w:type="pct"/>
            <w:tcBorders>
              <w:top w:val="dotted" w:color="auto" w:sz="2" w:space="0"/>
              <w:left w:val="dotted" w:color="auto" w:sz="2" w:space="0"/>
              <w:bottom w:val="dotted" w:color="auto" w:sz="2" w:space="0"/>
              <w:right w:val="dotted" w:color="auto" w:sz="2" w:space="0"/>
            </w:tcBorders>
            <w:vAlign w:val="center"/>
          </w:tcPr>
          <w:p w14:paraId="057E101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40254C40">
        <w:tblPrEx>
          <w:tblCellMar>
            <w:top w:w="57" w:type="dxa"/>
            <w:left w:w="57" w:type="dxa"/>
            <w:bottom w:w="57" w:type="dxa"/>
            <w:right w:w="57" w:type="dxa"/>
          </w:tblCellMar>
        </w:tblPrEx>
        <w:trPr>
          <w:cantSplit/>
          <w:trHeight w:val="295" w:hRule="atLeast"/>
          <w:jc w:val="center"/>
        </w:trPr>
        <w:tc>
          <w:tcPr>
            <w:tcW w:w="1458" w:type="pct"/>
            <w:vMerge w:val="continue"/>
            <w:tcBorders>
              <w:left w:val="dotted" w:color="auto" w:sz="2" w:space="0"/>
              <w:right w:val="dotted" w:color="auto" w:sz="2" w:space="0"/>
            </w:tcBorders>
            <w:vAlign w:val="center"/>
          </w:tcPr>
          <w:p w14:paraId="1E2F56E9">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310F95D1">
            <w:pPr>
              <w:widowControl/>
              <w:adjustRightInd/>
              <w:spacing w:line="240" w:lineRule="exact"/>
              <w:jc w:val="center"/>
              <w:textAlignment w:val="auto"/>
              <w:rPr>
                <w:rFonts w:ascii="Arial" w:hAnsi="Arial" w:eastAsia="华文细黑" w:cs="Arial"/>
                <w:color w:val="000000"/>
                <w:sz w:val="18"/>
                <w:szCs w:val="18"/>
              </w:rPr>
            </w:pPr>
          </w:p>
        </w:tc>
        <w:tc>
          <w:tcPr>
            <w:tcW w:w="1004" w:type="pct"/>
            <w:tcBorders>
              <w:top w:val="dotted" w:color="auto" w:sz="2" w:space="0"/>
              <w:left w:val="dotted" w:color="auto" w:sz="2" w:space="0"/>
              <w:bottom w:val="dotted" w:color="auto" w:sz="2" w:space="0"/>
              <w:right w:val="dotted" w:color="auto" w:sz="2" w:space="0"/>
            </w:tcBorders>
            <w:vAlign w:val="center"/>
          </w:tcPr>
          <w:p w14:paraId="5A26D7A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097" w:type="pct"/>
            <w:tcBorders>
              <w:top w:val="dotted" w:color="auto" w:sz="2" w:space="0"/>
              <w:left w:val="dotted" w:color="auto" w:sz="2" w:space="0"/>
              <w:bottom w:val="dotted" w:color="auto" w:sz="2" w:space="0"/>
              <w:right w:val="dotted" w:color="auto" w:sz="2" w:space="0"/>
            </w:tcBorders>
            <w:vAlign w:val="center"/>
          </w:tcPr>
          <w:p w14:paraId="424822D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974" w:type="pct"/>
            <w:tcBorders>
              <w:top w:val="dotted" w:color="auto" w:sz="2" w:space="0"/>
              <w:left w:val="dotted" w:color="auto" w:sz="2" w:space="0"/>
              <w:bottom w:val="dotted" w:color="auto" w:sz="2" w:space="0"/>
              <w:right w:val="dotted" w:color="auto" w:sz="2" w:space="0"/>
            </w:tcBorders>
            <w:vAlign w:val="center"/>
          </w:tcPr>
          <w:p w14:paraId="4010EE3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7B3C7241">
        <w:tblPrEx>
          <w:tblCellMar>
            <w:top w:w="57" w:type="dxa"/>
            <w:left w:w="57" w:type="dxa"/>
            <w:bottom w:w="57" w:type="dxa"/>
            <w:right w:w="57" w:type="dxa"/>
          </w:tblCellMar>
        </w:tblPrEx>
        <w:trPr>
          <w:cantSplit/>
          <w:trHeight w:val="315" w:hRule="atLeast"/>
          <w:jc w:val="center"/>
        </w:trPr>
        <w:tc>
          <w:tcPr>
            <w:tcW w:w="1458" w:type="pct"/>
            <w:vMerge w:val="continue"/>
            <w:tcBorders>
              <w:left w:val="dotted" w:color="auto" w:sz="2" w:space="0"/>
              <w:bottom w:val="dotted" w:color="auto" w:sz="2" w:space="0"/>
              <w:right w:val="dotted" w:color="auto" w:sz="2" w:space="0"/>
            </w:tcBorders>
            <w:vAlign w:val="center"/>
          </w:tcPr>
          <w:p w14:paraId="57C6D55F">
            <w:pPr>
              <w:widowControl/>
              <w:adjustRightInd/>
              <w:spacing w:line="240" w:lineRule="exact"/>
              <w:jc w:val="center"/>
              <w:textAlignment w:val="auto"/>
              <w:rPr>
                <w:rFonts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5EFBB67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1004" w:type="pct"/>
            <w:tcBorders>
              <w:top w:val="dotted" w:color="auto" w:sz="2" w:space="0"/>
              <w:left w:val="dotted" w:color="auto" w:sz="2" w:space="0"/>
              <w:bottom w:val="dotted" w:color="auto" w:sz="2" w:space="0"/>
              <w:right w:val="dotted" w:color="auto" w:sz="2" w:space="0"/>
            </w:tcBorders>
            <w:vAlign w:val="center"/>
          </w:tcPr>
          <w:p w14:paraId="58A3084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1097" w:type="pct"/>
            <w:tcBorders>
              <w:top w:val="dotted" w:color="auto" w:sz="2" w:space="0"/>
              <w:left w:val="dotted" w:color="auto" w:sz="2" w:space="0"/>
              <w:bottom w:val="dotted" w:color="auto" w:sz="2" w:space="0"/>
              <w:right w:val="dotted" w:color="auto" w:sz="2" w:space="0"/>
            </w:tcBorders>
            <w:vAlign w:val="center"/>
          </w:tcPr>
          <w:p w14:paraId="48BC4D4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974" w:type="pct"/>
            <w:tcBorders>
              <w:top w:val="dotted" w:color="auto" w:sz="2" w:space="0"/>
              <w:left w:val="dotted" w:color="auto" w:sz="2" w:space="0"/>
              <w:bottom w:val="dotted" w:color="auto" w:sz="2" w:space="0"/>
              <w:right w:val="dotted" w:color="auto" w:sz="2" w:space="0"/>
            </w:tcBorders>
            <w:vAlign w:val="center"/>
          </w:tcPr>
          <w:p w14:paraId="333A7EC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2073F08F">
        <w:tblPrEx>
          <w:tblCellMar>
            <w:top w:w="57" w:type="dxa"/>
            <w:left w:w="57" w:type="dxa"/>
            <w:bottom w:w="57" w:type="dxa"/>
            <w:right w:w="57" w:type="dxa"/>
          </w:tblCellMar>
        </w:tblPrEx>
        <w:trPr>
          <w:cantSplit/>
          <w:trHeight w:val="315" w:hRule="atLeast"/>
          <w:jc w:val="center"/>
        </w:trPr>
        <w:tc>
          <w:tcPr>
            <w:tcW w:w="1458" w:type="pct"/>
            <w:vMerge w:val="continue"/>
            <w:tcBorders>
              <w:left w:val="dotted" w:color="auto" w:sz="2" w:space="0"/>
              <w:bottom w:val="dotted" w:color="auto" w:sz="2" w:space="0"/>
              <w:right w:val="dotted" w:color="auto" w:sz="2" w:space="0"/>
            </w:tcBorders>
            <w:vAlign w:val="center"/>
          </w:tcPr>
          <w:p w14:paraId="366ECFFE">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08335D6C">
            <w:pPr>
              <w:widowControl/>
              <w:adjustRightInd/>
              <w:spacing w:line="240" w:lineRule="exact"/>
              <w:jc w:val="center"/>
              <w:textAlignment w:val="auto"/>
              <w:rPr>
                <w:rFonts w:ascii="Arial" w:hAnsi="Arial" w:eastAsia="华文细黑" w:cs="Arial"/>
                <w:color w:val="000000"/>
                <w:sz w:val="18"/>
                <w:szCs w:val="18"/>
              </w:rPr>
            </w:pPr>
          </w:p>
        </w:tc>
        <w:tc>
          <w:tcPr>
            <w:tcW w:w="1004" w:type="pct"/>
            <w:tcBorders>
              <w:top w:val="dotted" w:color="auto" w:sz="2" w:space="0"/>
              <w:left w:val="dotted" w:color="auto" w:sz="2" w:space="0"/>
              <w:bottom w:val="dotted" w:color="auto" w:sz="2" w:space="0"/>
              <w:right w:val="dotted" w:color="auto" w:sz="2" w:space="0"/>
            </w:tcBorders>
            <w:vAlign w:val="center"/>
          </w:tcPr>
          <w:p w14:paraId="6166F7F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1097" w:type="pct"/>
            <w:tcBorders>
              <w:top w:val="dotted" w:color="auto" w:sz="2" w:space="0"/>
              <w:left w:val="dotted" w:color="auto" w:sz="2" w:space="0"/>
              <w:bottom w:val="dotted" w:color="auto" w:sz="2" w:space="0"/>
              <w:right w:val="dotted" w:color="auto" w:sz="2" w:space="0"/>
            </w:tcBorders>
            <w:vAlign w:val="center"/>
          </w:tcPr>
          <w:p w14:paraId="3743F37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974" w:type="pct"/>
            <w:tcBorders>
              <w:top w:val="dotted" w:color="auto" w:sz="2" w:space="0"/>
              <w:left w:val="dotted" w:color="auto" w:sz="2" w:space="0"/>
              <w:bottom w:val="dotted" w:color="auto" w:sz="2" w:space="0"/>
              <w:right w:val="dotted" w:color="auto" w:sz="2" w:space="0"/>
            </w:tcBorders>
            <w:vAlign w:val="center"/>
          </w:tcPr>
          <w:p w14:paraId="60027D7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r w14:paraId="271F5E16">
        <w:tblPrEx>
          <w:tblCellMar>
            <w:top w:w="57" w:type="dxa"/>
            <w:left w:w="57" w:type="dxa"/>
            <w:bottom w:w="57" w:type="dxa"/>
            <w:right w:w="57" w:type="dxa"/>
          </w:tblCellMar>
        </w:tblPrEx>
        <w:trPr>
          <w:cantSplit/>
          <w:trHeight w:val="307" w:hRule="atLeast"/>
          <w:jc w:val="center"/>
        </w:trPr>
        <w:tc>
          <w:tcPr>
            <w:tcW w:w="2928" w:type="pct"/>
            <w:gridSpan w:val="3"/>
            <w:tcBorders>
              <w:top w:val="dotted" w:color="auto" w:sz="2" w:space="0"/>
              <w:left w:val="dotted" w:color="auto" w:sz="2" w:space="0"/>
              <w:bottom w:val="thinThickThinSmallGap" w:color="auto" w:sz="12" w:space="0"/>
              <w:right w:val="dotted" w:color="auto" w:sz="2" w:space="0"/>
            </w:tcBorders>
            <w:vAlign w:val="center"/>
          </w:tcPr>
          <w:p w14:paraId="5CED218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合计</w:t>
            </w:r>
          </w:p>
        </w:tc>
        <w:tc>
          <w:tcPr>
            <w:tcW w:w="1097" w:type="pct"/>
            <w:tcBorders>
              <w:top w:val="dotted" w:color="auto" w:sz="2" w:space="0"/>
              <w:left w:val="dotted" w:color="auto" w:sz="2" w:space="0"/>
              <w:bottom w:val="thinThickThinSmallGap" w:color="auto" w:sz="12" w:space="0"/>
              <w:right w:val="dotted" w:color="auto" w:sz="2" w:space="0"/>
            </w:tcBorders>
            <w:vAlign w:val="center"/>
          </w:tcPr>
          <w:p w14:paraId="06B819F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24871.67 </w:t>
            </w:r>
          </w:p>
        </w:tc>
        <w:tc>
          <w:tcPr>
            <w:tcW w:w="974" w:type="pct"/>
            <w:tcBorders>
              <w:top w:val="dotted" w:color="auto" w:sz="2" w:space="0"/>
              <w:left w:val="dotted" w:color="auto" w:sz="2" w:space="0"/>
              <w:bottom w:val="thinThickThinSmallGap" w:color="auto" w:sz="12" w:space="0"/>
              <w:right w:val="dotted" w:color="auto" w:sz="2" w:space="0"/>
            </w:tcBorders>
            <w:vAlign w:val="center"/>
          </w:tcPr>
          <w:p w14:paraId="5A1F473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w:t>
            </w:r>
          </w:p>
        </w:tc>
      </w:tr>
    </w:tbl>
    <w:p w14:paraId="139FB2B6">
      <w:pPr>
        <w:widowControl/>
        <w:adjustRightInd/>
        <w:spacing w:line="240" w:lineRule="auto"/>
        <w:ind w:firstLine="180" w:firstLineChars="100"/>
        <w:jc w:val="both"/>
        <w:textAlignment w:val="auto"/>
        <w:rPr>
          <w:rFonts w:ascii="Arial" w:hAnsi="Arial" w:eastAsia="华文细黑"/>
          <w:sz w:val="18"/>
        </w:rPr>
      </w:pPr>
      <w:r>
        <w:rPr>
          <w:rFonts w:hint="eastAsia" w:ascii="Arial" w:hAnsi="Arial" w:eastAsia="华文细黑"/>
          <w:sz w:val="18"/>
        </w:rPr>
        <w:t>单位：</w:t>
      </w:r>
      <w:r>
        <w:rPr>
          <w:rFonts w:hint="eastAsia" w:ascii="Arial" w:hAnsi="Arial" w:eastAsia="华文细黑" w:cs="宋体"/>
          <w:sz w:val="18"/>
          <w:szCs w:val="18"/>
        </w:rPr>
        <w:t>平方米、元/建筑</w:t>
      </w:r>
      <w:r>
        <w:rPr>
          <w:rFonts w:ascii="Arial" w:hAnsi="Arial" w:eastAsia="华文细黑" w:cs="宋体"/>
          <w:sz w:val="18"/>
          <w:szCs w:val="18"/>
        </w:rPr>
        <w:t>面积</w:t>
      </w:r>
      <w:r>
        <w:rPr>
          <w:rFonts w:hint="eastAsia" w:ascii="Arial" w:hAnsi="Arial" w:eastAsia="华文细黑" w:cs="宋体"/>
          <w:sz w:val="18"/>
          <w:szCs w:val="18"/>
        </w:rPr>
        <w:t>平方米·天</w:t>
      </w:r>
      <w:r>
        <w:rPr>
          <w:rFonts w:hint="eastAsia" w:ascii="Arial" w:hAnsi="Arial" w:eastAsia="华文细黑"/>
          <w:sz w:val="18"/>
        </w:rPr>
        <w:t>（币种：人民币）</w:t>
      </w:r>
    </w:p>
    <w:p w14:paraId="104444F2">
      <w:pPr>
        <w:widowControl/>
        <w:adjustRightInd/>
        <w:spacing w:line="240" w:lineRule="auto"/>
        <w:ind w:firstLine="180" w:firstLineChars="100"/>
        <w:jc w:val="both"/>
        <w:textAlignment w:val="auto"/>
        <w:rPr>
          <w:rFonts w:ascii="Arial" w:hAnsi="Arial" w:eastAsia="华文细黑" w:cs="宋体"/>
          <w:sz w:val="18"/>
          <w:szCs w:val="18"/>
        </w:rPr>
      </w:pPr>
      <w:r>
        <w:rPr>
          <w:rFonts w:hint="eastAsia" w:ascii="Arial" w:hAnsi="Arial" w:eastAsia="华文细黑" w:cs="宋体"/>
          <w:sz w:val="18"/>
          <w:szCs w:val="18"/>
        </w:rPr>
        <w:t>备注：因市场情况复杂，实际签订价格将受交易双方对项目心理预期的影响，会在估价结果的基础上出现一定范围内的上下浮动。</w:t>
      </w:r>
    </w:p>
    <w:p w14:paraId="4C07BB78">
      <w:pPr>
        <w:wordWrap w:val="0"/>
        <w:overflowPunct w:val="0"/>
        <w:spacing w:line="480" w:lineRule="auto"/>
        <w:ind w:firstLine="420" w:firstLineChars="200"/>
        <w:jc w:val="both"/>
        <w:textAlignment w:val="auto"/>
        <w:rPr>
          <w:rFonts w:ascii="Arial" w:hAnsi="Arial" w:cs="Arial"/>
          <w:sz w:val="21"/>
          <w:szCs w:val="21"/>
        </w:rPr>
      </w:pPr>
    </w:p>
    <w:p w14:paraId="4279F848">
      <w:pPr>
        <w:spacing w:line="360" w:lineRule="auto"/>
        <w:jc w:val="both"/>
        <w:rPr>
          <w:rFonts w:ascii="Arial" w:hAnsi="Arial" w:eastAsia="楷体_GB2312" w:cs="Arial"/>
          <w:sz w:val="28"/>
        </w:rPr>
        <w:sectPr>
          <w:footerReference r:id="rId23" w:type="default"/>
          <w:pgSz w:w="11907" w:h="16840"/>
          <w:pgMar w:top="1843" w:right="1304" w:bottom="1134" w:left="1304" w:header="1134" w:footer="907" w:gutter="0"/>
          <w:cols w:space="720" w:num="1"/>
          <w:docGrid w:linePitch="326" w:charSpace="0"/>
        </w:sectPr>
      </w:pPr>
    </w:p>
    <w:p w14:paraId="519922C6">
      <w:pPr>
        <w:spacing w:line="240" w:lineRule="auto"/>
        <w:jc w:val="center"/>
        <w:rPr>
          <w:rFonts w:ascii="Arial" w:hAnsi="Arial" w:eastAsia="方正黑体简体"/>
          <w:szCs w:val="24"/>
        </w:rPr>
      </w:pPr>
    </w:p>
    <w:p w14:paraId="39005203">
      <w:pPr>
        <w:pStyle w:val="3"/>
        <w:numPr>
          <w:ilvl w:val="0"/>
          <w:numId w:val="0"/>
        </w:numPr>
        <w:overflowPunct w:val="0"/>
        <w:spacing w:line="480" w:lineRule="auto"/>
        <w:jc w:val="both"/>
        <w:textAlignment w:val="auto"/>
        <w:rPr>
          <w:rFonts w:eastAsia="宋体"/>
          <w:kern w:val="2"/>
          <w:sz w:val="21"/>
          <w:szCs w:val="21"/>
        </w:rPr>
      </w:pPr>
      <w:bookmarkStart w:id="38" w:name="_Toc168225824"/>
      <w:bookmarkStart w:id="39" w:name="_Toc477252451"/>
      <w:r>
        <w:rPr>
          <w:rFonts w:eastAsia="宋体"/>
          <w:kern w:val="2"/>
          <w:sz w:val="21"/>
          <w:szCs w:val="21"/>
        </w:rPr>
        <w:t>十</w:t>
      </w:r>
      <w:bookmarkEnd w:id="38"/>
      <w:r>
        <w:rPr>
          <w:rFonts w:eastAsia="宋体"/>
          <w:kern w:val="2"/>
          <w:sz w:val="21"/>
          <w:szCs w:val="21"/>
        </w:rPr>
        <w:t>一、</w:t>
      </w:r>
      <w:r>
        <w:rPr>
          <w:rFonts w:hint="eastAsia" w:eastAsia="宋体"/>
          <w:kern w:val="2"/>
          <w:sz w:val="21"/>
          <w:szCs w:val="21"/>
        </w:rPr>
        <w:t>评估专业</w:t>
      </w:r>
      <w:r>
        <w:rPr>
          <w:rFonts w:eastAsia="宋体"/>
          <w:kern w:val="2"/>
          <w:sz w:val="21"/>
          <w:szCs w:val="21"/>
        </w:rPr>
        <w:t>人员</w:t>
      </w:r>
      <w:bookmarkEnd w:id="39"/>
    </w:p>
    <w:tbl>
      <w:tblPr>
        <w:tblStyle w:val="32"/>
        <w:tblW w:w="92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57" w:type="dxa"/>
          <w:bottom w:w="57" w:type="dxa"/>
          <w:right w:w="57" w:type="dxa"/>
        </w:tblCellMar>
      </w:tblPr>
      <w:tblGrid>
        <w:gridCol w:w="1746"/>
        <w:gridCol w:w="2197"/>
        <w:gridCol w:w="2774"/>
        <w:gridCol w:w="2582"/>
      </w:tblGrid>
      <w:tr w14:paraId="7A83A0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9027" w:type="dxa"/>
            <w:gridSpan w:val="4"/>
            <w:vAlign w:val="center"/>
          </w:tcPr>
          <w:p w14:paraId="023CBBD7">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14:paraId="10F811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1695" w:type="dxa"/>
            <w:vAlign w:val="center"/>
          </w:tcPr>
          <w:p w14:paraId="0B4B8EEE">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14:paraId="0CAB1072">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693" w:type="dxa"/>
            <w:vAlign w:val="center"/>
          </w:tcPr>
          <w:p w14:paraId="6D360FCF">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14:paraId="6B03F256">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14:paraId="509542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1134" w:hRule="exact"/>
          <w:jc w:val="center"/>
        </w:trPr>
        <w:tc>
          <w:tcPr>
            <w:tcW w:w="1695" w:type="dxa"/>
            <w:vAlign w:val="center"/>
          </w:tcPr>
          <w:p w14:paraId="459213B9">
            <w:pP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常  畅</w:t>
            </w:r>
          </w:p>
        </w:tc>
        <w:tc>
          <w:tcPr>
            <w:tcW w:w="2133" w:type="dxa"/>
            <w:vAlign w:val="center"/>
          </w:tcPr>
          <w:p w14:paraId="269A5263">
            <w:pP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1120250061</w:t>
            </w:r>
          </w:p>
        </w:tc>
        <w:tc>
          <w:tcPr>
            <w:tcW w:w="2693" w:type="dxa"/>
            <w:vAlign w:val="center"/>
          </w:tcPr>
          <w:p w14:paraId="3D007E38">
            <w:pPr>
              <w:tabs>
                <w:tab w:val="left" w:pos="5160"/>
              </w:tabs>
              <w:overflowPunct w:val="0"/>
              <w:spacing w:line="240" w:lineRule="exact"/>
              <w:rPr>
                <w:rFonts w:ascii="Arial" w:hAnsi="Arial" w:cs="Arial"/>
                <w:color w:val="000000"/>
                <w:sz w:val="21"/>
                <w:szCs w:val="21"/>
              </w:rPr>
            </w:pPr>
          </w:p>
        </w:tc>
        <w:tc>
          <w:tcPr>
            <w:tcW w:w="2506" w:type="dxa"/>
            <w:vAlign w:val="center"/>
          </w:tcPr>
          <w:p w14:paraId="0A1C90C5">
            <w:pPr>
              <w:tabs>
                <w:tab w:val="left" w:pos="5160"/>
              </w:tabs>
              <w:overflowPunct w:val="0"/>
              <w:spacing w:line="240" w:lineRule="exact"/>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7D243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1134" w:hRule="exact"/>
          <w:jc w:val="center"/>
        </w:trPr>
        <w:tc>
          <w:tcPr>
            <w:tcW w:w="1695" w:type="dxa"/>
            <w:vAlign w:val="center"/>
          </w:tcPr>
          <w:p w14:paraId="39671D82">
            <w:pP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许皓源</w:t>
            </w:r>
          </w:p>
        </w:tc>
        <w:tc>
          <w:tcPr>
            <w:tcW w:w="2133" w:type="dxa"/>
            <w:vAlign w:val="center"/>
          </w:tcPr>
          <w:p w14:paraId="6D746B2E">
            <w:pP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1119980019</w:t>
            </w:r>
          </w:p>
        </w:tc>
        <w:tc>
          <w:tcPr>
            <w:tcW w:w="2693" w:type="dxa"/>
            <w:vAlign w:val="center"/>
          </w:tcPr>
          <w:p w14:paraId="7892FFFB">
            <w:pPr>
              <w:tabs>
                <w:tab w:val="left" w:pos="5160"/>
              </w:tabs>
              <w:overflowPunct w:val="0"/>
              <w:spacing w:line="240" w:lineRule="exact"/>
              <w:rPr>
                <w:rFonts w:ascii="Arial" w:hAnsi="Arial" w:cs="Arial"/>
                <w:color w:val="000000"/>
                <w:sz w:val="21"/>
                <w:szCs w:val="21"/>
              </w:rPr>
            </w:pPr>
          </w:p>
        </w:tc>
        <w:tc>
          <w:tcPr>
            <w:tcW w:w="2506" w:type="dxa"/>
            <w:vAlign w:val="center"/>
          </w:tcPr>
          <w:p w14:paraId="206D8138">
            <w:pPr>
              <w:tabs>
                <w:tab w:val="left" w:pos="5160"/>
              </w:tabs>
              <w:overflowPunct w:val="0"/>
              <w:spacing w:line="240" w:lineRule="exact"/>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730995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9027" w:type="dxa"/>
            <w:gridSpan w:val="4"/>
            <w:vAlign w:val="center"/>
          </w:tcPr>
          <w:p w14:paraId="456C31AE">
            <w:pPr>
              <w:tabs>
                <w:tab w:val="left" w:pos="5160"/>
              </w:tabs>
              <w:overflowPunct w:val="0"/>
              <w:spacing w:line="240" w:lineRule="exact"/>
              <w:rPr>
                <w:rFonts w:ascii="Arial" w:hAnsi="Arial" w:cs="Arial"/>
                <w:b/>
                <w:color w:val="000000"/>
                <w:kern w:val="2"/>
                <w:sz w:val="21"/>
                <w:szCs w:val="21"/>
              </w:rPr>
            </w:pPr>
            <w:r>
              <w:rPr>
                <w:rFonts w:hint="eastAsia" w:ascii="Arial" w:hAnsi="Arial" w:cs="Arial"/>
                <w:b/>
                <w:color w:val="000000"/>
                <w:kern w:val="2"/>
                <w:sz w:val="21"/>
                <w:szCs w:val="21"/>
              </w:rPr>
              <w:t>其他评估专业</w:t>
            </w:r>
            <w:r>
              <w:rPr>
                <w:rFonts w:ascii="Arial" w:hAnsi="Arial" w:cs="Arial"/>
                <w:b/>
                <w:color w:val="000000"/>
                <w:kern w:val="2"/>
                <w:sz w:val="21"/>
                <w:szCs w:val="21"/>
              </w:rPr>
              <w:t>人员</w:t>
            </w:r>
            <w:r>
              <w:rPr>
                <w:rFonts w:hint="eastAsia" w:ascii="Arial" w:hAnsi="Arial" w:cs="Arial"/>
                <w:b/>
                <w:color w:val="000000"/>
                <w:kern w:val="2"/>
                <w:sz w:val="21"/>
                <w:szCs w:val="21"/>
              </w:rPr>
              <w:t xml:space="preserve"> </w:t>
            </w:r>
          </w:p>
        </w:tc>
      </w:tr>
      <w:tr w14:paraId="6711B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1695" w:type="dxa"/>
            <w:vAlign w:val="center"/>
          </w:tcPr>
          <w:p w14:paraId="730AD3F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14:paraId="3E58D1FD">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693" w:type="dxa"/>
            <w:vAlign w:val="center"/>
          </w:tcPr>
          <w:p w14:paraId="71C085A7">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14:paraId="5D23A8D1">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14:paraId="1BD759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1134" w:hRule="exact"/>
          <w:jc w:val="center"/>
        </w:trPr>
        <w:tc>
          <w:tcPr>
            <w:tcW w:w="1695" w:type="dxa"/>
            <w:vAlign w:val="center"/>
          </w:tcPr>
          <w:p w14:paraId="61475688">
            <w:pP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李诗霖</w:t>
            </w:r>
          </w:p>
        </w:tc>
        <w:tc>
          <w:tcPr>
            <w:tcW w:w="2133" w:type="dxa"/>
            <w:vAlign w:val="center"/>
          </w:tcPr>
          <w:p w14:paraId="2CB1F2F0">
            <w:pP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w:t>
            </w:r>
          </w:p>
        </w:tc>
        <w:tc>
          <w:tcPr>
            <w:tcW w:w="2693" w:type="dxa"/>
            <w:vAlign w:val="center"/>
          </w:tcPr>
          <w:p w14:paraId="547B0301">
            <w:pPr>
              <w:tabs>
                <w:tab w:val="left" w:pos="5160"/>
              </w:tabs>
              <w:overflowPunct w:val="0"/>
              <w:spacing w:line="240" w:lineRule="exact"/>
              <w:rPr>
                <w:rFonts w:ascii="Arial" w:hAnsi="Arial" w:cs="Arial"/>
                <w:color w:val="000000"/>
                <w:sz w:val="21"/>
                <w:szCs w:val="21"/>
              </w:rPr>
            </w:pPr>
          </w:p>
        </w:tc>
        <w:tc>
          <w:tcPr>
            <w:tcW w:w="2506" w:type="dxa"/>
            <w:vAlign w:val="center"/>
          </w:tcPr>
          <w:p w14:paraId="07AA2618">
            <w:pPr>
              <w:tabs>
                <w:tab w:val="left" w:pos="5160"/>
              </w:tabs>
              <w:overflowPunct w:val="0"/>
              <w:spacing w:line="240" w:lineRule="exact"/>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bl>
    <w:p w14:paraId="4A90C1A1">
      <w:pPr>
        <w:overflowPunct w:val="0"/>
        <w:spacing w:line="480" w:lineRule="auto"/>
        <w:jc w:val="both"/>
        <w:textAlignment w:val="auto"/>
        <w:rPr>
          <w:rFonts w:ascii="Arial" w:hAnsi="Arial" w:cs="Arial"/>
          <w:kern w:val="2"/>
          <w:sz w:val="21"/>
          <w:szCs w:val="21"/>
        </w:rPr>
      </w:pPr>
    </w:p>
    <w:p w14:paraId="5BB75380">
      <w:pPr>
        <w:pStyle w:val="3"/>
        <w:numPr>
          <w:ilvl w:val="0"/>
          <w:numId w:val="0"/>
        </w:numPr>
        <w:overflowPunct w:val="0"/>
        <w:spacing w:line="480" w:lineRule="auto"/>
        <w:jc w:val="both"/>
        <w:textAlignment w:val="auto"/>
        <w:rPr>
          <w:rFonts w:eastAsia="宋体"/>
          <w:kern w:val="2"/>
          <w:sz w:val="21"/>
          <w:szCs w:val="21"/>
        </w:rPr>
      </w:pPr>
      <w:bookmarkStart w:id="40" w:name="_Toc477252452"/>
      <w:r>
        <w:rPr>
          <w:rFonts w:eastAsia="宋体"/>
          <w:kern w:val="2"/>
          <w:sz w:val="21"/>
          <w:szCs w:val="21"/>
        </w:rPr>
        <w:t>十二、实地查勘期</w:t>
      </w:r>
      <w:bookmarkEnd w:id="40"/>
    </w:p>
    <w:p w14:paraId="6DC5D3A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2026年1月14日</w:t>
      </w:r>
    </w:p>
    <w:p w14:paraId="1E03C20F">
      <w:pPr>
        <w:overflowPunct w:val="0"/>
        <w:spacing w:line="480" w:lineRule="auto"/>
        <w:jc w:val="both"/>
        <w:textAlignment w:val="auto"/>
        <w:rPr>
          <w:rFonts w:ascii="Arial" w:hAnsi="Arial" w:cs="Arial"/>
          <w:kern w:val="2"/>
          <w:sz w:val="21"/>
          <w:szCs w:val="21"/>
        </w:rPr>
      </w:pPr>
    </w:p>
    <w:p w14:paraId="17639DAC">
      <w:pPr>
        <w:pStyle w:val="3"/>
        <w:numPr>
          <w:ilvl w:val="0"/>
          <w:numId w:val="0"/>
        </w:numPr>
        <w:overflowPunct w:val="0"/>
        <w:spacing w:line="480" w:lineRule="auto"/>
        <w:jc w:val="both"/>
        <w:textAlignment w:val="auto"/>
        <w:rPr>
          <w:rFonts w:eastAsia="宋体"/>
          <w:kern w:val="2"/>
          <w:sz w:val="21"/>
          <w:szCs w:val="21"/>
        </w:rPr>
      </w:pPr>
      <w:bookmarkStart w:id="41" w:name="_Toc477252453"/>
      <w:bookmarkStart w:id="42" w:name="_Toc168225825"/>
      <w:r>
        <w:rPr>
          <w:rFonts w:eastAsia="宋体"/>
          <w:kern w:val="2"/>
          <w:sz w:val="21"/>
          <w:szCs w:val="21"/>
        </w:rPr>
        <w:t>十三、估价作业期</w:t>
      </w:r>
      <w:bookmarkEnd w:id="41"/>
      <w:bookmarkEnd w:id="42"/>
      <w:r>
        <w:rPr>
          <w:rFonts w:hint="eastAsia" w:eastAsia="宋体"/>
          <w:kern w:val="2"/>
          <w:sz w:val="21"/>
          <w:szCs w:val="21"/>
        </w:rPr>
        <w:t xml:space="preserve">  </w:t>
      </w:r>
    </w:p>
    <w:p w14:paraId="15AE2F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2026年1月14日</w:t>
      </w:r>
      <w:r>
        <w:rPr>
          <w:rFonts w:ascii="Arial" w:hAnsi="Arial" w:cs="Arial"/>
          <w:sz w:val="21"/>
          <w:szCs w:val="21"/>
        </w:rPr>
        <w:t>至20</w:t>
      </w:r>
      <w:r>
        <w:rPr>
          <w:rFonts w:hint="eastAsia" w:ascii="Arial" w:hAnsi="Arial" w:cs="Arial"/>
          <w:sz w:val="21"/>
          <w:szCs w:val="21"/>
        </w:rPr>
        <w:t>26</w:t>
      </w:r>
      <w:r>
        <w:rPr>
          <w:rFonts w:ascii="Arial" w:hAnsi="Arial" w:cs="Arial"/>
          <w:sz w:val="21"/>
          <w:szCs w:val="21"/>
        </w:rPr>
        <w:t>年</w:t>
      </w:r>
      <w:r>
        <w:rPr>
          <w:rFonts w:hint="eastAsia" w:ascii="Arial" w:hAnsi="Arial" w:cs="Arial"/>
          <w:sz w:val="21"/>
          <w:szCs w:val="21"/>
        </w:rPr>
        <w:t>1</w:t>
      </w:r>
      <w:r>
        <w:rPr>
          <w:rFonts w:ascii="Arial" w:hAnsi="Arial" w:cs="Arial"/>
          <w:sz w:val="21"/>
          <w:szCs w:val="21"/>
        </w:rPr>
        <w:t>月</w:t>
      </w:r>
      <w:r>
        <w:rPr>
          <w:rFonts w:hint="eastAsia" w:ascii="Arial" w:hAnsi="Arial" w:cs="Arial"/>
          <w:sz w:val="21"/>
          <w:szCs w:val="21"/>
        </w:rPr>
        <w:t>30</w:t>
      </w:r>
      <w:r>
        <w:rPr>
          <w:rFonts w:ascii="Arial" w:hAnsi="Arial" w:cs="Arial"/>
          <w:sz w:val="21"/>
          <w:szCs w:val="21"/>
        </w:rPr>
        <w:t>日</w:t>
      </w:r>
    </w:p>
    <w:p w14:paraId="641D93DA">
      <w:pPr>
        <w:overflowPunct w:val="0"/>
        <w:spacing w:line="480" w:lineRule="auto"/>
        <w:jc w:val="both"/>
        <w:textAlignment w:val="auto"/>
        <w:outlineLvl w:val="0"/>
        <w:rPr>
          <w:rFonts w:ascii="Arial" w:hAnsi="Arial" w:cs="Arial"/>
          <w:b/>
          <w:kern w:val="2"/>
          <w:sz w:val="21"/>
          <w:szCs w:val="21"/>
        </w:rPr>
        <w:sectPr>
          <w:headerReference r:id="rId24" w:type="default"/>
          <w:footerReference r:id="rId25" w:type="default"/>
          <w:footerReference r:id="rId26" w:type="even"/>
          <w:pgSz w:w="11907" w:h="16840"/>
          <w:pgMar w:top="1843" w:right="1304" w:bottom="1134" w:left="1304" w:header="1134" w:footer="907" w:gutter="0"/>
          <w:cols w:space="720" w:num="1"/>
          <w:docGrid w:linePitch="326" w:charSpace="0"/>
        </w:sectPr>
      </w:pPr>
    </w:p>
    <w:p w14:paraId="31B8FE71">
      <w:pPr>
        <w:pStyle w:val="2"/>
        <w:spacing w:line="480" w:lineRule="auto"/>
        <w:jc w:val="center"/>
        <w:rPr>
          <w:rFonts w:eastAsia="方正黑体简体"/>
          <w:b w:val="0"/>
          <w:kern w:val="2"/>
          <w:sz w:val="32"/>
          <w:szCs w:val="32"/>
        </w:rPr>
      </w:pPr>
      <w:bookmarkStart w:id="43" w:name="_Toc477252454"/>
      <w:r>
        <w:rPr>
          <w:rFonts w:hint="eastAsia" w:eastAsia="方正黑体简体"/>
          <w:b w:val="0"/>
          <w:kern w:val="2"/>
          <w:sz w:val="32"/>
          <w:szCs w:val="32"/>
        </w:rPr>
        <w:t>估价技术报告</w:t>
      </w:r>
      <w:bookmarkEnd w:id="43"/>
    </w:p>
    <w:p w14:paraId="1BDB1A8D">
      <w:pPr>
        <w:pStyle w:val="3"/>
        <w:numPr>
          <w:ilvl w:val="0"/>
          <w:numId w:val="0"/>
        </w:numPr>
        <w:spacing w:line="480" w:lineRule="auto"/>
        <w:ind w:left="358" w:hanging="358" w:hangingChars="170"/>
        <w:jc w:val="both"/>
        <w:rPr>
          <w:rFonts w:eastAsia="宋体"/>
          <w:kern w:val="2"/>
          <w:sz w:val="21"/>
          <w:szCs w:val="21"/>
        </w:rPr>
      </w:pPr>
      <w:bookmarkStart w:id="44" w:name="_Toc477252455"/>
      <w:r>
        <w:rPr>
          <w:rFonts w:eastAsia="宋体"/>
          <w:kern w:val="2"/>
          <w:sz w:val="21"/>
          <w:szCs w:val="21"/>
        </w:rPr>
        <w:t>一、估价对象描述与分析</w:t>
      </w:r>
      <w:bookmarkEnd w:id="44"/>
    </w:p>
    <w:p w14:paraId="185CA0D3">
      <w:pPr>
        <w:pStyle w:val="3"/>
        <w:numPr>
          <w:ilvl w:val="0"/>
          <w:numId w:val="0"/>
        </w:numPr>
        <w:spacing w:line="480" w:lineRule="auto"/>
        <w:ind w:left="360" w:hanging="361" w:hangingChars="171"/>
        <w:jc w:val="both"/>
        <w:rPr>
          <w:rFonts w:eastAsia="宋体"/>
          <w:kern w:val="2"/>
          <w:sz w:val="21"/>
          <w:szCs w:val="21"/>
        </w:rPr>
      </w:pPr>
      <w:bookmarkStart w:id="45" w:name="_Toc477252456"/>
      <w:r>
        <w:rPr>
          <w:rFonts w:eastAsia="宋体"/>
          <w:kern w:val="2"/>
          <w:sz w:val="21"/>
          <w:szCs w:val="21"/>
        </w:rPr>
        <w:t>（一）实物状况分析</w:t>
      </w:r>
      <w:bookmarkEnd w:id="45"/>
    </w:p>
    <w:p w14:paraId="046D9D55">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7FE296DC">
      <w:pPr>
        <w:spacing w:line="480" w:lineRule="auto"/>
        <w:ind w:firstLine="420" w:firstLineChars="200"/>
        <w:jc w:val="both"/>
        <w:rPr>
          <w:rFonts w:ascii="Arial" w:hAnsi="Arial"/>
          <w:bCs/>
          <w:sz w:val="21"/>
        </w:rPr>
      </w:pPr>
      <w:r>
        <w:rPr>
          <w:rFonts w:hint="eastAsia" w:ascii="Arial" w:hAnsi="Arial" w:cs="Arial"/>
          <w:sz w:val="21"/>
          <w:szCs w:val="21"/>
        </w:rPr>
        <w:t>（1）</w:t>
      </w:r>
      <w:r>
        <w:rPr>
          <w:rFonts w:ascii="Arial" w:hAnsi="Arial" w:cs="Arial"/>
          <w:sz w:val="21"/>
          <w:szCs w:val="21"/>
        </w:rPr>
        <w:t>土地面积：根据</w:t>
      </w:r>
      <w:r>
        <w:rPr>
          <w:rFonts w:hint="eastAsia" w:ascii="Arial" w:hAnsi="Arial"/>
          <w:bCs/>
          <w:sz w:val="21"/>
        </w:rPr>
        <w:t>《不动产权证书》[京（2021）房不动产权第0024765号]，估价对象所属房山区长于大街28号院100幢（044号地块）共有宗地面积24641.28平方米，用途为商业，土地使用期限自2016年12月26日起至2056年12月25日止。</w:t>
      </w:r>
    </w:p>
    <w:p w14:paraId="4B17A9B6">
      <w:pPr>
        <w:spacing w:line="480" w:lineRule="auto"/>
        <w:ind w:firstLine="420" w:firstLineChars="200"/>
        <w:jc w:val="both"/>
        <w:rPr>
          <w:rFonts w:ascii="Arial" w:hAnsi="Arial"/>
          <w:bCs/>
          <w:sz w:val="21"/>
        </w:rPr>
      </w:pPr>
      <w:r>
        <w:rPr>
          <w:rFonts w:ascii="Arial" w:hAnsi="Arial" w:cs="Arial"/>
          <w:sz w:val="21"/>
          <w:szCs w:val="21"/>
        </w:rPr>
        <w:t>根据</w:t>
      </w:r>
      <w:r>
        <w:rPr>
          <w:rFonts w:hint="eastAsia" w:ascii="Arial" w:hAnsi="Arial"/>
          <w:bCs/>
          <w:sz w:val="21"/>
        </w:rPr>
        <w:t>《不动产权证书》[京（2022）房不动产权第0001792、0001795号]，估价对象所属房山区阜盛西街11号院3、6号楼（042号地块）共有宗地面积28738.33平方米，用途为商业，土地使用期限自2016年12月26日起至2056年12月25日止。</w:t>
      </w:r>
    </w:p>
    <w:p w14:paraId="2E53C662">
      <w:pPr>
        <w:spacing w:line="480" w:lineRule="auto"/>
        <w:ind w:firstLine="420" w:firstLineChars="200"/>
        <w:jc w:val="both"/>
        <w:rPr>
          <w:rFonts w:ascii="Arial" w:hAnsi="Arial" w:cs="Arial"/>
          <w:sz w:val="21"/>
          <w:szCs w:val="21"/>
        </w:rPr>
      </w:pPr>
      <w:r>
        <w:rPr>
          <w:rFonts w:hint="eastAsia" w:ascii="Arial" w:hAnsi="Arial" w:cs="Arial"/>
          <w:sz w:val="21"/>
          <w:szCs w:val="21"/>
        </w:rPr>
        <w:t>（2）</w:t>
      </w:r>
      <w:r>
        <w:rPr>
          <w:rFonts w:ascii="Arial" w:hAnsi="Arial" w:cs="Arial"/>
          <w:sz w:val="21"/>
          <w:szCs w:val="21"/>
        </w:rPr>
        <w:t>土地利用状况：</w:t>
      </w:r>
      <w:r>
        <w:rPr>
          <w:rFonts w:hint="eastAsia" w:ascii="Arial" w:hAnsi="Arial" w:cs="Arial"/>
          <w:sz w:val="21"/>
          <w:szCs w:val="21"/>
        </w:rPr>
        <w:t>估价对象属熙悦天街项目，项目</w:t>
      </w:r>
      <w:r>
        <w:rPr>
          <w:rFonts w:ascii="Arial" w:hAnsi="Arial" w:cs="Arial"/>
          <w:sz w:val="21"/>
          <w:szCs w:val="21"/>
        </w:rPr>
        <w:t>现状已完成开发建设。项目用地呈近似规则形状，场地地势较平坦，水文状况良好，工程地质条件良好，无不良地质现象。估价对象</w:t>
      </w:r>
      <w:r>
        <w:rPr>
          <w:rFonts w:hint="eastAsia" w:ascii="Arial" w:hAnsi="Arial" w:cs="Arial"/>
          <w:sz w:val="21"/>
          <w:szCs w:val="21"/>
        </w:rPr>
        <w:t>所属项目紧邻长于大街</w:t>
      </w:r>
      <w:r>
        <w:rPr>
          <w:rFonts w:ascii="Arial" w:hAnsi="Arial" w:cs="Arial"/>
          <w:sz w:val="21"/>
          <w:szCs w:val="21"/>
        </w:rPr>
        <w:t>，宽度及深度比例</w:t>
      </w:r>
      <w:r>
        <w:rPr>
          <w:rFonts w:hint="eastAsia" w:ascii="Arial" w:hAnsi="Arial" w:cs="Arial"/>
          <w:sz w:val="21"/>
          <w:szCs w:val="21"/>
        </w:rPr>
        <w:t>较适宜</w:t>
      </w:r>
      <w:r>
        <w:rPr>
          <w:rFonts w:ascii="Arial" w:hAnsi="Arial" w:cs="Arial"/>
          <w:sz w:val="21"/>
          <w:szCs w:val="21"/>
        </w:rPr>
        <w:t>。综上，该</w:t>
      </w:r>
      <w:r>
        <w:rPr>
          <w:rFonts w:hint="eastAsia" w:ascii="Arial" w:hAnsi="Arial" w:cs="Arial"/>
          <w:sz w:val="21"/>
          <w:szCs w:val="21"/>
        </w:rPr>
        <w:t>项目</w:t>
      </w:r>
      <w:r>
        <w:rPr>
          <w:rFonts w:ascii="Arial" w:hAnsi="Arial" w:cs="Arial"/>
          <w:sz w:val="21"/>
          <w:szCs w:val="21"/>
        </w:rPr>
        <w:t>土地利用程度较好。</w:t>
      </w:r>
    </w:p>
    <w:p w14:paraId="5429BE05">
      <w:pPr>
        <w:spacing w:line="480" w:lineRule="auto"/>
        <w:ind w:right="205" w:firstLine="420" w:firstLineChars="200"/>
        <w:jc w:val="both"/>
        <w:rPr>
          <w:rFonts w:ascii="Arial" w:hAnsi="Arial" w:cs="Arial"/>
          <w:sz w:val="21"/>
          <w:szCs w:val="21"/>
        </w:rPr>
      </w:pPr>
      <w:r>
        <w:rPr>
          <w:rFonts w:hint="eastAsia" w:ascii="Arial" w:hAnsi="Arial" w:cs="Arial"/>
          <w:sz w:val="21"/>
          <w:szCs w:val="21"/>
        </w:rPr>
        <w:t>（3）</w:t>
      </w:r>
      <w:r>
        <w:rPr>
          <w:rFonts w:ascii="Arial" w:hAnsi="Arial" w:cs="Arial"/>
          <w:sz w:val="21"/>
          <w:szCs w:val="21"/>
        </w:rPr>
        <w:t>土地开发程度：估价对象现状市政基础设施达</w:t>
      </w:r>
      <w:r>
        <w:rPr>
          <w:rFonts w:hint="eastAsia" w:ascii="Arial" w:hAnsi="Arial"/>
          <w:sz w:val="21"/>
          <w:szCs w:val="21"/>
        </w:rPr>
        <w:t>“六通”（即通路、通电、通讯、通上水、通下水、通燃气）</w:t>
      </w:r>
      <w:r>
        <w:rPr>
          <w:rFonts w:ascii="Arial" w:hAnsi="Arial" w:cs="Arial"/>
          <w:sz w:val="21"/>
          <w:szCs w:val="21"/>
        </w:rPr>
        <w:t>，保障程度较高。</w:t>
      </w:r>
    </w:p>
    <w:p w14:paraId="13826783">
      <w:pPr>
        <w:spacing w:line="480" w:lineRule="auto"/>
        <w:ind w:firstLine="420" w:firstLineChars="200"/>
        <w:jc w:val="both"/>
        <w:rPr>
          <w:rFonts w:ascii="Arial" w:hAnsi="Arial" w:cs="Arial"/>
          <w:sz w:val="21"/>
          <w:szCs w:val="21"/>
        </w:rPr>
      </w:pPr>
      <w:r>
        <w:rPr>
          <w:rFonts w:ascii="Arial" w:hAnsi="Arial" w:cs="Arial"/>
          <w:sz w:val="21"/>
          <w:szCs w:val="21"/>
        </w:rPr>
        <w:t>道路：城市主干道——</w:t>
      </w:r>
      <w:r>
        <w:rPr>
          <w:rFonts w:hint="eastAsia" w:ascii="Arial" w:hAnsi="Arial" w:cs="Arial"/>
          <w:sz w:val="21"/>
          <w:szCs w:val="21"/>
        </w:rPr>
        <w:t>长于大街</w:t>
      </w:r>
      <w:r>
        <w:rPr>
          <w:rFonts w:ascii="Arial" w:hAnsi="Arial" w:cs="Arial"/>
          <w:sz w:val="21"/>
          <w:szCs w:val="21"/>
        </w:rPr>
        <w:t>；</w:t>
      </w:r>
    </w:p>
    <w:p w14:paraId="1457337E">
      <w:pPr>
        <w:spacing w:line="480" w:lineRule="auto"/>
        <w:ind w:right="205" w:firstLine="420" w:firstLineChars="200"/>
        <w:jc w:val="both"/>
        <w:rPr>
          <w:rFonts w:ascii="Arial" w:hAnsi="Arial" w:cs="Arial"/>
          <w:sz w:val="21"/>
          <w:szCs w:val="21"/>
        </w:rPr>
      </w:pPr>
      <w:r>
        <w:rPr>
          <w:rFonts w:ascii="Arial" w:hAnsi="Arial" w:cs="Arial"/>
          <w:sz w:val="21"/>
          <w:szCs w:val="21"/>
        </w:rPr>
        <w:t>电力：市政供电；</w:t>
      </w:r>
    </w:p>
    <w:p w14:paraId="7D5B98F3">
      <w:pPr>
        <w:spacing w:line="480" w:lineRule="auto"/>
        <w:ind w:right="205" w:firstLine="420" w:firstLineChars="200"/>
        <w:jc w:val="both"/>
        <w:rPr>
          <w:rFonts w:ascii="Arial" w:hAnsi="Arial" w:cs="Arial"/>
          <w:sz w:val="21"/>
          <w:szCs w:val="21"/>
        </w:rPr>
      </w:pPr>
      <w:r>
        <w:rPr>
          <w:rFonts w:ascii="Arial" w:hAnsi="Arial" w:cs="Arial"/>
          <w:sz w:val="21"/>
          <w:szCs w:val="21"/>
        </w:rPr>
        <w:t>通讯：电话线入楼、有线电视入楼、宽带入楼；</w:t>
      </w:r>
    </w:p>
    <w:p w14:paraId="5895ED28">
      <w:pPr>
        <w:spacing w:line="480" w:lineRule="auto"/>
        <w:ind w:right="205" w:firstLine="420" w:firstLineChars="200"/>
        <w:jc w:val="both"/>
        <w:rPr>
          <w:rFonts w:ascii="Arial" w:hAnsi="Arial" w:cs="Arial"/>
          <w:sz w:val="21"/>
          <w:szCs w:val="21"/>
        </w:rPr>
      </w:pPr>
      <w:r>
        <w:rPr>
          <w:rFonts w:ascii="Arial" w:hAnsi="Arial" w:cs="Arial"/>
          <w:sz w:val="21"/>
          <w:szCs w:val="21"/>
        </w:rPr>
        <w:t>上水：市政管网供水；</w:t>
      </w:r>
    </w:p>
    <w:p w14:paraId="43F40BA6">
      <w:pPr>
        <w:spacing w:line="480" w:lineRule="auto"/>
        <w:ind w:right="205" w:firstLine="420" w:firstLineChars="200"/>
        <w:jc w:val="both"/>
        <w:rPr>
          <w:rFonts w:ascii="Arial" w:hAnsi="Arial" w:cs="Arial"/>
          <w:sz w:val="21"/>
          <w:szCs w:val="21"/>
        </w:rPr>
      </w:pPr>
      <w:r>
        <w:rPr>
          <w:rFonts w:ascii="Arial" w:hAnsi="Arial" w:cs="Arial"/>
          <w:sz w:val="21"/>
          <w:szCs w:val="21"/>
        </w:rPr>
        <w:t>下水：市政管网排水；</w:t>
      </w:r>
    </w:p>
    <w:p w14:paraId="1C88BF06">
      <w:pPr>
        <w:spacing w:line="480" w:lineRule="auto"/>
        <w:ind w:right="205" w:firstLine="420" w:firstLineChars="200"/>
        <w:jc w:val="both"/>
        <w:rPr>
          <w:rFonts w:ascii="Arial" w:hAnsi="Arial" w:cs="Arial"/>
          <w:sz w:val="21"/>
          <w:szCs w:val="21"/>
        </w:rPr>
      </w:pPr>
      <w:r>
        <w:rPr>
          <w:rFonts w:ascii="Arial" w:hAnsi="Arial" w:cs="Arial"/>
          <w:sz w:val="21"/>
          <w:szCs w:val="21"/>
        </w:rPr>
        <w:t>天然气：管道天然气；</w:t>
      </w:r>
    </w:p>
    <w:p w14:paraId="73047F4A">
      <w:pPr>
        <w:spacing w:line="480" w:lineRule="auto"/>
        <w:ind w:right="205" w:firstLine="420" w:firstLineChars="200"/>
        <w:jc w:val="both"/>
        <w:rPr>
          <w:rFonts w:ascii="Arial" w:hAnsi="Arial" w:cs="Arial"/>
          <w:sz w:val="21"/>
          <w:szCs w:val="21"/>
        </w:rPr>
      </w:pPr>
      <w:r>
        <w:rPr>
          <w:rFonts w:ascii="Arial" w:hAnsi="Arial" w:cs="Arial"/>
          <w:sz w:val="21"/>
          <w:szCs w:val="21"/>
        </w:rPr>
        <w:t>热力：</w:t>
      </w:r>
      <w:r>
        <w:rPr>
          <w:rFonts w:hint="eastAsia" w:ascii="Arial" w:hAnsi="Arial" w:cs="Arial"/>
          <w:sz w:val="21"/>
          <w:szCs w:val="21"/>
        </w:rPr>
        <w:t>中央空调</w:t>
      </w:r>
      <w:r>
        <w:rPr>
          <w:rFonts w:ascii="Arial" w:hAnsi="Arial" w:cs="Arial"/>
          <w:sz w:val="21"/>
          <w:szCs w:val="21"/>
        </w:rPr>
        <w:t>。</w:t>
      </w:r>
    </w:p>
    <w:p w14:paraId="5DEBE05D">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4F2C030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估价对象所属首开龙湖北京熙悦天街项目，是龙湖集团在北京布局的第六座天街系列项目，由北京首开龙湖盈泰置业有限公司开发运营。项目位于北京市房山区长阳镇，地处良乡大学城商圈与长阳休闲购物板块的交汇处，紧邻地铁房山线良乡大学城北站，交通便利。项目定位为“‌阳光生活新空间‌”，</w:t>
      </w:r>
      <w:r>
        <w:rPr>
          <w:rFonts w:hint="eastAsia" w:ascii="Arial" w:hAnsi="Arial"/>
          <w:kern w:val="2"/>
          <w:sz w:val="21"/>
        </w:rPr>
        <w:t>房山熙悦天街项目由</w:t>
      </w:r>
      <w:r>
        <w:rPr>
          <w:rFonts w:ascii="Arial" w:hAnsi="Arial"/>
          <w:kern w:val="2"/>
          <w:sz w:val="21"/>
        </w:rPr>
        <w:t>042、044、047</w:t>
      </w:r>
      <w:r>
        <w:rPr>
          <w:rFonts w:hint="eastAsia" w:ascii="Arial" w:hAnsi="Arial"/>
          <w:kern w:val="2"/>
          <w:sz w:val="21"/>
        </w:rPr>
        <w:t>号三个地块组成，项目总建筑面积301466.92平方米，地上建筑面积179120.40平方米（包含自持商业和销售商业），地下商业建筑面积37795.93平方米，地下车库建筑面积84550.59平方米，</w:t>
      </w:r>
      <w:r>
        <w:rPr>
          <w:rFonts w:hint="eastAsia" w:ascii="Arial" w:hAnsi="Arial" w:cs="Arial"/>
          <w:sz w:val="21"/>
          <w:szCs w:val="21"/>
        </w:rPr>
        <w:t>拥有超过‌1200个车位‌。‌</w:t>
      </w:r>
    </w:p>
    <w:p w14:paraId="2F34F92E">
      <w:pPr>
        <w:wordWrap w:val="0"/>
        <w:overflowPunct w:val="0"/>
        <w:spacing w:line="480" w:lineRule="auto"/>
        <w:ind w:firstLine="420" w:firstLineChars="200"/>
        <w:jc w:val="both"/>
        <w:textAlignment w:val="auto"/>
        <w:rPr>
          <w:rFonts w:ascii="Arial" w:hAnsi="Arial"/>
          <w:bCs/>
          <w:sz w:val="21"/>
        </w:rPr>
      </w:pPr>
      <w:r>
        <w:rPr>
          <w:rFonts w:hint="eastAsia" w:ascii="Arial" w:hAnsi="Arial"/>
          <w:kern w:val="2"/>
          <w:sz w:val="21"/>
        </w:rPr>
        <w:t>估价对象为</w:t>
      </w:r>
      <w:r>
        <w:rPr>
          <w:rFonts w:hint="eastAsia" w:ascii="Arial" w:hAnsi="Arial" w:cs="Arial"/>
          <w:kern w:val="2"/>
          <w:sz w:val="21"/>
          <w:szCs w:val="21"/>
        </w:rPr>
        <w:t>北京市房山区阜盛西街11号院3号楼地上1层101号等29套商业用房，总建筑面积24871.67平方米，</w:t>
      </w:r>
      <w:r>
        <w:rPr>
          <w:rFonts w:hint="eastAsia" w:ascii="Arial" w:hAnsi="Arial"/>
          <w:kern w:val="2"/>
          <w:sz w:val="21"/>
        </w:rPr>
        <w:t>其中，042地块中包含</w:t>
      </w:r>
      <w:r>
        <w:rPr>
          <w:rFonts w:hint="eastAsia" w:ascii="Arial" w:hAnsi="Arial" w:cs="Arial"/>
          <w:kern w:val="2"/>
          <w:sz w:val="21"/>
          <w:szCs w:val="21"/>
        </w:rPr>
        <w:t>阜盛西街11号院3号楼（总层数为2（-2）层），地上1-2层共7套商业用房，总建筑面积5287.83平方米；阜盛西街11号院6号楼（总层数为1（-2）层），地下1层共9套商业用房，总建筑面积8822.48平方米，于2021年办理竣工验收</w:t>
      </w:r>
      <w:r>
        <w:rPr>
          <w:rFonts w:hint="eastAsia" w:ascii="Arial" w:hAnsi="Arial"/>
          <w:bCs/>
          <w:sz w:val="21"/>
        </w:rPr>
        <w:t>。0</w:t>
      </w:r>
      <w:r>
        <w:rPr>
          <w:rFonts w:ascii="Arial" w:hAnsi="Arial"/>
          <w:bCs/>
          <w:sz w:val="21"/>
        </w:rPr>
        <w:t>44</w:t>
      </w:r>
      <w:r>
        <w:rPr>
          <w:rFonts w:hint="eastAsia" w:ascii="Arial" w:hAnsi="Arial"/>
          <w:bCs/>
          <w:sz w:val="21"/>
        </w:rPr>
        <w:t>地块中包含</w:t>
      </w:r>
      <w:r>
        <w:rPr>
          <w:rFonts w:hint="eastAsia" w:ascii="Arial" w:hAnsi="Arial" w:cs="Arial"/>
          <w:kern w:val="2"/>
          <w:sz w:val="21"/>
          <w:szCs w:val="21"/>
        </w:rPr>
        <w:t>长于大街28号院100幢（总层数为-2层），地下1层共7套商业用房，总建筑面积5976.27平方米，于2021年办理竣工验收</w:t>
      </w:r>
      <w:r>
        <w:rPr>
          <w:rFonts w:hint="eastAsia" w:ascii="Arial" w:hAnsi="Arial"/>
          <w:bCs/>
          <w:sz w:val="21"/>
        </w:rPr>
        <w:t>。</w:t>
      </w:r>
      <w:r>
        <w:rPr>
          <w:rFonts w:hint="eastAsia" w:ascii="Arial" w:hAnsi="Arial"/>
          <w:color w:val="000000"/>
          <w:kern w:val="2"/>
          <w:sz w:val="21"/>
        </w:rPr>
        <w:t>长阳镇FS00-LX10-0044地块6号商业楼（测绘地址）（</w:t>
      </w:r>
      <w:r>
        <w:rPr>
          <w:rFonts w:hint="eastAsia" w:ascii="Arial" w:hAnsi="Arial" w:cs="Arial"/>
          <w:kern w:val="2"/>
          <w:sz w:val="21"/>
          <w:szCs w:val="21"/>
        </w:rPr>
        <w:t>总层数为2（-2）层），地上1-2层</w:t>
      </w:r>
      <w:r>
        <w:rPr>
          <w:rFonts w:hint="eastAsia" w:ascii="Arial" w:hAnsi="Arial"/>
          <w:bCs/>
          <w:sz w:val="21"/>
        </w:rPr>
        <w:t>共6套商业用房，总建筑面积4785.09平方米，现尚未办理不动产权证书，根据《估价委托书》，设定现已具备竣备条件。估价对象地上商业多位于地块内部，主要分布在地上1-2层商业。地下商业多属于下沉式商业、封闭式地下商业，出入口有限，通达性较差，展示面遮挡严重，可视性较差。所属</w:t>
      </w:r>
      <w:r>
        <w:rPr>
          <w:rFonts w:hint="eastAsia" w:ascii="Arial" w:hAnsi="Arial"/>
          <w:kern w:val="2"/>
          <w:sz w:val="21"/>
        </w:rPr>
        <w:t>楼栋建筑结构均为钢混，</w:t>
      </w:r>
      <w:r>
        <w:rPr>
          <w:rFonts w:hint="eastAsia" w:ascii="Arial" w:hAnsi="Arial"/>
          <w:bCs/>
          <w:sz w:val="21"/>
        </w:rPr>
        <w:t>项目外立面装修均以金属外挂板为主，层高约6米，地上商业用房使用率约75%-85%，地下商业用房使用率约60%-65%，内部装修均为毛坯。</w:t>
      </w:r>
    </w:p>
    <w:p w14:paraId="432BBC5D">
      <w:pPr>
        <w:spacing w:line="480" w:lineRule="auto"/>
        <w:ind w:firstLine="420" w:firstLineChars="200"/>
        <w:jc w:val="both"/>
        <w:rPr>
          <w:rFonts w:ascii="Arial" w:hAnsi="Arial" w:cs="Arial"/>
          <w:sz w:val="21"/>
          <w:szCs w:val="21"/>
        </w:rPr>
      </w:pPr>
      <w:r>
        <w:rPr>
          <w:rFonts w:hint="eastAsia" w:ascii="Arial" w:hAnsi="Arial" w:cs="Arial"/>
          <w:sz w:val="21"/>
          <w:szCs w:val="21"/>
        </w:rPr>
        <w:t>根据评估专业人员实地查勘，估价对象地面、墙面平整；门窗开启关闭灵活；墙面、顶棚面层涂料完好，设备、管道通畅，水卫、电照设备完好，维护情况良好。结合估价对象的建成年代、建筑结构，采用直线折旧法计算估价对象成新率：</w:t>
      </w:r>
    </w:p>
    <w:p w14:paraId="4D814320">
      <w:pPr>
        <w:spacing w:line="480" w:lineRule="auto"/>
        <w:ind w:firstLine="420" w:firstLineChars="200"/>
        <w:jc w:val="both"/>
        <w:rPr>
          <w:rFonts w:ascii="Arial" w:hAnsi="Arial" w:cs="Arial"/>
          <w:sz w:val="21"/>
          <w:szCs w:val="21"/>
        </w:rPr>
      </w:pPr>
      <w:r>
        <w:rPr>
          <w:rFonts w:hint="eastAsia" w:ascii="Arial" w:hAnsi="Arial" w:cs="Arial"/>
          <w:kern w:val="2"/>
          <w:sz w:val="21"/>
          <w:szCs w:val="21"/>
        </w:rPr>
        <w:t>房山区阜盛西街11号院3地上1-2层、6号楼地下1层、044地块地下1层商业用房</w:t>
      </w:r>
      <w:r>
        <w:rPr>
          <w:rFonts w:ascii="Arial" w:hAnsi="Arial" w:cs="Arial"/>
          <w:color w:val="000000"/>
          <w:sz w:val="21"/>
          <w:szCs w:val="21"/>
        </w:rPr>
        <w:t>成新率＝1-（1-残值率）×已经使</w:t>
      </w:r>
      <w:r>
        <w:rPr>
          <w:rFonts w:ascii="Arial" w:hAnsi="Arial" w:cs="Arial"/>
          <w:sz w:val="21"/>
          <w:szCs w:val="21"/>
        </w:rPr>
        <w:t>用年限÷经济耐用年限＝1-（1-</w:t>
      </w:r>
      <w:r>
        <w:rPr>
          <w:rFonts w:hint="eastAsia" w:ascii="Arial" w:hAnsi="Arial" w:cs="Arial"/>
          <w:sz w:val="21"/>
          <w:szCs w:val="21"/>
        </w:rPr>
        <w:t>0</w:t>
      </w:r>
      <w:r>
        <w:rPr>
          <w:rFonts w:ascii="Arial" w:hAnsi="Arial" w:cs="Arial"/>
          <w:sz w:val="21"/>
          <w:szCs w:val="21"/>
        </w:rPr>
        <w:t>%）×</w:t>
      </w:r>
      <w:r>
        <w:rPr>
          <w:rFonts w:hint="eastAsia" w:ascii="Arial" w:hAnsi="Arial" w:cs="Arial"/>
          <w:sz w:val="21"/>
          <w:szCs w:val="21"/>
        </w:rPr>
        <w:t>5</w:t>
      </w:r>
      <w:r>
        <w:rPr>
          <w:rFonts w:ascii="Arial" w:hAnsi="Arial" w:cs="Arial"/>
          <w:sz w:val="21"/>
          <w:szCs w:val="21"/>
        </w:rPr>
        <w:t>÷</w:t>
      </w:r>
      <w:r>
        <w:rPr>
          <w:rFonts w:hint="eastAsia" w:ascii="Arial" w:hAnsi="Arial" w:cs="Arial"/>
          <w:sz w:val="21"/>
          <w:szCs w:val="21"/>
        </w:rPr>
        <w:t>60</w:t>
      </w:r>
      <w:r>
        <w:rPr>
          <w:rFonts w:ascii="Arial" w:hAnsi="Arial" w:cs="Arial"/>
          <w:sz w:val="21"/>
          <w:szCs w:val="21"/>
        </w:rPr>
        <w:t>＝</w:t>
      </w:r>
      <w:r>
        <w:rPr>
          <w:rFonts w:hint="eastAsia" w:ascii="Arial" w:hAnsi="Arial" w:cs="Arial"/>
          <w:sz w:val="21"/>
          <w:szCs w:val="21"/>
        </w:rPr>
        <w:t>92</w:t>
      </w:r>
      <w:r>
        <w:rPr>
          <w:rFonts w:ascii="Arial" w:hAnsi="Arial" w:cs="Arial"/>
          <w:sz w:val="21"/>
          <w:szCs w:val="21"/>
        </w:rPr>
        <w:t>%</w:t>
      </w:r>
    </w:p>
    <w:p w14:paraId="189810E0">
      <w:pPr>
        <w:spacing w:line="480" w:lineRule="auto"/>
        <w:ind w:firstLine="420" w:firstLineChars="200"/>
        <w:jc w:val="both"/>
        <w:rPr>
          <w:rFonts w:ascii="Arial" w:hAnsi="Arial" w:cs="Arial"/>
          <w:sz w:val="21"/>
          <w:szCs w:val="21"/>
        </w:rPr>
      </w:pPr>
      <w:r>
        <w:rPr>
          <w:rFonts w:hint="eastAsia" w:ascii="Arial" w:hAnsi="Arial" w:cs="Arial"/>
          <w:kern w:val="2"/>
          <w:sz w:val="21"/>
          <w:szCs w:val="21"/>
        </w:rPr>
        <w:t>044地块地上1-2层商业用房</w:t>
      </w:r>
      <w:r>
        <w:rPr>
          <w:rFonts w:ascii="Arial" w:hAnsi="Arial" w:cs="Arial"/>
          <w:color w:val="000000"/>
          <w:sz w:val="21"/>
          <w:szCs w:val="21"/>
        </w:rPr>
        <w:t>成新率</w:t>
      </w:r>
      <w:r>
        <w:rPr>
          <w:rFonts w:hint="eastAsia" w:ascii="Arial" w:hAnsi="Arial" w:cs="Arial"/>
          <w:color w:val="000000"/>
          <w:sz w:val="21"/>
          <w:szCs w:val="21"/>
        </w:rPr>
        <w:t>为100%。</w:t>
      </w:r>
    </w:p>
    <w:p w14:paraId="744D7B40">
      <w:pPr>
        <w:pStyle w:val="3"/>
        <w:numPr>
          <w:ilvl w:val="0"/>
          <w:numId w:val="0"/>
        </w:numPr>
        <w:spacing w:line="480" w:lineRule="auto"/>
        <w:ind w:left="360" w:hanging="361" w:hangingChars="171"/>
        <w:jc w:val="both"/>
        <w:rPr>
          <w:rFonts w:eastAsia="宋体"/>
          <w:kern w:val="2"/>
          <w:sz w:val="21"/>
          <w:szCs w:val="21"/>
        </w:rPr>
      </w:pPr>
      <w:bookmarkStart w:id="46" w:name="_Toc477252457"/>
      <w:r>
        <w:rPr>
          <w:rFonts w:eastAsia="宋体"/>
          <w:kern w:val="2"/>
          <w:sz w:val="21"/>
          <w:szCs w:val="21"/>
        </w:rPr>
        <w:t>（二）权益状况分析</w:t>
      </w:r>
      <w:bookmarkEnd w:id="46"/>
    </w:p>
    <w:p w14:paraId="30E7319E">
      <w:pPr>
        <w:spacing w:line="480" w:lineRule="auto"/>
        <w:ind w:right="205" w:firstLine="420" w:firstLineChars="200"/>
        <w:jc w:val="both"/>
        <w:rPr>
          <w:rFonts w:ascii="Arial" w:hAnsi="Arial" w:cs="Arial"/>
          <w:sz w:val="21"/>
          <w:szCs w:val="21"/>
        </w:rPr>
      </w:pPr>
      <w:r>
        <w:rPr>
          <w:rFonts w:hint="eastAsia" w:ascii="Arial" w:hAnsi="Arial" w:cs="Arial"/>
          <w:sz w:val="21"/>
          <w:szCs w:val="21"/>
        </w:rPr>
        <w:t>1.用途及规划条件</w:t>
      </w:r>
    </w:p>
    <w:p w14:paraId="181CA9F0">
      <w:pPr>
        <w:spacing w:line="480" w:lineRule="auto"/>
        <w:ind w:right="205" w:firstLine="420" w:firstLineChars="200"/>
        <w:jc w:val="both"/>
        <w:rPr>
          <w:rFonts w:ascii="Arial" w:hAnsi="Arial" w:cs="Arial"/>
          <w:sz w:val="21"/>
          <w:szCs w:val="21"/>
        </w:rPr>
      </w:pP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ascii="Arial" w:hAnsi="Arial" w:cs="Arial"/>
          <w:sz w:val="21"/>
          <w:szCs w:val="21"/>
        </w:rPr>
        <w:t>，</w:t>
      </w:r>
      <w:r>
        <w:rPr>
          <w:rFonts w:hint="eastAsia" w:ascii="Arial" w:hAnsi="Arial" w:cs="Arial"/>
          <w:sz w:val="21"/>
          <w:szCs w:val="21"/>
        </w:rPr>
        <w:t>估价对象土地用途为商业</w:t>
      </w:r>
      <w:r>
        <w:rPr>
          <w:rFonts w:hint="eastAsia" w:ascii="Arial" w:hAnsi="Arial" w:cs="Arial"/>
          <w:color w:val="E36C0A"/>
          <w:sz w:val="21"/>
          <w:szCs w:val="21"/>
        </w:rPr>
        <w:t>，</w:t>
      </w:r>
      <w:r>
        <w:rPr>
          <w:rFonts w:hint="eastAsia" w:ascii="Arial" w:hAnsi="Arial" w:cs="Arial"/>
          <w:sz w:val="21"/>
          <w:szCs w:val="21"/>
        </w:rPr>
        <w:t>房屋用途为商业，已完成建筑物信息登记，其现状利用符合规划要求。</w:t>
      </w:r>
    </w:p>
    <w:p w14:paraId="62A7B761">
      <w:pPr>
        <w:spacing w:line="480" w:lineRule="auto"/>
        <w:ind w:right="205" w:firstLine="420" w:firstLineChars="200"/>
        <w:jc w:val="both"/>
        <w:rPr>
          <w:rFonts w:ascii="Arial" w:hAnsi="Arial" w:cs="Arial"/>
          <w:sz w:val="21"/>
          <w:szCs w:val="21"/>
        </w:rPr>
      </w:pPr>
      <w:r>
        <w:rPr>
          <w:rFonts w:hint="eastAsia" w:ascii="Arial" w:hAnsi="Arial" w:cs="Arial"/>
          <w:sz w:val="21"/>
          <w:szCs w:val="21"/>
        </w:rPr>
        <w:t>2.所有权</w:t>
      </w:r>
    </w:p>
    <w:p w14:paraId="28A812F7">
      <w:pPr>
        <w:spacing w:line="480" w:lineRule="auto"/>
        <w:ind w:right="205" w:firstLine="420" w:firstLineChars="200"/>
        <w:jc w:val="both"/>
        <w:rPr>
          <w:rFonts w:ascii="Arial" w:hAnsi="Arial"/>
          <w:bCs/>
          <w:sz w:val="21"/>
        </w:rPr>
      </w:pP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hint="eastAsia" w:ascii="Arial" w:hAnsi="Arial" w:cs="Arial"/>
          <w:sz w:val="21"/>
          <w:szCs w:val="21"/>
        </w:rPr>
        <w:t>，</w:t>
      </w:r>
      <w:r>
        <w:rPr>
          <w:rFonts w:ascii="Arial" w:hAnsi="Arial" w:cs="Arial"/>
          <w:sz w:val="21"/>
          <w:szCs w:val="21"/>
        </w:rPr>
        <w:t>估价对象土</w:t>
      </w:r>
      <w:r>
        <w:rPr>
          <w:rFonts w:hint="eastAsia" w:ascii="Arial" w:hAnsi="Arial"/>
          <w:bCs/>
          <w:sz w:val="21"/>
        </w:rPr>
        <w:t>地为国有土地，土地所有权归国家所有，估价对象房屋所有权为北京首开龙湖盈泰置业有限公司单独所有。</w:t>
      </w:r>
    </w:p>
    <w:p w14:paraId="5CAB5E39">
      <w:pPr>
        <w:spacing w:line="480" w:lineRule="auto"/>
        <w:ind w:right="205" w:firstLine="420" w:firstLineChars="200"/>
        <w:jc w:val="both"/>
        <w:rPr>
          <w:rFonts w:ascii="Arial" w:hAnsi="Arial" w:cs="Arial"/>
          <w:sz w:val="21"/>
          <w:szCs w:val="21"/>
        </w:rPr>
      </w:pPr>
      <w:r>
        <w:rPr>
          <w:rFonts w:hint="eastAsia" w:ascii="Arial" w:hAnsi="Arial" w:cs="Arial"/>
          <w:sz w:val="21"/>
          <w:szCs w:val="21"/>
        </w:rPr>
        <w:t>3.用益物权</w:t>
      </w:r>
    </w:p>
    <w:p w14:paraId="00FB531C">
      <w:pPr>
        <w:spacing w:line="480" w:lineRule="auto"/>
        <w:ind w:right="205" w:firstLine="420" w:firstLineChars="200"/>
        <w:jc w:val="both"/>
        <w:rPr>
          <w:rFonts w:ascii="Arial" w:hAnsi="Arial" w:cs="Arial"/>
          <w:sz w:val="21"/>
          <w:szCs w:val="21"/>
        </w:rPr>
      </w:pPr>
      <w:r>
        <w:rPr>
          <w:rFonts w:hint="eastAsia" w:ascii="Arial" w:hAnsi="Arial" w:cs="Arial"/>
          <w:sz w:val="21"/>
          <w:szCs w:val="21"/>
        </w:rPr>
        <w:t>建设用地使用权：</w:t>
      </w: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ascii="Arial" w:hAnsi="Arial" w:cs="Arial"/>
          <w:sz w:val="21"/>
          <w:szCs w:val="21"/>
        </w:rPr>
        <w:t>，</w:t>
      </w:r>
      <w:r>
        <w:rPr>
          <w:rFonts w:hint="eastAsia" w:ascii="Arial" w:hAnsi="Arial"/>
          <w:bCs/>
          <w:sz w:val="21"/>
        </w:rPr>
        <w:t>北京首开龙湖盈泰置业有限公司</w:t>
      </w:r>
      <w:r>
        <w:rPr>
          <w:rFonts w:ascii="Arial" w:hAnsi="Arial" w:cs="Arial"/>
          <w:sz w:val="21"/>
          <w:szCs w:val="21"/>
        </w:rPr>
        <w:t>拥有估价对象出让国有建设用地使用权，土地用途为</w:t>
      </w:r>
      <w:r>
        <w:rPr>
          <w:rFonts w:hint="eastAsia" w:ascii="Arial" w:hAnsi="Arial" w:cs="Arial"/>
          <w:sz w:val="21"/>
          <w:szCs w:val="21"/>
        </w:rPr>
        <w:t>商业</w:t>
      </w:r>
      <w:r>
        <w:rPr>
          <w:rFonts w:ascii="Arial" w:hAnsi="Arial" w:cs="Arial"/>
          <w:sz w:val="21"/>
          <w:szCs w:val="21"/>
        </w:rPr>
        <w:t>，</w:t>
      </w:r>
      <w:r>
        <w:rPr>
          <w:rFonts w:hint="eastAsia" w:ascii="Arial" w:hAnsi="Arial"/>
          <w:bCs/>
          <w:sz w:val="21"/>
        </w:rPr>
        <w:t>土地使用年限为4</w:t>
      </w:r>
      <w:r>
        <w:rPr>
          <w:rFonts w:ascii="Arial" w:hAnsi="Arial"/>
          <w:bCs/>
          <w:sz w:val="21"/>
        </w:rPr>
        <w:t>0</w:t>
      </w:r>
      <w:r>
        <w:rPr>
          <w:rFonts w:hint="eastAsia" w:ascii="Arial" w:hAnsi="Arial"/>
          <w:bCs/>
          <w:sz w:val="21"/>
        </w:rPr>
        <w:t>年，自2</w:t>
      </w:r>
      <w:r>
        <w:rPr>
          <w:rFonts w:ascii="Arial" w:hAnsi="Arial"/>
          <w:bCs/>
          <w:sz w:val="21"/>
        </w:rPr>
        <w:t>016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6</w:t>
      </w:r>
      <w:r>
        <w:rPr>
          <w:rFonts w:hint="eastAsia" w:ascii="Arial" w:hAnsi="Arial"/>
          <w:bCs/>
          <w:sz w:val="21"/>
        </w:rPr>
        <w:t>日起20</w:t>
      </w:r>
      <w:r>
        <w:rPr>
          <w:rFonts w:ascii="Arial" w:hAnsi="Arial"/>
          <w:bCs/>
          <w:sz w:val="21"/>
        </w:rPr>
        <w:t>56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5</w:t>
      </w:r>
      <w:r>
        <w:rPr>
          <w:rFonts w:hint="eastAsia" w:ascii="Arial" w:hAnsi="Arial"/>
          <w:bCs/>
          <w:sz w:val="21"/>
        </w:rPr>
        <w:t>日止，</w:t>
      </w:r>
      <w:r>
        <w:rPr>
          <w:rFonts w:ascii="Arial" w:hAnsi="Arial" w:cs="Arial"/>
          <w:sz w:val="21"/>
          <w:szCs w:val="21"/>
        </w:rPr>
        <w:t>出让国有建设用地使用权剩余土地使用年限为</w:t>
      </w:r>
      <w:r>
        <w:rPr>
          <w:rFonts w:hint="eastAsia" w:ascii="Arial" w:hAnsi="Arial" w:cs="Arial"/>
          <w:sz w:val="21"/>
          <w:szCs w:val="21"/>
        </w:rPr>
        <w:t>30.95</w:t>
      </w:r>
      <w:r>
        <w:rPr>
          <w:rFonts w:ascii="Arial" w:hAnsi="Arial" w:cs="Arial"/>
          <w:sz w:val="21"/>
          <w:szCs w:val="21"/>
        </w:rPr>
        <w:t>年。</w:t>
      </w:r>
    </w:p>
    <w:p w14:paraId="6B0A2C3E">
      <w:pPr>
        <w:spacing w:line="480" w:lineRule="auto"/>
        <w:ind w:right="205" w:firstLine="420" w:firstLineChars="200"/>
        <w:jc w:val="both"/>
        <w:rPr>
          <w:rFonts w:ascii="Arial" w:hAnsi="Arial" w:cs="Arial"/>
          <w:sz w:val="21"/>
          <w:szCs w:val="21"/>
        </w:rPr>
      </w:pPr>
      <w:r>
        <w:rPr>
          <w:rFonts w:hint="eastAsia" w:ascii="Arial" w:hAnsi="Arial" w:cs="Arial"/>
          <w:sz w:val="21"/>
          <w:szCs w:val="21"/>
        </w:rPr>
        <w:t>地役权：根据不动产权利人介绍及评估专业人员实地查勘，估价对象未设定地役权。</w:t>
      </w:r>
    </w:p>
    <w:p w14:paraId="12D31238">
      <w:pPr>
        <w:spacing w:line="480" w:lineRule="auto"/>
        <w:ind w:right="205" w:firstLine="420" w:firstLineChars="200"/>
        <w:jc w:val="both"/>
        <w:rPr>
          <w:rFonts w:ascii="Arial" w:hAnsi="Arial" w:cs="Arial"/>
          <w:sz w:val="21"/>
          <w:szCs w:val="21"/>
        </w:rPr>
      </w:pPr>
      <w:r>
        <w:rPr>
          <w:rFonts w:hint="eastAsia" w:ascii="Arial" w:hAnsi="Arial" w:cs="Arial"/>
          <w:sz w:val="21"/>
          <w:szCs w:val="21"/>
        </w:rPr>
        <w:t>4.担保物权</w:t>
      </w:r>
    </w:p>
    <w:p w14:paraId="44B1D68F">
      <w:pPr>
        <w:spacing w:line="480" w:lineRule="auto"/>
        <w:ind w:right="205" w:firstLine="420" w:firstLineChars="200"/>
        <w:jc w:val="both"/>
        <w:rPr>
          <w:rFonts w:ascii="Arial" w:hAnsi="Arial" w:cs="Arial"/>
          <w:sz w:val="21"/>
          <w:szCs w:val="21"/>
        </w:rPr>
      </w:pP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ascii="Arial" w:hAnsi="Arial" w:cs="Arial"/>
          <w:sz w:val="21"/>
          <w:szCs w:val="21"/>
        </w:rPr>
        <w:t>，</w:t>
      </w:r>
      <w:r>
        <w:rPr>
          <w:rFonts w:ascii="Arial" w:hAnsi="Arial" w:cs="Arial"/>
          <w:bCs/>
          <w:sz w:val="21"/>
          <w:szCs w:val="21"/>
        </w:rPr>
        <w:t>截至价值时点，估价对象</w:t>
      </w:r>
      <w:r>
        <w:rPr>
          <w:rFonts w:hint="eastAsia" w:ascii="Arial" w:hAnsi="Arial" w:cs="Arial"/>
          <w:bCs/>
          <w:sz w:val="21"/>
          <w:szCs w:val="21"/>
        </w:rPr>
        <w:t>未设定</w:t>
      </w:r>
      <w:r>
        <w:rPr>
          <w:rFonts w:ascii="Arial" w:hAnsi="Arial" w:cs="Arial"/>
          <w:bCs/>
          <w:sz w:val="21"/>
          <w:szCs w:val="21"/>
        </w:rPr>
        <w:t>抵押权。</w:t>
      </w:r>
    </w:p>
    <w:p w14:paraId="21A843DF">
      <w:pPr>
        <w:spacing w:line="480" w:lineRule="auto"/>
        <w:ind w:right="205" w:firstLine="420" w:firstLineChars="200"/>
        <w:jc w:val="both"/>
        <w:rPr>
          <w:rFonts w:ascii="Arial" w:hAnsi="Arial" w:cs="Arial"/>
          <w:sz w:val="21"/>
          <w:szCs w:val="21"/>
        </w:rPr>
      </w:pPr>
      <w:r>
        <w:rPr>
          <w:rFonts w:hint="eastAsia" w:ascii="Arial" w:hAnsi="Arial" w:cs="Arial"/>
          <w:sz w:val="21"/>
          <w:szCs w:val="21"/>
        </w:rPr>
        <w:t>5.租赁或占用情况</w:t>
      </w:r>
    </w:p>
    <w:p w14:paraId="7667D155">
      <w:pPr>
        <w:spacing w:line="480" w:lineRule="auto"/>
        <w:ind w:right="205" w:firstLine="420" w:firstLineChars="200"/>
        <w:jc w:val="both"/>
        <w:rPr>
          <w:rFonts w:ascii="Arial" w:hAnsi="Arial" w:cs="Arial"/>
          <w:sz w:val="21"/>
          <w:szCs w:val="21"/>
        </w:rPr>
      </w:pPr>
      <w:r>
        <w:rPr>
          <w:rFonts w:ascii="Arial" w:hAnsi="Arial" w:cs="Arial"/>
          <w:sz w:val="21"/>
          <w:szCs w:val="21"/>
        </w:rPr>
        <w:t>根据不动产权利人介绍</w:t>
      </w:r>
      <w:r>
        <w:rPr>
          <w:rFonts w:hint="eastAsia" w:ascii="Arial" w:hAnsi="Arial" w:cs="Arial"/>
          <w:sz w:val="21"/>
          <w:szCs w:val="21"/>
        </w:rPr>
        <w:t>及评估专业人员实地查勘</w:t>
      </w:r>
      <w:r>
        <w:rPr>
          <w:rFonts w:ascii="Arial" w:hAnsi="Arial" w:cs="Arial"/>
          <w:sz w:val="21"/>
          <w:szCs w:val="21"/>
        </w:rPr>
        <w:t>，截至价值时点，估价对象北京市房山区阜盛西街11号院3号楼地上1层101号</w:t>
      </w:r>
      <w:r>
        <w:rPr>
          <w:rFonts w:hint="eastAsia" w:ascii="Arial" w:hAnsi="Arial" w:cs="Arial"/>
          <w:sz w:val="21"/>
          <w:szCs w:val="21"/>
        </w:rPr>
        <w:t>商业用房已出租作为售楼处使用，其余房源均未出租，本次评估是</w:t>
      </w:r>
      <w:r>
        <w:rPr>
          <w:rFonts w:hint="eastAsia" w:ascii="Arial" w:hAnsi="Arial"/>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14:paraId="2DA77B2E">
      <w:pPr>
        <w:spacing w:line="480" w:lineRule="auto"/>
        <w:ind w:right="205" w:firstLine="420" w:firstLineChars="200"/>
        <w:jc w:val="both"/>
        <w:rPr>
          <w:rFonts w:ascii="Arial" w:hAnsi="Arial" w:cs="Arial"/>
          <w:sz w:val="21"/>
          <w:szCs w:val="21"/>
        </w:rPr>
      </w:pPr>
      <w:r>
        <w:rPr>
          <w:rFonts w:hint="eastAsia" w:ascii="Arial" w:hAnsi="Arial" w:cs="Arial"/>
          <w:sz w:val="21"/>
          <w:szCs w:val="21"/>
        </w:rPr>
        <w:t>6.拖欠税费情况</w:t>
      </w:r>
    </w:p>
    <w:p w14:paraId="572B465C">
      <w:pPr>
        <w:spacing w:line="480" w:lineRule="auto"/>
        <w:ind w:right="205" w:firstLine="420" w:firstLineChars="200"/>
        <w:jc w:val="both"/>
        <w:rPr>
          <w:rFonts w:ascii="Arial" w:hAnsi="Arial" w:cs="Arial"/>
          <w:sz w:val="21"/>
          <w:szCs w:val="21"/>
        </w:rPr>
      </w:pPr>
      <w:r>
        <w:rPr>
          <w:rFonts w:hint="eastAsia" w:ascii="Arial" w:hAnsi="Arial" w:cs="Arial"/>
          <w:sz w:val="21"/>
          <w:szCs w:val="21"/>
        </w:rPr>
        <w:t>估价对象出让国有建设用地使用权和建筑物所有权均为合法方式取得，并支付相关税费，已取得</w:t>
      </w:r>
      <w:r>
        <w:rPr>
          <w:rFonts w:hint="eastAsia" w:ascii="Arial" w:hAnsi="Arial"/>
          <w:bCs/>
          <w:sz w:val="21"/>
        </w:rPr>
        <w:t>《不动产权证书》[京（2021）房不动产权第0024765号、京（2022）房不动产权第0001792、0001795号]，根据《估价委托书》</w:t>
      </w:r>
      <w:r>
        <w:rPr>
          <w:rFonts w:hint="eastAsia" w:ascii="Arial" w:hAnsi="Arial" w:cs="Arial"/>
          <w:sz w:val="21"/>
          <w:szCs w:val="21"/>
        </w:rPr>
        <w:t>，估价对象不存在拖欠税费的情况。</w:t>
      </w:r>
    </w:p>
    <w:p w14:paraId="11123EAC">
      <w:pPr>
        <w:spacing w:line="480" w:lineRule="auto"/>
        <w:ind w:right="205" w:firstLine="420" w:firstLineChars="200"/>
        <w:jc w:val="both"/>
        <w:rPr>
          <w:rFonts w:ascii="Arial" w:hAnsi="Arial" w:cs="Arial"/>
          <w:sz w:val="21"/>
          <w:szCs w:val="21"/>
        </w:rPr>
      </w:pPr>
      <w:r>
        <w:rPr>
          <w:rFonts w:hint="eastAsia" w:ascii="Arial" w:hAnsi="Arial" w:cs="Arial"/>
          <w:sz w:val="21"/>
          <w:szCs w:val="21"/>
        </w:rPr>
        <w:t>综上，估价对象不动产权属合法、清晰且无争议，可正常上市交易。</w:t>
      </w:r>
    </w:p>
    <w:p w14:paraId="26515E73">
      <w:pPr>
        <w:pStyle w:val="3"/>
        <w:numPr>
          <w:ilvl w:val="0"/>
          <w:numId w:val="0"/>
        </w:numPr>
        <w:spacing w:line="480" w:lineRule="auto"/>
        <w:ind w:left="360" w:hanging="361" w:hangingChars="171"/>
        <w:jc w:val="both"/>
        <w:rPr>
          <w:rFonts w:eastAsia="宋体"/>
          <w:kern w:val="2"/>
          <w:sz w:val="21"/>
          <w:szCs w:val="21"/>
        </w:rPr>
      </w:pPr>
      <w:bookmarkStart w:id="47" w:name="_Toc477252458"/>
      <w:r>
        <w:rPr>
          <w:rFonts w:eastAsia="宋体"/>
          <w:kern w:val="2"/>
          <w:sz w:val="21"/>
          <w:szCs w:val="21"/>
        </w:rPr>
        <w:t>（三）区位状况分析</w:t>
      </w:r>
      <w:bookmarkEnd w:id="47"/>
    </w:p>
    <w:p w14:paraId="4A58DC07">
      <w:pPr>
        <w:spacing w:line="480" w:lineRule="auto"/>
        <w:ind w:firstLine="420" w:firstLineChars="200"/>
        <w:jc w:val="both"/>
        <w:rPr>
          <w:rFonts w:ascii="Arial" w:hAnsi="Arial"/>
          <w:sz w:val="21"/>
          <w:szCs w:val="21"/>
        </w:rPr>
      </w:pPr>
      <w:r>
        <w:rPr>
          <w:rFonts w:ascii="Arial" w:hAnsi="Arial"/>
          <w:sz w:val="21"/>
          <w:szCs w:val="21"/>
        </w:rPr>
        <w:t>1.位置状况</w:t>
      </w:r>
    </w:p>
    <w:p w14:paraId="17EED21E">
      <w:pPr>
        <w:spacing w:line="480" w:lineRule="auto"/>
        <w:ind w:firstLine="420" w:firstLineChars="200"/>
        <w:jc w:val="both"/>
        <w:rPr>
          <w:rFonts w:ascii="Arial" w:hAnsi="Arial" w:cs="Arial"/>
          <w:bCs/>
          <w:sz w:val="21"/>
        </w:rPr>
      </w:pPr>
      <w:r>
        <w:rPr>
          <w:rFonts w:hint="eastAsia" w:ascii="Arial" w:hAnsi="Arial"/>
          <w:kern w:val="2"/>
          <w:sz w:val="21"/>
        </w:rPr>
        <w:t>估价对象所属项目位于</w:t>
      </w:r>
      <w:r>
        <w:rPr>
          <w:rFonts w:hint="eastAsia" w:ascii="Arial" w:hAnsi="Arial"/>
          <w:bCs/>
          <w:sz w:val="21"/>
        </w:rPr>
        <w:t>北京市房山区长于大街与良乡东路交口东北角</w:t>
      </w:r>
      <w:r>
        <w:rPr>
          <w:rFonts w:hint="eastAsia" w:ascii="Arial" w:hAnsi="Arial"/>
          <w:kern w:val="2"/>
          <w:sz w:val="21"/>
        </w:rPr>
        <w:t>，地处良乡大学城商圈核心位置，紧邻城市次主干道——长于大街，直通地铁房山线——良乡大学城北站。</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w:t>
      </w:r>
      <w:r>
        <w:rPr>
          <w:rFonts w:hint="eastAsia" w:ascii="Arial" w:hAnsi="Arial" w:cs="Arial"/>
          <w:bCs/>
          <w:sz w:val="21"/>
        </w:rPr>
        <w:t>较好</w:t>
      </w:r>
      <w:r>
        <w:rPr>
          <w:rFonts w:ascii="Arial" w:hAnsi="Arial" w:cs="Arial"/>
          <w:bCs/>
          <w:sz w:val="21"/>
        </w:rPr>
        <w:t>。</w:t>
      </w:r>
    </w:p>
    <w:p w14:paraId="6B6D1B81">
      <w:pPr>
        <w:spacing w:line="480" w:lineRule="auto"/>
        <w:ind w:firstLine="420" w:firstLineChars="200"/>
        <w:jc w:val="both"/>
        <w:rPr>
          <w:rFonts w:ascii="Arial" w:hAnsi="Arial" w:cs="Arial"/>
          <w:kern w:val="2"/>
          <w:sz w:val="21"/>
        </w:rPr>
      </w:pPr>
      <w:r>
        <w:rPr>
          <w:rFonts w:ascii="Arial" w:hAnsi="Arial" w:cs="Arial"/>
          <w:sz w:val="21"/>
          <w:szCs w:val="21"/>
        </w:rPr>
        <w:t>2.商业繁华度</w:t>
      </w:r>
    </w:p>
    <w:p w14:paraId="0DEA1447">
      <w:pPr>
        <w:spacing w:line="480" w:lineRule="auto"/>
        <w:ind w:firstLine="420" w:firstLineChars="200"/>
        <w:rPr>
          <w:rFonts w:ascii="Arial" w:hAnsi="Arial" w:cs="Arial"/>
          <w:color w:val="548DD4"/>
          <w:sz w:val="21"/>
          <w:szCs w:val="21"/>
        </w:rPr>
      </w:pPr>
      <w:r>
        <w:rPr>
          <w:rFonts w:hint="eastAsia" w:ascii="Arial" w:hAnsi="Arial" w:cs="Arial"/>
          <w:bCs/>
          <w:sz w:val="21"/>
        </w:rPr>
        <w:t>估价对象周边3公里范围内无大型购物中心，多以社区底商为主</w:t>
      </w:r>
      <w:r>
        <w:rPr>
          <w:rFonts w:hint="eastAsia" w:ascii="Arial" w:hAnsi="Arial" w:cs="Arial"/>
          <w:sz w:val="21"/>
          <w:szCs w:val="21"/>
        </w:rPr>
        <w:t>，</w:t>
      </w:r>
      <w:r>
        <w:rPr>
          <w:rFonts w:ascii="Arial" w:hAnsi="Arial" w:cs="Arial"/>
          <w:sz w:val="21"/>
          <w:szCs w:val="21"/>
        </w:rPr>
        <w:t>人流量</w:t>
      </w:r>
      <w:r>
        <w:rPr>
          <w:rFonts w:hint="eastAsia" w:ascii="Arial" w:hAnsi="Arial" w:cs="Arial"/>
          <w:sz w:val="21"/>
          <w:szCs w:val="21"/>
        </w:rPr>
        <w:t>较少</w:t>
      </w:r>
      <w:r>
        <w:rPr>
          <w:rFonts w:ascii="Arial" w:hAnsi="Arial" w:cs="Arial"/>
          <w:sz w:val="21"/>
          <w:szCs w:val="21"/>
        </w:rPr>
        <w:t>，商业繁华度</w:t>
      </w:r>
      <w:r>
        <w:rPr>
          <w:rFonts w:hint="eastAsia" w:ascii="Arial" w:hAnsi="Arial" w:cs="Arial"/>
          <w:sz w:val="21"/>
          <w:szCs w:val="21"/>
        </w:rPr>
        <w:t>一般</w:t>
      </w:r>
      <w:r>
        <w:rPr>
          <w:rFonts w:ascii="Arial" w:hAnsi="Arial" w:cs="Arial"/>
          <w:sz w:val="21"/>
          <w:szCs w:val="21"/>
        </w:rPr>
        <w:t>。</w:t>
      </w:r>
    </w:p>
    <w:p w14:paraId="2F16D539">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6A9CCD7E">
      <w:pPr>
        <w:spacing w:line="480" w:lineRule="auto"/>
        <w:ind w:firstLine="420" w:firstLineChars="200"/>
        <w:jc w:val="both"/>
        <w:rPr>
          <w:rFonts w:ascii="Arial" w:hAnsi="Arial" w:cs="Arial"/>
          <w:sz w:val="21"/>
          <w:szCs w:val="21"/>
        </w:rPr>
      </w:pPr>
      <w:r>
        <w:rPr>
          <w:rFonts w:ascii="Arial" w:hAnsi="Arial" w:cs="Arial"/>
          <w:kern w:val="2"/>
          <w:sz w:val="21"/>
          <w:szCs w:val="21"/>
        </w:rPr>
        <w:t>估价对象周边有832</w:t>
      </w:r>
      <w:r>
        <w:rPr>
          <w:rFonts w:hint="eastAsia" w:ascii="Arial" w:hAnsi="Arial" w:cs="Arial"/>
          <w:kern w:val="2"/>
          <w:sz w:val="21"/>
          <w:szCs w:val="21"/>
        </w:rPr>
        <w:t>路、</w:t>
      </w:r>
      <w:commentRangeStart w:id="5"/>
      <w:r>
        <w:rPr>
          <w:rFonts w:ascii="Arial" w:hAnsi="Arial" w:cs="Arial"/>
          <w:kern w:val="2"/>
          <w:sz w:val="21"/>
          <w:szCs w:val="21"/>
        </w:rPr>
        <w:t>F1</w:t>
      </w:r>
      <w:r>
        <w:rPr>
          <w:rFonts w:hint="eastAsia" w:ascii="Arial" w:hAnsi="Arial" w:cs="Arial"/>
          <w:kern w:val="2"/>
          <w:sz w:val="21"/>
          <w:szCs w:val="21"/>
        </w:rPr>
        <w:t>路内环、F</w:t>
      </w:r>
      <w:r>
        <w:rPr>
          <w:rFonts w:ascii="Arial" w:hAnsi="Arial" w:cs="Arial"/>
          <w:kern w:val="2"/>
          <w:sz w:val="21"/>
          <w:szCs w:val="21"/>
        </w:rPr>
        <w:t>1</w:t>
      </w:r>
      <w:r>
        <w:rPr>
          <w:rFonts w:hint="eastAsia" w:ascii="Arial" w:hAnsi="Arial" w:cs="Arial"/>
          <w:kern w:val="2"/>
          <w:sz w:val="21"/>
          <w:szCs w:val="21"/>
        </w:rPr>
        <w:t>路外环</w:t>
      </w:r>
      <w:commentRangeEnd w:id="5"/>
      <w:r>
        <w:rPr>
          <w:rStyle w:val="39"/>
        </w:rPr>
        <w:commentReference w:id="5"/>
      </w:r>
      <w:r>
        <w:rPr>
          <w:rFonts w:hint="eastAsia" w:ascii="Arial" w:hAnsi="Arial" w:cs="Arial"/>
          <w:kern w:val="2"/>
          <w:sz w:val="21"/>
          <w:szCs w:val="21"/>
          <w:lang w:eastAsia="zh-CN"/>
        </w:rPr>
        <w:t>、</w:t>
      </w:r>
      <w:r>
        <w:rPr>
          <w:rFonts w:ascii="Arial" w:hAnsi="Arial" w:cs="Arial"/>
          <w:kern w:val="2"/>
          <w:sz w:val="21"/>
          <w:szCs w:val="21"/>
        </w:rPr>
        <w:t>F12</w:t>
      </w:r>
      <w:r>
        <w:rPr>
          <w:rFonts w:hint="eastAsia" w:ascii="Arial" w:hAnsi="Arial" w:cs="Arial"/>
          <w:kern w:val="2"/>
          <w:sz w:val="21"/>
          <w:szCs w:val="21"/>
        </w:rPr>
        <w:t>路</w:t>
      </w:r>
      <w:r>
        <w:rPr>
          <w:rFonts w:hint="eastAsia" w:ascii="Arial" w:hAnsi="Arial" w:cs="Arial"/>
          <w:kern w:val="2"/>
          <w:sz w:val="21"/>
          <w:szCs w:val="21"/>
        </w:rPr>
        <w:t>、F</w:t>
      </w:r>
      <w:r>
        <w:rPr>
          <w:rFonts w:ascii="Arial" w:hAnsi="Arial" w:cs="Arial"/>
          <w:kern w:val="2"/>
          <w:sz w:val="21"/>
          <w:szCs w:val="21"/>
        </w:rPr>
        <w:t>46</w:t>
      </w:r>
      <w:r>
        <w:rPr>
          <w:rFonts w:hint="eastAsia" w:ascii="Arial" w:hAnsi="Arial" w:cs="Arial"/>
          <w:kern w:val="2"/>
          <w:sz w:val="21"/>
          <w:szCs w:val="21"/>
        </w:rPr>
        <w:t>路、F</w:t>
      </w:r>
      <w:r>
        <w:rPr>
          <w:rFonts w:ascii="Arial" w:hAnsi="Arial" w:cs="Arial"/>
          <w:kern w:val="2"/>
          <w:sz w:val="21"/>
          <w:szCs w:val="21"/>
        </w:rPr>
        <w:t>81</w:t>
      </w:r>
      <w:r>
        <w:rPr>
          <w:rFonts w:hint="eastAsia" w:ascii="Arial" w:hAnsi="Arial" w:cs="Arial"/>
          <w:kern w:val="2"/>
          <w:sz w:val="21"/>
          <w:szCs w:val="21"/>
        </w:rPr>
        <w:t>路</w:t>
      </w:r>
      <w:r>
        <w:rPr>
          <w:rFonts w:ascii="Arial" w:hAnsi="Arial" w:cs="Arial"/>
          <w:kern w:val="2"/>
          <w:sz w:val="21"/>
          <w:szCs w:val="21"/>
        </w:rPr>
        <w:t>等多条公交线路</w:t>
      </w:r>
      <w:r>
        <w:rPr>
          <w:rFonts w:hint="eastAsia" w:ascii="Arial" w:hAnsi="Arial" w:cs="Arial"/>
          <w:kern w:val="2"/>
          <w:sz w:val="21"/>
          <w:szCs w:val="21"/>
        </w:rPr>
        <w:t>，</w:t>
      </w:r>
      <w:r>
        <w:rPr>
          <w:rFonts w:hint="eastAsia" w:ascii="Arial" w:hAnsi="Arial"/>
          <w:kern w:val="2"/>
          <w:sz w:val="21"/>
        </w:rPr>
        <w:t>直通地铁房山线——良乡大学城北站，</w:t>
      </w:r>
      <w:r>
        <w:rPr>
          <w:rFonts w:hint="eastAsia" w:ascii="Arial" w:hAnsi="Arial" w:cs="Arial"/>
          <w:kern w:val="2"/>
          <w:sz w:val="21"/>
          <w:szCs w:val="21"/>
        </w:rPr>
        <w:t>道路通达度较好</w:t>
      </w:r>
      <w:r>
        <w:rPr>
          <w:rFonts w:ascii="Arial" w:hAnsi="Arial" w:cs="Arial"/>
          <w:kern w:val="2"/>
          <w:sz w:val="21"/>
          <w:szCs w:val="21"/>
        </w:rPr>
        <w:t>。综合评价</w:t>
      </w:r>
      <w:r>
        <w:rPr>
          <w:rFonts w:ascii="Arial" w:hAnsi="Arial" w:cs="Arial"/>
          <w:sz w:val="21"/>
          <w:szCs w:val="21"/>
        </w:rPr>
        <w:t>交通便捷度较好</w:t>
      </w:r>
      <w:r>
        <w:rPr>
          <w:rFonts w:hint="eastAsia" w:ascii="Arial" w:hAnsi="Arial" w:cs="Arial"/>
          <w:sz w:val="21"/>
          <w:szCs w:val="21"/>
        </w:rPr>
        <w:t>。</w:t>
      </w:r>
    </w:p>
    <w:p w14:paraId="101D9B96">
      <w:pPr>
        <w:spacing w:line="480" w:lineRule="auto"/>
        <w:ind w:firstLine="420" w:firstLineChars="200"/>
        <w:jc w:val="both"/>
        <w:rPr>
          <w:rFonts w:ascii="Arial" w:hAnsi="Arial" w:cs="Arial"/>
          <w:color w:val="000000"/>
          <w:sz w:val="21"/>
          <w:szCs w:val="21"/>
        </w:rPr>
      </w:pPr>
      <w:r>
        <w:rPr>
          <w:rFonts w:ascii="Arial" w:hAnsi="Arial" w:cs="Arial"/>
          <w:sz w:val="21"/>
          <w:szCs w:val="21"/>
        </w:rPr>
        <w:t>4.</w:t>
      </w:r>
      <w:r>
        <w:rPr>
          <w:rFonts w:ascii="Arial" w:hAnsi="Arial" w:cs="Arial"/>
          <w:color w:val="000000"/>
          <w:sz w:val="21"/>
          <w:szCs w:val="21"/>
        </w:rPr>
        <w:t>环境状况</w:t>
      </w:r>
    </w:p>
    <w:p w14:paraId="2D7A3717">
      <w:pPr>
        <w:spacing w:line="480" w:lineRule="auto"/>
        <w:ind w:firstLine="420" w:firstLineChars="200"/>
        <w:jc w:val="both"/>
        <w:rPr>
          <w:rFonts w:ascii="Arial" w:hAnsi="Arial" w:cs="Arial"/>
          <w:color w:val="548DD4"/>
          <w:sz w:val="21"/>
          <w:szCs w:val="21"/>
        </w:rPr>
      </w:pPr>
      <w:r>
        <w:rPr>
          <w:rFonts w:hint="eastAsia" w:ascii="Arial" w:hAnsi="Arial"/>
          <w:sz w:val="21"/>
          <w:szCs w:val="21"/>
        </w:rPr>
        <w:t>估价对象周边有广阳城森林公园、金隅公园、郊野生态区公园、小清河等绿化景观，有北京理工大学、中国社会科学院大学、北京工商大学、首都师范大学等高等学校，综合</w:t>
      </w:r>
      <w:r>
        <w:rPr>
          <w:rFonts w:hint="eastAsia" w:ascii="Arial" w:hAnsi="Arial" w:cs="Arial"/>
          <w:sz w:val="21"/>
          <w:szCs w:val="21"/>
        </w:rPr>
        <w:t>评价环境状况</w:t>
      </w:r>
      <w:r>
        <w:rPr>
          <w:rFonts w:hint="eastAsia" w:ascii="Arial" w:hAnsi="Arial"/>
          <w:sz w:val="21"/>
          <w:szCs w:val="21"/>
        </w:rPr>
        <w:t>较好。</w:t>
      </w:r>
    </w:p>
    <w:p w14:paraId="3A1E51BF">
      <w:pPr>
        <w:spacing w:line="480" w:lineRule="auto"/>
        <w:ind w:firstLine="420" w:firstLineChars="200"/>
        <w:jc w:val="both"/>
        <w:rPr>
          <w:rFonts w:ascii="Arial" w:hAnsi="Arial" w:cs="Arial"/>
          <w:color w:val="548DD4"/>
          <w:sz w:val="21"/>
          <w:szCs w:val="21"/>
        </w:rPr>
      </w:pPr>
      <w:r>
        <w:rPr>
          <w:rFonts w:ascii="Arial" w:hAnsi="Arial" w:cs="Arial"/>
          <w:color w:val="000000"/>
          <w:sz w:val="21"/>
          <w:szCs w:val="21"/>
        </w:rPr>
        <w:t>5</w:t>
      </w:r>
      <w:r>
        <w:rPr>
          <w:rFonts w:ascii="Arial" w:hAnsi="Arial" w:cs="Arial"/>
          <w:sz w:val="21"/>
          <w:szCs w:val="21"/>
        </w:rPr>
        <w:t>.外部配套设施状况</w:t>
      </w:r>
    </w:p>
    <w:p w14:paraId="003CB529">
      <w:pPr>
        <w:spacing w:line="480" w:lineRule="auto"/>
        <w:ind w:firstLine="420" w:firstLineChars="200"/>
        <w:rPr>
          <w:rFonts w:ascii="Arial" w:hAnsi="Arial"/>
          <w:sz w:val="21"/>
          <w:szCs w:val="21"/>
        </w:rPr>
      </w:pPr>
      <w:r>
        <w:rPr>
          <w:rFonts w:ascii="Arial" w:hAnsi="Arial"/>
          <w:sz w:val="21"/>
          <w:szCs w:val="21"/>
        </w:rPr>
        <w:t>估价对象所处区域目前已拥有</w:t>
      </w:r>
      <w:r>
        <w:rPr>
          <w:rFonts w:hint="eastAsia" w:ascii="Arial" w:hAnsi="Arial"/>
          <w:sz w:val="21"/>
          <w:szCs w:val="21"/>
        </w:rPr>
        <w:t>较</w:t>
      </w:r>
      <w:r>
        <w:rPr>
          <w:rFonts w:ascii="Arial" w:hAnsi="Arial"/>
          <w:sz w:val="21"/>
          <w:szCs w:val="21"/>
        </w:rPr>
        <w:t>完善的基础设施配套保障，区内大部分区域基础设施配套目前可达到</w:t>
      </w:r>
      <w:r>
        <w:rPr>
          <w:rFonts w:hint="eastAsia" w:ascii="Arial" w:hAnsi="Arial"/>
          <w:sz w:val="21"/>
          <w:szCs w:val="21"/>
        </w:rPr>
        <w:t>“七</w:t>
      </w:r>
      <w:r>
        <w:rPr>
          <w:rFonts w:ascii="Arial" w:hAnsi="Arial"/>
          <w:sz w:val="21"/>
          <w:szCs w:val="21"/>
        </w:rPr>
        <w:t>通</w:t>
      </w:r>
      <w:r>
        <w:rPr>
          <w:rFonts w:hint="eastAsia" w:ascii="Arial" w:hAnsi="Arial"/>
          <w:sz w:val="21"/>
          <w:szCs w:val="21"/>
        </w:rPr>
        <w:t>”</w:t>
      </w:r>
      <w:r>
        <w:rPr>
          <w:rFonts w:ascii="Arial" w:hAnsi="Arial"/>
          <w:sz w:val="21"/>
          <w:szCs w:val="21"/>
        </w:rPr>
        <w:t>（</w:t>
      </w:r>
      <w:r>
        <w:rPr>
          <w:rFonts w:hint="eastAsia" w:ascii="Arial" w:hAnsi="Arial"/>
          <w:kern w:val="2"/>
          <w:sz w:val="21"/>
        </w:rPr>
        <w:t xml:space="preserve"> 通路、通电、通讯、通上水、通下水、通燃气、通热</w:t>
      </w:r>
      <w:r>
        <w:rPr>
          <w:rFonts w:ascii="Arial" w:hAnsi="Arial"/>
          <w:sz w:val="21"/>
          <w:szCs w:val="21"/>
        </w:rPr>
        <w:t>）条件，且保证程度高。</w:t>
      </w:r>
    </w:p>
    <w:p w14:paraId="0983CAA2">
      <w:pPr>
        <w:spacing w:line="480" w:lineRule="auto"/>
        <w:ind w:firstLine="420" w:firstLineChars="200"/>
        <w:jc w:val="both"/>
        <w:rPr>
          <w:rFonts w:ascii="Arial" w:hAnsi="Arial" w:eastAsia="楷体_GB2312" w:cs="Arial"/>
          <w:sz w:val="28"/>
        </w:rPr>
      </w:pPr>
      <w:r>
        <w:rPr>
          <w:rFonts w:ascii="Arial" w:hAnsi="Arial"/>
          <w:sz w:val="21"/>
          <w:szCs w:val="21"/>
        </w:rPr>
        <w:t>周边3公里内的公共服务配套设施齐备</w:t>
      </w:r>
      <w:r>
        <w:rPr>
          <w:rFonts w:hint="eastAsia" w:ascii="Arial" w:hAnsi="Arial"/>
          <w:sz w:val="21"/>
          <w:szCs w:val="21"/>
        </w:rPr>
        <w:t>度一般</w:t>
      </w:r>
      <w:r>
        <w:rPr>
          <w:rFonts w:ascii="Arial" w:hAnsi="Arial"/>
          <w:sz w:val="21"/>
          <w:szCs w:val="21"/>
        </w:rPr>
        <w:t>，医院（</w:t>
      </w:r>
      <w:r>
        <w:rPr>
          <w:rFonts w:hint="eastAsia" w:ascii="Arial" w:hAnsi="Arial"/>
          <w:sz w:val="21"/>
          <w:szCs w:val="21"/>
        </w:rPr>
        <w:t>北京理工大学良乡校区门诊部、北京中医药大学良乡校区门诊部、北京市房山区鹏园医院</w:t>
      </w:r>
      <w:r>
        <w:rPr>
          <w:rFonts w:ascii="Arial" w:hAnsi="Arial"/>
          <w:sz w:val="21"/>
          <w:szCs w:val="21"/>
        </w:rPr>
        <w:t>）、银行（</w:t>
      </w:r>
      <w:r>
        <w:rPr>
          <w:rFonts w:hint="eastAsia" w:ascii="Arial" w:hAnsi="Arial"/>
          <w:sz w:val="21"/>
          <w:szCs w:val="21"/>
        </w:rPr>
        <w:t>北京农商银行、中国农业银行等</w:t>
      </w:r>
      <w:r>
        <w:rPr>
          <w:rFonts w:ascii="Arial" w:hAnsi="Arial"/>
          <w:sz w:val="21"/>
          <w:szCs w:val="21"/>
        </w:rPr>
        <w:t>）、学校（</w:t>
      </w:r>
      <w:r>
        <w:rPr>
          <w:rFonts w:hint="eastAsia" w:ascii="Arial" w:hAnsi="Arial"/>
          <w:sz w:val="21"/>
          <w:szCs w:val="21"/>
        </w:rPr>
        <w:t>北京理工大学附属实验学校、北京四中、长阳中心小学、北京市房山区首实中兴广悦居幼儿园等</w:t>
      </w:r>
      <w:r>
        <w:rPr>
          <w:rFonts w:ascii="Arial" w:hAnsi="Arial"/>
          <w:sz w:val="21"/>
          <w:szCs w:val="21"/>
        </w:rPr>
        <w:t>）等公共服务配套设施。</w:t>
      </w:r>
    </w:p>
    <w:p w14:paraId="4B867077">
      <w:pPr>
        <w:spacing w:line="480" w:lineRule="auto"/>
        <w:ind w:firstLine="420" w:firstLineChars="200"/>
        <w:jc w:val="both"/>
        <w:rPr>
          <w:rFonts w:ascii="Arial" w:hAnsi="Arial" w:cs="Arial"/>
          <w:b/>
          <w:bCs/>
          <w:sz w:val="21"/>
          <w:szCs w:val="21"/>
        </w:rPr>
      </w:pPr>
      <w:r>
        <w:rPr>
          <w:rFonts w:ascii="Arial" w:hAnsi="Arial"/>
          <w:sz w:val="21"/>
          <w:szCs w:val="21"/>
        </w:rPr>
        <w:t>综上，</w:t>
      </w:r>
      <w:r>
        <w:rPr>
          <w:rFonts w:hint="eastAsia" w:ascii="Arial" w:hAnsi="Arial"/>
          <w:sz w:val="21"/>
          <w:szCs w:val="21"/>
        </w:rPr>
        <w:t>估价对象位置状况较好，商业繁华度一般，交通便捷度较好，环境状况较好，外部配套设施齐备度一般，区域市政基础设施达“七通”，估价对象总体区位状况一般。</w:t>
      </w:r>
    </w:p>
    <w:p w14:paraId="58A656C2">
      <w:pPr>
        <w:pStyle w:val="3"/>
        <w:numPr>
          <w:ilvl w:val="0"/>
          <w:numId w:val="0"/>
        </w:numPr>
        <w:spacing w:line="480" w:lineRule="auto"/>
        <w:ind w:left="358" w:hanging="358" w:hangingChars="170"/>
        <w:jc w:val="both"/>
        <w:rPr>
          <w:rFonts w:eastAsia="宋体"/>
          <w:kern w:val="2"/>
          <w:sz w:val="21"/>
          <w:szCs w:val="21"/>
        </w:rPr>
      </w:pPr>
      <w:bookmarkStart w:id="48" w:name="_Toc477252459"/>
      <w:r>
        <w:rPr>
          <w:rFonts w:eastAsia="宋体"/>
          <w:kern w:val="2"/>
          <w:sz w:val="21"/>
          <w:szCs w:val="21"/>
        </w:rPr>
        <w:t>二、市场背景描述与分析</w:t>
      </w:r>
      <w:bookmarkEnd w:id="48"/>
    </w:p>
    <w:p w14:paraId="3C774A2D">
      <w:pPr>
        <w:spacing w:line="480" w:lineRule="auto"/>
        <w:jc w:val="both"/>
        <w:rPr>
          <w:rFonts w:ascii="Arial" w:hAnsi="Arial"/>
          <w:b/>
          <w:bCs/>
          <w:color w:val="548DD4"/>
          <w:sz w:val="21"/>
          <w:szCs w:val="28"/>
        </w:rPr>
      </w:pPr>
      <w:r>
        <w:rPr>
          <w:rFonts w:hint="eastAsia" w:ascii="Arial" w:hAnsi="Arial"/>
          <w:b/>
          <w:bCs/>
          <w:sz w:val="21"/>
          <w:szCs w:val="28"/>
        </w:rPr>
        <w:t>（一）北京市商业及办公用房房地产市场状况</w:t>
      </w:r>
    </w:p>
    <w:p w14:paraId="492E5478">
      <w:pPr>
        <w:spacing w:line="480" w:lineRule="auto"/>
        <w:ind w:right="-187" w:firstLine="420" w:firstLineChars="200"/>
        <w:jc w:val="both"/>
        <w:rPr>
          <w:rFonts w:ascii="Arial" w:hAnsi="Arial" w:cs="Arial"/>
          <w:sz w:val="21"/>
        </w:rPr>
      </w:pPr>
      <w:r>
        <w:rPr>
          <w:rFonts w:hint="eastAsia" w:ascii="Arial" w:hAnsi="Arial" w:cs="Arial"/>
          <w:sz w:val="21"/>
        </w:rPr>
        <w:t>1.宏观环境</w:t>
      </w:r>
    </w:p>
    <w:p w14:paraId="396879C3">
      <w:pPr>
        <w:widowControl/>
        <w:adjustRightInd/>
        <w:spacing w:line="480" w:lineRule="auto"/>
        <w:ind w:firstLine="420" w:firstLineChars="200"/>
        <w:jc w:val="both"/>
        <w:rPr>
          <w:rFonts w:ascii="Arial" w:hAnsi="Arial"/>
          <w:color w:val="000000"/>
          <w:sz w:val="21"/>
          <w:szCs w:val="21"/>
        </w:rPr>
      </w:pPr>
      <w:bookmarkStart w:id="49" w:name="OLE_LINK42"/>
      <w:bookmarkStart w:id="50" w:name="OLE_LINK41"/>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3D69CEC5">
      <w:pPr>
        <w:widowControl/>
        <w:adjustRightInd/>
        <w:spacing w:line="480" w:lineRule="auto"/>
        <w:ind w:firstLine="420" w:firstLineChars="200"/>
        <w:jc w:val="both"/>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33DE6444">
      <w:pPr>
        <w:rPr>
          <w:rFonts w:ascii="Arial" w:hAnsi="Arial" w:eastAsia="方正黑体简体"/>
          <w:bCs/>
          <w:color w:val="000000"/>
          <w:szCs w:val="24"/>
        </w:rPr>
      </w:pPr>
      <w:r>
        <w:rPr>
          <w:rFonts w:ascii="Arial" w:hAnsi="Arial" w:eastAsia="方正黑体简体"/>
          <w:bCs/>
          <w:color w:val="000000"/>
          <w:szCs w:val="24"/>
        </w:rPr>
        <w:br w:type="page"/>
      </w:r>
    </w:p>
    <w:p w14:paraId="14079493">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2E484906">
      <w:pPr>
        <w:widowControl/>
        <w:adjustRightInd/>
        <w:spacing w:line="480" w:lineRule="auto"/>
        <w:jc w:val="center"/>
        <w:rPr>
          <w:rFonts w:ascii="Arial" w:hAnsi="Arial"/>
          <w:color w:val="000000"/>
          <w:sz w:val="21"/>
          <w:szCs w:val="21"/>
        </w:rPr>
      </w:pPr>
      <w:r>
        <w:rPr>
          <w:rFonts w:ascii="Arial" w:hAnsi="Arial" w:eastAsia="仿宋" w:cs="Arial"/>
          <w:sz w:val="28"/>
          <w:szCs w:val="28"/>
        </w:rPr>
        <w:drawing>
          <wp:inline distT="0" distB="0" distL="0" distR="0">
            <wp:extent cx="5904865" cy="2171700"/>
            <wp:effectExtent l="0" t="0" r="0" b="0"/>
            <wp:docPr id="5" name="图片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49"/>
    <w:bookmarkEnd w:id="50"/>
    <w:p w14:paraId="04840EF8">
      <w:pPr>
        <w:widowControl/>
        <w:adjustRightInd/>
        <w:spacing w:line="480" w:lineRule="auto"/>
        <w:ind w:firstLine="525" w:firstLineChars="250"/>
        <w:jc w:val="both"/>
        <w:textAlignment w:val="auto"/>
        <w:rPr>
          <w:rFonts w:ascii="Arial" w:hAnsi="Arial"/>
          <w:color w:val="000000"/>
          <w:sz w:val="21"/>
          <w:szCs w:val="21"/>
        </w:rPr>
      </w:pPr>
      <w:bookmarkStart w:id="51" w:name="OLE_LINK39"/>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7643E2D7">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164FFC3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757CD78B">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0CB4AC8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34D041A9">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bookmarkEnd w:id="51"/>
    <w:p w14:paraId="7FDAA8DC">
      <w:pPr>
        <w:spacing w:line="480" w:lineRule="auto"/>
        <w:ind w:firstLine="420" w:firstLineChars="200"/>
        <w:jc w:val="both"/>
        <w:rPr>
          <w:rFonts w:ascii="Arial" w:hAnsi="Arial"/>
          <w:bCs/>
          <w:color w:val="000000"/>
          <w:sz w:val="21"/>
          <w:szCs w:val="28"/>
        </w:rPr>
      </w:pPr>
      <w:r>
        <w:rPr>
          <w:rFonts w:hint="eastAsia" w:ascii="Arial" w:hAnsi="Arial"/>
          <w:bCs/>
          <w:sz w:val="21"/>
          <w:szCs w:val="28"/>
        </w:rPr>
        <w:t>2.</w:t>
      </w:r>
      <w:r>
        <w:rPr>
          <w:rFonts w:hint="eastAsia" w:ascii="Arial" w:hAnsi="Arial"/>
          <w:bCs/>
          <w:color w:val="000000"/>
          <w:sz w:val="21"/>
          <w:szCs w:val="28"/>
        </w:rPr>
        <w:t>土地市场</w:t>
      </w:r>
    </w:p>
    <w:p w14:paraId="1553BD6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累计推出12宗商办用地（不含集体土地，下同），推出规划建面78.75万㎡，同比增长14.6%；累计成交12宗商办用地，成交规划建面78.75万㎡，同比下降23.4%；从区域分布来看，通州成交4宗，大兴（含亦庄）成交3宗，西城成交2宗，海淀、石景山、顺义各成交1宗。</w:t>
      </w:r>
    </w:p>
    <w:p w14:paraId="1BD24DAD">
      <w:pPr>
        <w:overflowPunct w:val="0"/>
        <w:spacing w:line="240" w:lineRule="auto"/>
        <w:jc w:val="center"/>
        <w:rPr>
          <w:rFonts w:ascii="Arial" w:hAnsi="Arial" w:eastAsia="方正黑体简体"/>
          <w:bCs/>
          <w:color w:val="000000"/>
          <w:szCs w:val="24"/>
        </w:rPr>
      </w:pPr>
      <w:r>
        <w:rPr>
          <w:rFonts w:hint="eastAsia" w:ascii="Arial" w:hAnsi="Arial" w:eastAsia="方正黑体简体"/>
          <w:bCs/>
          <w:color w:val="000000"/>
          <w:szCs w:val="24"/>
        </w:rPr>
        <w:t>2020-2025北京商办用地供求规模（万平方米）</w:t>
      </w:r>
    </w:p>
    <w:p w14:paraId="4A4A51B6">
      <w:pPr>
        <w:widowControl/>
        <w:spacing w:line="480" w:lineRule="auto"/>
        <w:jc w:val="center"/>
        <w:rPr>
          <w:rFonts w:ascii="Arial" w:hAnsi="Arial"/>
          <w:sz w:val="21"/>
          <w:szCs w:val="28"/>
        </w:rPr>
      </w:pPr>
      <w:r>
        <w:drawing>
          <wp:inline distT="0" distB="0" distL="0" distR="0">
            <wp:extent cx="5544185" cy="2743200"/>
            <wp:effectExtent l="0" t="0" r="0" b="0"/>
            <wp:docPr id="7" name="图片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DF8372">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5年，北京商办用地成交楼面价</w:t>
      </w:r>
      <w:r>
        <w:rPr>
          <w:rFonts w:ascii="Arial" w:hAnsi="Arial"/>
          <w:color w:val="000000"/>
          <w:sz w:val="21"/>
          <w:szCs w:val="21"/>
        </w:rPr>
        <w:t>1</w:t>
      </w:r>
      <w:r>
        <w:rPr>
          <w:rFonts w:hint="eastAsia" w:ascii="Arial" w:hAnsi="Arial"/>
          <w:color w:val="000000"/>
          <w:sz w:val="21"/>
          <w:szCs w:val="21"/>
        </w:rPr>
        <w:t>4986元</w:t>
      </w:r>
      <w:r>
        <w:rPr>
          <w:rFonts w:ascii="Arial" w:hAnsi="Arial"/>
          <w:color w:val="000000"/>
          <w:sz w:val="21"/>
          <w:szCs w:val="21"/>
        </w:rPr>
        <w:t>/</w:t>
      </w:r>
      <w:r>
        <w:rPr>
          <w:rFonts w:hint="eastAsia" w:ascii="Arial" w:hAnsi="Arial"/>
          <w:color w:val="000000"/>
          <w:sz w:val="21"/>
          <w:szCs w:val="21"/>
        </w:rPr>
        <w:t>平方米，同比增长2.2</w:t>
      </w:r>
      <w:r>
        <w:rPr>
          <w:rFonts w:ascii="Arial" w:hAnsi="Arial"/>
          <w:color w:val="000000"/>
          <w:sz w:val="21"/>
          <w:szCs w:val="21"/>
        </w:rPr>
        <w:t>%</w:t>
      </w:r>
      <w:r>
        <w:rPr>
          <w:rFonts w:hint="eastAsia" w:ascii="Arial" w:hAnsi="Arial"/>
          <w:color w:val="000000"/>
          <w:sz w:val="21"/>
          <w:szCs w:val="21"/>
        </w:rPr>
        <w:t>；溢价率方面，自2018年以来北京商办用地多以底价成交，溢价率降至冰点。</w:t>
      </w:r>
      <w:r>
        <w:rPr>
          <w:rFonts w:ascii="Arial" w:hAnsi="Arial"/>
          <w:color w:val="000000"/>
          <w:sz w:val="21"/>
          <w:szCs w:val="21"/>
        </w:rPr>
        <w:t>202</w:t>
      </w:r>
      <w:r>
        <w:rPr>
          <w:rFonts w:hint="eastAsia" w:ascii="Arial" w:hAnsi="Arial"/>
          <w:color w:val="000000"/>
          <w:sz w:val="21"/>
          <w:szCs w:val="21"/>
        </w:rPr>
        <w:t>5年北京12宗商办地块均以底价成交，市场热度持续低位运行。</w:t>
      </w:r>
    </w:p>
    <w:p w14:paraId="5DDBD2B8">
      <w:pPr>
        <w:overflowPunct w:val="0"/>
        <w:spacing w:line="240" w:lineRule="auto"/>
        <w:jc w:val="center"/>
        <w:rPr>
          <w:rFonts w:ascii="Arial" w:hAnsi="Arial" w:eastAsia="方正黑体简体"/>
          <w:bCs/>
          <w:color w:val="000000"/>
          <w:szCs w:val="24"/>
        </w:rPr>
      </w:pPr>
      <w:r>
        <w:rPr>
          <w:rFonts w:hint="eastAsia" w:ascii="Arial" w:hAnsi="Arial" w:eastAsia="方正黑体简体"/>
          <w:bCs/>
          <w:color w:val="000000"/>
          <w:szCs w:val="24"/>
        </w:rPr>
        <w:t>2020-2025北京商办用地成交楼价与溢价率走势</w:t>
      </w:r>
    </w:p>
    <w:p w14:paraId="459C7BA7">
      <w:pPr>
        <w:widowControl/>
        <w:spacing w:line="480" w:lineRule="auto"/>
        <w:jc w:val="center"/>
        <w:rPr>
          <w:rFonts w:ascii="Arial" w:hAnsi="Arial"/>
          <w:sz w:val="21"/>
          <w:szCs w:val="28"/>
        </w:rPr>
      </w:pPr>
      <w:r>
        <w:drawing>
          <wp:inline distT="0" distB="0" distL="0" distR="0">
            <wp:extent cx="5084445" cy="2743200"/>
            <wp:effectExtent l="0" t="0" r="0" b="0"/>
            <wp:docPr id="8" name="图片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FF4B49">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2025年全年商办用地具体成交信息如下：</w:t>
      </w:r>
    </w:p>
    <w:tbl>
      <w:tblPr>
        <w:tblStyle w:val="32"/>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985"/>
        <w:gridCol w:w="1134"/>
        <w:gridCol w:w="992"/>
        <w:gridCol w:w="992"/>
        <w:gridCol w:w="993"/>
        <w:gridCol w:w="1170"/>
        <w:gridCol w:w="1016"/>
        <w:gridCol w:w="1017"/>
      </w:tblGrid>
      <w:tr w14:paraId="3B5C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3B02E5FE">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地块名称</w:t>
            </w:r>
          </w:p>
        </w:tc>
        <w:tc>
          <w:tcPr>
            <w:tcW w:w="1134" w:type="dxa"/>
            <w:tcBorders>
              <w:top w:val="single" w:color="auto" w:sz="4" w:space="0"/>
              <w:left w:val="single" w:color="auto" w:sz="4" w:space="0"/>
              <w:bottom w:val="single" w:color="auto" w:sz="4" w:space="0"/>
              <w:right w:val="single" w:color="auto" w:sz="4" w:space="0"/>
            </w:tcBorders>
            <w:noWrap/>
            <w:vAlign w:val="center"/>
          </w:tcPr>
          <w:p w14:paraId="04B7CF51">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14:paraId="5CD12BDE">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建设用地面积</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c>
          <w:tcPr>
            <w:tcW w:w="992" w:type="dxa"/>
            <w:tcBorders>
              <w:top w:val="single" w:color="auto" w:sz="4" w:space="0"/>
              <w:left w:val="single" w:color="auto" w:sz="4" w:space="0"/>
              <w:bottom w:val="single" w:color="auto" w:sz="4" w:space="0"/>
              <w:right w:val="single" w:color="auto" w:sz="4" w:space="0"/>
            </w:tcBorders>
            <w:noWrap/>
            <w:vAlign w:val="center"/>
          </w:tcPr>
          <w:p w14:paraId="1DD13DDB">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规划建筑面积</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c>
          <w:tcPr>
            <w:tcW w:w="993" w:type="dxa"/>
            <w:tcBorders>
              <w:top w:val="single" w:color="auto" w:sz="4" w:space="0"/>
              <w:left w:val="single" w:color="auto" w:sz="4" w:space="0"/>
              <w:bottom w:val="single" w:color="auto" w:sz="4" w:space="0"/>
              <w:right w:val="single" w:color="auto" w:sz="4" w:space="0"/>
            </w:tcBorders>
            <w:noWrap/>
            <w:vAlign w:val="center"/>
          </w:tcPr>
          <w:p w14:paraId="08A28298">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容积率</w:t>
            </w:r>
          </w:p>
        </w:tc>
        <w:tc>
          <w:tcPr>
            <w:tcW w:w="1170" w:type="dxa"/>
            <w:tcBorders>
              <w:top w:val="single" w:color="auto" w:sz="4" w:space="0"/>
              <w:left w:val="single" w:color="auto" w:sz="4" w:space="0"/>
              <w:bottom w:val="single" w:color="auto" w:sz="4" w:space="0"/>
              <w:right w:val="single" w:color="auto" w:sz="4" w:space="0"/>
            </w:tcBorders>
            <w:noWrap/>
            <w:vAlign w:val="center"/>
          </w:tcPr>
          <w:p w14:paraId="6D5EC6A8">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成交日期</w:t>
            </w:r>
          </w:p>
        </w:tc>
        <w:tc>
          <w:tcPr>
            <w:tcW w:w="1016" w:type="dxa"/>
            <w:tcBorders>
              <w:top w:val="single" w:color="auto" w:sz="4" w:space="0"/>
              <w:left w:val="single" w:color="auto" w:sz="4" w:space="0"/>
              <w:bottom w:val="single" w:color="auto" w:sz="4" w:space="0"/>
              <w:right w:val="single" w:color="auto" w:sz="4" w:space="0"/>
            </w:tcBorders>
            <w:noWrap/>
            <w:vAlign w:val="center"/>
          </w:tcPr>
          <w:p w14:paraId="0D76A93A">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成交价</w:t>
            </w:r>
          </w:p>
          <w:p w14:paraId="5629E7A9">
            <w:pPr>
              <w:widowControl/>
              <w:kinsoku w:val="0"/>
              <w:overflowPunct w:val="0"/>
              <w:adjustRightInd/>
              <w:spacing w:line="240" w:lineRule="exact"/>
              <w:rPr>
                <w:rFonts w:ascii="Arial" w:hAnsi="Arial" w:eastAsia="华文细黑" w:cs="Arial"/>
                <w:sz w:val="18"/>
                <w:szCs w:val="18"/>
              </w:rPr>
            </w:pPr>
            <w:r>
              <w:rPr>
                <w:rFonts w:ascii="Arial" w:hAnsi="Arial" w:eastAsia="华文细黑" w:cs="Arial"/>
                <w:sz w:val="18"/>
                <w:szCs w:val="18"/>
              </w:rPr>
              <w:t>(</w:t>
            </w:r>
            <w:r>
              <w:rPr>
                <w:rFonts w:hint="eastAsia" w:ascii="Arial" w:hAnsi="Arial" w:eastAsia="华文细黑" w:cs="Arial"/>
                <w:sz w:val="18"/>
                <w:szCs w:val="18"/>
              </w:rPr>
              <w:t>万元</w:t>
            </w:r>
            <w:r>
              <w:rPr>
                <w:rFonts w:ascii="Arial" w:hAnsi="Arial" w:eastAsia="华文细黑" w:cs="Arial"/>
                <w:sz w:val="18"/>
                <w:szCs w:val="18"/>
              </w:rPr>
              <w:t>)</w:t>
            </w:r>
          </w:p>
        </w:tc>
        <w:tc>
          <w:tcPr>
            <w:tcW w:w="1017" w:type="dxa"/>
            <w:tcBorders>
              <w:top w:val="single" w:color="auto" w:sz="4" w:space="0"/>
              <w:left w:val="single" w:color="auto" w:sz="4" w:space="0"/>
              <w:bottom w:val="single" w:color="auto" w:sz="4" w:space="0"/>
              <w:right w:val="single" w:color="auto" w:sz="4" w:space="0"/>
            </w:tcBorders>
            <w:noWrap/>
            <w:vAlign w:val="center"/>
          </w:tcPr>
          <w:p w14:paraId="23D449DE">
            <w:pPr>
              <w:widowControl/>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成交楼面价</w:t>
            </w:r>
            <w:r>
              <w:rPr>
                <w:rFonts w:ascii="Arial" w:hAnsi="Arial" w:eastAsia="华文细黑" w:cs="Arial"/>
                <w:sz w:val="18"/>
                <w:szCs w:val="18"/>
              </w:rPr>
              <w:t>(</w:t>
            </w:r>
            <w:r>
              <w:rPr>
                <w:rFonts w:hint="eastAsia" w:ascii="Arial" w:hAnsi="Arial" w:eastAsia="华文细黑" w:cs="Arial"/>
                <w:sz w:val="18"/>
                <w:szCs w:val="18"/>
              </w:rPr>
              <w:t>元</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r>
      <w:tr w14:paraId="4893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34463795">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北京市海淀区六郎庄项目HD00-1010-0002、0003、0004地块F3其他类多功能用地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6B35977A">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FBEB446">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51399.76</w:t>
            </w:r>
          </w:p>
        </w:tc>
        <w:tc>
          <w:tcPr>
            <w:tcW w:w="992" w:type="dxa"/>
            <w:tcBorders>
              <w:top w:val="single" w:color="auto" w:sz="4" w:space="0"/>
              <w:left w:val="single" w:color="auto" w:sz="4" w:space="0"/>
              <w:bottom w:val="single" w:color="auto" w:sz="4" w:space="0"/>
              <w:right w:val="single" w:color="auto" w:sz="4" w:space="0"/>
            </w:tcBorders>
            <w:noWrap/>
            <w:vAlign w:val="center"/>
          </w:tcPr>
          <w:p w14:paraId="20699D3F">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52941.75</w:t>
            </w:r>
          </w:p>
        </w:tc>
        <w:tc>
          <w:tcPr>
            <w:tcW w:w="993" w:type="dxa"/>
            <w:tcBorders>
              <w:top w:val="single" w:color="auto" w:sz="4" w:space="0"/>
              <w:left w:val="single" w:color="auto" w:sz="4" w:space="0"/>
              <w:bottom w:val="single" w:color="auto" w:sz="4" w:space="0"/>
              <w:right w:val="single" w:color="auto" w:sz="4" w:space="0"/>
            </w:tcBorders>
            <w:noWrap/>
            <w:vAlign w:val="center"/>
          </w:tcPr>
          <w:p w14:paraId="00543674">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1.03</w:t>
            </w:r>
          </w:p>
        </w:tc>
        <w:tc>
          <w:tcPr>
            <w:tcW w:w="1170" w:type="dxa"/>
            <w:tcBorders>
              <w:top w:val="single" w:color="auto" w:sz="4" w:space="0"/>
              <w:left w:val="single" w:color="auto" w:sz="4" w:space="0"/>
              <w:bottom w:val="single" w:color="auto" w:sz="4" w:space="0"/>
              <w:right w:val="single" w:color="auto" w:sz="4" w:space="0"/>
            </w:tcBorders>
            <w:noWrap/>
            <w:vAlign w:val="center"/>
          </w:tcPr>
          <w:p w14:paraId="51DCE6CA">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2025年2月18日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3C30BA12">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121800</w:t>
            </w:r>
          </w:p>
        </w:tc>
        <w:tc>
          <w:tcPr>
            <w:tcW w:w="1017" w:type="dxa"/>
            <w:tcBorders>
              <w:top w:val="single" w:color="auto" w:sz="4" w:space="0"/>
              <w:left w:val="single" w:color="auto" w:sz="4" w:space="0"/>
              <w:bottom w:val="single" w:color="auto" w:sz="4" w:space="0"/>
              <w:right w:val="single" w:color="auto" w:sz="4" w:space="0"/>
            </w:tcBorders>
            <w:noWrap/>
            <w:vAlign w:val="center"/>
          </w:tcPr>
          <w:p w14:paraId="4B3D1855">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23006</w:t>
            </w:r>
          </w:p>
        </w:tc>
      </w:tr>
      <w:tr w14:paraId="5BEE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7D653AAB">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北京城市副中心站综合交通枢纽地区 FZX-0101-03单元FZX-0101-0307 (3)地块F3其他类多功能用地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741B6925">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274CD04F">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5369.21</w:t>
            </w:r>
          </w:p>
        </w:tc>
        <w:tc>
          <w:tcPr>
            <w:tcW w:w="992" w:type="dxa"/>
            <w:tcBorders>
              <w:top w:val="single" w:color="auto" w:sz="4" w:space="0"/>
              <w:left w:val="single" w:color="auto" w:sz="4" w:space="0"/>
              <w:bottom w:val="single" w:color="auto" w:sz="4" w:space="0"/>
              <w:right w:val="single" w:color="auto" w:sz="4" w:space="0"/>
            </w:tcBorders>
            <w:noWrap/>
            <w:vAlign w:val="center"/>
          </w:tcPr>
          <w:p w14:paraId="37721BAD">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12886.11</w:t>
            </w:r>
          </w:p>
        </w:tc>
        <w:tc>
          <w:tcPr>
            <w:tcW w:w="993" w:type="dxa"/>
            <w:tcBorders>
              <w:top w:val="single" w:color="auto" w:sz="4" w:space="0"/>
              <w:left w:val="single" w:color="auto" w:sz="4" w:space="0"/>
              <w:bottom w:val="single" w:color="auto" w:sz="4" w:space="0"/>
              <w:right w:val="single" w:color="auto" w:sz="4" w:space="0"/>
            </w:tcBorders>
            <w:noWrap/>
            <w:vAlign w:val="center"/>
          </w:tcPr>
          <w:p w14:paraId="56305FCC">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2.40</w:t>
            </w:r>
          </w:p>
        </w:tc>
        <w:tc>
          <w:tcPr>
            <w:tcW w:w="1170" w:type="dxa"/>
            <w:tcBorders>
              <w:top w:val="single" w:color="auto" w:sz="4" w:space="0"/>
              <w:left w:val="single" w:color="auto" w:sz="4" w:space="0"/>
              <w:bottom w:val="single" w:color="auto" w:sz="4" w:space="0"/>
              <w:right w:val="single" w:color="auto" w:sz="4" w:space="0"/>
            </w:tcBorders>
            <w:noWrap/>
            <w:vAlign w:val="center"/>
          </w:tcPr>
          <w:p w14:paraId="1E57A608">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2025年2月25日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16E3F4EC">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17220</w:t>
            </w:r>
          </w:p>
        </w:tc>
        <w:tc>
          <w:tcPr>
            <w:tcW w:w="1017" w:type="dxa"/>
            <w:tcBorders>
              <w:top w:val="single" w:color="auto" w:sz="4" w:space="0"/>
              <w:left w:val="single" w:color="auto" w:sz="4" w:space="0"/>
              <w:bottom w:val="single" w:color="auto" w:sz="4" w:space="0"/>
              <w:right w:val="single" w:color="auto" w:sz="4" w:space="0"/>
            </w:tcBorders>
            <w:noWrap/>
            <w:vAlign w:val="center"/>
          </w:tcPr>
          <w:p w14:paraId="6B33C58E">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13363</w:t>
            </w:r>
          </w:p>
        </w:tc>
      </w:tr>
      <w:tr w14:paraId="2EAB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004976E8">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北京市顺义区顺义新城0201街区东风商场片区项目SY00-0201-116地块B1商业用地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7161933">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354C31CC">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54036.49</w:t>
            </w:r>
          </w:p>
        </w:tc>
        <w:tc>
          <w:tcPr>
            <w:tcW w:w="992" w:type="dxa"/>
            <w:tcBorders>
              <w:top w:val="single" w:color="auto" w:sz="4" w:space="0"/>
              <w:left w:val="single" w:color="auto" w:sz="4" w:space="0"/>
              <w:bottom w:val="single" w:color="auto" w:sz="4" w:space="0"/>
              <w:right w:val="single" w:color="auto" w:sz="4" w:space="0"/>
            </w:tcBorders>
            <w:noWrap/>
            <w:vAlign w:val="center"/>
          </w:tcPr>
          <w:p w14:paraId="517D2090">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81054.74</w:t>
            </w:r>
          </w:p>
        </w:tc>
        <w:tc>
          <w:tcPr>
            <w:tcW w:w="993" w:type="dxa"/>
            <w:tcBorders>
              <w:top w:val="single" w:color="auto" w:sz="4" w:space="0"/>
              <w:left w:val="single" w:color="auto" w:sz="4" w:space="0"/>
              <w:bottom w:val="single" w:color="auto" w:sz="4" w:space="0"/>
              <w:right w:val="single" w:color="auto" w:sz="4" w:space="0"/>
            </w:tcBorders>
            <w:noWrap/>
            <w:vAlign w:val="center"/>
          </w:tcPr>
          <w:p w14:paraId="7AD7AE60">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1.50</w:t>
            </w:r>
          </w:p>
        </w:tc>
        <w:tc>
          <w:tcPr>
            <w:tcW w:w="1170" w:type="dxa"/>
            <w:tcBorders>
              <w:top w:val="single" w:color="auto" w:sz="4" w:space="0"/>
              <w:left w:val="single" w:color="auto" w:sz="4" w:space="0"/>
              <w:bottom w:val="single" w:color="auto" w:sz="4" w:space="0"/>
              <w:right w:val="single" w:color="auto" w:sz="4" w:space="0"/>
            </w:tcBorders>
            <w:noWrap/>
            <w:vAlign w:val="center"/>
          </w:tcPr>
          <w:p w14:paraId="74FD5ADE">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2025年2月26日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09D981E1">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56400</w:t>
            </w:r>
          </w:p>
        </w:tc>
        <w:tc>
          <w:tcPr>
            <w:tcW w:w="1017" w:type="dxa"/>
            <w:tcBorders>
              <w:top w:val="single" w:color="auto" w:sz="4" w:space="0"/>
              <w:left w:val="single" w:color="auto" w:sz="4" w:space="0"/>
              <w:bottom w:val="single" w:color="auto" w:sz="4" w:space="0"/>
              <w:right w:val="single" w:color="auto" w:sz="4" w:space="0"/>
            </w:tcBorders>
            <w:noWrap/>
            <w:vAlign w:val="center"/>
          </w:tcPr>
          <w:p w14:paraId="5834D02F">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6958</w:t>
            </w:r>
          </w:p>
        </w:tc>
      </w:tr>
      <w:tr w14:paraId="7EA7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57A203B0">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北京城市副中心站综合交通枢纽地区 FZX-0101-03单元FZX-0101-0306、 0307(2)、0309地块 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A82251B">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30BE5D56">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31330.48</w:t>
            </w:r>
          </w:p>
        </w:tc>
        <w:tc>
          <w:tcPr>
            <w:tcW w:w="992" w:type="dxa"/>
            <w:tcBorders>
              <w:top w:val="single" w:color="auto" w:sz="4" w:space="0"/>
              <w:left w:val="single" w:color="auto" w:sz="4" w:space="0"/>
              <w:bottom w:val="single" w:color="auto" w:sz="4" w:space="0"/>
              <w:right w:val="single" w:color="auto" w:sz="4" w:space="0"/>
            </w:tcBorders>
            <w:noWrap/>
            <w:vAlign w:val="center"/>
          </w:tcPr>
          <w:p w14:paraId="670B914E">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122233</w:t>
            </w:r>
          </w:p>
        </w:tc>
        <w:tc>
          <w:tcPr>
            <w:tcW w:w="993" w:type="dxa"/>
            <w:tcBorders>
              <w:top w:val="single" w:color="auto" w:sz="4" w:space="0"/>
              <w:left w:val="single" w:color="auto" w:sz="4" w:space="0"/>
              <w:bottom w:val="single" w:color="auto" w:sz="4" w:space="0"/>
              <w:right w:val="single" w:color="auto" w:sz="4" w:space="0"/>
            </w:tcBorders>
            <w:noWrap/>
            <w:vAlign w:val="center"/>
          </w:tcPr>
          <w:p w14:paraId="332ABA3D">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0306:1.4, 0307(2):2.6,0309:7.5</w:t>
            </w:r>
          </w:p>
        </w:tc>
        <w:tc>
          <w:tcPr>
            <w:tcW w:w="1170" w:type="dxa"/>
            <w:tcBorders>
              <w:top w:val="single" w:color="auto" w:sz="4" w:space="0"/>
              <w:left w:val="single" w:color="auto" w:sz="4" w:space="0"/>
              <w:bottom w:val="single" w:color="auto" w:sz="4" w:space="0"/>
              <w:right w:val="single" w:color="auto" w:sz="4" w:space="0"/>
            </w:tcBorders>
            <w:noWrap/>
            <w:vAlign w:val="center"/>
          </w:tcPr>
          <w:p w14:paraId="28BC6858">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2025年3月3日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2499B76A">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163410</w:t>
            </w:r>
          </w:p>
        </w:tc>
        <w:tc>
          <w:tcPr>
            <w:tcW w:w="1017" w:type="dxa"/>
            <w:tcBorders>
              <w:top w:val="single" w:color="auto" w:sz="4" w:space="0"/>
              <w:left w:val="single" w:color="auto" w:sz="4" w:space="0"/>
              <w:bottom w:val="single" w:color="auto" w:sz="4" w:space="0"/>
              <w:right w:val="single" w:color="auto" w:sz="4" w:space="0"/>
            </w:tcBorders>
            <w:noWrap/>
            <w:vAlign w:val="center"/>
          </w:tcPr>
          <w:p w14:paraId="65B87FA7">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13369</w:t>
            </w:r>
          </w:p>
        </w:tc>
      </w:tr>
      <w:tr w14:paraId="22E4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0DF1C28D">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北京城市副中心站综合交通枢纽地区 FZX-0101-03单元FZX-0101-0307 (1)地块F3其他类多功能用地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02C8AE0B">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21CCFFCE">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4239.42</w:t>
            </w:r>
          </w:p>
        </w:tc>
        <w:tc>
          <w:tcPr>
            <w:tcW w:w="992" w:type="dxa"/>
            <w:tcBorders>
              <w:top w:val="single" w:color="auto" w:sz="4" w:space="0"/>
              <w:left w:val="single" w:color="auto" w:sz="4" w:space="0"/>
              <w:bottom w:val="single" w:color="auto" w:sz="4" w:space="0"/>
              <w:right w:val="single" w:color="auto" w:sz="4" w:space="0"/>
            </w:tcBorders>
            <w:noWrap/>
            <w:vAlign w:val="center"/>
          </w:tcPr>
          <w:p w14:paraId="6959D00B">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16957.66</w:t>
            </w:r>
          </w:p>
        </w:tc>
        <w:tc>
          <w:tcPr>
            <w:tcW w:w="993" w:type="dxa"/>
            <w:tcBorders>
              <w:top w:val="single" w:color="auto" w:sz="4" w:space="0"/>
              <w:left w:val="single" w:color="auto" w:sz="4" w:space="0"/>
              <w:bottom w:val="single" w:color="auto" w:sz="4" w:space="0"/>
              <w:right w:val="single" w:color="auto" w:sz="4" w:space="0"/>
            </w:tcBorders>
            <w:noWrap/>
            <w:vAlign w:val="center"/>
          </w:tcPr>
          <w:p w14:paraId="35CC2CF3">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4</w:t>
            </w:r>
          </w:p>
        </w:tc>
        <w:tc>
          <w:tcPr>
            <w:tcW w:w="1170" w:type="dxa"/>
            <w:tcBorders>
              <w:top w:val="single" w:color="auto" w:sz="4" w:space="0"/>
              <w:left w:val="single" w:color="auto" w:sz="4" w:space="0"/>
              <w:bottom w:val="single" w:color="auto" w:sz="4" w:space="0"/>
              <w:right w:val="single" w:color="auto" w:sz="4" w:space="0"/>
            </w:tcBorders>
            <w:noWrap/>
            <w:vAlign w:val="center"/>
          </w:tcPr>
          <w:p w14:paraId="412A62F7">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2025年3月3日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6ECAC3FC">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22680</w:t>
            </w:r>
          </w:p>
        </w:tc>
        <w:tc>
          <w:tcPr>
            <w:tcW w:w="1017" w:type="dxa"/>
            <w:tcBorders>
              <w:top w:val="single" w:color="auto" w:sz="4" w:space="0"/>
              <w:left w:val="single" w:color="auto" w:sz="4" w:space="0"/>
              <w:bottom w:val="single" w:color="auto" w:sz="4" w:space="0"/>
              <w:right w:val="single" w:color="auto" w:sz="4" w:space="0"/>
            </w:tcBorders>
            <w:noWrap/>
            <w:vAlign w:val="center"/>
          </w:tcPr>
          <w:p w14:paraId="671608CD">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13374</w:t>
            </w:r>
          </w:p>
        </w:tc>
      </w:tr>
      <w:tr w14:paraId="3482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7448397E">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北京市西城区新兴盛危改项目一级开发地块(0111-077、0111-084、0111-085)B2商务用地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78E9DDC6">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B2商务用地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76C28A7">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20476.41</w:t>
            </w:r>
          </w:p>
        </w:tc>
        <w:tc>
          <w:tcPr>
            <w:tcW w:w="992" w:type="dxa"/>
            <w:tcBorders>
              <w:top w:val="single" w:color="auto" w:sz="4" w:space="0"/>
              <w:left w:val="single" w:color="auto" w:sz="4" w:space="0"/>
              <w:bottom w:val="single" w:color="auto" w:sz="4" w:space="0"/>
              <w:right w:val="single" w:color="auto" w:sz="4" w:space="0"/>
            </w:tcBorders>
            <w:noWrap/>
            <w:vAlign w:val="center"/>
          </w:tcPr>
          <w:p w14:paraId="1ACF17BC">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45470</w:t>
            </w:r>
          </w:p>
        </w:tc>
        <w:tc>
          <w:tcPr>
            <w:tcW w:w="993" w:type="dxa"/>
            <w:tcBorders>
              <w:top w:val="single" w:color="auto" w:sz="4" w:space="0"/>
              <w:left w:val="single" w:color="auto" w:sz="4" w:space="0"/>
              <w:bottom w:val="single" w:color="auto" w:sz="4" w:space="0"/>
              <w:right w:val="single" w:color="auto" w:sz="4" w:space="0"/>
            </w:tcBorders>
            <w:noWrap/>
            <w:vAlign w:val="center"/>
          </w:tcPr>
          <w:p w14:paraId="2C80B3D5">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2.22</w:t>
            </w:r>
          </w:p>
        </w:tc>
        <w:tc>
          <w:tcPr>
            <w:tcW w:w="1170" w:type="dxa"/>
            <w:tcBorders>
              <w:top w:val="single" w:color="auto" w:sz="4" w:space="0"/>
              <w:left w:val="single" w:color="auto" w:sz="4" w:space="0"/>
              <w:bottom w:val="single" w:color="auto" w:sz="4" w:space="0"/>
              <w:right w:val="single" w:color="auto" w:sz="4" w:space="0"/>
            </w:tcBorders>
            <w:noWrap/>
            <w:vAlign w:val="center"/>
          </w:tcPr>
          <w:p w14:paraId="18919930">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2025年6月13日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091672FC">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207500</w:t>
            </w:r>
          </w:p>
        </w:tc>
        <w:tc>
          <w:tcPr>
            <w:tcW w:w="1017" w:type="dxa"/>
            <w:tcBorders>
              <w:top w:val="single" w:color="auto" w:sz="4" w:space="0"/>
              <w:left w:val="single" w:color="auto" w:sz="4" w:space="0"/>
              <w:bottom w:val="single" w:color="auto" w:sz="4" w:space="0"/>
              <w:right w:val="single" w:color="auto" w:sz="4" w:space="0"/>
            </w:tcBorders>
            <w:noWrap/>
            <w:vAlign w:val="center"/>
          </w:tcPr>
          <w:p w14:paraId="5817410B">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45634</w:t>
            </w:r>
          </w:p>
        </w:tc>
      </w:tr>
      <w:tr w14:paraId="26A4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2A63979D">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北京经济技术开发区亦庄新城YZ00-0302街区 C4F1地块F3其他类多功能用地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506EEBEB">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3257C9CC">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21545.6</w:t>
            </w:r>
          </w:p>
        </w:tc>
        <w:tc>
          <w:tcPr>
            <w:tcW w:w="992" w:type="dxa"/>
            <w:tcBorders>
              <w:top w:val="single" w:color="auto" w:sz="4" w:space="0"/>
              <w:left w:val="single" w:color="auto" w:sz="4" w:space="0"/>
              <w:bottom w:val="single" w:color="auto" w:sz="4" w:space="0"/>
              <w:right w:val="single" w:color="auto" w:sz="4" w:space="0"/>
            </w:tcBorders>
            <w:noWrap/>
            <w:vAlign w:val="center"/>
          </w:tcPr>
          <w:p w14:paraId="72441162">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40505.73</w:t>
            </w:r>
          </w:p>
        </w:tc>
        <w:tc>
          <w:tcPr>
            <w:tcW w:w="993" w:type="dxa"/>
            <w:tcBorders>
              <w:top w:val="single" w:color="auto" w:sz="4" w:space="0"/>
              <w:left w:val="single" w:color="auto" w:sz="4" w:space="0"/>
              <w:bottom w:val="single" w:color="auto" w:sz="4" w:space="0"/>
              <w:right w:val="single" w:color="auto" w:sz="4" w:space="0"/>
            </w:tcBorders>
            <w:noWrap/>
            <w:vAlign w:val="center"/>
          </w:tcPr>
          <w:p w14:paraId="51CDCF5B">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1.88</w:t>
            </w:r>
          </w:p>
        </w:tc>
        <w:tc>
          <w:tcPr>
            <w:tcW w:w="1170" w:type="dxa"/>
            <w:tcBorders>
              <w:top w:val="single" w:color="auto" w:sz="4" w:space="0"/>
              <w:left w:val="single" w:color="auto" w:sz="4" w:space="0"/>
              <w:bottom w:val="single" w:color="auto" w:sz="4" w:space="0"/>
              <w:right w:val="single" w:color="auto" w:sz="4" w:space="0"/>
            </w:tcBorders>
            <w:noWrap/>
            <w:vAlign w:val="center"/>
          </w:tcPr>
          <w:p w14:paraId="4DCCC536">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2025年10月11日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6BBB9396">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37500</w:t>
            </w:r>
          </w:p>
        </w:tc>
        <w:tc>
          <w:tcPr>
            <w:tcW w:w="1017" w:type="dxa"/>
            <w:tcBorders>
              <w:top w:val="single" w:color="auto" w:sz="4" w:space="0"/>
              <w:left w:val="single" w:color="auto" w:sz="4" w:space="0"/>
              <w:bottom w:val="single" w:color="auto" w:sz="4" w:space="0"/>
              <w:right w:val="single" w:color="auto" w:sz="4" w:space="0"/>
            </w:tcBorders>
            <w:noWrap/>
            <w:vAlign w:val="center"/>
          </w:tcPr>
          <w:p w14:paraId="682C19BA">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9258</w:t>
            </w:r>
          </w:p>
        </w:tc>
      </w:tr>
      <w:tr w14:paraId="2A00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6ED90607">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北京经济技术开发区亦庄新城YZ00-0206街区X44B2地块B4综合性商业金融服务业用地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538545DE">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14FD1FC">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10200.06</w:t>
            </w:r>
          </w:p>
        </w:tc>
        <w:tc>
          <w:tcPr>
            <w:tcW w:w="992" w:type="dxa"/>
            <w:tcBorders>
              <w:top w:val="single" w:color="auto" w:sz="4" w:space="0"/>
              <w:left w:val="single" w:color="auto" w:sz="4" w:space="0"/>
              <w:bottom w:val="single" w:color="auto" w:sz="4" w:space="0"/>
              <w:right w:val="single" w:color="auto" w:sz="4" w:space="0"/>
            </w:tcBorders>
            <w:noWrap/>
            <w:vAlign w:val="center"/>
          </w:tcPr>
          <w:p w14:paraId="0857F58B">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20400.12</w:t>
            </w:r>
          </w:p>
        </w:tc>
        <w:tc>
          <w:tcPr>
            <w:tcW w:w="993" w:type="dxa"/>
            <w:tcBorders>
              <w:top w:val="single" w:color="auto" w:sz="4" w:space="0"/>
              <w:left w:val="single" w:color="auto" w:sz="4" w:space="0"/>
              <w:bottom w:val="single" w:color="auto" w:sz="4" w:space="0"/>
              <w:right w:val="single" w:color="auto" w:sz="4" w:space="0"/>
            </w:tcBorders>
            <w:noWrap/>
            <w:vAlign w:val="center"/>
          </w:tcPr>
          <w:p w14:paraId="5746886C">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14:paraId="4DCCA4E6">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2025年10月22日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1BE1C711">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14800</w:t>
            </w:r>
          </w:p>
        </w:tc>
        <w:tc>
          <w:tcPr>
            <w:tcW w:w="1017" w:type="dxa"/>
            <w:tcBorders>
              <w:top w:val="single" w:color="auto" w:sz="4" w:space="0"/>
              <w:left w:val="single" w:color="auto" w:sz="4" w:space="0"/>
              <w:bottom w:val="single" w:color="auto" w:sz="4" w:space="0"/>
              <w:right w:val="single" w:color="auto" w:sz="4" w:space="0"/>
            </w:tcBorders>
            <w:noWrap/>
            <w:vAlign w:val="center"/>
          </w:tcPr>
          <w:p w14:paraId="6C9D333D">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7255</w:t>
            </w:r>
          </w:p>
        </w:tc>
      </w:tr>
      <w:tr w14:paraId="1D4A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1CC2D905">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北京城市副中心0101街区FZX-0101-0607地块F3其他类多功能用地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021818DB">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B45B0EA">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11304.48</w:t>
            </w:r>
          </w:p>
        </w:tc>
        <w:tc>
          <w:tcPr>
            <w:tcW w:w="992" w:type="dxa"/>
            <w:tcBorders>
              <w:top w:val="single" w:color="auto" w:sz="4" w:space="0"/>
              <w:left w:val="single" w:color="auto" w:sz="4" w:space="0"/>
              <w:bottom w:val="single" w:color="auto" w:sz="4" w:space="0"/>
              <w:right w:val="single" w:color="auto" w:sz="4" w:space="0"/>
            </w:tcBorders>
            <w:noWrap/>
            <w:vAlign w:val="center"/>
          </w:tcPr>
          <w:p w14:paraId="231C7CBC">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71783.47</w:t>
            </w:r>
          </w:p>
        </w:tc>
        <w:tc>
          <w:tcPr>
            <w:tcW w:w="993" w:type="dxa"/>
            <w:tcBorders>
              <w:top w:val="single" w:color="auto" w:sz="4" w:space="0"/>
              <w:left w:val="single" w:color="auto" w:sz="4" w:space="0"/>
              <w:bottom w:val="single" w:color="auto" w:sz="4" w:space="0"/>
              <w:right w:val="single" w:color="auto" w:sz="4" w:space="0"/>
            </w:tcBorders>
            <w:noWrap/>
            <w:vAlign w:val="center"/>
          </w:tcPr>
          <w:p w14:paraId="34EA0928">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≤6.35</w:t>
            </w:r>
          </w:p>
        </w:tc>
        <w:tc>
          <w:tcPr>
            <w:tcW w:w="1170" w:type="dxa"/>
            <w:tcBorders>
              <w:top w:val="single" w:color="auto" w:sz="4" w:space="0"/>
              <w:left w:val="single" w:color="auto" w:sz="4" w:space="0"/>
              <w:bottom w:val="single" w:color="auto" w:sz="4" w:space="0"/>
              <w:right w:val="single" w:color="auto" w:sz="4" w:space="0"/>
            </w:tcBorders>
            <w:noWrap/>
            <w:vAlign w:val="center"/>
          </w:tcPr>
          <w:p w14:paraId="1EB82E24">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2025年10月28日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677F72F3">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93950</w:t>
            </w:r>
          </w:p>
        </w:tc>
        <w:tc>
          <w:tcPr>
            <w:tcW w:w="1017" w:type="dxa"/>
            <w:tcBorders>
              <w:top w:val="single" w:color="auto" w:sz="4" w:space="0"/>
              <w:left w:val="single" w:color="auto" w:sz="4" w:space="0"/>
              <w:bottom w:val="single" w:color="auto" w:sz="4" w:space="0"/>
              <w:right w:val="single" w:color="auto" w:sz="4" w:space="0"/>
            </w:tcBorders>
            <w:noWrap/>
            <w:vAlign w:val="center"/>
          </w:tcPr>
          <w:p w14:paraId="2C8B4365">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13088</w:t>
            </w:r>
          </w:p>
        </w:tc>
      </w:tr>
      <w:tr w14:paraId="08BF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6A3C7794">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北京市西城区广安一期0128-149地块F3其他类多功能用地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17FDFCA">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02CF81F6">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36579</w:t>
            </w:r>
          </w:p>
        </w:tc>
        <w:tc>
          <w:tcPr>
            <w:tcW w:w="992" w:type="dxa"/>
            <w:tcBorders>
              <w:top w:val="single" w:color="auto" w:sz="4" w:space="0"/>
              <w:left w:val="single" w:color="auto" w:sz="4" w:space="0"/>
              <w:bottom w:val="single" w:color="auto" w:sz="4" w:space="0"/>
              <w:right w:val="single" w:color="auto" w:sz="4" w:space="0"/>
            </w:tcBorders>
            <w:noWrap/>
            <w:vAlign w:val="center"/>
          </w:tcPr>
          <w:p w14:paraId="67A47834">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38000</w:t>
            </w:r>
          </w:p>
        </w:tc>
        <w:tc>
          <w:tcPr>
            <w:tcW w:w="993" w:type="dxa"/>
            <w:tcBorders>
              <w:top w:val="single" w:color="auto" w:sz="4" w:space="0"/>
              <w:left w:val="single" w:color="auto" w:sz="4" w:space="0"/>
              <w:bottom w:val="single" w:color="auto" w:sz="4" w:space="0"/>
              <w:right w:val="single" w:color="auto" w:sz="4" w:space="0"/>
            </w:tcBorders>
            <w:noWrap/>
            <w:vAlign w:val="center"/>
          </w:tcPr>
          <w:p w14:paraId="2F4C2601">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1.04</w:t>
            </w:r>
          </w:p>
        </w:tc>
        <w:tc>
          <w:tcPr>
            <w:tcW w:w="1170" w:type="dxa"/>
            <w:tcBorders>
              <w:top w:val="single" w:color="auto" w:sz="4" w:space="0"/>
              <w:left w:val="single" w:color="auto" w:sz="4" w:space="0"/>
              <w:bottom w:val="single" w:color="auto" w:sz="4" w:space="0"/>
              <w:right w:val="single" w:color="auto" w:sz="4" w:space="0"/>
            </w:tcBorders>
            <w:noWrap/>
            <w:vAlign w:val="center"/>
          </w:tcPr>
          <w:p w14:paraId="4B4FBDDF">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2025年12月23日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2AA2FBD8">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134400</w:t>
            </w:r>
          </w:p>
        </w:tc>
        <w:tc>
          <w:tcPr>
            <w:tcW w:w="1017" w:type="dxa"/>
            <w:tcBorders>
              <w:top w:val="single" w:color="auto" w:sz="4" w:space="0"/>
              <w:left w:val="single" w:color="auto" w:sz="4" w:space="0"/>
              <w:bottom w:val="single" w:color="auto" w:sz="4" w:space="0"/>
              <w:right w:val="single" w:color="auto" w:sz="4" w:space="0"/>
            </w:tcBorders>
            <w:noWrap/>
            <w:vAlign w:val="center"/>
          </w:tcPr>
          <w:p w14:paraId="2FF382FB">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35368</w:t>
            </w:r>
          </w:p>
        </w:tc>
      </w:tr>
      <w:tr w14:paraId="053A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2E499CD3">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北京经济技术开发区亦庄新城YZ00-0302街区B4B2地块商务金融用地(B2)</w:t>
            </w:r>
          </w:p>
        </w:tc>
        <w:tc>
          <w:tcPr>
            <w:tcW w:w="1134" w:type="dxa"/>
            <w:tcBorders>
              <w:top w:val="single" w:color="auto" w:sz="4" w:space="0"/>
              <w:left w:val="single" w:color="auto" w:sz="4" w:space="0"/>
              <w:bottom w:val="single" w:color="auto" w:sz="4" w:space="0"/>
              <w:right w:val="single" w:color="auto" w:sz="4" w:space="0"/>
            </w:tcBorders>
            <w:noWrap/>
            <w:vAlign w:val="center"/>
          </w:tcPr>
          <w:p w14:paraId="7DDFF81D">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商务金融用地(B2)</w:t>
            </w:r>
          </w:p>
        </w:tc>
        <w:tc>
          <w:tcPr>
            <w:tcW w:w="992" w:type="dxa"/>
            <w:tcBorders>
              <w:top w:val="single" w:color="auto" w:sz="4" w:space="0"/>
              <w:left w:val="single" w:color="auto" w:sz="4" w:space="0"/>
              <w:bottom w:val="single" w:color="auto" w:sz="4" w:space="0"/>
              <w:right w:val="single" w:color="auto" w:sz="4" w:space="0"/>
            </w:tcBorders>
            <w:noWrap/>
            <w:vAlign w:val="center"/>
          </w:tcPr>
          <w:p w14:paraId="2D8CE4C1">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9550.32</w:t>
            </w:r>
          </w:p>
        </w:tc>
        <w:tc>
          <w:tcPr>
            <w:tcW w:w="992" w:type="dxa"/>
            <w:tcBorders>
              <w:top w:val="single" w:color="auto" w:sz="4" w:space="0"/>
              <w:left w:val="single" w:color="auto" w:sz="4" w:space="0"/>
              <w:bottom w:val="single" w:color="auto" w:sz="4" w:space="0"/>
              <w:right w:val="single" w:color="auto" w:sz="4" w:space="0"/>
            </w:tcBorders>
            <w:noWrap/>
            <w:vAlign w:val="center"/>
          </w:tcPr>
          <w:p w14:paraId="0A429943">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19100.64</w:t>
            </w:r>
          </w:p>
        </w:tc>
        <w:tc>
          <w:tcPr>
            <w:tcW w:w="993" w:type="dxa"/>
            <w:tcBorders>
              <w:top w:val="single" w:color="auto" w:sz="4" w:space="0"/>
              <w:left w:val="single" w:color="auto" w:sz="4" w:space="0"/>
              <w:bottom w:val="single" w:color="auto" w:sz="4" w:space="0"/>
              <w:right w:val="single" w:color="auto" w:sz="4" w:space="0"/>
            </w:tcBorders>
            <w:noWrap/>
            <w:vAlign w:val="center"/>
          </w:tcPr>
          <w:p w14:paraId="01089E74">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14:paraId="62F9222A">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2025年12月29日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4FA0B07D">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15600</w:t>
            </w:r>
          </w:p>
        </w:tc>
        <w:tc>
          <w:tcPr>
            <w:tcW w:w="1017" w:type="dxa"/>
            <w:tcBorders>
              <w:top w:val="single" w:color="auto" w:sz="4" w:space="0"/>
              <w:left w:val="single" w:color="auto" w:sz="4" w:space="0"/>
              <w:bottom w:val="single" w:color="auto" w:sz="4" w:space="0"/>
              <w:right w:val="single" w:color="auto" w:sz="4" w:space="0"/>
            </w:tcBorders>
            <w:noWrap/>
            <w:vAlign w:val="center"/>
          </w:tcPr>
          <w:p w14:paraId="4776315D">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8167</w:t>
            </w:r>
          </w:p>
        </w:tc>
      </w:tr>
      <w:tr w14:paraId="7200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37F4A44A">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北京市石景山区衙门口棚户区改造土地开发项目1616-613、616、617地块B4综合性商业金融服务业用地、F3其他类多功能用地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0002F0C">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B4综合性商业金融服务业用地、F3其他类多功能用地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75E473D9">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79959.07</w:t>
            </w:r>
          </w:p>
        </w:tc>
        <w:tc>
          <w:tcPr>
            <w:tcW w:w="992" w:type="dxa"/>
            <w:tcBorders>
              <w:top w:val="single" w:color="auto" w:sz="4" w:space="0"/>
              <w:left w:val="single" w:color="auto" w:sz="4" w:space="0"/>
              <w:bottom w:val="single" w:color="auto" w:sz="4" w:space="0"/>
              <w:right w:val="single" w:color="auto" w:sz="4" w:space="0"/>
            </w:tcBorders>
            <w:noWrap/>
            <w:vAlign w:val="center"/>
          </w:tcPr>
          <w:p w14:paraId="228F2893">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266129</w:t>
            </w:r>
          </w:p>
        </w:tc>
        <w:tc>
          <w:tcPr>
            <w:tcW w:w="993" w:type="dxa"/>
            <w:tcBorders>
              <w:top w:val="single" w:color="auto" w:sz="4" w:space="0"/>
              <w:left w:val="single" w:color="auto" w:sz="4" w:space="0"/>
              <w:bottom w:val="single" w:color="auto" w:sz="4" w:space="0"/>
              <w:right w:val="single" w:color="auto" w:sz="4" w:space="0"/>
            </w:tcBorders>
            <w:noWrap/>
            <w:vAlign w:val="center"/>
          </w:tcPr>
          <w:p w14:paraId="2BFFC487">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b4:2.7</w:t>
            </w:r>
          </w:p>
          <w:p w14:paraId="0E617273">
            <w:pPr>
              <w:widowControl/>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f3:3.3-3.9</w:t>
            </w:r>
          </w:p>
        </w:tc>
        <w:tc>
          <w:tcPr>
            <w:tcW w:w="1170" w:type="dxa"/>
            <w:tcBorders>
              <w:top w:val="single" w:color="auto" w:sz="4" w:space="0"/>
              <w:left w:val="single" w:color="auto" w:sz="4" w:space="0"/>
              <w:bottom w:val="single" w:color="auto" w:sz="4" w:space="0"/>
              <w:right w:val="single" w:color="auto" w:sz="4" w:space="0"/>
            </w:tcBorders>
            <w:noWrap/>
            <w:vAlign w:val="center"/>
          </w:tcPr>
          <w:p w14:paraId="4D922E32">
            <w:pPr>
              <w:widowControl/>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2025年12月30日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7A33E241">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294800</w:t>
            </w:r>
          </w:p>
        </w:tc>
        <w:tc>
          <w:tcPr>
            <w:tcW w:w="1017" w:type="dxa"/>
            <w:tcBorders>
              <w:top w:val="single" w:color="auto" w:sz="4" w:space="0"/>
              <w:left w:val="single" w:color="auto" w:sz="4" w:space="0"/>
              <w:bottom w:val="single" w:color="auto" w:sz="4" w:space="0"/>
              <w:right w:val="single" w:color="auto" w:sz="4" w:space="0"/>
            </w:tcBorders>
            <w:noWrap/>
            <w:vAlign w:val="center"/>
          </w:tcPr>
          <w:p w14:paraId="1FEF61A8">
            <w:pPr>
              <w:widowControl/>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11077</w:t>
            </w:r>
          </w:p>
        </w:tc>
      </w:tr>
    </w:tbl>
    <w:p w14:paraId="5D0274EF">
      <w:pPr>
        <w:widowControl/>
        <w:adjustRightInd/>
        <w:spacing w:line="240" w:lineRule="exact"/>
        <w:rPr>
          <w:rFonts w:ascii="Arial" w:hAnsi="Arial" w:eastAsia="仿宋" w:cs="Arial"/>
          <w:color w:val="C00000"/>
          <w:sz w:val="18"/>
          <w:szCs w:val="18"/>
        </w:rPr>
      </w:pPr>
    </w:p>
    <w:p w14:paraId="3F911F3C">
      <w:pPr>
        <w:spacing w:line="480" w:lineRule="auto"/>
        <w:ind w:firstLine="420" w:firstLineChars="200"/>
        <w:jc w:val="both"/>
        <w:rPr>
          <w:rFonts w:ascii="Arial" w:hAnsi="Arial"/>
          <w:color w:val="000000"/>
          <w:sz w:val="21"/>
          <w:szCs w:val="21"/>
        </w:rPr>
      </w:pPr>
      <w:r>
        <w:rPr>
          <w:rFonts w:hint="eastAsia" w:ascii="Arial" w:hAnsi="Arial"/>
          <w:color w:val="000000"/>
          <w:sz w:val="21"/>
          <w:szCs w:val="21"/>
        </w:rPr>
        <w:t>根据2025年4季度北京市城市地价监测结果显示，北京市监测地价整体表现为整体趋稳态势，环比增长率为-0.61%。2025年4季度商服用途环比增长率为-0.90%，较上季度减少约0.7个点位。</w:t>
      </w:r>
    </w:p>
    <w:p w14:paraId="11720E4B">
      <w:pPr>
        <w:rPr>
          <w:rFonts w:ascii="Arial" w:hAnsi="Arial" w:eastAsia="方正黑体简体"/>
          <w:bCs/>
          <w:color w:val="000000"/>
          <w:szCs w:val="24"/>
        </w:rPr>
      </w:pPr>
      <w:r>
        <w:rPr>
          <w:rFonts w:ascii="Arial" w:hAnsi="Arial" w:eastAsia="方正黑体简体"/>
          <w:bCs/>
          <w:color w:val="000000"/>
          <w:szCs w:val="24"/>
        </w:rPr>
        <w:br w:type="page"/>
      </w:r>
    </w:p>
    <w:p w14:paraId="5738D0A2">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23年3季度至</w:t>
      </w:r>
      <w:r>
        <w:rPr>
          <w:rFonts w:ascii="Arial" w:hAnsi="Arial" w:eastAsia="方正黑体简体"/>
          <w:bCs/>
          <w:color w:val="000000"/>
          <w:szCs w:val="24"/>
        </w:rPr>
        <w:t>20</w:t>
      </w:r>
      <w:r>
        <w:rPr>
          <w:rFonts w:hint="eastAsia" w:ascii="Arial" w:hAnsi="Arial" w:eastAsia="方正黑体简体"/>
          <w:bCs/>
          <w:color w:val="000000"/>
          <w:szCs w:val="24"/>
        </w:rPr>
        <w:t>25年4季度北京市商办用地地价增长率走势图</w:t>
      </w:r>
    </w:p>
    <w:p w14:paraId="39268E0B">
      <w:pPr>
        <w:widowControl/>
        <w:overflowPunct w:val="0"/>
        <w:spacing w:line="360" w:lineRule="auto"/>
        <w:jc w:val="center"/>
        <w:rPr>
          <w:rFonts w:ascii="Arial" w:hAnsi="Arial" w:eastAsia="仿宋"/>
          <w:b/>
          <w:bCs/>
          <w:szCs w:val="24"/>
        </w:rPr>
      </w:pPr>
      <w:r>
        <w:drawing>
          <wp:inline distT="0" distB="0" distL="0" distR="0">
            <wp:extent cx="5487670" cy="2737485"/>
            <wp:effectExtent l="0" t="0" r="0" b="0"/>
            <wp:docPr id="9" name="图片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3FD08F">
      <w:pPr>
        <w:widowControl/>
        <w:spacing w:line="480" w:lineRule="auto"/>
        <w:jc w:val="center"/>
      </w:pPr>
      <w:r>
        <w:drawing>
          <wp:inline distT="0" distB="0" distL="0" distR="0">
            <wp:extent cx="5500370" cy="3240405"/>
            <wp:effectExtent l="0" t="0" r="0" b="0"/>
            <wp:docPr id="12" name="图片 6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FC5555">
      <w:pPr>
        <w:widowControl/>
        <w:spacing w:line="480" w:lineRule="auto"/>
        <w:ind w:firstLine="420" w:firstLineChars="200"/>
        <w:jc w:val="both"/>
        <w:rPr>
          <w:rFonts w:ascii="Arial" w:hAnsi="Arial"/>
          <w:bCs/>
          <w:color w:val="000000"/>
          <w:sz w:val="21"/>
          <w:szCs w:val="28"/>
        </w:rPr>
      </w:pPr>
      <w:r>
        <w:rPr>
          <w:rFonts w:hint="eastAsia" w:ascii="Arial" w:hAnsi="Arial"/>
          <w:bCs/>
          <w:color w:val="000000"/>
          <w:sz w:val="21"/>
          <w:szCs w:val="28"/>
        </w:rPr>
        <w:t>3.房地产开发</w:t>
      </w:r>
    </w:p>
    <w:p w14:paraId="167075F1">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6E5CAB1E">
      <w:pPr>
        <w:spacing w:line="480" w:lineRule="auto"/>
        <w:ind w:firstLine="420" w:firstLineChars="200"/>
        <w:jc w:val="both"/>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1EF20449">
      <w:pPr>
        <w:widowControl/>
        <w:adjustRightInd/>
        <w:spacing w:line="480" w:lineRule="auto"/>
        <w:ind w:firstLine="420" w:firstLineChars="200"/>
        <w:jc w:val="both"/>
        <w:rPr>
          <w:rFonts w:ascii="Arial" w:hAnsi="Arial"/>
          <w:bCs/>
          <w:color w:val="000000"/>
          <w:sz w:val="21"/>
          <w:szCs w:val="28"/>
        </w:rPr>
      </w:pPr>
      <w:r>
        <w:rPr>
          <w:rFonts w:hint="eastAsia" w:ascii="Arial" w:hAnsi="Arial"/>
          <w:bCs/>
          <w:color w:val="000000"/>
          <w:sz w:val="21"/>
          <w:szCs w:val="28"/>
        </w:rPr>
        <w:t>4.房地产市场供需情况</w:t>
      </w:r>
    </w:p>
    <w:p w14:paraId="66279796">
      <w:pPr>
        <w:spacing w:line="480" w:lineRule="auto"/>
        <w:ind w:firstLine="420" w:firstLineChars="200"/>
        <w:jc w:val="both"/>
        <w:rPr>
          <w:rFonts w:ascii="Arial" w:hAnsi="Arial"/>
          <w:color w:val="000000"/>
          <w:sz w:val="21"/>
          <w:szCs w:val="21"/>
        </w:rPr>
      </w:pPr>
      <w:r>
        <w:rPr>
          <w:rFonts w:hint="eastAsia" w:ascii="Arial" w:hAnsi="Arial"/>
          <w:color w:val="000000"/>
          <w:sz w:val="21"/>
          <w:szCs w:val="21"/>
        </w:rPr>
        <w:t>2025年北京市</w:t>
      </w:r>
      <w:r>
        <w:rPr>
          <w:rFonts w:ascii="Arial" w:hAnsi="Arial"/>
          <w:color w:val="000000"/>
          <w:sz w:val="21"/>
          <w:szCs w:val="21"/>
        </w:rPr>
        <w:t>商办市场供应回升，成交量价齐跌</w:t>
      </w:r>
      <w:r>
        <w:rPr>
          <w:rFonts w:hint="eastAsia" w:ascii="Arial" w:hAnsi="Arial"/>
          <w:color w:val="000000"/>
          <w:sz w:val="21"/>
          <w:szCs w:val="21"/>
        </w:rPr>
        <w:t>。根据中指研究院统计的数据，</w:t>
      </w:r>
      <w:r>
        <w:rPr>
          <w:rFonts w:ascii="Arial" w:hAnsi="Arial"/>
          <w:color w:val="000000"/>
          <w:sz w:val="21"/>
          <w:szCs w:val="21"/>
        </w:rPr>
        <w:t>2025年北京商办类市场累计成交</w:t>
      </w:r>
      <w:r>
        <w:rPr>
          <w:rFonts w:hint="eastAsia" w:ascii="Arial" w:hAnsi="Arial"/>
          <w:color w:val="000000"/>
          <w:sz w:val="21"/>
          <w:szCs w:val="21"/>
        </w:rPr>
        <w:t>121.66</w:t>
      </w:r>
      <w:r>
        <w:rPr>
          <w:rFonts w:ascii="Arial" w:hAnsi="Arial"/>
          <w:color w:val="000000"/>
          <w:sz w:val="21"/>
          <w:szCs w:val="21"/>
        </w:rPr>
        <w:t>万平方米，同比下降</w:t>
      </w:r>
      <w:r>
        <w:rPr>
          <w:rFonts w:hint="eastAsia" w:ascii="Arial" w:hAnsi="Arial"/>
          <w:color w:val="000000"/>
          <w:sz w:val="21"/>
          <w:szCs w:val="21"/>
        </w:rPr>
        <w:t>31.3</w:t>
      </w:r>
      <w:r>
        <w:rPr>
          <w:rFonts w:ascii="Arial" w:hAnsi="Arial"/>
          <w:color w:val="000000"/>
          <w:sz w:val="21"/>
          <w:szCs w:val="21"/>
        </w:rPr>
        <w:t>%，月均成交约1</w:t>
      </w:r>
      <w:r>
        <w:rPr>
          <w:rFonts w:hint="eastAsia" w:ascii="Arial" w:hAnsi="Arial"/>
          <w:color w:val="000000"/>
          <w:sz w:val="21"/>
          <w:szCs w:val="21"/>
        </w:rPr>
        <w:t>0.14</w:t>
      </w:r>
      <w:r>
        <w:rPr>
          <w:rFonts w:ascii="Arial" w:hAnsi="Arial"/>
          <w:color w:val="000000"/>
          <w:sz w:val="21"/>
          <w:szCs w:val="21"/>
        </w:rPr>
        <w:t>万平方米，成交规模</w:t>
      </w:r>
      <w:r>
        <w:rPr>
          <w:rFonts w:hint="eastAsia" w:ascii="Arial" w:hAnsi="Arial"/>
          <w:color w:val="000000"/>
          <w:sz w:val="21"/>
          <w:szCs w:val="21"/>
        </w:rPr>
        <w:t>为近</w:t>
      </w:r>
      <w:r>
        <w:rPr>
          <w:rFonts w:ascii="Arial" w:hAnsi="Arial"/>
          <w:color w:val="000000"/>
          <w:sz w:val="21"/>
          <w:szCs w:val="21"/>
        </w:rPr>
        <w:t>年</w:t>
      </w:r>
      <w:r>
        <w:rPr>
          <w:rFonts w:hint="eastAsia" w:ascii="Arial" w:hAnsi="Arial"/>
          <w:color w:val="000000"/>
          <w:sz w:val="21"/>
          <w:szCs w:val="21"/>
        </w:rPr>
        <w:t>同期低位</w:t>
      </w:r>
      <w:r>
        <w:rPr>
          <w:rFonts w:ascii="Arial" w:hAnsi="Arial"/>
          <w:color w:val="000000"/>
          <w:sz w:val="21"/>
          <w:szCs w:val="21"/>
        </w:rPr>
        <w:t>。</w:t>
      </w:r>
      <w:r>
        <w:rPr>
          <w:rFonts w:hint="eastAsia" w:ascii="Arial" w:hAnsi="Arial"/>
          <w:color w:val="000000"/>
          <w:sz w:val="21"/>
          <w:szCs w:val="21"/>
        </w:rPr>
        <w:t>其中，密云区的绿地·朗山国际健康产业园、石景山区的首程时代中心、朝阳区的鲲意熙园等项目去化速度较快，销售面积均超8.3万平方米。</w:t>
      </w:r>
      <w:r>
        <w:rPr>
          <w:rFonts w:ascii="Arial" w:hAnsi="Arial"/>
          <w:color w:val="000000"/>
          <w:sz w:val="21"/>
          <w:szCs w:val="21"/>
        </w:rPr>
        <w:t>价格方面，2025年</w:t>
      </w:r>
      <w:r>
        <w:rPr>
          <w:rFonts w:hint="eastAsia" w:ascii="Arial" w:hAnsi="Arial"/>
          <w:color w:val="000000"/>
          <w:sz w:val="21"/>
          <w:szCs w:val="21"/>
        </w:rPr>
        <w:t>北京</w:t>
      </w:r>
      <w:r>
        <w:rPr>
          <w:rFonts w:ascii="Arial" w:hAnsi="Arial"/>
          <w:color w:val="000000"/>
          <w:sz w:val="21"/>
          <w:szCs w:val="21"/>
        </w:rPr>
        <w:t>商办产品整体成交均价为</w:t>
      </w:r>
      <w:r>
        <w:rPr>
          <w:rFonts w:hint="eastAsia" w:ascii="Arial" w:hAnsi="Arial"/>
          <w:color w:val="000000"/>
          <w:sz w:val="21"/>
          <w:szCs w:val="21"/>
        </w:rPr>
        <w:t>25071</w:t>
      </w:r>
      <w:r>
        <w:rPr>
          <w:rFonts w:ascii="Arial" w:hAnsi="Arial"/>
          <w:color w:val="000000"/>
          <w:sz w:val="21"/>
          <w:szCs w:val="21"/>
        </w:rPr>
        <w:t>元/平方米，同比</w:t>
      </w:r>
      <w:r>
        <w:rPr>
          <w:rFonts w:hint="eastAsia" w:ascii="Arial" w:hAnsi="Arial"/>
          <w:color w:val="000000"/>
          <w:sz w:val="21"/>
          <w:szCs w:val="21"/>
        </w:rPr>
        <w:t>结构性下跌9.9</w:t>
      </w:r>
      <w:r>
        <w:rPr>
          <w:rFonts w:ascii="Arial" w:hAnsi="Arial"/>
          <w:color w:val="000000"/>
          <w:sz w:val="21"/>
          <w:szCs w:val="21"/>
        </w:rPr>
        <w:t>%。供应方面，2025年北京商办类产品</w:t>
      </w:r>
      <w:r>
        <w:rPr>
          <w:rFonts w:hint="eastAsia" w:ascii="Arial" w:hAnsi="Arial"/>
          <w:color w:val="000000"/>
          <w:sz w:val="21"/>
          <w:szCs w:val="21"/>
        </w:rPr>
        <w:t>累计供应规模为132.58万平方米，同比增长85.3%</w:t>
      </w:r>
      <w:r>
        <w:rPr>
          <w:rFonts w:ascii="Arial" w:hAnsi="Arial"/>
          <w:color w:val="000000"/>
          <w:sz w:val="21"/>
          <w:szCs w:val="21"/>
        </w:rPr>
        <w:t>。</w:t>
      </w:r>
    </w:p>
    <w:p w14:paraId="3E53F834">
      <w:pPr>
        <w:widowControl/>
        <w:adjustRightInd/>
        <w:spacing w:line="480" w:lineRule="auto"/>
        <w:jc w:val="center"/>
        <w:rPr>
          <w:rFonts w:ascii="Arial" w:hAnsi="Arial"/>
          <w:color w:val="000000"/>
          <w:sz w:val="21"/>
          <w:szCs w:val="21"/>
        </w:rPr>
      </w:pPr>
      <w:r>
        <w:drawing>
          <wp:inline distT="0" distB="0" distL="0" distR="0">
            <wp:extent cx="5907405" cy="1851025"/>
            <wp:effectExtent l="0" t="0" r="0" b="0"/>
            <wp:docPr id="1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7405" cy="1851025"/>
                    </a:xfrm>
                    <a:prstGeom prst="rect">
                      <a:avLst/>
                    </a:prstGeom>
                    <a:noFill/>
                    <a:ln>
                      <a:noFill/>
                    </a:ln>
                  </pic:spPr>
                </pic:pic>
              </a:graphicData>
            </a:graphic>
          </wp:inline>
        </w:drawing>
      </w:r>
    </w:p>
    <w:p w14:paraId="27593313">
      <w:pPr>
        <w:spacing w:line="480" w:lineRule="auto"/>
        <w:ind w:firstLine="420" w:firstLineChars="200"/>
        <w:jc w:val="both"/>
        <w:rPr>
          <w:rFonts w:ascii="Arial" w:hAnsi="Arial"/>
          <w:color w:val="000000"/>
          <w:sz w:val="21"/>
          <w:szCs w:val="21"/>
        </w:rPr>
      </w:pPr>
      <w:r>
        <w:rPr>
          <w:rFonts w:hint="eastAsia" w:ascii="Arial" w:hAnsi="Arial"/>
          <w:color w:val="000000"/>
          <w:sz w:val="21"/>
          <w:szCs w:val="21"/>
        </w:rPr>
        <w:t>区域来看</w:t>
      </w:r>
      <w:r>
        <w:rPr>
          <w:rFonts w:ascii="Arial" w:hAnsi="Arial"/>
          <w:color w:val="000000"/>
          <w:sz w:val="21"/>
          <w:szCs w:val="21"/>
        </w:rPr>
        <w:t>，2025年</w:t>
      </w:r>
      <w:r>
        <w:rPr>
          <w:rFonts w:hint="eastAsia" w:ascii="Arial" w:hAnsi="Arial"/>
          <w:color w:val="000000"/>
          <w:sz w:val="21"/>
          <w:szCs w:val="21"/>
        </w:rPr>
        <w:t>，石景山、朝阳、大兴、密云商办类产品成交量相对较大，海淀、东城、通州、房山成交规模下滑幅度超5成。从成交绝对量来看，2025年，石景山、朝阳、大兴、密云商办类产品成交面积均超12万平方米，占比均超10%，其中，石景山区成交规模达16.50万平方米，占全市成交规模的14%</w:t>
      </w:r>
      <w:r>
        <w:rPr>
          <w:rFonts w:ascii="Arial" w:hAnsi="Arial"/>
          <w:color w:val="000000"/>
          <w:sz w:val="21"/>
          <w:szCs w:val="21"/>
        </w:rPr>
        <w:t>。</w:t>
      </w:r>
      <w:r>
        <w:rPr>
          <w:rFonts w:hint="eastAsia" w:ascii="Arial" w:hAnsi="Arial"/>
          <w:color w:val="000000"/>
          <w:sz w:val="21"/>
          <w:szCs w:val="21"/>
        </w:rPr>
        <w:t>从成交变化来看，远郊四区以及朝阳区商办类产品成交量同比增长，其中，绿地·朗山国际健康产业园成交带动下，密云区成交规模同比大幅增长其他区域均同比下降，其中海淀、东城、通州、房山同比缩减5成及以上。</w:t>
      </w:r>
    </w:p>
    <w:p w14:paraId="14D6BAEE">
      <w:pPr>
        <w:widowControl/>
        <w:spacing w:line="360" w:lineRule="auto"/>
        <w:jc w:val="center"/>
        <w:rPr>
          <w:rFonts w:ascii="Arial" w:hAnsi="Arial" w:eastAsia="仿宋_GB2312" w:cs="Arial"/>
          <w:bCs/>
          <w:sz w:val="28"/>
          <w:szCs w:val="28"/>
        </w:rPr>
      </w:pPr>
      <w:r>
        <w:drawing>
          <wp:inline distT="0" distB="0" distL="0" distR="0">
            <wp:extent cx="5901690" cy="2440305"/>
            <wp:effectExtent l="0" t="0" r="0" b="0"/>
            <wp:docPr id="1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1690" cy="2440305"/>
                    </a:xfrm>
                    <a:prstGeom prst="rect">
                      <a:avLst/>
                    </a:prstGeom>
                    <a:noFill/>
                    <a:ln>
                      <a:noFill/>
                    </a:ln>
                  </pic:spPr>
                </pic:pic>
              </a:graphicData>
            </a:graphic>
          </wp:inline>
        </w:drawing>
      </w:r>
    </w:p>
    <w:p w14:paraId="0C3F6130">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25年年办公用房销售排名</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1"/>
        <w:gridCol w:w="852"/>
        <w:gridCol w:w="1417"/>
        <w:gridCol w:w="1270"/>
        <w:gridCol w:w="1412"/>
        <w:gridCol w:w="1267"/>
        <w:gridCol w:w="1380"/>
      </w:tblGrid>
      <w:tr w14:paraId="270B450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2135" w:type="pct"/>
            <w:gridSpan w:val="3"/>
            <w:tcBorders>
              <w:top w:val="single" w:color="404040" w:sz="2" w:space="0"/>
              <w:left w:val="single" w:color="404040" w:sz="2" w:space="0"/>
              <w:bottom w:val="single" w:color="404040" w:sz="2" w:space="0"/>
              <w:right w:val="double" w:color="404040" w:sz="2" w:space="0"/>
            </w:tcBorders>
            <w:noWrap/>
            <w:vAlign w:val="center"/>
          </w:tcPr>
          <w:p w14:paraId="1A1E7DBA">
            <w:pPr>
              <w:widowControl/>
              <w:adjustRightInd/>
              <w:spacing w:line="240" w:lineRule="exact"/>
              <w:rPr>
                <w:rFonts w:ascii="Arial" w:hAnsi="Arial" w:eastAsia="华文细黑" w:cs="宋体"/>
                <w:b/>
                <w:sz w:val="18"/>
              </w:rPr>
            </w:pPr>
            <w:r>
              <w:rPr>
                <w:rFonts w:hint="eastAsia" w:ascii="Arial" w:hAnsi="Arial" w:eastAsia="华文细黑" w:cs="宋体"/>
                <w:b/>
                <w:sz w:val="18"/>
              </w:rPr>
              <w:t>项目排名（前十名）</w:t>
            </w:r>
          </w:p>
        </w:tc>
        <w:tc>
          <w:tcPr>
            <w:tcW w:w="1442" w:type="pct"/>
            <w:gridSpan w:val="2"/>
            <w:tcBorders>
              <w:top w:val="single" w:color="404040" w:sz="2" w:space="0"/>
              <w:left w:val="double" w:color="404040" w:sz="2" w:space="0"/>
              <w:bottom w:val="single" w:color="404040" w:sz="2" w:space="0"/>
              <w:right w:val="double" w:color="auto" w:sz="4" w:space="0"/>
            </w:tcBorders>
            <w:noWrap/>
            <w:vAlign w:val="center"/>
          </w:tcPr>
          <w:p w14:paraId="5344CD52">
            <w:pPr>
              <w:widowControl/>
              <w:adjustRightInd/>
              <w:spacing w:line="240" w:lineRule="exact"/>
              <w:rPr>
                <w:rFonts w:ascii="Arial" w:hAnsi="Arial" w:eastAsia="华文细黑" w:cs="宋体"/>
                <w:b/>
                <w:sz w:val="18"/>
              </w:rPr>
            </w:pPr>
            <w:r>
              <w:rPr>
                <w:rFonts w:hint="eastAsia" w:ascii="Arial" w:hAnsi="Arial" w:eastAsia="华文细黑" w:cs="宋体"/>
                <w:b/>
                <w:sz w:val="18"/>
              </w:rPr>
              <w:t>区域排名</w:t>
            </w:r>
          </w:p>
        </w:tc>
        <w:tc>
          <w:tcPr>
            <w:tcW w:w="1423" w:type="pct"/>
            <w:gridSpan w:val="2"/>
            <w:tcBorders>
              <w:top w:val="single" w:color="404040" w:sz="2" w:space="0"/>
              <w:left w:val="double" w:color="auto" w:sz="4" w:space="0"/>
              <w:bottom w:val="single" w:color="404040" w:sz="2" w:space="0"/>
              <w:right w:val="single" w:color="404040" w:sz="2" w:space="0"/>
            </w:tcBorders>
            <w:noWrap/>
            <w:vAlign w:val="center"/>
          </w:tcPr>
          <w:p w14:paraId="09458D6F">
            <w:pPr>
              <w:widowControl/>
              <w:adjustRightInd/>
              <w:spacing w:line="240" w:lineRule="exact"/>
              <w:rPr>
                <w:rFonts w:ascii="Arial" w:hAnsi="Arial" w:eastAsia="华文细黑" w:cs="宋体"/>
                <w:b/>
                <w:sz w:val="18"/>
              </w:rPr>
            </w:pPr>
            <w:r>
              <w:rPr>
                <w:rFonts w:hint="eastAsia" w:ascii="Arial" w:hAnsi="Arial" w:eastAsia="华文细黑" w:cs="宋体"/>
                <w:b/>
                <w:sz w:val="18"/>
              </w:rPr>
              <w:t>环线排名</w:t>
            </w:r>
          </w:p>
        </w:tc>
      </w:tr>
      <w:tr w14:paraId="6144CCD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15B794FA">
            <w:pPr>
              <w:widowControl/>
              <w:adjustRightInd/>
              <w:spacing w:line="240" w:lineRule="exact"/>
              <w:jc w:val="both"/>
              <w:rPr>
                <w:rFonts w:ascii="Arial" w:hAnsi="Arial" w:eastAsia="华文细黑" w:cs="宋体"/>
                <w:sz w:val="18"/>
              </w:rPr>
            </w:pPr>
            <w:r>
              <w:rPr>
                <w:rFonts w:hint="eastAsia" w:ascii="Arial" w:hAnsi="Arial" w:eastAsia="华文细黑" w:cs="宋体"/>
                <w:sz w:val="18"/>
              </w:rPr>
              <w:t>项目名称</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5189FD31">
            <w:pPr>
              <w:widowControl/>
              <w:adjustRightInd/>
              <w:spacing w:line="240" w:lineRule="exact"/>
              <w:jc w:val="both"/>
              <w:rPr>
                <w:rFonts w:ascii="Arial" w:hAnsi="Arial" w:eastAsia="华文细黑" w:cs="宋体"/>
                <w:sz w:val="18"/>
              </w:rPr>
            </w:pPr>
            <w:r>
              <w:rPr>
                <w:rFonts w:hint="eastAsia" w:ascii="Arial" w:hAnsi="Arial" w:eastAsia="华文细黑" w:cs="宋体"/>
                <w:sz w:val="18"/>
              </w:rPr>
              <w:t>区县</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77811354">
            <w:pPr>
              <w:widowControl/>
              <w:adjustRightInd/>
              <w:spacing w:line="240" w:lineRule="exact"/>
              <w:jc w:val="both"/>
              <w:rPr>
                <w:rFonts w:ascii="Arial" w:hAnsi="Arial" w:eastAsia="华文细黑" w:cs="宋体"/>
                <w:sz w:val="18"/>
              </w:rPr>
            </w:pPr>
            <w:r>
              <w:fldChar w:fldCharType="begin"/>
            </w:r>
            <w:r>
              <w:instrText xml:space="preserve"> HYPERLINK "javascript:" </w:instrText>
            </w:r>
            <w:r>
              <w:fldChar w:fldCharType="separate"/>
            </w:r>
            <w:r>
              <w:rPr>
                <w:rFonts w:hint="eastAsia" w:ascii="Arial" w:hAnsi="Arial" w:eastAsia="华文细黑" w:cs="宋体"/>
                <w:sz w:val="18"/>
              </w:rPr>
              <w:t>成交均价(元/㎡)</w:t>
            </w:r>
            <w:r>
              <w:rPr>
                <w:rFonts w:hint="eastAsia" w:ascii="Arial" w:hAnsi="Arial" w:eastAsia="华文细黑" w:cs="宋体"/>
                <w:sz w:val="18"/>
              </w:rPr>
              <w:fldChar w:fldCharType="end"/>
            </w:r>
          </w:p>
        </w:tc>
        <w:tc>
          <w:tcPr>
            <w:tcW w:w="683" w:type="pct"/>
            <w:tcBorders>
              <w:top w:val="single" w:color="404040" w:sz="2" w:space="0"/>
              <w:left w:val="double" w:color="404040" w:sz="2" w:space="0"/>
              <w:bottom w:val="single" w:color="404040" w:sz="2" w:space="0"/>
              <w:right w:val="single" w:color="404040" w:sz="2" w:space="0"/>
            </w:tcBorders>
            <w:noWrap/>
            <w:vAlign w:val="bottom"/>
          </w:tcPr>
          <w:p w14:paraId="6D0B4974">
            <w:pPr>
              <w:widowControl/>
              <w:adjustRightInd/>
              <w:spacing w:line="240" w:lineRule="exact"/>
              <w:jc w:val="both"/>
              <w:rPr>
                <w:rFonts w:ascii="Arial" w:hAnsi="Arial" w:eastAsia="华文细黑" w:cs="宋体"/>
                <w:sz w:val="18"/>
              </w:rPr>
            </w:pPr>
            <w:r>
              <w:rPr>
                <w:rFonts w:hint="eastAsia" w:ascii="Arial" w:hAnsi="Arial" w:eastAsia="华文细黑" w:cs="宋体"/>
                <w:sz w:val="18"/>
              </w:rPr>
              <w:t>区域名称</w:t>
            </w:r>
          </w:p>
        </w:tc>
        <w:tc>
          <w:tcPr>
            <w:tcW w:w="759" w:type="pct"/>
            <w:tcBorders>
              <w:top w:val="single" w:color="404040" w:sz="2" w:space="0"/>
              <w:left w:val="single" w:color="404040" w:sz="2" w:space="0"/>
              <w:bottom w:val="single" w:color="404040" w:sz="2" w:space="0"/>
              <w:right w:val="double" w:color="auto" w:sz="4" w:space="0"/>
            </w:tcBorders>
            <w:noWrap/>
            <w:vAlign w:val="bottom"/>
          </w:tcPr>
          <w:p w14:paraId="5DEAD5DB">
            <w:pPr>
              <w:widowControl/>
              <w:adjustRightInd/>
              <w:spacing w:line="240" w:lineRule="exact"/>
              <w:jc w:val="both"/>
              <w:rPr>
                <w:rFonts w:ascii="Arial" w:hAnsi="Arial" w:eastAsia="华文细黑" w:cs="宋体"/>
                <w:sz w:val="18"/>
              </w:rPr>
            </w:pPr>
            <w:r>
              <w:rPr>
                <w:rFonts w:hint="eastAsia" w:ascii="Arial" w:hAnsi="Arial" w:eastAsia="华文细黑" w:cs="宋体"/>
                <w:sz w:val="18"/>
              </w:rPr>
              <w:t>成交均价(元/㎡)</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2C97A3B4">
            <w:pPr>
              <w:widowControl/>
              <w:adjustRightInd/>
              <w:spacing w:line="240" w:lineRule="exact"/>
              <w:rPr>
                <w:rFonts w:ascii="Arial" w:hAnsi="Arial" w:eastAsia="华文细黑" w:cs="宋体"/>
                <w:sz w:val="18"/>
              </w:rPr>
            </w:pPr>
            <w:r>
              <w:rPr>
                <w:rFonts w:hint="eastAsia" w:ascii="Arial" w:hAnsi="Arial" w:eastAsia="华文细黑" w:cs="宋体"/>
                <w:sz w:val="18"/>
              </w:rPr>
              <w:t>环线名称</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68A7274D">
            <w:pPr>
              <w:widowControl/>
              <w:adjustRightInd/>
              <w:spacing w:line="240" w:lineRule="exact"/>
              <w:rPr>
                <w:rFonts w:ascii="Arial" w:hAnsi="Arial" w:eastAsia="华文细黑" w:cs="宋体"/>
                <w:sz w:val="18"/>
              </w:rPr>
            </w:pP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p>
        </w:tc>
      </w:tr>
      <w:tr w14:paraId="705D258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4CC77E7E">
            <w:pPr>
              <w:widowControl/>
              <w:adjustRightInd/>
              <w:spacing w:line="240" w:lineRule="exact"/>
              <w:jc w:val="both"/>
              <w:rPr>
                <w:rFonts w:ascii="Arial" w:hAnsi="Arial" w:eastAsia="华文细黑" w:cs="宋体"/>
                <w:sz w:val="18"/>
              </w:rPr>
            </w:pPr>
            <w:r>
              <w:rPr>
                <w:rFonts w:hint="eastAsia" w:ascii="Arial" w:hAnsi="Arial" w:eastAsia="华文细黑" w:cs="宋体"/>
                <w:sz w:val="18"/>
              </w:rPr>
              <w:t>王府77</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6C00B9C9">
            <w:pPr>
              <w:widowControl/>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22AF2801">
            <w:pPr>
              <w:widowControl/>
              <w:adjustRightInd/>
              <w:spacing w:line="240" w:lineRule="exact"/>
              <w:rPr>
                <w:rFonts w:ascii="Arial" w:hAnsi="Arial" w:eastAsia="华文细黑" w:cs="宋体"/>
                <w:sz w:val="18"/>
              </w:rPr>
            </w:pPr>
            <w:r>
              <w:rPr>
                <w:rFonts w:hint="eastAsia" w:ascii="Arial" w:hAnsi="Arial" w:eastAsia="华文细黑" w:cs="宋体"/>
                <w:sz w:val="18"/>
              </w:rPr>
              <w:t xml:space="preserve">80000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60C9DA8A">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461DA497">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75803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6A3FFBBC">
            <w:pPr>
              <w:widowControl/>
              <w:adjustRightInd/>
              <w:spacing w:line="240" w:lineRule="exact"/>
              <w:jc w:val="both"/>
              <w:rPr>
                <w:rFonts w:ascii="Arial" w:hAnsi="Arial" w:eastAsia="华文细黑" w:cs="宋体"/>
                <w:sz w:val="18"/>
              </w:rPr>
            </w:pPr>
            <w:r>
              <w:rPr>
                <w:rFonts w:hint="eastAsia" w:ascii="Arial" w:hAnsi="Arial" w:eastAsia="华文细黑" w:cs="宋体"/>
                <w:sz w:val="18"/>
              </w:rPr>
              <w:t>二环内</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75100DE4">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76487 </w:t>
            </w:r>
          </w:p>
        </w:tc>
      </w:tr>
      <w:tr w14:paraId="023AEB4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3491F6D9">
            <w:pPr>
              <w:widowControl/>
              <w:adjustRightInd/>
              <w:spacing w:line="240" w:lineRule="exact"/>
              <w:jc w:val="both"/>
              <w:rPr>
                <w:rFonts w:ascii="Arial" w:hAnsi="Arial" w:eastAsia="华文细黑" w:cs="宋体"/>
                <w:sz w:val="18"/>
              </w:rPr>
            </w:pPr>
            <w:r>
              <w:rPr>
                <w:rFonts w:hint="eastAsia" w:ascii="Arial" w:hAnsi="Arial" w:eastAsia="华文细黑" w:cs="宋体"/>
                <w:sz w:val="18"/>
              </w:rPr>
              <w:t>中海金融中心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6A8B50E0">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76EF261F">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77000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1BAB7090">
            <w:pPr>
              <w:widowControl/>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6D34DA81">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54205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48B60E40">
            <w:pPr>
              <w:widowControl/>
              <w:adjustRightInd/>
              <w:spacing w:line="240" w:lineRule="exact"/>
              <w:jc w:val="both"/>
              <w:rPr>
                <w:rFonts w:ascii="Arial" w:hAnsi="Arial" w:eastAsia="华文细黑" w:cs="宋体"/>
                <w:sz w:val="18"/>
              </w:rPr>
            </w:pPr>
            <w:r>
              <w:rPr>
                <w:rFonts w:hint="eastAsia" w:ascii="Arial" w:hAnsi="Arial" w:eastAsia="华文细黑" w:cs="宋体"/>
                <w:sz w:val="18"/>
              </w:rPr>
              <w:t>二至三环间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58E00299">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36769 </w:t>
            </w:r>
          </w:p>
        </w:tc>
      </w:tr>
      <w:tr w14:paraId="318C2CA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7EF5DE9E">
            <w:pPr>
              <w:widowControl/>
              <w:adjustRightInd/>
              <w:spacing w:line="240" w:lineRule="exact"/>
              <w:jc w:val="both"/>
              <w:rPr>
                <w:rFonts w:ascii="Arial" w:hAnsi="Arial" w:eastAsia="华文细黑" w:cs="宋体"/>
                <w:sz w:val="18"/>
              </w:rPr>
            </w:pPr>
            <w:r>
              <w:rPr>
                <w:rFonts w:hint="eastAsia" w:ascii="Arial" w:hAnsi="Arial" w:eastAsia="华文细黑" w:cs="宋体"/>
                <w:sz w:val="18"/>
              </w:rPr>
              <w:t>金融街中心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1235F2B9">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44CF3293">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61460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6333C307">
            <w:pPr>
              <w:widowControl/>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2F3E6E77">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33818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171DC0A6">
            <w:pPr>
              <w:widowControl/>
              <w:adjustRightInd/>
              <w:spacing w:line="240" w:lineRule="exact"/>
              <w:jc w:val="both"/>
              <w:rPr>
                <w:rFonts w:ascii="Arial" w:hAnsi="Arial" w:eastAsia="华文细黑" w:cs="宋体"/>
                <w:sz w:val="18"/>
              </w:rPr>
            </w:pPr>
            <w:r>
              <w:rPr>
                <w:rFonts w:hint="eastAsia" w:ascii="Arial" w:hAnsi="Arial" w:eastAsia="华文细黑" w:cs="宋体"/>
                <w:sz w:val="18"/>
              </w:rPr>
              <w:t>四至五环间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38061065">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29607 </w:t>
            </w:r>
          </w:p>
        </w:tc>
      </w:tr>
      <w:tr w14:paraId="1ED6FDF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3EB3CD4F">
            <w:pPr>
              <w:widowControl/>
              <w:adjustRightInd/>
              <w:spacing w:line="240" w:lineRule="exact"/>
              <w:jc w:val="both"/>
              <w:rPr>
                <w:rFonts w:ascii="Arial" w:hAnsi="Arial" w:eastAsia="华文细黑" w:cs="宋体"/>
                <w:sz w:val="18"/>
              </w:rPr>
            </w:pPr>
            <w:r>
              <w:rPr>
                <w:rFonts w:hint="eastAsia" w:ascii="Arial" w:hAnsi="Arial" w:eastAsia="华文细黑" w:cs="宋体"/>
                <w:sz w:val="18"/>
              </w:rPr>
              <w:t>长安源</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11A4EBE9">
            <w:pPr>
              <w:widowControl/>
              <w:adjustRightInd/>
              <w:spacing w:line="240" w:lineRule="exact"/>
              <w:jc w:val="both"/>
              <w:rPr>
                <w:rFonts w:ascii="Arial" w:hAnsi="Arial" w:eastAsia="华文细黑" w:cs="宋体"/>
                <w:sz w:val="18"/>
              </w:rPr>
            </w:pPr>
            <w:r>
              <w:rPr>
                <w:rFonts w:hint="eastAsia" w:ascii="Arial" w:hAnsi="Arial" w:eastAsia="华文细黑" w:cs="宋体"/>
                <w:sz w:val="18"/>
              </w:rPr>
              <w:t>通州区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7B0583AA">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52627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11487E8">
            <w:pPr>
              <w:widowControl/>
              <w:adjustRightInd/>
              <w:spacing w:line="240" w:lineRule="exact"/>
              <w:jc w:val="both"/>
              <w:rPr>
                <w:rFonts w:ascii="Arial" w:hAnsi="Arial" w:eastAsia="华文细黑" w:cs="宋体"/>
                <w:sz w:val="18"/>
              </w:rPr>
            </w:pPr>
            <w:r>
              <w:rPr>
                <w:rFonts w:hint="eastAsia" w:ascii="Arial" w:hAnsi="Arial" w:eastAsia="华文细黑" w:cs="宋体"/>
                <w:sz w:val="18"/>
              </w:rPr>
              <w:t>石景山区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10856785">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26187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51441387">
            <w:pPr>
              <w:widowControl/>
              <w:adjustRightInd/>
              <w:spacing w:line="240" w:lineRule="exact"/>
              <w:jc w:val="both"/>
              <w:rPr>
                <w:rFonts w:ascii="Arial" w:hAnsi="Arial" w:eastAsia="华文细黑" w:cs="宋体"/>
                <w:sz w:val="18"/>
              </w:rPr>
            </w:pPr>
            <w:r>
              <w:rPr>
                <w:rFonts w:hint="eastAsia" w:ascii="Arial" w:hAnsi="Arial" w:eastAsia="华文细黑" w:cs="宋体"/>
                <w:sz w:val="18"/>
              </w:rPr>
              <w:t>三至四环间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6C7722CC">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26325 </w:t>
            </w:r>
          </w:p>
        </w:tc>
      </w:tr>
      <w:tr w14:paraId="545745F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427E4A50">
            <w:pPr>
              <w:widowControl/>
              <w:adjustRightInd/>
              <w:spacing w:line="240" w:lineRule="exact"/>
              <w:jc w:val="both"/>
              <w:rPr>
                <w:rFonts w:ascii="Arial" w:hAnsi="Arial" w:eastAsia="华文细黑" w:cs="宋体"/>
                <w:sz w:val="18"/>
              </w:rPr>
            </w:pPr>
            <w:r>
              <w:rPr>
                <w:rFonts w:hint="eastAsia" w:ascii="Arial" w:hAnsi="Arial" w:eastAsia="华文细黑" w:cs="宋体"/>
                <w:sz w:val="18"/>
              </w:rPr>
              <w:t>北京城建·天坛府</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5CDB4B84">
            <w:pPr>
              <w:widowControl/>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59016721">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50000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3EDD62FD">
            <w:pPr>
              <w:widowControl/>
              <w:adjustRightInd/>
              <w:spacing w:line="240" w:lineRule="exact"/>
              <w:jc w:val="both"/>
              <w:rPr>
                <w:rFonts w:ascii="Arial" w:hAnsi="Arial" w:eastAsia="华文细黑" w:cs="宋体"/>
                <w:sz w:val="18"/>
              </w:rPr>
            </w:pPr>
            <w:r>
              <w:rPr>
                <w:rFonts w:hint="eastAsia" w:ascii="Arial" w:hAnsi="Arial" w:eastAsia="华文细黑" w:cs="宋体"/>
                <w:sz w:val="18"/>
              </w:rPr>
              <w:t>平谷区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00186E12">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22652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0D0D7FA9">
            <w:pPr>
              <w:widowControl/>
              <w:adjustRightInd/>
              <w:spacing w:line="240" w:lineRule="exact"/>
              <w:jc w:val="both"/>
              <w:rPr>
                <w:rFonts w:ascii="Arial" w:hAnsi="Arial" w:eastAsia="华文细黑" w:cs="宋体"/>
                <w:sz w:val="18"/>
              </w:rPr>
            </w:pPr>
            <w:r>
              <w:rPr>
                <w:rFonts w:hint="eastAsia" w:ascii="Arial" w:hAnsi="Arial" w:eastAsia="华文细黑" w:cs="宋体"/>
                <w:sz w:val="18"/>
              </w:rPr>
              <w:t>五至六环间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5F56FD1F">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20729 </w:t>
            </w:r>
          </w:p>
        </w:tc>
      </w:tr>
      <w:tr w14:paraId="7026ED8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3559E3A5">
            <w:pPr>
              <w:widowControl/>
              <w:adjustRightInd/>
              <w:spacing w:line="240" w:lineRule="exact"/>
              <w:jc w:val="both"/>
              <w:rPr>
                <w:rFonts w:ascii="Arial" w:hAnsi="Arial" w:eastAsia="华文细黑" w:cs="宋体"/>
                <w:sz w:val="18"/>
              </w:rPr>
            </w:pPr>
            <w:r>
              <w:rPr>
                <w:rFonts w:hint="eastAsia" w:ascii="Arial" w:hAnsi="Arial" w:eastAsia="华文细黑" w:cs="宋体"/>
                <w:sz w:val="18"/>
              </w:rPr>
              <w:t>北京三统碑综合大厦</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5C838677">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57299513">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49143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68BC7C91">
            <w:pPr>
              <w:widowControl/>
              <w:adjustRightInd/>
              <w:spacing w:line="240" w:lineRule="exact"/>
              <w:jc w:val="both"/>
              <w:rPr>
                <w:rFonts w:ascii="Arial" w:hAnsi="Arial" w:eastAsia="华文细黑" w:cs="宋体"/>
                <w:sz w:val="18"/>
              </w:rPr>
            </w:pPr>
            <w:r>
              <w:rPr>
                <w:rFonts w:hint="eastAsia" w:ascii="Arial" w:hAnsi="Arial" w:eastAsia="华文细黑" w:cs="宋体"/>
                <w:sz w:val="18"/>
              </w:rPr>
              <w:t>门头沟区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3F57C510">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19326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5DC098E2">
            <w:pPr>
              <w:widowControl/>
              <w:adjustRightInd/>
              <w:spacing w:line="240" w:lineRule="exact"/>
              <w:jc w:val="both"/>
              <w:rPr>
                <w:rFonts w:ascii="Arial" w:hAnsi="Arial" w:eastAsia="华文细黑" w:cs="宋体"/>
                <w:sz w:val="18"/>
              </w:rPr>
            </w:pPr>
            <w:r>
              <w:rPr>
                <w:rFonts w:hint="eastAsia" w:ascii="Arial" w:hAnsi="Arial" w:eastAsia="华文细黑" w:cs="宋体"/>
                <w:sz w:val="18"/>
              </w:rPr>
              <w:t>六环外</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48EAF08B">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15348 </w:t>
            </w:r>
          </w:p>
        </w:tc>
      </w:tr>
      <w:tr w14:paraId="5102AA7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772147D5">
            <w:pPr>
              <w:widowControl/>
              <w:adjustRightInd/>
              <w:spacing w:line="240" w:lineRule="exact"/>
              <w:jc w:val="both"/>
              <w:rPr>
                <w:rFonts w:ascii="Arial" w:hAnsi="Arial" w:eastAsia="华文细黑" w:cs="宋体"/>
                <w:sz w:val="18"/>
              </w:rPr>
            </w:pPr>
            <w:r>
              <w:rPr>
                <w:rFonts w:hint="eastAsia" w:ascii="Arial" w:hAnsi="Arial" w:eastAsia="华文细黑" w:cs="宋体"/>
                <w:sz w:val="18"/>
              </w:rPr>
              <w:t>首创中心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46A1B5E9">
            <w:pPr>
              <w:widowControl/>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7D02B8DA">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46800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5B34485">
            <w:pPr>
              <w:widowControl/>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277D7B7A">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18390 </w:t>
            </w:r>
          </w:p>
        </w:tc>
        <w:tc>
          <w:tcPr>
            <w:tcW w:w="1423" w:type="pct"/>
            <w:gridSpan w:val="2"/>
            <w:vMerge w:val="restart"/>
            <w:tcBorders>
              <w:top w:val="single" w:color="404040" w:sz="2" w:space="0"/>
              <w:left w:val="double" w:color="auto" w:sz="4" w:space="0"/>
              <w:right w:val="single" w:color="404040" w:sz="2" w:space="0"/>
              <w:tr2bl w:val="single" w:color="auto" w:sz="4" w:space="0"/>
            </w:tcBorders>
            <w:noWrap/>
            <w:vAlign w:val="center"/>
          </w:tcPr>
          <w:p w14:paraId="21F97650">
            <w:pPr>
              <w:widowControl/>
              <w:adjustRightInd/>
              <w:spacing w:line="240" w:lineRule="exact"/>
              <w:jc w:val="both"/>
              <w:rPr>
                <w:rFonts w:ascii="Arial" w:hAnsi="Arial" w:eastAsia="华文细黑" w:cs="宋体"/>
                <w:sz w:val="18"/>
              </w:rPr>
            </w:pPr>
          </w:p>
        </w:tc>
      </w:tr>
      <w:tr w14:paraId="0B4AD39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01C6F0AC">
            <w:pPr>
              <w:widowControl/>
              <w:adjustRightInd/>
              <w:spacing w:line="240" w:lineRule="exact"/>
              <w:jc w:val="both"/>
              <w:rPr>
                <w:rFonts w:ascii="Arial" w:hAnsi="Arial" w:eastAsia="华文细黑" w:cs="宋体"/>
                <w:sz w:val="18"/>
              </w:rPr>
            </w:pPr>
            <w:r>
              <w:rPr>
                <w:rFonts w:hint="eastAsia" w:ascii="Arial" w:hAnsi="Arial" w:eastAsia="华文细黑" w:cs="宋体"/>
                <w:sz w:val="18"/>
              </w:rPr>
              <w:t>首开龙湖天琅</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0306AC98">
            <w:pPr>
              <w:widowControl/>
              <w:adjustRightInd/>
              <w:spacing w:line="240" w:lineRule="exact"/>
              <w:jc w:val="both"/>
              <w:rPr>
                <w:rFonts w:ascii="Arial" w:hAnsi="Arial" w:eastAsia="华文细黑" w:cs="宋体"/>
                <w:sz w:val="18"/>
              </w:rPr>
            </w:pPr>
            <w:r>
              <w:rPr>
                <w:rFonts w:hint="eastAsia" w:ascii="Arial" w:hAnsi="Arial" w:eastAsia="华文细黑" w:cs="宋体"/>
                <w:sz w:val="18"/>
              </w:rPr>
              <w:t>大兴区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3F6194C6">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41260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0228AF98">
            <w:pPr>
              <w:widowControl/>
              <w:adjustRightInd/>
              <w:spacing w:line="240" w:lineRule="exact"/>
              <w:jc w:val="both"/>
              <w:rPr>
                <w:rFonts w:ascii="Arial" w:hAnsi="Arial" w:eastAsia="华文细黑" w:cs="宋体"/>
                <w:sz w:val="18"/>
              </w:rPr>
            </w:pPr>
            <w:r>
              <w:rPr>
                <w:rFonts w:hint="eastAsia" w:ascii="Arial" w:hAnsi="Arial" w:eastAsia="华文细黑" w:cs="宋体"/>
                <w:sz w:val="18"/>
              </w:rPr>
              <w:t>大兴区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60394BAA">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17096 </w:t>
            </w:r>
          </w:p>
        </w:tc>
        <w:tc>
          <w:tcPr>
            <w:tcW w:w="1423" w:type="pct"/>
            <w:gridSpan w:val="2"/>
            <w:vMerge w:val="continue"/>
            <w:tcBorders>
              <w:left w:val="double" w:color="auto" w:sz="4" w:space="0"/>
              <w:right w:val="single" w:color="404040" w:sz="2" w:space="0"/>
              <w:tr2bl w:val="single" w:color="auto" w:sz="4" w:space="0"/>
            </w:tcBorders>
            <w:noWrap/>
            <w:vAlign w:val="center"/>
          </w:tcPr>
          <w:p w14:paraId="73C607B1">
            <w:pPr>
              <w:widowControl/>
              <w:adjustRightInd/>
              <w:spacing w:line="240" w:lineRule="exact"/>
              <w:jc w:val="both"/>
              <w:rPr>
                <w:rFonts w:ascii="Arial" w:hAnsi="Arial" w:eastAsia="华文细黑" w:cs="宋体"/>
                <w:sz w:val="18"/>
              </w:rPr>
            </w:pPr>
          </w:p>
        </w:tc>
      </w:tr>
      <w:tr w14:paraId="3706B15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5CDD9C6F">
            <w:pPr>
              <w:widowControl/>
              <w:adjustRightInd/>
              <w:spacing w:line="240" w:lineRule="exact"/>
              <w:jc w:val="both"/>
              <w:rPr>
                <w:rFonts w:ascii="Arial" w:hAnsi="Arial" w:eastAsia="华文细黑" w:cs="宋体"/>
                <w:sz w:val="18"/>
              </w:rPr>
            </w:pPr>
            <w:r>
              <w:rPr>
                <w:rFonts w:hint="eastAsia" w:ascii="Arial" w:hAnsi="Arial" w:eastAsia="华文细黑" w:cs="宋体"/>
                <w:sz w:val="18"/>
              </w:rPr>
              <w:t>北京悦府</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61D1D5A2">
            <w:pPr>
              <w:widowControl/>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621ADF93">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40019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3FF44B43">
            <w:pPr>
              <w:widowControl/>
              <w:adjustRightInd/>
              <w:spacing w:line="240" w:lineRule="exact"/>
              <w:jc w:val="both"/>
              <w:rPr>
                <w:rFonts w:ascii="Arial" w:hAnsi="Arial" w:eastAsia="华文细黑" w:cs="宋体"/>
                <w:sz w:val="18"/>
              </w:rPr>
            </w:pPr>
            <w:r>
              <w:rPr>
                <w:rFonts w:hint="eastAsia" w:ascii="Arial" w:hAnsi="Arial" w:eastAsia="华文细黑" w:cs="宋体"/>
                <w:sz w:val="18"/>
              </w:rPr>
              <w:t>通州区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5EDA7547">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16668 </w:t>
            </w:r>
          </w:p>
        </w:tc>
        <w:tc>
          <w:tcPr>
            <w:tcW w:w="1423" w:type="pct"/>
            <w:gridSpan w:val="2"/>
            <w:vMerge w:val="continue"/>
            <w:tcBorders>
              <w:left w:val="double" w:color="auto" w:sz="4" w:space="0"/>
              <w:right w:val="single" w:color="404040" w:sz="2" w:space="0"/>
              <w:tr2bl w:val="single" w:color="auto" w:sz="4" w:space="0"/>
            </w:tcBorders>
            <w:noWrap/>
            <w:vAlign w:val="center"/>
          </w:tcPr>
          <w:p w14:paraId="5ED3D16E">
            <w:pPr>
              <w:widowControl/>
              <w:adjustRightInd/>
              <w:spacing w:line="240" w:lineRule="exact"/>
              <w:jc w:val="both"/>
              <w:rPr>
                <w:rFonts w:ascii="Arial" w:hAnsi="Arial" w:eastAsia="华文细黑" w:cs="宋体"/>
                <w:sz w:val="18"/>
              </w:rPr>
            </w:pPr>
          </w:p>
        </w:tc>
      </w:tr>
      <w:tr w14:paraId="030C790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4AE5B7B1">
            <w:pPr>
              <w:widowControl/>
              <w:adjustRightInd/>
              <w:spacing w:line="240" w:lineRule="exact"/>
              <w:jc w:val="both"/>
              <w:rPr>
                <w:rFonts w:ascii="Arial" w:hAnsi="Arial" w:eastAsia="华文细黑" w:cs="宋体"/>
                <w:sz w:val="18"/>
              </w:rPr>
            </w:pPr>
            <w:r>
              <w:rPr>
                <w:rFonts w:hint="eastAsia" w:ascii="Arial" w:hAnsi="Arial" w:eastAsia="华文细黑" w:cs="宋体"/>
                <w:sz w:val="18"/>
              </w:rPr>
              <w:t>北京绿地中心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388C5C19">
            <w:pPr>
              <w:widowControl/>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550264F5">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39872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95FBC74">
            <w:pPr>
              <w:widowControl/>
              <w:adjustRightInd/>
              <w:spacing w:line="240" w:lineRule="exact"/>
              <w:jc w:val="both"/>
              <w:rPr>
                <w:rFonts w:ascii="Arial" w:hAnsi="Arial" w:eastAsia="华文细黑" w:cs="宋体"/>
                <w:sz w:val="18"/>
              </w:rPr>
            </w:pPr>
            <w:r>
              <w:rPr>
                <w:rFonts w:hint="eastAsia" w:ascii="Arial" w:hAnsi="Arial" w:eastAsia="华文细黑" w:cs="宋体"/>
                <w:sz w:val="18"/>
              </w:rPr>
              <w:t>密云区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463172E0">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15743 </w:t>
            </w:r>
          </w:p>
        </w:tc>
        <w:tc>
          <w:tcPr>
            <w:tcW w:w="1423" w:type="pct"/>
            <w:gridSpan w:val="2"/>
            <w:vMerge w:val="continue"/>
            <w:tcBorders>
              <w:left w:val="double" w:color="auto" w:sz="4" w:space="0"/>
              <w:right w:val="single" w:color="404040" w:sz="2" w:space="0"/>
              <w:tr2bl w:val="single" w:color="auto" w:sz="4" w:space="0"/>
            </w:tcBorders>
            <w:noWrap/>
            <w:vAlign w:val="center"/>
          </w:tcPr>
          <w:p w14:paraId="104C0664">
            <w:pPr>
              <w:widowControl/>
              <w:adjustRightInd/>
              <w:spacing w:line="240" w:lineRule="exact"/>
              <w:jc w:val="both"/>
              <w:rPr>
                <w:rFonts w:ascii="Arial" w:hAnsi="Arial" w:eastAsia="华文细黑" w:cs="宋体"/>
                <w:sz w:val="18"/>
              </w:rPr>
            </w:pPr>
          </w:p>
        </w:tc>
      </w:tr>
      <w:tr w14:paraId="4D12AB9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restart"/>
            <w:tcBorders>
              <w:top w:val="single" w:color="404040" w:sz="2" w:space="0"/>
              <w:left w:val="single" w:color="404040" w:sz="2" w:space="0"/>
              <w:right w:val="double" w:color="404040" w:sz="2" w:space="0"/>
              <w:tr2bl w:val="single" w:color="404040" w:sz="2" w:space="0"/>
            </w:tcBorders>
            <w:noWrap/>
            <w:vAlign w:val="center"/>
          </w:tcPr>
          <w:p w14:paraId="315BB0E7">
            <w:pPr>
              <w:spacing w:line="240" w:lineRule="exact"/>
              <w:jc w:val="both"/>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7AED183C">
            <w:pPr>
              <w:widowControl/>
              <w:adjustRightInd/>
              <w:spacing w:line="240" w:lineRule="exact"/>
              <w:jc w:val="both"/>
              <w:rPr>
                <w:rFonts w:ascii="Arial" w:hAnsi="Arial" w:eastAsia="华文细黑" w:cs="宋体"/>
                <w:sz w:val="18"/>
              </w:rPr>
            </w:pPr>
            <w:r>
              <w:rPr>
                <w:rFonts w:hint="eastAsia" w:ascii="Arial" w:hAnsi="Arial" w:eastAsia="华文细黑" w:cs="宋体"/>
                <w:sz w:val="18"/>
              </w:rPr>
              <w:t>顺义区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27E5FE2F">
            <w:pPr>
              <w:widowControl/>
              <w:adjustRightInd/>
              <w:spacing w:line="240" w:lineRule="exact"/>
              <w:jc w:val="both"/>
              <w:rPr>
                <w:rFonts w:ascii="Arial" w:hAnsi="Arial" w:eastAsia="华文细黑" w:cs="宋体"/>
                <w:sz w:val="18"/>
              </w:rPr>
            </w:pPr>
            <w:r>
              <w:rPr>
                <w:rFonts w:hint="eastAsia" w:ascii="Arial" w:hAnsi="Arial" w:eastAsia="华文细黑" w:cs="宋体"/>
                <w:sz w:val="18"/>
              </w:rPr>
              <w:t>14355</w:t>
            </w:r>
          </w:p>
        </w:tc>
        <w:tc>
          <w:tcPr>
            <w:tcW w:w="1423" w:type="pct"/>
            <w:gridSpan w:val="2"/>
            <w:vMerge w:val="continue"/>
            <w:tcBorders>
              <w:left w:val="double" w:color="auto" w:sz="4" w:space="0"/>
              <w:right w:val="single" w:color="404040" w:sz="2" w:space="0"/>
              <w:tr2bl w:val="single" w:color="auto" w:sz="4" w:space="0"/>
            </w:tcBorders>
            <w:noWrap/>
            <w:vAlign w:val="center"/>
          </w:tcPr>
          <w:p w14:paraId="582CE53B">
            <w:pPr>
              <w:widowControl/>
              <w:adjustRightInd/>
              <w:spacing w:line="240" w:lineRule="exact"/>
              <w:jc w:val="both"/>
              <w:rPr>
                <w:rFonts w:ascii="Arial" w:hAnsi="Arial" w:eastAsia="华文细黑" w:cs="宋体"/>
                <w:sz w:val="18"/>
              </w:rPr>
            </w:pPr>
          </w:p>
        </w:tc>
      </w:tr>
      <w:tr w14:paraId="4D5CAB7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24F7A717">
            <w:pPr>
              <w:spacing w:line="240" w:lineRule="exact"/>
              <w:jc w:val="both"/>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AA0C37F">
            <w:pPr>
              <w:widowControl/>
              <w:adjustRightInd/>
              <w:spacing w:line="240" w:lineRule="exact"/>
              <w:jc w:val="both"/>
              <w:rPr>
                <w:rFonts w:ascii="Arial" w:hAnsi="Arial" w:eastAsia="华文细黑" w:cs="宋体"/>
                <w:sz w:val="18"/>
              </w:rPr>
            </w:pPr>
            <w:r>
              <w:rPr>
                <w:rFonts w:hint="eastAsia" w:ascii="Arial" w:hAnsi="Arial" w:eastAsia="华文细黑" w:cs="宋体"/>
                <w:sz w:val="18"/>
              </w:rPr>
              <w:t>昌平区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76882162">
            <w:pPr>
              <w:widowControl/>
              <w:adjustRightInd/>
              <w:spacing w:line="240" w:lineRule="exact"/>
              <w:jc w:val="both"/>
              <w:rPr>
                <w:rFonts w:ascii="Arial" w:hAnsi="Arial" w:eastAsia="华文细黑" w:cs="宋体"/>
                <w:sz w:val="18"/>
              </w:rPr>
            </w:pPr>
            <w:r>
              <w:rPr>
                <w:rFonts w:hint="eastAsia" w:ascii="Arial" w:hAnsi="Arial" w:eastAsia="华文细黑" w:cs="宋体"/>
                <w:sz w:val="18"/>
              </w:rPr>
              <w:t>14093</w:t>
            </w:r>
          </w:p>
        </w:tc>
        <w:tc>
          <w:tcPr>
            <w:tcW w:w="1423" w:type="pct"/>
            <w:gridSpan w:val="2"/>
            <w:vMerge w:val="continue"/>
            <w:tcBorders>
              <w:left w:val="double" w:color="auto" w:sz="4" w:space="0"/>
              <w:right w:val="single" w:color="404040" w:sz="2" w:space="0"/>
              <w:tr2bl w:val="single" w:color="auto" w:sz="4" w:space="0"/>
            </w:tcBorders>
            <w:noWrap/>
            <w:vAlign w:val="center"/>
          </w:tcPr>
          <w:p w14:paraId="124D8A73">
            <w:pPr>
              <w:widowControl/>
              <w:adjustRightInd/>
              <w:spacing w:line="240" w:lineRule="exact"/>
              <w:jc w:val="both"/>
              <w:rPr>
                <w:rFonts w:ascii="Arial" w:hAnsi="Arial" w:eastAsia="华文细黑" w:cs="宋体"/>
                <w:sz w:val="18"/>
              </w:rPr>
            </w:pPr>
          </w:p>
        </w:tc>
      </w:tr>
      <w:tr w14:paraId="6F2BB16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16E41922">
            <w:pPr>
              <w:widowControl/>
              <w:adjustRightInd/>
              <w:spacing w:line="240" w:lineRule="exact"/>
              <w:jc w:val="both"/>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2FAFB16">
            <w:pPr>
              <w:widowControl/>
              <w:adjustRightInd/>
              <w:spacing w:line="240" w:lineRule="exact"/>
              <w:jc w:val="both"/>
              <w:rPr>
                <w:rFonts w:ascii="Arial" w:hAnsi="Arial" w:eastAsia="华文细黑" w:cs="宋体"/>
                <w:sz w:val="18"/>
              </w:rPr>
            </w:pPr>
            <w:r>
              <w:rPr>
                <w:rFonts w:hint="eastAsia" w:ascii="Arial" w:hAnsi="Arial" w:eastAsia="华文细黑" w:cs="宋体"/>
                <w:sz w:val="18"/>
              </w:rPr>
              <w:t>房山区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2E4812F6">
            <w:pPr>
              <w:widowControl/>
              <w:adjustRightInd/>
              <w:spacing w:line="240" w:lineRule="exact"/>
              <w:jc w:val="both"/>
              <w:rPr>
                <w:rFonts w:ascii="Arial" w:hAnsi="Arial" w:eastAsia="华文细黑" w:cs="宋体"/>
                <w:sz w:val="18"/>
              </w:rPr>
            </w:pPr>
            <w:r>
              <w:rPr>
                <w:rFonts w:hint="eastAsia" w:ascii="Arial" w:hAnsi="Arial" w:eastAsia="华文细黑" w:cs="宋体"/>
                <w:sz w:val="18"/>
              </w:rPr>
              <w:t>11602</w:t>
            </w:r>
          </w:p>
        </w:tc>
        <w:tc>
          <w:tcPr>
            <w:tcW w:w="1423" w:type="pct"/>
            <w:gridSpan w:val="2"/>
            <w:vMerge w:val="continue"/>
            <w:tcBorders>
              <w:left w:val="double" w:color="auto" w:sz="4" w:space="0"/>
              <w:right w:val="single" w:color="404040" w:sz="2" w:space="0"/>
              <w:tr2bl w:val="single" w:color="auto" w:sz="4" w:space="0"/>
            </w:tcBorders>
            <w:noWrap/>
            <w:vAlign w:val="center"/>
          </w:tcPr>
          <w:p w14:paraId="60D6D98A">
            <w:pPr>
              <w:widowControl/>
              <w:adjustRightInd/>
              <w:spacing w:line="240" w:lineRule="exact"/>
              <w:jc w:val="both"/>
              <w:rPr>
                <w:rFonts w:ascii="Arial" w:hAnsi="Arial" w:eastAsia="华文细黑" w:cs="宋体"/>
                <w:sz w:val="18"/>
              </w:rPr>
            </w:pPr>
          </w:p>
        </w:tc>
      </w:tr>
      <w:tr w14:paraId="5921FB1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29D36BB1">
            <w:pPr>
              <w:widowControl/>
              <w:adjustRightInd/>
              <w:spacing w:line="240" w:lineRule="exact"/>
              <w:jc w:val="both"/>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5A1E40C7">
            <w:pPr>
              <w:widowControl/>
              <w:adjustRightInd/>
              <w:spacing w:line="240" w:lineRule="exact"/>
              <w:jc w:val="both"/>
              <w:rPr>
                <w:rFonts w:ascii="Arial" w:hAnsi="Arial" w:eastAsia="华文细黑" w:cs="宋体"/>
                <w:sz w:val="18"/>
              </w:rPr>
            </w:pPr>
            <w:r>
              <w:rPr>
                <w:rFonts w:hint="eastAsia" w:ascii="Arial" w:hAnsi="Arial" w:eastAsia="华文细黑" w:cs="宋体"/>
                <w:sz w:val="18"/>
              </w:rPr>
              <w:t>海淀区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62095425">
            <w:pPr>
              <w:widowControl/>
              <w:adjustRightInd/>
              <w:spacing w:line="240" w:lineRule="exact"/>
              <w:jc w:val="both"/>
              <w:rPr>
                <w:rFonts w:ascii="Arial" w:hAnsi="Arial" w:eastAsia="华文细黑" w:cs="宋体"/>
                <w:sz w:val="18"/>
              </w:rPr>
            </w:pPr>
            <w:r>
              <w:rPr>
                <w:rFonts w:hint="eastAsia" w:ascii="Arial" w:hAnsi="Arial" w:eastAsia="华文细黑" w:cs="宋体"/>
                <w:sz w:val="18"/>
              </w:rPr>
              <w:t>5107</w:t>
            </w:r>
          </w:p>
        </w:tc>
        <w:tc>
          <w:tcPr>
            <w:tcW w:w="1423" w:type="pct"/>
            <w:gridSpan w:val="2"/>
            <w:vMerge w:val="continue"/>
            <w:tcBorders>
              <w:left w:val="double" w:color="auto" w:sz="4" w:space="0"/>
              <w:right w:val="single" w:color="404040" w:sz="2" w:space="0"/>
              <w:tr2bl w:val="single" w:color="auto" w:sz="4" w:space="0"/>
            </w:tcBorders>
            <w:noWrap/>
            <w:vAlign w:val="center"/>
          </w:tcPr>
          <w:p w14:paraId="1DA6811C">
            <w:pPr>
              <w:widowControl/>
              <w:adjustRightInd/>
              <w:spacing w:line="240" w:lineRule="exact"/>
              <w:jc w:val="both"/>
              <w:rPr>
                <w:rFonts w:ascii="Arial" w:hAnsi="Arial" w:eastAsia="华文细黑" w:cs="宋体"/>
                <w:sz w:val="18"/>
              </w:rPr>
            </w:pPr>
          </w:p>
        </w:tc>
      </w:tr>
      <w:tr w14:paraId="37B6D6C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20552A19">
            <w:pPr>
              <w:spacing w:line="240" w:lineRule="exact"/>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532AF133">
            <w:pPr>
              <w:widowControl/>
              <w:adjustRightInd/>
              <w:spacing w:line="240" w:lineRule="exact"/>
              <w:jc w:val="both"/>
              <w:rPr>
                <w:rFonts w:ascii="Arial" w:hAnsi="Arial" w:eastAsia="华文细黑" w:cs="宋体"/>
                <w:sz w:val="18"/>
              </w:rPr>
            </w:pPr>
            <w:r>
              <w:rPr>
                <w:rFonts w:hint="eastAsia" w:ascii="Arial" w:hAnsi="Arial" w:eastAsia="华文细黑" w:cs="宋体"/>
                <w:sz w:val="18"/>
              </w:rPr>
              <w:t>延庆区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79525407">
            <w:pPr>
              <w:spacing w:line="240" w:lineRule="exact"/>
              <w:jc w:val="both"/>
              <w:rPr>
                <w:rFonts w:ascii="Arial" w:hAnsi="Arial" w:eastAsia="华文细黑" w:cs="宋体"/>
                <w:sz w:val="18"/>
              </w:rPr>
            </w:pPr>
            <w:r>
              <w:rPr>
                <w:rFonts w:hint="eastAsia" w:ascii="Arial" w:hAnsi="Arial" w:eastAsia="华文细黑" w:cs="宋体"/>
                <w:sz w:val="18"/>
              </w:rPr>
              <w:t>3416</w:t>
            </w:r>
          </w:p>
        </w:tc>
        <w:tc>
          <w:tcPr>
            <w:tcW w:w="1423" w:type="pct"/>
            <w:gridSpan w:val="2"/>
            <w:vMerge w:val="continue"/>
            <w:tcBorders>
              <w:left w:val="double" w:color="auto" w:sz="4" w:space="0"/>
              <w:right w:val="single" w:color="404040" w:sz="2" w:space="0"/>
              <w:tr2bl w:val="single" w:color="auto" w:sz="4" w:space="0"/>
            </w:tcBorders>
            <w:vAlign w:val="center"/>
          </w:tcPr>
          <w:p w14:paraId="5B6D587C">
            <w:pPr>
              <w:widowControl/>
              <w:adjustRightInd/>
              <w:spacing w:line="240" w:lineRule="exact"/>
              <w:rPr>
                <w:rFonts w:ascii="Arial" w:hAnsi="Arial" w:eastAsia="华文细黑" w:cs="宋体"/>
                <w:sz w:val="18"/>
              </w:rPr>
            </w:pPr>
          </w:p>
        </w:tc>
      </w:tr>
    </w:tbl>
    <w:p w14:paraId="61127728">
      <w:pPr>
        <w:widowControl/>
        <w:adjustRightInd/>
        <w:spacing w:line="240" w:lineRule="exact"/>
        <w:rPr>
          <w:rFonts w:ascii="Arial" w:hAnsi="Arial" w:eastAsia="仿宋" w:cs="宋体"/>
          <w:color w:val="C00000"/>
          <w:sz w:val="18"/>
        </w:rPr>
      </w:pPr>
    </w:p>
    <w:p w14:paraId="2600B5F8">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25年商业用房销售排名</w:t>
      </w:r>
    </w:p>
    <w:tbl>
      <w:tblPr>
        <w:tblStyle w:val="32"/>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14:paraId="565358B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14:paraId="4A948484">
            <w:pPr>
              <w:widowControl/>
              <w:adjustRightInd/>
              <w:spacing w:line="240" w:lineRule="exact"/>
              <w:rPr>
                <w:rFonts w:ascii="Arial" w:hAnsi="Arial" w:eastAsia="华文细黑" w:cs="宋体"/>
                <w:b/>
                <w:sz w:val="18"/>
              </w:rPr>
            </w:pPr>
            <w:r>
              <w:rPr>
                <w:rFonts w:hint="eastAsia" w:ascii="Arial" w:hAnsi="Arial" w:eastAsia="华文细黑"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14:paraId="656ACC08">
            <w:pPr>
              <w:widowControl/>
              <w:adjustRightInd/>
              <w:spacing w:line="240" w:lineRule="exact"/>
              <w:rPr>
                <w:rFonts w:ascii="Arial" w:hAnsi="Arial" w:eastAsia="华文细黑" w:cs="宋体"/>
                <w:b/>
                <w:sz w:val="18"/>
              </w:rPr>
            </w:pPr>
            <w:r>
              <w:rPr>
                <w:rFonts w:hint="eastAsia" w:ascii="Arial" w:hAnsi="Arial" w:eastAsia="华文细黑"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14:paraId="6846FD3E">
            <w:pPr>
              <w:widowControl/>
              <w:adjustRightInd/>
              <w:spacing w:line="240" w:lineRule="exact"/>
              <w:rPr>
                <w:rFonts w:ascii="Arial" w:hAnsi="Arial" w:eastAsia="华文细黑" w:cs="宋体"/>
                <w:b/>
                <w:sz w:val="18"/>
              </w:rPr>
            </w:pPr>
            <w:r>
              <w:rPr>
                <w:rFonts w:hint="eastAsia" w:ascii="Arial" w:hAnsi="Arial" w:eastAsia="华文细黑" w:cs="宋体"/>
                <w:b/>
                <w:sz w:val="18"/>
              </w:rPr>
              <w:t>环线排名</w:t>
            </w:r>
          </w:p>
        </w:tc>
      </w:tr>
      <w:tr w14:paraId="7F608CA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2A443C93">
            <w:pPr>
              <w:widowControl/>
              <w:adjustRightInd/>
              <w:spacing w:line="240" w:lineRule="exact"/>
              <w:rPr>
                <w:rFonts w:ascii="Arial" w:hAnsi="Arial" w:eastAsia="华文细黑" w:cs="宋体"/>
                <w:sz w:val="18"/>
              </w:rPr>
            </w:pPr>
            <w:r>
              <w:rPr>
                <w:rFonts w:hint="eastAsia" w:ascii="Arial" w:hAnsi="Arial" w:eastAsia="华文细黑"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7D80D6F2">
            <w:pPr>
              <w:widowControl/>
              <w:adjustRightInd/>
              <w:spacing w:line="240" w:lineRule="exact"/>
              <w:rPr>
                <w:rFonts w:ascii="Arial" w:hAnsi="Arial" w:eastAsia="华文细黑" w:cs="宋体"/>
                <w:sz w:val="18"/>
              </w:rPr>
            </w:pPr>
            <w:r>
              <w:rPr>
                <w:rFonts w:hint="eastAsia" w:ascii="Arial" w:hAnsi="Arial" w:eastAsia="华文细黑"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2EA83DD1">
            <w:pPr>
              <w:widowControl/>
              <w:adjustRightInd/>
              <w:spacing w:line="240" w:lineRule="exact"/>
              <w:rPr>
                <w:rFonts w:ascii="Arial" w:hAnsi="Arial" w:eastAsia="华文细黑" w:cs="宋体"/>
                <w:sz w:val="18"/>
              </w:rPr>
            </w:pPr>
            <w:r>
              <w:fldChar w:fldCharType="begin"/>
            </w:r>
            <w:r>
              <w:instrText xml:space="preserve"> HYPERLINK "javascript:" </w:instrText>
            </w:r>
            <w:r>
              <w:fldChar w:fldCharType="separate"/>
            </w: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r>
              <w:rPr>
                <w:rFonts w:ascii="Arial" w:hAnsi="Arial" w:eastAsia="华文细黑"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474E9D61">
            <w:pPr>
              <w:widowControl/>
              <w:adjustRightInd/>
              <w:spacing w:line="240" w:lineRule="exact"/>
              <w:rPr>
                <w:rFonts w:ascii="Arial" w:hAnsi="Arial" w:eastAsia="华文细黑" w:cs="宋体"/>
                <w:sz w:val="18"/>
              </w:rPr>
            </w:pPr>
            <w:r>
              <w:rPr>
                <w:rFonts w:hint="eastAsia" w:ascii="Arial" w:hAnsi="Arial" w:eastAsia="华文细黑"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5F3AC06C">
            <w:pPr>
              <w:widowControl/>
              <w:adjustRightInd/>
              <w:spacing w:line="240" w:lineRule="exact"/>
              <w:rPr>
                <w:rFonts w:ascii="Arial" w:hAnsi="Arial" w:eastAsia="华文细黑" w:cs="宋体"/>
                <w:sz w:val="18"/>
              </w:rPr>
            </w:pP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53FA408E">
            <w:pPr>
              <w:widowControl/>
              <w:adjustRightInd/>
              <w:spacing w:line="240" w:lineRule="exact"/>
              <w:rPr>
                <w:rFonts w:ascii="Arial" w:hAnsi="Arial" w:eastAsia="华文细黑" w:cs="宋体"/>
                <w:sz w:val="18"/>
              </w:rPr>
            </w:pPr>
            <w:r>
              <w:rPr>
                <w:rFonts w:hint="eastAsia" w:ascii="Arial" w:hAnsi="Arial" w:eastAsia="华文细黑"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58271547">
            <w:pPr>
              <w:widowControl/>
              <w:adjustRightInd/>
              <w:spacing w:line="240" w:lineRule="exact"/>
              <w:rPr>
                <w:rFonts w:ascii="Arial" w:hAnsi="Arial" w:eastAsia="华文细黑" w:cs="宋体"/>
                <w:sz w:val="18"/>
              </w:rPr>
            </w:pP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p>
        </w:tc>
      </w:tr>
      <w:tr w14:paraId="3C0D5E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4C647115">
            <w:pPr>
              <w:widowControl/>
              <w:adjustRightInd/>
              <w:spacing w:line="240" w:lineRule="exact"/>
              <w:jc w:val="both"/>
              <w:rPr>
                <w:rFonts w:ascii="Arial" w:hAnsi="Arial" w:eastAsia="华文细黑" w:cs="宋体"/>
                <w:sz w:val="18"/>
              </w:rPr>
            </w:pPr>
            <w:r>
              <w:rPr>
                <w:rFonts w:hint="eastAsia" w:ascii="Arial" w:hAnsi="Arial" w:eastAsia="华文细黑" w:cs="宋体"/>
                <w:sz w:val="18"/>
              </w:rPr>
              <w:t>长安太和</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29E1515A">
            <w:pPr>
              <w:widowControl/>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18734FD5">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120106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5EC66954">
            <w:pPr>
              <w:widowControl/>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56B041AA">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64990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260DE88E">
            <w:pPr>
              <w:widowControl/>
              <w:adjustRightInd/>
              <w:spacing w:line="240" w:lineRule="exact"/>
              <w:jc w:val="both"/>
              <w:rPr>
                <w:rFonts w:ascii="Arial" w:hAnsi="Arial" w:eastAsia="华文细黑" w:cs="宋体"/>
                <w:sz w:val="18"/>
              </w:rPr>
            </w:pPr>
            <w:r>
              <w:rPr>
                <w:rFonts w:hint="eastAsia" w:ascii="Arial" w:hAnsi="Arial" w:eastAsia="华文细黑"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06D3CA28">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76218 </w:t>
            </w:r>
          </w:p>
        </w:tc>
      </w:tr>
      <w:tr w14:paraId="58A6836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0D69D021">
            <w:pPr>
              <w:widowControl/>
              <w:adjustRightInd/>
              <w:spacing w:line="240" w:lineRule="exact"/>
              <w:jc w:val="both"/>
              <w:rPr>
                <w:rFonts w:ascii="Arial" w:hAnsi="Arial" w:eastAsia="华文细黑" w:cs="宋体"/>
                <w:sz w:val="18"/>
              </w:rPr>
            </w:pPr>
            <w:r>
              <w:rPr>
                <w:rFonts w:hint="eastAsia" w:ascii="Arial" w:hAnsi="Arial" w:eastAsia="华文细黑" w:cs="宋体"/>
                <w:sz w:val="18"/>
              </w:rPr>
              <w:t>紫辰院</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362FFF8C">
            <w:pPr>
              <w:widowControl/>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536EADA0">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98584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2C824C18">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7447E0FB">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61742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75B8AEDA">
            <w:pPr>
              <w:widowControl/>
              <w:adjustRightInd/>
              <w:spacing w:line="240" w:lineRule="exact"/>
              <w:jc w:val="both"/>
              <w:rPr>
                <w:rFonts w:ascii="Arial" w:hAnsi="Arial" w:eastAsia="华文细黑" w:cs="宋体"/>
                <w:sz w:val="18"/>
              </w:rPr>
            </w:pPr>
            <w:r>
              <w:rPr>
                <w:rFonts w:hint="eastAsia" w:ascii="Arial" w:hAnsi="Arial" w:eastAsia="华文细黑"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357D4946">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34401 </w:t>
            </w:r>
          </w:p>
        </w:tc>
      </w:tr>
      <w:tr w14:paraId="60BCA4C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643D4F7E">
            <w:pPr>
              <w:widowControl/>
              <w:adjustRightInd/>
              <w:spacing w:line="240" w:lineRule="exact"/>
              <w:jc w:val="both"/>
              <w:rPr>
                <w:rFonts w:ascii="Arial" w:hAnsi="Arial" w:eastAsia="华文细黑" w:cs="宋体"/>
                <w:sz w:val="18"/>
              </w:rPr>
            </w:pPr>
            <w:r>
              <w:rPr>
                <w:rFonts w:hint="eastAsia" w:ascii="Arial" w:hAnsi="Arial" w:eastAsia="华文细黑" w:cs="宋体"/>
                <w:sz w:val="18"/>
              </w:rPr>
              <w:t>一瓶·四和院</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13E13557">
            <w:pPr>
              <w:widowControl/>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1CBF8FD5">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93950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2266DBE4">
            <w:pPr>
              <w:widowControl/>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2AA944D9">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35534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187AB09D">
            <w:pPr>
              <w:widowControl/>
              <w:adjustRightInd/>
              <w:spacing w:line="240" w:lineRule="exact"/>
              <w:jc w:val="both"/>
              <w:rPr>
                <w:rFonts w:ascii="Arial" w:hAnsi="Arial" w:eastAsia="华文细黑" w:cs="宋体"/>
                <w:sz w:val="18"/>
              </w:rPr>
            </w:pPr>
            <w:r>
              <w:rPr>
                <w:rFonts w:hint="eastAsia" w:ascii="Arial" w:hAnsi="Arial" w:eastAsia="华文细黑"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7AD58887">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26956 </w:t>
            </w:r>
          </w:p>
        </w:tc>
      </w:tr>
      <w:tr w14:paraId="0451FF4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4F521701">
            <w:pPr>
              <w:widowControl/>
              <w:adjustRightInd/>
              <w:spacing w:line="240" w:lineRule="exact"/>
              <w:jc w:val="both"/>
              <w:rPr>
                <w:rFonts w:ascii="Arial" w:hAnsi="Arial" w:eastAsia="华文细黑" w:cs="宋体"/>
                <w:sz w:val="18"/>
              </w:rPr>
            </w:pPr>
            <w:r>
              <w:rPr>
                <w:rFonts w:hint="eastAsia" w:ascii="Arial" w:hAnsi="Arial" w:eastAsia="华文细黑" w:cs="宋体"/>
                <w:sz w:val="18"/>
              </w:rPr>
              <w:t>嘉裕苑</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24C76C4F">
            <w:pPr>
              <w:widowControl/>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1A648B12">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83400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6F973B21">
            <w:pPr>
              <w:widowControl/>
              <w:adjustRightInd/>
              <w:spacing w:line="240" w:lineRule="exact"/>
              <w:jc w:val="both"/>
              <w:rPr>
                <w:rFonts w:ascii="Arial" w:hAnsi="Arial" w:eastAsia="华文细黑" w:cs="宋体"/>
                <w:sz w:val="18"/>
              </w:rPr>
            </w:pPr>
            <w:r>
              <w:rPr>
                <w:rFonts w:hint="eastAsia" w:ascii="Arial" w:hAnsi="Arial" w:eastAsia="华文细黑"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0C6EFF4B">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34015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79CD3A74">
            <w:pPr>
              <w:widowControl/>
              <w:adjustRightInd/>
              <w:spacing w:line="240" w:lineRule="exact"/>
              <w:jc w:val="both"/>
              <w:rPr>
                <w:rFonts w:ascii="Arial" w:hAnsi="Arial" w:eastAsia="华文细黑" w:cs="宋体"/>
                <w:sz w:val="18"/>
              </w:rPr>
            </w:pPr>
            <w:r>
              <w:rPr>
                <w:rFonts w:hint="eastAsia" w:ascii="Arial" w:hAnsi="Arial" w:eastAsia="华文细黑"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12698DC2">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22822 </w:t>
            </w:r>
          </w:p>
        </w:tc>
      </w:tr>
      <w:tr w14:paraId="4CD95E7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101D33A5">
            <w:pPr>
              <w:widowControl/>
              <w:adjustRightInd/>
              <w:spacing w:line="240" w:lineRule="exact"/>
              <w:jc w:val="both"/>
              <w:rPr>
                <w:rFonts w:ascii="Arial" w:hAnsi="Arial" w:eastAsia="华文细黑" w:cs="宋体"/>
                <w:sz w:val="18"/>
              </w:rPr>
            </w:pPr>
            <w:r>
              <w:rPr>
                <w:rFonts w:hint="eastAsia" w:ascii="Arial" w:hAnsi="Arial" w:eastAsia="华文细黑" w:cs="宋体"/>
                <w:sz w:val="18"/>
              </w:rPr>
              <w:t>中海金融中心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05BEF6C2">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06B32DD4">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83000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48495B74">
            <w:pPr>
              <w:widowControl/>
              <w:adjustRightInd/>
              <w:spacing w:line="240" w:lineRule="exact"/>
              <w:jc w:val="both"/>
              <w:rPr>
                <w:rFonts w:ascii="Arial" w:hAnsi="Arial" w:eastAsia="华文细黑" w:cs="宋体"/>
                <w:sz w:val="18"/>
              </w:rPr>
            </w:pPr>
            <w:r>
              <w:rPr>
                <w:rFonts w:hint="eastAsia" w:ascii="Arial" w:hAnsi="Arial" w:eastAsia="华文细黑"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2EB85B34">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25397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3E0AF94B">
            <w:pPr>
              <w:widowControl/>
              <w:adjustRightInd/>
              <w:spacing w:line="240" w:lineRule="exact"/>
              <w:jc w:val="both"/>
              <w:rPr>
                <w:rFonts w:ascii="Arial" w:hAnsi="Arial" w:eastAsia="华文细黑" w:cs="宋体"/>
                <w:sz w:val="18"/>
              </w:rPr>
            </w:pPr>
            <w:r>
              <w:rPr>
                <w:rFonts w:hint="eastAsia" w:ascii="Arial" w:hAnsi="Arial" w:eastAsia="华文细黑"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528D0DAD">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19974 </w:t>
            </w:r>
          </w:p>
        </w:tc>
      </w:tr>
      <w:tr w14:paraId="3F1097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6956DEE8">
            <w:pPr>
              <w:widowControl/>
              <w:adjustRightInd/>
              <w:spacing w:line="240" w:lineRule="exact"/>
              <w:jc w:val="both"/>
              <w:rPr>
                <w:rFonts w:ascii="Arial" w:hAnsi="Arial" w:eastAsia="华文细黑" w:cs="宋体"/>
                <w:sz w:val="18"/>
              </w:rPr>
            </w:pPr>
            <w:r>
              <w:rPr>
                <w:rFonts w:hint="eastAsia" w:ascii="Arial" w:hAnsi="Arial" w:eastAsia="华文细黑" w:cs="宋体"/>
                <w:sz w:val="18"/>
              </w:rPr>
              <w:t>北京诺德中心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6DE04945">
            <w:pPr>
              <w:widowControl/>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066513FB">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81363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19D848FB">
            <w:pPr>
              <w:widowControl/>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0E47F52E">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23852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57D98830">
            <w:pPr>
              <w:widowControl/>
              <w:adjustRightInd/>
              <w:spacing w:line="240" w:lineRule="exact"/>
              <w:jc w:val="both"/>
              <w:rPr>
                <w:rFonts w:ascii="Arial" w:hAnsi="Arial" w:eastAsia="华文细黑" w:cs="宋体"/>
                <w:sz w:val="18"/>
              </w:rPr>
            </w:pPr>
            <w:r>
              <w:rPr>
                <w:rFonts w:hint="eastAsia" w:ascii="Arial" w:hAnsi="Arial" w:eastAsia="华文细黑"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29BD979F">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12381 </w:t>
            </w:r>
          </w:p>
        </w:tc>
      </w:tr>
      <w:tr w14:paraId="602293A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21899234">
            <w:pPr>
              <w:widowControl/>
              <w:adjustRightInd/>
              <w:spacing w:line="240" w:lineRule="exact"/>
              <w:jc w:val="both"/>
              <w:rPr>
                <w:rFonts w:ascii="Arial" w:hAnsi="Arial" w:eastAsia="华文细黑" w:cs="宋体"/>
                <w:sz w:val="18"/>
              </w:rPr>
            </w:pPr>
            <w:r>
              <w:rPr>
                <w:rFonts w:hint="eastAsia" w:ascii="Arial" w:hAnsi="Arial" w:eastAsia="华文细黑" w:cs="宋体"/>
                <w:sz w:val="18"/>
              </w:rPr>
              <w:t>霞公府</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212BC7F0">
            <w:pPr>
              <w:widowControl/>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4836EE53">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79901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0FE35675">
            <w:pPr>
              <w:widowControl/>
              <w:adjustRightInd/>
              <w:spacing w:line="240" w:lineRule="exact"/>
              <w:jc w:val="both"/>
              <w:rPr>
                <w:rFonts w:ascii="Arial" w:hAnsi="Arial" w:eastAsia="华文细黑" w:cs="宋体"/>
                <w:sz w:val="18"/>
              </w:rPr>
            </w:pPr>
            <w:r>
              <w:rPr>
                <w:rFonts w:hint="eastAsia" w:ascii="Arial" w:hAnsi="Arial" w:eastAsia="华文细黑"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45B98F49">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23484 </w:t>
            </w:r>
          </w:p>
        </w:tc>
        <w:tc>
          <w:tcPr>
            <w:tcW w:w="2636" w:type="dxa"/>
            <w:gridSpan w:val="2"/>
            <w:vMerge w:val="restart"/>
            <w:tcBorders>
              <w:top w:val="single" w:color="404040" w:sz="2" w:space="0"/>
              <w:left w:val="double" w:color="404040" w:sz="2" w:space="0"/>
              <w:right w:val="single" w:color="404040" w:sz="2" w:space="0"/>
              <w:tr2bl w:val="single" w:color="auto" w:sz="4" w:space="0"/>
            </w:tcBorders>
            <w:noWrap/>
            <w:vAlign w:val="center"/>
          </w:tcPr>
          <w:p w14:paraId="3C2A7BAC">
            <w:pPr>
              <w:spacing w:line="240" w:lineRule="exact"/>
              <w:rPr>
                <w:rFonts w:ascii="Arial" w:hAnsi="Arial" w:eastAsia="华文细黑" w:cs="宋体"/>
                <w:sz w:val="18"/>
              </w:rPr>
            </w:pPr>
          </w:p>
        </w:tc>
      </w:tr>
      <w:tr w14:paraId="47723E8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38EDE743">
            <w:pPr>
              <w:widowControl/>
              <w:adjustRightInd/>
              <w:spacing w:line="240" w:lineRule="exact"/>
              <w:jc w:val="both"/>
              <w:rPr>
                <w:rFonts w:ascii="Arial" w:hAnsi="Arial" w:eastAsia="华文细黑" w:cs="宋体"/>
                <w:sz w:val="18"/>
              </w:rPr>
            </w:pPr>
            <w:r>
              <w:rPr>
                <w:rFonts w:hint="eastAsia" w:ascii="Arial" w:hAnsi="Arial" w:eastAsia="华文细黑" w:cs="宋体"/>
                <w:sz w:val="18"/>
              </w:rPr>
              <w:t>中骏天宸</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763FBF74">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4B3DB66F">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77388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196898A0">
            <w:pPr>
              <w:widowControl/>
              <w:adjustRightInd/>
              <w:spacing w:line="240" w:lineRule="exact"/>
              <w:jc w:val="both"/>
              <w:rPr>
                <w:rFonts w:ascii="Arial" w:hAnsi="Arial" w:eastAsia="华文细黑" w:cs="宋体"/>
                <w:sz w:val="18"/>
              </w:rPr>
            </w:pPr>
            <w:r>
              <w:rPr>
                <w:rFonts w:hint="eastAsia" w:ascii="Arial" w:hAnsi="Arial" w:eastAsia="华文细黑"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2D8F58D9">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21142 </w:t>
            </w:r>
          </w:p>
        </w:tc>
        <w:tc>
          <w:tcPr>
            <w:tcW w:w="2636" w:type="dxa"/>
            <w:gridSpan w:val="2"/>
            <w:vMerge w:val="continue"/>
            <w:tcBorders>
              <w:left w:val="double" w:color="404040" w:sz="2" w:space="0"/>
              <w:right w:val="single" w:color="404040" w:sz="2" w:space="0"/>
              <w:tr2bl w:val="single" w:color="auto" w:sz="4" w:space="0"/>
            </w:tcBorders>
            <w:noWrap/>
            <w:vAlign w:val="center"/>
          </w:tcPr>
          <w:p w14:paraId="0A39C5A9">
            <w:pPr>
              <w:widowControl/>
              <w:adjustRightInd/>
              <w:spacing w:line="240" w:lineRule="exact"/>
              <w:rPr>
                <w:rFonts w:ascii="Arial" w:hAnsi="Arial" w:eastAsia="华文细黑" w:cs="宋体"/>
                <w:sz w:val="18"/>
              </w:rPr>
            </w:pPr>
          </w:p>
        </w:tc>
      </w:tr>
      <w:tr w14:paraId="6BB5418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1AB3F860">
            <w:pPr>
              <w:widowControl/>
              <w:adjustRightInd/>
              <w:spacing w:line="240" w:lineRule="exact"/>
              <w:jc w:val="both"/>
              <w:rPr>
                <w:rFonts w:ascii="Arial" w:hAnsi="Arial" w:eastAsia="华文细黑" w:cs="宋体"/>
                <w:sz w:val="18"/>
              </w:rPr>
            </w:pPr>
            <w:r>
              <w:rPr>
                <w:rFonts w:hint="eastAsia" w:ascii="Arial" w:hAnsi="Arial" w:eastAsia="华文细黑" w:cs="宋体"/>
                <w:sz w:val="18"/>
              </w:rPr>
              <w:t>国安雅居</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6AE7B262">
            <w:pPr>
              <w:widowControl/>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243302F7">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77151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1A3974E5">
            <w:pPr>
              <w:widowControl/>
              <w:adjustRightInd/>
              <w:spacing w:line="240" w:lineRule="exact"/>
              <w:jc w:val="both"/>
              <w:rPr>
                <w:rFonts w:ascii="Arial" w:hAnsi="Arial" w:eastAsia="华文细黑" w:cs="宋体"/>
                <w:sz w:val="18"/>
              </w:rPr>
            </w:pPr>
            <w:r>
              <w:rPr>
                <w:rFonts w:hint="eastAsia" w:ascii="Arial" w:hAnsi="Arial" w:eastAsia="华文细黑"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37305888">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19513 </w:t>
            </w:r>
          </w:p>
        </w:tc>
        <w:tc>
          <w:tcPr>
            <w:tcW w:w="2636" w:type="dxa"/>
            <w:gridSpan w:val="2"/>
            <w:vMerge w:val="continue"/>
            <w:tcBorders>
              <w:left w:val="double" w:color="404040" w:sz="2" w:space="0"/>
              <w:right w:val="single" w:color="404040" w:sz="2" w:space="0"/>
              <w:tr2bl w:val="single" w:color="auto" w:sz="4" w:space="0"/>
            </w:tcBorders>
            <w:vAlign w:val="center"/>
          </w:tcPr>
          <w:p w14:paraId="3E42E225">
            <w:pPr>
              <w:widowControl/>
              <w:adjustRightInd/>
              <w:spacing w:line="240" w:lineRule="exact"/>
              <w:rPr>
                <w:rFonts w:ascii="Arial" w:hAnsi="Arial" w:eastAsia="华文细黑" w:cs="宋体"/>
                <w:sz w:val="18"/>
              </w:rPr>
            </w:pPr>
          </w:p>
        </w:tc>
      </w:tr>
      <w:tr w14:paraId="303D8A8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7D5DA60F">
            <w:pPr>
              <w:widowControl/>
              <w:adjustRightInd/>
              <w:spacing w:line="240" w:lineRule="exact"/>
              <w:jc w:val="both"/>
              <w:rPr>
                <w:rFonts w:ascii="Arial" w:hAnsi="Arial" w:eastAsia="华文细黑" w:cs="宋体"/>
                <w:sz w:val="18"/>
              </w:rPr>
            </w:pPr>
            <w:r>
              <w:rPr>
                <w:rFonts w:hint="eastAsia" w:ascii="Arial" w:hAnsi="Arial" w:eastAsia="华文细黑" w:cs="宋体"/>
                <w:sz w:val="18"/>
              </w:rPr>
              <w:t>万富大厦</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7EDBBAB3">
            <w:pPr>
              <w:widowControl/>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221D237C">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74246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31FEF2DD">
            <w:pPr>
              <w:widowControl/>
              <w:adjustRightInd/>
              <w:spacing w:line="240" w:lineRule="exact"/>
              <w:jc w:val="both"/>
              <w:rPr>
                <w:rFonts w:ascii="Arial" w:hAnsi="Arial" w:eastAsia="华文细黑" w:cs="宋体"/>
                <w:sz w:val="18"/>
              </w:rPr>
            </w:pPr>
            <w:r>
              <w:rPr>
                <w:rFonts w:hint="eastAsia" w:ascii="Arial" w:hAnsi="Arial" w:eastAsia="华文细黑"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2F7891D6">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15600 </w:t>
            </w:r>
          </w:p>
        </w:tc>
        <w:tc>
          <w:tcPr>
            <w:tcW w:w="2636" w:type="dxa"/>
            <w:gridSpan w:val="2"/>
            <w:vMerge w:val="continue"/>
            <w:tcBorders>
              <w:left w:val="double" w:color="404040" w:sz="2" w:space="0"/>
              <w:right w:val="single" w:color="404040" w:sz="2" w:space="0"/>
              <w:tr2bl w:val="single" w:color="auto" w:sz="4" w:space="0"/>
            </w:tcBorders>
            <w:vAlign w:val="center"/>
          </w:tcPr>
          <w:p w14:paraId="451749BF">
            <w:pPr>
              <w:widowControl/>
              <w:adjustRightInd/>
              <w:spacing w:line="240" w:lineRule="exact"/>
              <w:rPr>
                <w:rFonts w:ascii="Arial" w:hAnsi="Arial" w:eastAsia="华文细黑" w:cs="宋体"/>
                <w:sz w:val="18"/>
              </w:rPr>
            </w:pPr>
          </w:p>
        </w:tc>
      </w:tr>
      <w:tr w14:paraId="5B647E0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r2bl w:val="single" w:color="auto" w:sz="4" w:space="0"/>
            </w:tcBorders>
            <w:noWrap/>
            <w:vAlign w:val="center"/>
          </w:tcPr>
          <w:p w14:paraId="28F565AF">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263C0DC6">
            <w:pPr>
              <w:widowControl/>
              <w:adjustRightInd/>
              <w:spacing w:line="240" w:lineRule="exact"/>
              <w:jc w:val="both"/>
              <w:rPr>
                <w:rFonts w:ascii="Arial" w:hAnsi="Arial" w:eastAsia="华文细黑" w:cs="宋体"/>
                <w:sz w:val="18"/>
              </w:rPr>
            </w:pPr>
            <w:r>
              <w:rPr>
                <w:rFonts w:hint="eastAsia" w:ascii="Arial" w:hAnsi="Arial" w:eastAsia="华文细黑" w:cs="宋体"/>
                <w:sz w:val="18"/>
              </w:rPr>
              <w:t>平谷区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0AAB44C8">
            <w:pPr>
              <w:widowControl/>
              <w:adjustRightInd/>
              <w:spacing w:line="240" w:lineRule="exact"/>
              <w:jc w:val="both"/>
              <w:rPr>
                <w:rFonts w:ascii="Arial" w:hAnsi="Arial" w:eastAsia="华文细黑" w:cs="宋体"/>
                <w:sz w:val="18"/>
              </w:rPr>
            </w:pPr>
            <w:r>
              <w:rPr>
                <w:rFonts w:hint="eastAsia" w:ascii="Arial" w:hAnsi="Arial" w:eastAsia="华文细黑" w:cs="宋体"/>
                <w:sz w:val="18"/>
              </w:rPr>
              <w:t xml:space="preserve">15087 </w:t>
            </w:r>
          </w:p>
        </w:tc>
        <w:tc>
          <w:tcPr>
            <w:tcW w:w="2636" w:type="dxa"/>
            <w:gridSpan w:val="2"/>
            <w:vMerge w:val="continue"/>
            <w:tcBorders>
              <w:left w:val="double" w:color="404040" w:sz="2" w:space="0"/>
              <w:right w:val="single" w:color="404040" w:sz="2" w:space="0"/>
              <w:tr2bl w:val="single" w:color="auto" w:sz="4" w:space="0"/>
            </w:tcBorders>
            <w:vAlign w:val="center"/>
          </w:tcPr>
          <w:p w14:paraId="5F193F89">
            <w:pPr>
              <w:widowControl/>
              <w:adjustRightInd/>
              <w:spacing w:line="240" w:lineRule="exact"/>
              <w:rPr>
                <w:rFonts w:ascii="Arial" w:hAnsi="Arial" w:eastAsia="华文细黑" w:cs="宋体"/>
                <w:sz w:val="18"/>
              </w:rPr>
            </w:pPr>
          </w:p>
        </w:tc>
      </w:tr>
      <w:tr w14:paraId="1744A26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center"/>
          </w:tcPr>
          <w:p w14:paraId="2F784902">
            <w:pPr>
              <w:widowControl/>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605D0195">
            <w:pPr>
              <w:widowControl/>
              <w:adjustRightInd/>
              <w:spacing w:line="240" w:lineRule="exact"/>
              <w:jc w:val="both"/>
              <w:rPr>
                <w:rFonts w:ascii="Arial" w:hAnsi="Arial" w:eastAsia="华文细黑" w:cs="宋体"/>
                <w:sz w:val="18"/>
              </w:rPr>
            </w:pPr>
            <w:r>
              <w:rPr>
                <w:rFonts w:hint="eastAsia" w:ascii="Arial" w:hAnsi="Arial" w:eastAsia="华文细黑"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34676A5F">
            <w:pPr>
              <w:widowControl/>
              <w:adjustRightInd/>
              <w:spacing w:line="240" w:lineRule="exact"/>
              <w:jc w:val="both"/>
              <w:rPr>
                <w:rFonts w:ascii="Arial" w:hAnsi="Arial" w:eastAsia="华文细黑" w:cs="宋体"/>
                <w:sz w:val="18"/>
              </w:rPr>
            </w:pPr>
            <w:r>
              <w:rPr>
                <w:rFonts w:hint="eastAsia" w:ascii="Arial" w:hAnsi="Arial" w:eastAsia="华文细黑" w:cs="宋体"/>
                <w:sz w:val="18"/>
              </w:rPr>
              <w:t>14711</w:t>
            </w:r>
          </w:p>
        </w:tc>
        <w:tc>
          <w:tcPr>
            <w:tcW w:w="2636" w:type="dxa"/>
            <w:gridSpan w:val="2"/>
            <w:vMerge w:val="continue"/>
            <w:tcBorders>
              <w:left w:val="double" w:color="404040" w:sz="2" w:space="0"/>
              <w:right w:val="single" w:color="404040" w:sz="2" w:space="0"/>
              <w:tr2bl w:val="single" w:color="auto" w:sz="4" w:space="0"/>
            </w:tcBorders>
            <w:vAlign w:val="center"/>
          </w:tcPr>
          <w:p w14:paraId="17C05557">
            <w:pPr>
              <w:widowControl/>
              <w:adjustRightInd/>
              <w:spacing w:line="240" w:lineRule="exact"/>
              <w:rPr>
                <w:rFonts w:ascii="Arial" w:hAnsi="Arial" w:eastAsia="华文细黑" w:cs="宋体"/>
                <w:sz w:val="18"/>
              </w:rPr>
            </w:pPr>
          </w:p>
        </w:tc>
      </w:tr>
      <w:tr w14:paraId="0F009C8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0EF8B8B4">
            <w:pPr>
              <w:widowControl/>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7E187ACA">
            <w:pPr>
              <w:widowControl/>
              <w:adjustRightInd/>
              <w:spacing w:line="240" w:lineRule="exact"/>
              <w:jc w:val="both"/>
              <w:rPr>
                <w:rFonts w:ascii="Arial" w:hAnsi="Arial" w:eastAsia="华文细黑" w:cs="宋体"/>
                <w:sz w:val="18"/>
              </w:rPr>
            </w:pPr>
            <w:r>
              <w:rPr>
                <w:rFonts w:hint="eastAsia" w:ascii="Arial" w:hAnsi="Arial" w:eastAsia="华文细黑"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1394F76E">
            <w:pPr>
              <w:widowControl/>
              <w:adjustRightInd/>
              <w:spacing w:line="240" w:lineRule="exact"/>
              <w:jc w:val="both"/>
              <w:rPr>
                <w:rFonts w:ascii="Arial" w:hAnsi="Arial" w:eastAsia="华文细黑" w:cs="宋体"/>
                <w:sz w:val="18"/>
              </w:rPr>
            </w:pPr>
            <w:r>
              <w:rPr>
                <w:rFonts w:hint="eastAsia" w:ascii="Arial" w:hAnsi="Arial" w:eastAsia="华文细黑" w:cs="宋体"/>
                <w:sz w:val="18"/>
              </w:rPr>
              <w:t>14618</w:t>
            </w:r>
          </w:p>
        </w:tc>
        <w:tc>
          <w:tcPr>
            <w:tcW w:w="2636" w:type="dxa"/>
            <w:gridSpan w:val="2"/>
            <w:vMerge w:val="continue"/>
            <w:tcBorders>
              <w:left w:val="double" w:color="404040" w:sz="2" w:space="0"/>
              <w:right w:val="single" w:color="404040" w:sz="2" w:space="0"/>
              <w:tr2bl w:val="single" w:color="auto" w:sz="4" w:space="0"/>
            </w:tcBorders>
            <w:vAlign w:val="center"/>
          </w:tcPr>
          <w:p w14:paraId="762868CB">
            <w:pPr>
              <w:widowControl/>
              <w:adjustRightInd/>
              <w:spacing w:line="240" w:lineRule="exact"/>
              <w:rPr>
                <w:rFonts w:ascii="Arial" w:hAnsi="Arial" w:eastAsia="华文细黑" w:cs="宋体"/>
                <w:sz w:val="18"/>
              </w:rPr>
            </w:pPr>
          </w:p>
        </w:tc>
      </w:tr>
      <w:tr w14:paraId="6C8636F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0B6085E3">
            <w:pPr>
              <w:widowControl/>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1BBE2B3A">
            <w:pPr>
              <w:widowControl/>
              <w:adjustRightInd/>
              <w:spacing w:line="240" w:lineRule="exact"/>
              <w:jc w:val="both"/>
              <w:rPr>
                <w:rFonts w:ascii="Arial" w:hAnsi="Arial" w:eastAsia="华文细黑" w:cs="宋体"/>
                <w:sz w:val="18"/>
              </w:rPr>
            </w:pPr>
            <w:r>
              <w:rPr>
                <w:rFonts w:hint="eastAsia" w:ascii="Arial" w:hAnsi="Arial" w:eastAsia="华文细黑"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19648389">
            <w:pPr>
              <w:widowControl/>
              <w:adjustRightInd/>
              <w:spacing w:line="240" w:lineRule="exact"/>
              <w:jc w:val="both"/>
              <w:rPr>
                <w:rFonts w:ascii="Arial" w:hAnsi="Arial" w:eastAsia="华文细黑" w:cs="宋体"/>
                <w:sz w:val="18"/>
              </w:rPr>
            </w:pPr>
            <w:r>
              <w:rPr>
                <w:rFonts w:hint="eastAsia" w:ascii="Arial" w:hAnsi="Arial" w:eastAsia="华文细黑" w:cs="宋体"/>
                <w:sz w:val="18"/>
              </w:rPr>
              <w:t>13741</w:t>
            </w:r>
          </w:p>
        </w:tc>
        <w:tc>
          <w:tcPr>
            <w:tcW w:w="2636" w:type="dxa"/>
            <w:gridSpan w:val="2"/>
            <w:vMerge w:val="continue"/>
            <w:tcBorders>
              <w:left w:val="double" w:color="404040" w:sz="2" w:space="0"/>
              <w:right w:val="single" w:color="404040" w:sz="2" w:space="0"/>
              <w:tr2bl w:val="single" w:color="auto" w:sz="4" w:space="0"/>
            </w:tcBorders>
            <w:vAlign w:val="center"/>
          </w:tcPr>
          <w:p w14:paraId="3A744F97">
            <w:pPr>
              <w:widowControl/>
              <w:adjustRightInd/>
              <w:spacing w:line="240" w:lineRule="exact"/>
              <w:rPr>
                <w:rFonts w:ascii="Arial" w:hAnsi="Arial" w:eastAsia="华文细黑" w:cs="宋体"/>
                <w:sz w:val="18"/>
              </w:rPr>
            </w:pPr>
          </w:p>
        </w:tc>
      </w:tr>
      <w:tr w14:paraId="2B00367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707E4CE0">
            <w:pPr>
              <w:widowControl/>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6BDF5A6D">
            <w:pPr>
              <w:widowControl/>
              <w:adjustRightInd/>
              <w:spacing w:line="240" w:lineRule="exact"/>
              <w:jc w:val="both"/>
              <w:rPr>
                <w:rFonts w:ascii="Arial" w:hAnsi="Arial" w:eastAsia="华文细黑" w:cs="宋体"/>
                <w:sz w:val="18"/>
              </w:rPr>
            </w:pPr>
            <w:r>
              <w:rPr>
                <w:rFonts w:hint="eastAsia" w:ascii="Arial" w:hAnsi="Arial" w:eastAsia="华文细黑"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64495309">
            <w:pPr>
              <w:widowControl/>
              <w:adjustRightInd/>
              <w:spacing w:line="240" w:lineRule="exact"/>
              <w:jc w:val="both"/>
              <w:rPr>
                <w:rFonts w:ascii="Arial" w:hAnsi="Arial" w:eastAsia="华文细黑" w:cs="宋体"/>
                <w:sz w:val="18"/>
              </w:rPr>
            </w:pPr>
            <w:r>
              <w:rPr>
                <w:rFonts w:hint="eastAsia" w:ascii="Arial" w:hAnsi="Arial" w:eastAsia="华文细黑" w:cs="宋体"/>
                <w:sz w:val="18"/>
              </w:rPr>
              <w:t>10861</w:t>
            </w:r>
          </w:p>
        </w:tc>
        <w:tc>
          <w:tcPr>
            <w:tcW w:w="2636" w:type="dxa"/>
            <w:gridSpan w:val="2"/>
            <w:vMerge w:val="continue"/>
            <w:tcBorders>
              <w:left w:val="double" w:color="404040" w:sz="2" w:space="0"/>
              <w:right w:val="single" w:color="404040" w:sz="2" w:space="0"/>
              <w:tr2bl w:val="single" w:color="auto" w:sz="4" w:space="0"/>
            </w:tcBorders>
            <w:vAlign w:val="center"/>
          </w:tcPr>
          <w:p w14:paraId="037196E1">
            <w:pPr>
              <w:widowControl/>
              <w:adjustRightInd/>
              <w:spacing w:line="240" w:lineRule="exact"/>
              <w:rPr>
                <w:rFonts w:ascii="Arial" w:hAnsi="Arial" w:eastAsia="华文细黑" w:cs="宋体"/>
                <w:sz w:val="18"/>
              </w:rPr>
            </w:pPr>
          </w:p>
        </w:tc>
      </w:tr>
      <w:tr w14:paraId="6D29C43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5E1791E5">
            <w:pPr>
              <w:widowControl/>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2D877E7D">
            <w:pPr>
              <w:widowControl/>
              <w:adjustRightInd/>
              <w:spacing w:line="240" w:lineRule="exact"/>
              <w:jc w:val="both"/>
              <w:rPr>
                <w:rFonts w:ascii="Arial" w:hAnsi="Arial" w:eastAsia="华文细黑" w:cs="宋体"/>
                <w:sz w:val="18"/>
              </w:rPr>
            </w:pPr>
            <w:r>
              <w:rPr>
                <w:rFonts w:hint="eastAsia" w:ascii="Arial" w:hAnsi="Arial" w:eastAsia="华文细黑" w:cs="宋体"/>
                <w:sz w:val="18"/>
              </w:rPr>
              <w:t>延庆区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778A351F">
            <w:pPr>
              <w:widowControl/>
              <w:adjustRightInd/>
              <w:spacing w:line="240" w:lineRule="exact"/>
              <w:jc w:val="both"/>
              <w:rPr>
                <w:rFonts w:ascii="Arial" w:hAnsi="Arial" w:eastAsia="华文细黑" w:cs="宋体"/>
                <w:sz w:val="18"/>
              </w:rPr>
            </w:pPr>
            <w:r>
              <w:rPr>
                <w:rFonts w:hint="eastAsia" w:ascii="Arial" w:hAnsi="Arial" w:eastAsia="华文细黑" w:cs="宋体"/>
                <w:sz w:val="18"/>
              </w:rPr>
              <w:t>5020</w:t>
            </w:r>
          </w:p>
        </w:tc>
        <w:tc>
          <w:tcPr>
            <w:tcW w:w="2636" w:type="dxa"/>
            <w:gridSpan w:val="2"/>
            <w:vMerge w:val="continue"/>
            <w:tcBorders>
              <w:left w:val="double" w:color="404040" w:sz="2" w:space="0"/>
              <w:right w:val="single" w:color="404040" w:sz="2" w:space="0"/>
              <w:tr2bl w:val="single" w:color="auto" w:sz="4" w:space="0"/>
            </w:tcBorders>
            <w:vAlign w:val="center"/>
          </w:tcPr>
          <w:p w14:paraId="0A8F8ADF">
            <w:pPr>
              <w:widowControl/>
              <w:adjustRightInd/>
              <w:spacing w:line="240" w:lineRule="exact"/>
              <w:rPr>
                <w:rFonts w:ascii="Arial" w:hAnsi="Arial" w:eastAsia="华文细黑" w:cs="宋体"/>
                <w:sz w:val="18"/>
              </w:rPr>
            </w:pPr>
          </w:p>
        </w:tc>
      </w:tr>
    </w:tbl>
    <w:p w14:paraId="14E5EE5A">
      <w:pPr>
        <w:widowControl/>
        <w:adjustRightInd/>
        <w:spacing w:line="240" w:lineRule="exact"/>
        <w:rPr>
          <w:rFonts w:ascii="Arial" w:hAnsi="Arial" w:eastAsia="仿宋" w:cs="宋体"/>
          <w:color w:val="C00000"/>
          <w:sz w:val="18"/>
        </w:rPr>
      </w:pPr>
    </w:p>
    <w:p w14:paraId="1F7D9E3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租赁方面，根据世邦魏理仕数据，</w:t>
      </w:r>
      <w:r>
        <w:rPr>
          <w:rFonts w:ascii="Arial" w:hAnsi="Arial"/>
          <w:color w:val="000000"/>
          <w:sz w:val="21"/>
        </w:rPr>
        <w:t>2025年北京市商业办公用房租赁市场整体呈现</w:t>
      </w:r>
      <w:r>
        <w:rPr>
          <w:rFonts w:hint="eastAsia" w:ascii="Arial" w:hAnsi="Arial"/>
          <w:color w:val="000000"/>
          <w:sz w:val="21"/>
        </w:rPr>
        <w:t>“</w:t>
      </w:r>
      <w:r>
        <w:rPr>
          <w:rFonts w:ascii="Arial" w:hAnsi="Arial"/>
          <w:color w:val="000000"/>
          <w:sz w:val="21"/>
        </w:rPr>
        <w:t>存量深度调整，市场加速分化</w:t>
      </w:r>
      <w:r>
        <w:rPr>
          <w:rFonts w:hint="eastAsia" w:ascii="Arial" w:hAnsi="Arial"/>
          <w:color w:val="000000"/>
          <w:sz w:val="21"/>
        </w:rPr>
        <w:t>”</w:t>
      </w:r>
      <w:r>
        <w:rPr>
          <w:rFonts w:ascii="Arial" w:hAnsi="Arial"/>
          <w:color w:val="000000"/>
          <w:sz w:val="21"/>
        </w:rPr>
        <w:t> 的显著特征。办公楼市场新增供应创下自2015年以来的历史新低，全年仅</w:t>
      </w:r>
      <w:r>
        <w:rPr>
          <w:rFonts w:hint="eastAsia" w:ascii="Arial" w:hAnsi="Arial"/>
          <w:color w:val="000000"/>
          <w:sz w:val="21"/>
        </w:rPr>
        <w:t>新供应</w:t>
      </w:r>
      <w:r>
        <w:rPr>
          <w:rFonts w:ascii="Arial" w:hAnsi="Arial"/>
          <w:color w:val="000000"/>
          <w:sz w:val="21"/>
        </w:rPr>
        <w:t>18万平方米，供应的极度紧缩为市场去化创造了客观条件。全年净吸纳量达43.8万平方米，推动整体空置率连续四个季度下降至19.1%。然而，市场需求结构发生深刻变化：TMT行业（占36%）仍是核心引擎，以算力、人工智能为首的细分领域保持活跃；金融业（占21%）需求恢复缓慢且以小面积为主；专业服务业（占8%）需求稳定。从区域看，需求高度集中于CBD（24%）、中关村（17%）和望京（13%）；而CBD、金融街等传统区域则因金融业整合退租，去化压力严峻。全年租金面价在激烈的价格竞争下累计下跌10.7%，至228.5元</w:t>
      </w:r>
      <w:r>
        <w:rPr>
          <w:rFonts w:hint="eastAsia" w:ascii="Arial" w:hAnsi="Arial"/>
          <w:color w:val="000000"/>
          <w:sz w:val="21"/>
        </w:rPr>
        <w:t>/平方米·月</w:t>
      </w:r>
      <w:r>
        <w:rPr>
          <w:rFonts w:ascii="Arial" w:hAnsi="Arial"/>
          <w:color w:val="000000"/>
          <w:sz w:val="21"/>
        </w:rPr>
        <w:t>，金融街跌幅居前，甲级与乙级、老旧项目</w:t>
      </w:r>
      <w:r>
        <w:rPr>
          <w:rFonts w:hint="eastAsia" w:ascii="Arial" w:hAnsi="Arial"/>
          <w:color w:val="000000"/>
          <w:sz w:val="21"/>
        </w:rPr>
        <w:t>之间</w:t>
      </w:r>
      <w:r>
        <w:rPr>
          <w:rFonts w:ascii="Arial" w:hAnsi="Arial"/>
          <w:color w:val="000000"/>
          <w:sz w:val="21"/>
        </w:rPr>
        <w:t>的租金表现分化加剧。</w:t>
      </w:r>
    </w:p>
    <w:p w14:paraId="5B706046">
      <w:pPr>
        <w:overflowPunct w:val="0"/>
        <w:spacing w:line="480" w:lineRule="auto"/>
        <w:ind w:firstLine="420"/>
        <w:jc w:val="both"/>
        <w:textAlignment w:val="auto"/>
        <w:rPr>
          <w:rFonts w:ascii="Arial" w:hAnsi="Arial"/>
          <w:color w:val="000000"/>
          <w:sz w:val="21"/>
        </w:rPr>
      </w:pPr>
      <w:r>
        <w:rPr>
          <w:rFonts w:ascii="Arial" w:hAnsi="Arial"/>
          <w:color w:val="000000"/>
          <w:sz w:val="21"/>
        </w:rPr>
        <w:t>与此同时，零售物业市场则以 城市更新为主线，全年53.4万平方米的新增供应全部来自改造项目，如中关村大融城与隆福寺二期。在社消总额同比下降的背景下，市场业态持续迭代：餐饮（占44%）</w:t>
      </w:r>
      <w:r>
        <w:rPr>
          <w:rFonts w:hint="eastAsia" w:ascii="Arial" w:hAnsi="Arial"/>
          <w:color w:val="000000"/>
          <w:sz w:val="21"/>
        </w:rPr>
        <w:t>中</w:t>
      </w:r>
      <w:r>
        <w:rPr>
          <w:rFonts w:ascii="Arial" w:hAnsi="Arial"/>
          <w:color w:val="000000"/>
          <w:sz w:val="21"/>
        </w:rPr>
        <w:t>地方特色</w:t>
      </w:r>
      <w:r>
        <w:rPr>
          <w:rFonts w:hint="eastAsia" w:ascii="Arial" w:hAnsi="Arial"/>
          <w:color w:val="000000"/>
          <w:sz w:val="21"/>
        </w:rPr>
        <w:t>餐饮与茶饮烘焙表现突出；服饰鞋包（占</w:t>
      </w:r>
      <w:r>
        <w:rPr>
          <w:rFonts w:ascii="Arial" w:hAnsi="Arial"/>
          <w:color w:val="000000"/>
          <w:sz w:val="21"/>
        </w:rPr>
        <w:t>33%）中本土设计品牌占比提升；生活方式类业态（占7%）扩张明显，成为非核心商圈引流关键。通过业主积极的租金让步与业态调改策略，全年净吸纳量达42.6万平方米，推动空置率在年末回落至7.4%。然而，全市首层平均租金报价仍累计下跌2.4%，至30.0元</w:t>
      </w:r>
      <w:r>
        <w:rPr>
          <w:rFonts w:hint="eastAsia" w:ascii="Arial" w:hAnsi="Arial"/>
          <w:color w:val="000000"/>
          <w:sz w:val="21"/>
        </w:rPr>
        <w:t>/平方米·月</w:t>
      </w:r>
      <w:r>
        <w:rPr>
          <w:rFonts w:ascii="Arial" w:hAnsi="Arial"/>
          <w:color w:val="000000"/>
          <w:sz w:val="21"/>
        </w:rPr>
        <w:t>，次级商圈租金承压尤为突出，市场分化显著。</w:t>
      </w:r>
    </w:p>
    <w:p w14:paraId="289EB46B">
      <w:pPr>
        <w:widowControl/>
        <w:overflowPunct w:val="0"/>
        <w:spacing w:line="360" w:lineRule="auto"/>
        <w:rPr>
          <w:rFonts w:ascii="Arial" w:hAnsi="Arial"/>
          <w:bCs/>
          <w:sz w:val="21"/>
          <w:szCs w:val="28"/>
        </w:rPr>
      </w:pPr>
      <w:r>
        <w:rPr>
          <w:rFonts w:hint="eastAsia" w:ascii="Arial" w:hAnsi="Arial"/>
          <w:bCs/>
          <w:sz w:val="21"/>
          <w:szCs w:val="28"/>
        </w:rPr>
        <w:t>5.产业</w:t>
      </w:r>
      <w:r>
        <w:rPr>
          <w:rFonts w:hint="eastAsia" w:ascii="Arial" w:hAnsi="Arial"/>
          <w:color w:val="000000"/>
          <w:sz w:val="21"/>
          <w:szCs w:val="21"/>
        </w:rPr>
        <w:t>政策</w:t>
      </w:r>
      <w:r>
        <w:rPr>
          <w:rFonts w:hint="eastAsia" w:ascii="Arial" w:hAnsi="Arial"/>
          <w:bCs/>
          <w:sz w:val="21"/>
          <w:szCs w:val="28"/>
        </w:rPr>
        <w:t>情况</w:t>
      </w:r>
    </w:p>
    <w:p w14:paraId="511B2E6B">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（1）全国政策</w:t>
      </w:r>
    </w:p>
    <w:p w14:paraId="6759F216">
      <w:pPr>
        <w:widowControl/>
        <w:adjustRightInd/>
        <w:spacing w:line="480" w:lineRule="auto"/>
        <w:ind w:firstLine="420" w:firstLineChars="200"/>
        <w:jc w:val="both"/>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22068DB3">
      <w:pPr>
        <w:widowControl/>
        <w:adjustRightInd/>
        <w:spacing w:line="480" w:lineRule="auto"/>
        <w:ind w:firstLine="420" w:firstLineChars="200"/>
        <w:jc w:val="both"/>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512A9D1B">
      <w:pPr>
        <w:widowControl/>
        <w:adjustRightInd/>
        <w:spacing w:line="480" w:lineRule="auto"/>
        <w:ind w:firstLine="420" w:firstLineChars="200"/>
        <w:jc w:val="both"/>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F522718">
      <w:pPr>
        <w:widowControl/>
        <w:adjustRightInd/>
        <w:spacing w:line="480" w:lineRule="auto"/>
        <w:ind w:firstLine="420" w:firstLineChars="200"/>
        <w:jc w:val="both"/>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3B5F56BA">
      <w:pPr>
        <w:widowControl/>
        <w:adjustRightInd/>
        <w:spacing w:line="480" w:lineRule="auto"/>
        <w:ind w:firstLine="420" w:firstLineChars="200"/>
        <w:jc w:val="both"/>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52" w:name="OLE_LINK7"/>
      <w:r>
        <w:rPr>
          <w:rFonts w:ascii="Arial" w:hAnsi="Arial"/>
          <w:color w:val="000000"/>
          <w:sz w:val="21"/>
        </w:rPr>
        <w:t>中央城市工作会议</w:t>
      </w:r>
      <w:bookmarkEnd w:id="5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560DC835">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2025年8月28日，《中共中央 国务院关于推动城市高质量发展的意见》公开发布，</w:t>
      </w:r>
      <w:r>
        <w:rPr>
          <w:rFonts w:ascii="Arial" w:hAnsi="Arial"/>
          <w:bCs/>
          <w:sz w:val="21"/>
          <w:szCs w:val="28"/>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15418EAF">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w:t>
      </w:r>
      <w:r>
        <w:rPr>
          <w:rFonts w:ascii="Arial" w:hAnsi="Arial"/>
          <w:bCs/>
          <w:sz w:val="21"/>
          <w:szCs w:val="28"/>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3AD1E4FA">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w:t>
      </w:r>
      <w:r>
        <w:rPr>
          <w:rFonts w:ascii="Arial" w:hAnsi="Arial"/>
          <w:bCs/>
          <w:sz w:val="21"/>
          <w:szCs w:val="28"/>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746625FF">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2025年10月28日，</w:t>
      </w:r>
      <w:r>
        <w:rPr>
          <w:rFonts w:ascii="Arial" w:hAnsi="Arial"/>
          <w:bCs/>
          <w:sz w:val="21"/>
          <w:szCs w:val="28"/>
        </w:rPr>
        <w:t>《中共中央关于制定国民经济和社会发展第十五个五年规划的建议》全文发布，</w:t>
      </w:r>
      <w:r>
        <w:rPr>
          <w:rFonts w:hint="eastAsia" w:ascii="Arial" w:hAnsi="Arial"/>
          <w:bCs/>
          <w:sz w:val="21"/>
          <w:szCs w:val="28"/>
        </w:rPr>
        <w:t>关于房地产</w:t>
      </w:r>
      <w:r>
        <w:rPr>
          <w:rFonts w:ascii="Arial" w:hAnsi="Arial"/>
          <w:bCs/>
          <w:sz w:val="21"/>
          <w:szCs w:val="28"/>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bCs/>
          <w:sz w:val="21"/>
          <w:szCs w:val="28"/>
        </w:rPr>
        <w:t>2</w:t>
      </w:r>
      <w:r>
        <w:rPr>
          <w:rFonts w:ascii="Arial" w:hAnsi="Arial"/>
          <w:bCs/>
          <w:sz w:val="21"/>
          <w:szCs w:val="28"/>
        </w:rPr>
        <w:t>）优化国土空间发展格局：赋予省级政府统筹建设用地更大自主权，探索实施建设用地总量按规划期管控模式，实行统筹存量和增量综合供地；（</w:t>
      </w:r>
      <w:r>
        <w:rPr>
          <w:rFonts w:hint="eastAsia" w:ascii="Arial" w:hAnsi="Arial"/>
          <w:bCs/>
          <w:sz w:val="21"/>
          <w:szCs w:val="28"/>
        </w:rPr>
        <w:t>3</w:t>
      </w:r>
      <w:r>
        <w:rPr>
          <w:rFonts w:ascii="Arial" w:hAnsi="Arial"/>
          <w:bCs/>
          <w:sz w:val="21"/>
          <w:szCs w:val="28"/>
        </w:rPr>
        <w:t>）坚持城市内涵式发展，大力实施城市更新，建设创新、宜居、美丽、韧性、文明、智慧的现代化人民城市；（</w:t>
      </w:r>
      <w:r>
        <w:rPr>
          <w:rFonts w:hint="eastAsia" w:ascii="Arial" w:hAnsi="Arial"/>
          <w:bCs/>
          <w:sz w:val="21"/>
          <w:szCs w:val="28"/>
        </w:rPr>
        <w:t>4</w:t>
      </w:r>
      <w:r>
        <w:rPr>
          <w:rFonts w:ascii="Arial" w:hAnsi="Arial"/>
          <w:bCs/>
          <w:sz w:val="21"/>
          <w:szCs w:val="28"/>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bCs/>
          <w:sz w:val="21"/>
          <w:szCs w:val="28"/>
        </w:rPr>
        <w:t>5</w:t>
      </w:r>
      <w:r>
        <w:rPr>
          <w:rFonts w:ascii="Arial" w:hAnsi="Arial"/>
          <w:bCs/>
          <w:sz w:val="21"/>
          <w:szCs w:val="28"/>
        </w:rPr>
        <w:t>）提高防范化解重点领域风险能力，统筹推进房地产、地方政府债务、中小金融机构等风险有序化解，严防系统性风险。</w:t>
      </w:r>
    </w:p>
    <w:p w14:paraId="0C6EC5E9">
      <w:pPr>
        <w:widowControl/>
        <w:adjustRightInd/>
        <w:spacing w:line="480" w:lineRule="auto"/>
        <w:ind w:firstLine="420" w:firstLineChars="200"/>
        <w:jc w:val="both"/>
        <w:rPr>
          <w:rFonts w:ascii="Arial" w:hAnsi="Arial"/>
          <w:bCs/>
          <w:sz w:val="21"/>
          <w:szCs w:val="28"/>
        </w:rPr>
      </w:pPr>
      <w:r>
        <w:rPr>
          <w:rFonts w:ascii="Arial" w:hAnsi="Arial"/>
          <w:bCs/>
          <w:sz w:val="21"/>
          <w:szCs w:val="28"/>
        </w:rPr>
        <w:t>202</w:t>
      </w:r>
      <w:r>
        <w:rPr>
          <w:rFonts w:hint="eastAsia" w:ascii="Arial" w:hAnsi="Arial"/>
          <w:bCs/>
          <w:sz w:val="21"/>
          <w:szCs w:val="28"/>
        </w:rPr>
        <w:t>5</w:t>
      </w:r>
      <w:r>
        <w:rPr>
          <w:rFonts w:ascii="Arial" w:hAnsi="Arial"/>
          <w:bCs/>
          <w:sz w:val="21"/>
          <w:szCs w:val="28"/>
        </w:rPr>
        <w:t>年12月1</w:t>
      </w:r>
      <w:r>
        <w:rPr>
          <w:rFonts w:hint="eastAsia" w:ascii="Arial" w:hAnsi="Arial"/>
          <w:bCs/>
          <w:sz w:val="21"/>
          <w:szCs w:val="28"/>
        </w:rPr>
        <w:t>0</w:t>
      </w:r>
      <w:r>
        <w:rPr>
          <w:rFonts w:ascii="Arial" w:hAnsi="Arial"/>
          <w:bCs/>
          <w:sz w:val="21"/>
          <w:szCs w:val="28"/>
        </w:rPr>
        <w:t>日至1</w:t>
      </w:r>
      <w:r>
        <w:rPr>
          <w:rFonts w:hint="eastAsia" w:ascii="Arial" w:hAnsi="Arial"/>
          <w:bCs/>
          <w:sz w:val="21"/>
          <w:szCs w:val="28"/>
        </w:rPr>
        <w:t>1</w:t>
      </w:r>
      <w:r>
        <w:rPr>
          <w:rFonts w:ascii="Arial" w:hAnsi="Arial"/>
          <w:bCs/>
          <w:sz w:val="21"/>
          <w:szCs w:val="28"/>
        </w:rPr>
        <w:t>日，202</w:t>
      </w:r>
      <w:r>
        <w:rPr>
          <w:rFonts w:hint="eastAsia" w:ascii="Arial" w:hAnsi="Arial"/>
          <w:bCs/>
          <w:sz w:val="21"/>
          <w:szCs w:val="28"/>
        </w:rPr>
        <w:t>5</w:t>
      </w:r>
      <w:r>
        <w:rPr>
          <w:rFonts w:ascii="Arial" w:hAnsi="Arial"/>
          <w:bCs/>
          <w:sz w:val="21"/>
          <w:szCs w:val="28"/>
        </w:rPr>
        <w:t>年中央经济工作会议举行。会议总结202</w:t>
      </w:r>
      <w:r>
        <w:rPr>
          <w:rFonts w:hint="eastAsia" w:ascii="Arial" w:hAnsi="Arial"/>
          <w:bCs/>
          <w:sz w:val="21"/>
          <w:szCs w:val="28"/>
        </w:rPr>
        <w:t>5</w:t>
      </w:r>
      <w:r>
        <w:rPr>
          <w:rFonts w:ascii="Arial" w:hAnsi="Arial"/>
          <w:bCs/>
          <w:sz w:val="21"/>
          <w:szCs w:val="28"/>
        </w:rPr>
        <w:t>年经济工作，</w:t>
      </w:r>
      <w:r>
        <w:rPr>
          <w:rFonts w:hint="eastAsia" w:ascii="Arial" w:hAnsi="Arial"/>
          <w:bCs/>
          <w:sz w:val="21"/>
          <w:szCs w:val="28"/>
        </w:rPr>
        <w:t>分析当前经济形势，部署2026年经济工作</w:t>
      </w:r>
      <w:r>
        <w:rPr>
          <w:rFonts w:ascii="Arial" w:hAnsi="Arial"/>
          <w:bCs/>
          <w:sz w:val="21"/>
          <w:szCs w:val="28"/>
        </w:rPr>
        <w:t>。会议提出</w:t>
      </w:r>
      <w:r>
        <w:rPr>
          <w:rFonts w:hint="eastAsia" w:ascii="Arial" w:hAnsi="Arial"/>
          <w:bCs/>
          <w:sz w:val="21"/>
          <w:szCs w:val="28"/>
        </w:rPr>
        <w:t>“着力稳定房地产市场，因城施策控增量、去库存、优供给，鼓励收购存量商品房重点用于保障性住房等。深化住房公积金制度改革，有序推动‘好房子’建设。加快构建房地产发展新模式</w:t>
      </w:r>
      <w:r>
        <w:rPr>
          <w:rFonts w:ascii="Arial" w:hAnsi="Arial"/>
          <w:bCs/>
          <w:sz w:val="21"/>
          <w:szCs w:val="28"/>
        </w:rPr>
        <w:t>。</w:t>
      </w:r>
      <w:r>
        <w:rPr>
          <w:rFonts w:hint="eastAsia" w:ascii="Arial" w:hAnsi="Arial"/>
          <w:bCs/>
          <w:sz w:val="21"/>
          <w:szCs w:val="28"/>
        </w:rPr>
        <w:t>”</w:t>
      </w:r>
      <w:r>
        <w:rPr>
          <w:rFonts w:ascii="Arial" w:hAnsi="Arial"/>
          <w:bCs/>
          <w:sz w:val="21"/>
          <w:szCs w:val="28"/>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3F4E3B82">
      <w:pPr>
        <w:widowControl/>
        <w:adjustRightInd/>
        <w:spacing w:line="480" w:lineRule="auto"/>
        <w:ind w:firstLine="420" w:firstLineChars="200"/>
        <w:jc w:val="both"/>
        <w:rPr>
          <w:rFonts w:ascii="Arial" w:hAnsi="Arial"/>
          <w:bCs/>
          <w:sz w:val="21"/>
          <w:szCs w:val="28"/>
        </w:rPr>
      </w:pPr>
      <w:r>
        <w:rPr>
          <w:rFonts w:ascii="Arial" w:hAnsi="Arial"/>
          <w:bCs/>
          <w:sz w:val="21"/>
          <w:szCs w:val="28"/>
        </w:rPr>
        <w:t>202</w:t>
      </w:r>
      <w:r>
        <w:rPr>
          <w:rFonts w:hint="eastAsia" w:ascii="Arial" w:hAnsi="Arial"/>
          <w:bCs/>
          <w:sz w:val="21"/>
          <w:szCs w:val="28"/>
        </w:rPr>
        <w:t>5</w:t>
      </w:r>
      <w:r>
        <w:rPr>
          <w:rFonts w:ascii="Arial" w:hAnsi="Arial"/>
          <w:bCs/>
          <w:sz w:val="21"/>
          <w:szCs w:val="28"/>
        </w:rPr>
        <w:t>年12月2</w:t>
      </w:r>
      <w:r>
        <w:rPr>
          <w:rFonts w:hint="eastAsia" w:ascii="Arial" w:hAnsi="Arial"/>
          <w:bCs/>
          <w:sz w:val="21"/>
          <w:szCs w:val="28"/>
        </w:rPr>
        <w:t>2</w:t>
      </w:r>
      <w:r>
        <w:rPr>
          <w:rFonts w:ascii="Arial" w:hAnsi="Arial"/>
          <w:bCs/>
          <w:sz w:val="21"/>
          <w:szCs w:val="28"/>
        </w:rPr>
        <w:t>日至2</w:t>
      </w:r>
      <w:r>
        <w:rPr>
          <w:rFonts w:hint="eastAsia" w:ascii="Arial" w:hAnsi="Arial"/>
          <w:bCs/>
          <w:sz w:val="21"/>
          <w:szCs w:val="28"/>
        </w:rPr>
        <w:t>3</w:t>
      </w:r>
      <w:r>
        <w:rPr>
          <w:rFonts w:ascii="Arial" w:hAnsi="Arial"/>
          <w:bCs/>
          <w:sz w:val="21"/>
          <w:szCs w:val="28"/>
        </w:rPr>
        <w:t>日，全国住房城乡建设工作会议在北京召开。会议</w:t>
      </w:r>
      <w:r>
        <w:rPr>
          <w:rFonts w:hint="eastAsia" w:ascii="Arial" w:hAnsi="Arial"/>
          <w:bCs/>
          <w:sz w:val="21"/>
          <w:szCs w:val="28"/>
        </w:rPr>
        <w:t>全面盘点2025年工作，系统总结“十四五”时期住房城乡建设事业发展成就，研究部署“十五五”时期和2026年重点任务</w:t>
      </w:r>
      <w:r>
        <w:rPr>
          <w:rFonts w:ascii="Arial" w:hAnsi="Arial"/>
          <w:bCs/>
          <w:sz w:val="21"/>
          <w:szCs w:val="28"/>
        </w:rPr>
        <w:t>。会议强调，202</w:t>
      </w:r>
      <w:r>
        <w:rPr>
          <w:rFonts w:hint="eastAsia" w:ascii="Arial" w:hAnsi="Arial"/>
          <w:bCs/>
          <w:sz w:val="21"/>
          <w:szCs w:val="28"/>
        </w:rPr>
        <w:t>6</w:t>
      </w:r>
      <w:r>
        <w:rPr>
          <w:rFonts w:ascii="Arial" w:hAnsi="Arial"/>
          <w:bCs/>
          <w:sz w:val="21"/>
          <w:szCs w:val="28"/>
        </w:rPr>
        <w:t>年的工作要重点抓好</w:t>
      </w:r>
      <w:r>
        <w:rPr>
          <w:rFonts w:hint="eastAsia" w:ascii="Arial" w:hAnsi="Arial"/>
          <w:bCs/>
          <w:sz w:val="21"/>
          <w:szCs w:val="28"/>
        </w:rPr>
        <w:t>4</w:t>
      </w:r>
      <w:r>
        <w:rPr>
          <w:rFonts w:ascii="Arial" w:hAnsi="Arial"/>
          <w:bCs/>
          <w:sz w:val="21"/>
          <w:szCs w:val="28"/>
        </w:rPr>
        <w:t>个方面工作。一、</w:t>
      </w:r>
      <w:r>
        <w:rPr>
          <w:rFonts w:hint="eastAsia" w:ascii="Arial" w:hAnsi="Arial"/>
          <w:bCs/>
          <w:sz w:val="21"/>
          <w:szCs w:val="28"/>
        </w:rPr>
        <w:t>推进现代化人民城市建设，重点是：高质量开展城市更新，编制实施“十五五”城市更新专项规划，抓好城市体检、更新试点，实施一批民生工程、发展工程、安全工程。</w:t>
      </w:r>
      <w:r>
        <w:rPr>
          <w:rFonts w:ascii="Arial" w:hAnsi="Arial"/>
          <w:bCs/>
          <w:sz w:val="21"/>
          <w:szCs w:val="28"/>
        </w:rPr>
        <w:t>二、</w:t>
      </w:r>
      <w:r>
        <w:rPr>
          <w:rFonts w:hint="eastAsia" w:ascii="Arial" w:hAnsi="Arial"/>
          <w:bCs/>
          <w:sz w:val="21"/>
          <w:szCs w:val="28"/>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bCs/>
          <w:sz w:val="21"/>
          <w:szCs w:val="28"/>
        </w:rPr>
        <w:t>。三、</w:t>
      </w:r>
      <w:r>
        <w:rPr>
          <w:rFonts w:hint="eastAsia" w:ascii="Arial" w:hAnsi="Arial"/>
          <w:bCs/>
          <w:sz w:val="21"/>
          <w:szCs w:val="28"/>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bCs/>
          <w:sz w:val="21"/>
          <w:szCs w:val="28"/>
        </w:rPr>
        <w:t>。四、</w:t>
      </w:r>
      <w:r>
        <w:rPr>
          <w:rFonts w:hint="eastAsia" w:ascii="Arial" w:hAnsi="Arial"/>
          <w:bCs/>
          <w:sz w:val="21"/>
          <w:szCs w:val="28"/>
        </w:rPr>
        <w:t>夯实高质量发展基础支撑，重点是：提升法治建设水平，完善标准体系，加快推出一批工作急需的工程建设标准。加强统计分析，推动优化现行统计指标，强化统计数据分析应用</w:t>
      </w:r>
      <w:r>
        <w:rPr>
          <w:rFonts w:ascii="Arial" w:hAnsi="Arial"/>
          <w:bCs/>
          <w:sz w:val="21"/>
          <w:szCs w:val="28"/>
        </w:rPr>
        <w:t>。</w:t>
      </w:r>
    </w:p>
    <w:p w14:paraId="385AE29C">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（2）地方政策</w:t>
      </w:r>
    </w:p>
    <w:p w14:paraId="2F550DB1">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r>
        <w:rPr>
          <w:rFonts w:ascii="Arial" w:hAnsi="Arial"/>
          <w:bCs/>
          <w:sz w:val="21"/>
          <w:szCs w:val="28"/>
        </w:rPr>
        <w:t>。</w:t>
      </w:r>
    </w:p>
    <w:p w14:paraId="4504CB5E">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2025年1月8日，北京市住房和城乡建设委员会、北京市发展和改革委员会和北京市规划和自然资源委员会联合发布《关于印发〈老旧低效楼宇更新实施办法（试行）〉的通知》，</w:t>
      </w:r>
      <w:r>
        <w:rPr>
          <w:rFonts w:ascii="Arial" w:hAnsi="Arial"/>
          <w:bCs/>
          <w:sz w:val="21"/>
          <w:szCs w:val="28"/>
        </w:rPr>
        <w:t>旨在推动建成区内存在安全隐患、能耗超标或经济贡献不足的办公、商业楼宇更新改造，明确划分老旧楼宇（1980年前未抗震加固或2005年前未节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动态台账和联合审查机制，严禁擅自改变用途，强化全过程监管，试行期3年，以盘活存量空间、促进产业升级和城市功能优化</w:t>
      </w:r>
      <w:r>
        <w:rPr>
          <w:rFonts w:hint="eastAsia" w:ascii="Arial" w:hAnsi="Arial"/>
          <w:bCs/>
          <w:sz w:val="21"/>
          <w:szCs w:val="28"/>
        </w:rPr>
        <w:t>。</w:t>
      </w:r>
    </w:p>
    <w:p w14:paraId="28EFA7DB">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2025年7月10日，北京市人民政府发布</w:t>
      </w:r>
      <w:r>
        <w:rPr>
          <w:rFonts w:ascii="Arial" w:hAnsi="Arial"/>
          <w:bCs/>
          <w:sz w:val="21"/>
          <w:szCs w:val="28"/>
        </w:rPr>
        <w:t>《关于印发</w:t>
      </w:r>
      <w:r>
        <w:rPr>
          <w:rFonts w:hint="eastAsia" w:ascii="Arial" w:hAnsi="Arial"/>
          <w:bCs/>
          <w:sz w:val="21"/>
          <w:szCs w:val="28"/>
        </w:rPr>
        <w:t>〈北京市深化改革提振消费专项行动方案〉</w:t>
      </w:r>
      <w:r>
        <w:rPr>
          <w:rFonts w:ascii="Arial" w:hAnsi="Arial"/>
          <w:bCs/>
          <w:sz w:val="21"/>
          <w:szCs w:val="28"/>
        </w:rPr>
        <w:t>的通知》，提出共计24项具体方案。其中，</w:t>
      </w:r>
      <w:r>
        <w:rPr>
          <w:rFonts w:hint="eastAsia" w:ascii="Arial" w:hAnsi="Arial"/>
          <w:bCs/>
          <w:sz w:val="21"/>
          <w:szCs w:val="28"/>
        </w:rPr>
        <w:t>第20项“</w:t>
      </w:r>
      <w:r>
        <w:rPr>
          <w:rFonts w:ascii="Arial" w:hAnsi="Arial"/>
          <w:bCs/>
          <w:sz w:val="21"/>
          <w:szCs w:val="28"/>
        </w:rPr>
        <w:t>焕新商业消费空间活力</w:t>
      </w:r>
      <w:r>
        <w:rPr>
          <w:rFonts w:hint="eastAsia" w:ascii="Arial" w:hAnsi="Arial"/>
          <w:bCs/>
          <w:sz w:val="21"/>
          <w:szCs w:val="28"/>
        </w:rPr>
        <w:t>”</w:t>
      </w:r>
      <w:r>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1F9DB4CB">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w:t>
      </w:r>
      <w:r>
        <w:rPr>
          <w:rFonts w:ascii="Arial" w:hAnsi="Arial"/>
          <w:bCs/>
          <w:sz w:val="21"/>
          <w:szCs w:val="28"/>
        </w:rPr>
        <w:t>9月29日，</w:t>
      </w:r>
      <w:r>
        <w:rPr>
          <w:rFonts w:hint="eastAsia" w:ascii="Arial" w:hAnsi="Arial"/>
          <w:bCs/>
          <w:sz w:val="21"/>
          <w:szCs w:val="28"/>
        </w:rPr>
        <w:t>《</w:t>
      </w:r>
      <w:r>
        <w:rPr>
          <w:rFonts w:ascii="Arial" w:hAnsi="Arial"/>
          <w:bCs/>
          <w:sz w:val="21"/>
          <w:szCs w:val="28"/>
        </w:rPr>
        <w:t>北京市人民政府印发</w:t>
      </w:r>
      <w:r>
        <w:rPr>
          <w:rFonts w:hint="eastAsia" w:ascii="Arial" w:hAnsi="Arial"/>
          <w:bCs/>
          <w:sz w:val="21"/>
          <w:szCs w:val="28"/>
        </w:rPr>
        <w:t>〈北京市居住公共服务设施配置指标〉和〈北京市居住公共服务设施配置指标实施意见〉的通知》发布</w:t>
      </w:r>
      <w:r>
        <w:rPr>
          <w:rFonts w:ascii="Arial" w:hAnsi="Arial"/>
          <w:bCs/>
          <w:sz w:val="21"/>
          <w:szCs w:val="28"/>
        </w:rPr>
        <w:t>，对2015年印发的文件进行了全面修订</w:t>
      </w:r>
      <w:r>
        <w:rPr>
          <w:rFonts w:hint="eastAsia" w:ascii="Arial" w:hAnsi="Arial"/>
          <w:bCs/>
          <w:sz w:val="21"/>
          <w:szCs w:val="28"/>
        </w:rPr>
        <w:t>。《通知》</w:t>
      </w:r>
      <w:r>
        <w:rPr>
          <w:rFonts w:ascii="Arial" w:hAnsi="Arial"/>
          <w:bCs/>
          <w:sz w:val="21"/>
          <w:szCs w:val="28"/>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bCs/>
          <w:sz w:val="21"/>
          <w:szCs w:val="28"/>
        </w:rPr>
        <w:t>。</w:t>
      </w:r>
    </w:p>
    <w:p w14:paraId="1AD5951B">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2025年12月31日，北京市规划和自然资源委员会和北京市住房和城乡建设委员会联合发布《关于印发〈北京市城市更新范围内无手续建筑认定处理指导意见（试行）〉的通知》，该文件</w:t>
      </w:r>
      <w:r>
        <w:rPr>
          <w:rFonts w:ascii="Arial" w:hAnsi="Arial"/>
          <w:bCs/>
          <w:sz w:val="21"/>
          <w:szCs w:val="28"/>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bCs/>
          <w:sz w:val="21"/>
          <w:szCs w:val="28"/>
        </w:rPr>
        <w:t>。</w:t>
      </w:r>
    </w:p>
    <w:p w14:paraId="0C315CCE">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6.可预见未来</w:t>
      </w:r>
    </w:p>
    <w:p w14:paraId="4E951BCE">
      <w:pPr>
        <w:widowControl/>
        <w:adjustRightInd/>
        <w:spacing w:line="480" w:lineRule="auto"/>
        <w:ind w:firstLine="420" w:firstLineChars="200"/>
        <w:jc w:val="both"/>
        <w:rPr>
          <w:rFonts w:ascii="Arial" w:hAnsi="Arial"/>
          <w:bCs/>
          <w:sz w:val="21"/>
          <w:szCs w:val="28"/>
        </w:rPr>
      </w:pPr>
      <w:r>
        <w:rPr>
          <w:rFonts w:hint="eastAsia" w:ascii="Arial" w:hAnsi="Arial"/>
          <w:bCs/>
          <w:sz w:val="21"/>
          <w:szCs w:val="28"/>
        </w:rPr>
        <w:t>展望</w:t>
      </w:r>
      <w:r>
        <w:rPr>
          <w:rFonts w:ascii="Arial" w:hAnsi="Arial"/>
          <w:bCs/>
          <w:sz w:val="21"/>
          <w:szCs w:val="28"/>
        </w:rPr>
        <w:t>2026年，办公楼市场将迎来近53万平方米的供应小高峰，竞争将从价格战转向物业综合价值的全面比拼。零售市场预计亦有超过50万平方米的新增供应入市，主题化、沉浸式项目将成为差异化竞争的关键。整体而言，市场正从粗放扩张转向精细化、高质量运营的新阶段，具备强大产业锚定能力、卓越运营创新与内容IP的项目将赢得未来。</w:t>
      </w:r>
    </w:p>
    <w:p w14:paraId="18CC3FD5">
      <w:pPr>
        <w:spacing w:line="480" w:lineRule="auto"/>
        <w:jc w:val="both"/>
        <w:rPr>
          <w:rFonts w:ascii="Arial" w:hAnsi="Arial" w:cs="Arial"/>
          <w:b/>
          <w:bCs/>
          <w:color w:val="000000"/>
          <w:sz w:val="21"/>
          <w:szCs w:val="21"/>
        </w:rPr>
      </w:pPr>
      <w:r>
        <w:rPr>
          <w:rFonts w:ascii="Arial" w:hAnsi="Arial" w:cs="Arial"/>
          <w:b/>
          <w:bCs/>
          <w:color w:val="000000"/>
          <w:sz w:val="21"/>
          <w:szCs w:val="21"/>
        </w:rPr>
        <w:t>（二）估价对象所在区域相应用途房地产市场状况</w:t>
      </w:r>
    </w:p>
    <w:p w14:paraId="3B69BCEC">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5FEB82A6">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房山区地处北京西南，辖区总面积2019平方公里，平原、丘陵、山区各占三分之一，下辖28个乡镇(街道)、459个行政村、210个社区居委会。2021年全区常住人口为131.3万人，与2020年持平。</w:t>
      </w:r>
    </w:p>
    <w:p w14:paraId="56B2598E">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2024年末，全区常住人口 131.1万人，比上年末减少0.1万人。其中，常住外来人口44.3万人,占常住人口的比重为 33.8%。常住人口中，城镇人口 104.1万人，占常住人口的比重为 79.4%。全区户籍人口 85 万人，比上年末增加 0.1 万人，增长 0.2%。初步核算，2024年全区实现地区生产总值(GDP)948.9亿元，剔除价格因素影响，比上年增长 4.5%。其中，第一产业增加值 11.4亿元，增长 7.7%;第二产业增加值 330.3 亿元，增长 3.2%;第三产业增加值 607.3 亿元，增长 5.3%。</w:t>
      </w:r>
    </w:p>
    <w:p w14:paraId="50A607F5">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2024年，全区建筑业总产值实现 205.8亿元，比上年增长11.7%。房屋施工面积864.9万平方米，下降 0.4%;房屋竣工面积 133.4万平方米,增长 20%。其中,区属建筑业总产值实现 191.4亿元.增长 12.6%:房屋施工面积 864.9 万平方米，下降 0.4%;房屋竣工面积 133.4万平方米，增长 20%。</w:t>
      </w:r>
    </w:p>
    <w:p w14:paraId="62CE4235">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2.区域商业用房房地产市场状况</w:t>
      </w:r>
    </w:p>
    <w:p w14:paraId="59FA1D77">
      <w:pPr>
        <w:spacing w:line="480" w:lineRule="auto"/>
        <w:ind w:firstLine="420" w:firstLineChars="200"/>
        <w:jc w:val="both"/>
        <w:rPr>
          <w:rFonts w:ascii="Arial" w:hAnsi="Arial" w:cs="Arial"/>
          <w:b/>
          <w:bCs/>
          <w:sz w:val="21"/>
          <w:szCs w:val="21"/>
        </w:rPr>
      </w:pPr>
      <w:r>
        <w:rPr>
          <w:rFonts w:hint="eastAsia" w:ascii="Arial" w:hAnsi="Arial"/>
          <w:sz w:val="21"/>
          <w:szCs w:val="28"/>
        </w:rPr>
        <w:t>估价对象</w:t>
      </w:r>
      <w:r>
        <w:rPr>
          <w:rFonts w:hint="eastAsia" w:ascii="Arial" w:hAnsi="Arial"/>
          <w:kern w:val="2"/>
          <w:sz w:val="21"/>
        </w:rPr>
        <w:t>所属项目</w:t>
      </w:r>
      <w:r>
        <w:rPr>
          <w:rFonts w:hint="eastAsia" w:ascii="Arial" w:hAnsi="Arial"/>
          <w:sz w:val="21"/>
          <w:szCs w:val="28"/>
        </w:rPr>
        <w:t>位于</w:t>
      </w:r>
      <w:r>
        <w:rPr>
          <w:rFonts w:hint="eastAsia" w:ascii="Arial" w:hAnsi="Arial"/>
          <w:bCs/>
          <w:sz w:val="21"/>
        </w:rPr>
        <w:t>北京市房山区长于大街与良乡东路交口东北角</w:t>
      </w:r>
      <w:r>
        <w:rPr>
          <w:rFonts w:hint="eastAsia" w:ascii="Arial" w:hAnsi="Arial"/>
          <w:kern w:val="2"/>
          <w:sz w:val="21"/>
        </w:rPr>
        <w:t>，地处良乡大学城商圈核心位置，直通地铁房山线——良乡大学城北站。</w:t>
      </w:r>
      <w:r>
        <w:rPr>
          <w:rFonts w:hint="eastAsia" w:ascii="Arial" w:hAnsi="Arial" w:cs="Arial"/>
          <w:bCs/>
          <w:sz w:val="21"/>
        </w:rPr>
        <w:t>周边3公里范围内无其他大型购物中心，多以社区底商为主</w:t>
      </w:r>
      <w:r>
        <w:rPr>
          <w:rFonts w:hint="eastAsia" w:ascii="Arial" w:hAnsi="Arial" w:cs="Arial"/>
          <w:sz w:val="21"/>
          <w:szCs w:val="21"/>
        </w:rPr>
        <w:t>，</w:t>
      </w:r>
      <w:r>
        <w:rPr>
          <w:rFonts w:ascii="Arial" w:hAnsi="Arial" w:cs="Arial"/>
          <w:sz w:val="21"/>
          <w:szCs w:val="21"/>
        </w:rPr>
        <w:t>人流量</w:t>
      </w:r>
      <w:r>
        <w:rPr>
          <w:rFonts w:hint="eastAsia" w:ascii="Arial" w:hAnsi="Arial" w:cs="Arial"/>
          <w:sz w:val="21"/>
          <w:szCs w:val="21"/>
        </w:rPr>
        <w:t>较少</w:t>
      </w:r>
      <w:r>
        <w:rPr>
          <w:rFonts w:ascii="Arial" w:hAnsi="Arial" w:cs="Arial"/>
          <w:sz w:val="21"/>
          <w:szCs w:val="21"/>
        </w:rPr>
        <w:t>，商业繁华度</w:t>
      </w:r>
      <w:r>
        <w:rPr>
          <w:rFonts w:hint="eastAsia" w:ascii="Arial" w:hAnsi="Arial" w:cs="Arial"/>
          <w:sz w:val="21"/>
          <w:szCs w:val="21"/>
        </w:rPr>
        <w:t>一般。</w:t>
      </w:r>
      <w:r>
        <w:rPr>
          <w:rFonts w:hint="eastAsia" w:ascii="Arial" w:hAnsi="Arial"/>
          <w:sz w:val="21"/>
          <w:szCs w:val="28"/>
        </w:rPr>
        <w:t>据调查，估价对象周边1层商业用房销售价格约为</w:t>
      </w:r>
      <w:r>
        <w:rPr>
          <w:rFonts w:ascii="Arial" w:hAnsi="Arial"/>
          <w:sz w:val="21"/>
          <w:szCs w:val="28"/>
        </w:rPr>
        <w:t>10</w:t>
      </w:r>
      <w:r>
        <w:rPr>
          <w:rFonts w:hint="eastAsia" w:ascii="Arial" w:hAnsi="Arial"/>
          <w:sz w:val="21"/>
          <w:szCs w:val="28"/>
        </w:rPr>
        <w:t>000-</w:t>
      </w:r>
      <w:r>
        <w:rPr>
          <w:rFonts w:ascii="Arial" w:hAnsi="Arial"/>
          <w:sz w:val="21"/>
          <w:szCs w:val="28"/>
        </w:rPr>
        <w:t>16</w:t>
      </w:r>
      <w:r>
        <w:rPr>
          <w:rFonts w:hint="eastAsia" w:ascii="Arial" w:hAnsi="Arial"/>
          <w:sz w:val="21"/>
          <w:szCs w:val="28"/>
        </w:rPr>
        <w:t>000元/建筑平方米，周边1层商业用房房地产租赁价格区间在</w:t>
      </w:r>
      <w:r>
        <w:rPr>
          <w:rFonts w:ascii="Arial" w:hAnsi="Arial"/>
          <w:sz w:val="21"/>
          <w:szCs w:val="28"/>
        </w:rPr>
        <w:t>2.5</w:t>
      </w:r>
      <w:r>
        <w:rPr>
          <w:rFonts w:hint="eastAsia" w:ascii="Arial" w:hAnsi="Arial"/>
          <w:sz w:val="21"/>
          <w:szCs w:val="28"/>
        </w:rPr>
        <w:t>-</w:t>
      </w:r>
      <w:r>
        <w:rPr>
          <w:rFonts w:ascii="Arial" w:hAnsi="Arial"/>
          <w:sz w:val="21"/>
          <w:szCs w:val="28"/>
        </w:rPr>
        <w:t>3.5</w:t>
      </w:r>
      <w:r>
        <w:rPr>
          <w:rFonts w:hint="eastAsia" w:ascii="Arial" w:hAnsi="Arial"/>
          <w:sz w:val="21"/>
          <w:szCs w:val="28"/>
        </w:rPr>
        <w:t>元/建筑面积平方米·天。</w:t>
      </w:r>
    </w:p>
    <w:p w14:paraId="645C09ED">
      <w:pPr>
        <w:pStyle w:val="3"/>
        <w:numPr>
          <w:ilvl w:val="0"/>
          <w:numId w:val="0"/>
        </w:numPr>
        <w:spacing w:line="480" w:lineRule="auto"/>
        <w:ind w:left="358" w:hanging="358" w:hangingChars="170"/>
        <w:jc w:val="both"/>
        <w:rPr>
          <w:rFonts w:eastAsia="宋体"/>
          <w:kern w:val="2"/>
          <w:sz w:val="21"/>
          <w:szCs w:val="21"/>
        </w:rPr>
      </w:pPr>
      <w:bookmarkStart w:id="53" w:name="_Toc477252460"/>
      <w:r>
        <w:rPr>
          <w:rFonts w:eastAsia="宋体"/>
          <w:kern w:val="2"/>
          <w:sz w:val="21"/>
          <w:szCs w:val="21"/>
        </w:rPr>
        <w:t>三、估价对象最高最佳利用分析</w:t>
      </w:r>
      <w:bookmarkEnd w:id="53"/>
    </w:p>
    <w:p w14:paraId="6FAB3813">
      <w:pPr>
        <w:pStyle w:val="44"/>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36A55ECE">
      <w:pPr>
        <w:pStyle w:val="44"/>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r>
        <w:rPr>
          <w:rFonts w:hint="eastAsia" w:ascii="Arial" w:hAnsi="Arial" w:cs="Arial"/>
          <w:b/>
          <w:sz w:val="21"/>
          <w:szCs w:val="21"/>
        </w:rPr>
        <w:t>（</w:t>
      </w:r>
      <w:r>
        <w:rPr>
          <w:rFonts w:ascii="Arial" w:hAnsi="Arial" w:cs="Arial"/>
          <w:b/>
          <w:sz w:val="21"/>
          <w:szCs w:val="21"/>
        </w:rPr>
        <w:t>规划及相关政策法规许可</w:t>
      </w:r>
      <w:r>
        <w:rPr>
          <w:rFonts w:hint="eastAsia" w:ascii="Arial" w:hAnsi="Arial" w:cs="Arial"/>
          <w:b/>
          <w:sz w:val="21"/>
          <w:szCs w:val="21"/>
        </w:rPr>
        <w:t>）</w:t>
      </w:r>
    </w:p>
    <w:p w14:paraId="324D26FC">
      <w:pPr>
        <w:pStyle w:val="44"/>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法律上允许即不受现时使用状况的限制，而依照法律规章、规划发展方向，按照其可能的最优用途进行估价，截至价值时点，估价对象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，土地用途为</w:t>
      </w:r>
      <w:r>
        <w:rPr>
          <w:rFonts w:hint="eastAsia" w:ascii="Arial" w:hAnsi="Arial" w:cs="Arial"/>
          <w:kern w:val="2"/>
          <w:sz w:val="21"/>
          <w:szCs w:val="21"/>
        </w:rPr>
        <w:t>商业，房屋用途为商业，</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根据《估价委托书》，本次评估设定</w:t>
      </w:r>
      <w:r>
        <w:rPr>
          <w:rFonts w:hint="eastAsia" w:ascii="Arial" w:hAnsi="Arial" w:cs="Arial"/>
          <w:kern w:val="2"/>
          <w:sz w:val="21"/>
          <w:szCs w:val="21"/>
        </w:rPr>
        <w:t>估价对象的用途符合法律允许及规划要求</w:t>
      </w:r>
      <w:r>
        <w:rPr>
          <w:rFonts w:ascii="Arial" w:hAnsi="Arial" w:cs="Arial"/>
          <w:sz w:val="21"/>
          <w:szCs w:val="21"/>
        </w:rPr>
        <w:t>。</w:t>
      </w:r>
    </w:p>
    <w:p w14:paraId="30FBD9CB">
      <w:pPr>
        <w:pStyle w:val="44"/>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4A388034">
      <w:pPr>
        <w:pStyle w:val="44"/>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w:t>
      </w:r>
      <w:r>
        <w:rPr>
          <w:rFonts w:hint="eastAsia" w:ascii="Arial" w:hAnsi="Arial" w:cs="Arial"/>
          <w:sz w:val="21"/>
          <w:szCs w:val="21"/>
        </w:rPr>
        <w:t>,</w:t>
      </w:r>
      <w:r>
        <w:rPr>
          <w:rFonts w:ascii="Arial" w:hAnsi="Arial" w:cs="Arial"/>
          <w:sz w:val="21"/>
          <w:szCs w:val="21"/>
        </w:rPr>
        <w:t>要按照房屋建筑工程方面的技术要求进行估价。截至价值时点，估价对象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根据《估价委托书》，本次评估设定</w:t>
      </w:r>
      <w:r>
        <w:rPr>
          <w:rFonts w:ascii="Arial" w:hAnsi="Arial" w:cs="Arial"/>
          <w:sz w:val="21"/>
          <w:szCs w:val="21"/>
        </w:rPr>
        <w:t>估价对象建筑结构、功能、造型、立面效果、建筑材料和设备选用、施工技术等方面均已得到相关行政部门或第三方的认可，技术上均能满足要求。</w:t>
      </w:r>
    </w:p>
    <w:p w14:paraId="6FE8C561">
      <w:pPr>
        <w:pStyle w:val="44"/>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365A0A0C">
      <w:pPr>
        <w:pStyle w:val="44"/>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4B4136E1">
      <w:pPr>
        <w:pStyle w:val="44"/>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02B8851D">
      <w:pPr>
        <w:pStyle w:val="44"/>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w:t>
      </w:r>
      <w:r>
        <w:rPr>
          <w:rFonts w:ascii="Arial" w:hAnsi="Arial" w:cs="Arial"/>
          <w:color w:val="000000"/>
          <w:sz w:val="21"/>
          <w:szCs w:val="21"/>
        </w:rPr>
        <w:t>估价对象</w:t>
      </w:r>
      <w:r>
        <w:rPr>
          <w:rFonts w:hint="eastAsia" w:ascii="Arial" w:hAnsi="Arial" w:cs="Arial"/>
          <w:color w:val="000000"/>
          <w:sz w:val="21"/>
          <w:szCs w:val="21"/>
        </w:rPr>
        <w:t>的</w:t>
      </w:r>
      <w:r>
        <w:rPr>
          <w:rFonts w:ascii="Arial" w:hAnsi="Arial" w:cs="Arial"/>
          <w:color w:val="000000"/>
          <w:sz w:val="21"/>
          <w:szCs w:val="21"/>
        </w:rPr>
        <w:t>使用方式满足法律上许可、技术上可能、经济上可行，可使估价对象价值得到最大化</w:t>
      </w:r>
      <w:r>
        <w:rPr>
          <w:rFonts w:ascii="Arial" w:hAnsi="Arial" w:cs="Arial"/>
          <w:sz w:val="21"/>
          <w:szCs w:val="21"/>
        </w:rPr>
        <w:t>。</w:t>
      </w:r>
    </w:p>
    <w:p w14:paraId="2492F33B">
      <w:pPr>
        <w:pStyle w:val="44"/>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C27D6BC">
      <w:pPr>
        <w:pStyle w:val="44"/>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D7214EC">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为商业</w:t>
      </w:r>
      <w:r>
        <w:rPr>
          <w:rFonts w:ascii="Arial" w:hAnsi="Arial" w:cs="Arial"/>
          <w:sz w:val="21"/>
          <w:szCs w:val="21"/>
        </w:rPr>
        <w:t>为其最高最佳使用途径。</w:t>
      </w:r>
    </w:p>
    <w:p w14:paraId="624EDCFA">
      <w:pPr>
        <w:pStyle w:val="3"/>
        <w:numPr>
          <w:ilvl w:val="0"/>
          <w:numId w:val="0"/>
        </w:numPr>
        <w:spacing w:line="480" w:lineRule="auto"/>
        <w:ind w:left="358" w:hanging="358" w:hangingChars="170"/>
        <w:jc w:val="both"/>
        <w:rPr>
          <w:rFonts w:eastAsia="宋体"/>
          <w:kern w:val="2"/>
          <w:sz w:val="21"/>
          <w:szCs w:val="21"/>
        </w:rPr>
      </w:pPr>
      <w:bookmarkStart w:id="54" w:name="_Toc477252461"/>
      <w:r>
        <w:rPr>
          <w:rFonts w:eastAsia="宋体"/>
          <w:kern w:val="2"/>
          <w:sz w:val="21"/>
          <w:szCs w:val="21"/>
        </w:rPr>
        <w:t>四、估价方法适用性分析</w:t>
      </w:r>
      <w:bookmarkEnd w:id="54"/>
    </w:p>
    <w:p w14:paraId="2FB0856E">
      <w:pPr>
        <w:pStyle w:val="44"/>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，因此评估专业人员在认真分析研究估价对象的相关资料，并通过对邻近地区同类物业调查的基础上，确定如下技术路线</w:t>
      </w:r>
      <w:r>
        <w:rPr>
          <w:rFonts w:hint="eastAsia" w:ascii="Arial" w:hAnsi="Arial" w:cs="Arial"/>
          <w:sz w:val="21"/>
          <w:szCs w:val="21"/>
        </w:rPr>
        <w:t>：</w:t>
      </w:r>
      <w:r>
        <w:rPr>
          <w:rFonts w:ascii="Arial" w:hAnsi="Arial" w:cs="Arial"/>
          <w:sz w:val="21"/>
          <w:szCs w:val="21"/>
        </w:rPr>
        <w:t>首先，根据《房地产估价规范》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的估价程序采用</w:t>
      </w:r>
      <w:r>
        <w:rPr>
          <w:rFonts w:hint="eastAsia" w:ascii="Arial" w:hAnsi="Arial" w:cs="Arial"/>
          <w:sz w:val="21"/>
          <w:szCs w:val="21"/>
        </w:rPr>
        <w:t>比较法</w:t>
      </w:r>
      <w:r>
        <w:rPr>
          <w:rFonts w:ascii="Arial" w:hAnsi="Arial" w:cs="Arial"/>
          <w:sz w:val="21"/>
          <w:szCs w:val="21"/>
        </w:rPr>
        <w:t>求</w:t>
      </w:r>
      <w:r>
        <w:rPr>
          <w:rFonts w:hint="eastAsia" w:ascii="Arial" w:hAnsi="Arial"/>
          <w:kern w:val="2"/>
          <w:sz w:val="21"/>
        </w:rPr>
        <w:t>求取</w:t>
      </w:r>
      <w:r>
        <w:rPr>
          <w:rFonts w:hint="eastAsia" w:ascii="Arial" w:hAnsi="Arial" w:cs="Arial"/>
          <w:sz w:val="21"/>
          <w:szCs w:val="28"/>
        </w:rPr>
        <w:t>估价对象</w:t>
      </w:r>
      <w:r>
        <w:rPr>
          <w:rFonts w:hint="eastAsia" w:ascii="Arial" w:hAnsi="Arial" w:cs="Arial"/>
          <w:kern w:val="2"/>
          <w:sz w:val="21"/>
          <w:szCs w:val="21"/>
        </w:rPr>
        <w:t>阜盛西街11号院3</w:t>
      </w:r>
      <w:r>
        <w:rPr>
          <w:rFonts w:hint="eastAsia" w:ascii="Arial" w:hAnsi="Arial" w:cs="Arial"/>
          <w:sz w:val="21"/>
          <w:szCs w:val="28"/>
        </w:rPr>
        <w:t>号楼1层商业用房</w:t>
      </w:r>
      <w:r>
        <w:rPr>
          <w:rFonts w:hint="eastAsia" w:ascii="Arial" w:hAnsi="Arial"/>
          <w:kern w:val="2"/>
          <w:sz w:val="21"/>
        </w:rPr>
        <w:t>房地产市场租金水平</w:t>
      </w:r>
      <w:r>
        <w:rPr>
          <w:rFonts w:ascii="Arial" w:hAnsi="Arial" w:cs="Arial"/>
          <w:sz w:val="21"/>
          <w:szCs w:val="21"/>
        </w:rPr>
        <w:t>。</w:t>
      </w:r>
      <w:r>
        <w:rPr>
          <w:rFonts w:hint="eastAsia" w:ascii="Arial" w:hAnsi="Arial"/>
          <w:kern w:val="2"/>
          <w:sz w:val="21"/>
        </w:rPr>
        <w:t>其次，通过楼层、可视性、通达性、层高、使用率、平面布局等因素修正，</w:t>
      </w:r>
      <w:r>
        <w:rPr>
          <w:rFonts w:hint="eastAsia" w:ascii="Arial" w:hAnsi="Arial" w:cs="Arial"/>
          <w:sz w:val="21"/>
          <w:szCs w:val="28"/>
        </w:rPr>
        <w:t>求取估价对象各楼层商业用房房地产市场租金水平</w:t>
      </w:r>
      <w:r>
        <w:rPr>
          <w:rFonts w:ascii="Arial" w:hAnsi="Arial" w:cs="Arial"/>
          <w:sz w:val="21"/>
          <w:szCs w:val="21"/>
        </w:rPr>
        <w:t>。</w:t>
      </w:r>
    </w:p>
    <w:p w14:paraId="52FC815E">
      <w:pPr>
        <w:pStyle w:val="44"/>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6FDEAD2F">
      <w:pPr>
        <w:pStyle w:val="44"/>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，估价方法主要有比较法、收益法、成本法、假设开发法四种估价方法。四种估价方法的定义及适用条件如下：</w:t>
      </w:r>
    </w:p>
    <w:p w14:paraId="7112BC22">
      <w:pPr>
        <w:pStyle w:val="44"/>
        <w:autoSpaceDE w:val="0"/>
        <w:autoSpaceDN w:val="0"/>
        <w:spacing w:line="480" w:lineRule="auto"/>
        <w:ind w:right="6" w:firstLine="420" w:firstLineChars="20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8CE37C0">
      <w:pPr>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0FF3106C">
      <w:pPr>
        <w:pStyle w:val="44"/>
        <w:autoSpaceDE w:val="0"/>
        <w:autoSpaceDN w:val="0"/>
        <w:spacing w:line="480" w:lineRule="auto"/>
        <w:ind w:right="6" w:firstLine="420" w:firstLineChars="20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1364231">
      <w:pPr>
        <w:pStyle w:val="44"/>
        <w:autoSpaceDE w:val="0"/>
        <w:autoSpaceDN w:val="0"/>
        <w:spacing w:line="480" w:lineRule="auto"/>
        <w:ind w:right="140" w:firstLine="420" w:firstLineChars="20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792CD02E">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），估价方法的选用要求及应用条件如下：</w:t>
      </w:r>
    </w:p>
    <w:tbl>
      <w:tblPr>
        <w:tblStyle w:val="32"/>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1134"/>
        <w:gridCol w:w="2410"/>
        <w:gridCol w:w="5755"/>
      </w:tblGrid>
      <w:tr w14:paraId="0F734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tcPr>
          <w:p w14:paraId="43017609">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估价方法</w:t>
            </w:r>
          </w:p>
        </w:tc>
        <w:tc>
          <w:tcPr>
            <w:tcW w:w="2410" w:type="dxa"/>
          </w:tcPr>
          <w:p w14:paraId="1840E1B6">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选用要求</w:t>
            </w:r>
          </w:p>
        </w:tc>
        <w:tc>
          <w:tcPr>
            <w:tcW w:w="5755" w:type="dxa"/>
          </w:tcPr>
          <w:p w14:paraId="213457CB">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应用</w:t>
            </w:r>
          </w:p>
        </w:tc>
      </w:tr>
      <w:tr w14:paraId="5F75A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restart"/>
          </w:tcPr>
          <w:p w14:paraId="40B5DD55">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比较法</w:t>
            </w:r>
          </w:p>
        </w:tc>
        <w:tc>
          <w:tcPr>
            <w:tcW w:w="2410" w:type="dxa"/>
            <w:vMerge w:val="restart"/>
          </w:tcPr>
          <w:p w14:paraId="4F6FD713">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估价对象的同类房地产有较多交易的，应选用比较法</w:t>
            </w:r>
          </w:p>
        </w:tc>
        <w:tc>
          <w:tcPr>
            <w:tcW w:w="5755" w:type="dxa"/>
          </w:tcPr>
          <w:p w14:paraId="28353915">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适用物业：同类房地产数量较多、经常发生交易且具有一定的可比性的房地产，如：住宅（特别是数量较多、可比性较好的存量成套住宅）；写字楼；商铺；标准厂房；房地产开发用地等。</w:t>
            </w:r>
          </w:p>
        </w:tc>
      </w:tr>
      <w:tr w14:paraId="1EE37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continue"/>
          </w:tcPr>
          <w:p w14:paraId="1D1A9321">
            <w:pPr>
              <w:pStyle w:val="44"/>
              <w:wordWrap w:val="0"/>
              <w:overflowPunct w:val="0"/>
              <w:autoSpaceDE w:val="0"/>
              <w:autoSpaceDN w:val="0"/>
              <w:spacing w:line="240" w:lineRule="exact"/>
              <w:jc w:val="both"/>
              <w:textAlignment w:val="auto"/>
              <w:rPr>
                <w:rFonts w:ascii="Arial" w:hAnsi="Arial" w:eastAsia="华文细黑" w:cs="Arial"/>
                <w:sz w:val="18"/>
                <w:szCs w:val="21"/>
              </w:rPr>
            </w:pPr>
          </w:p>
        </w:tc>
        <w:tc>
          <w:tcPr>
            <w:tcW w:w="2410" w:type="dxa"/>
            <w:vMerge w:val="continue"/>
          </w:tcPr>
          <w:p w14:paraId="6C3DEC0E">
            <w:pPr>
              <w:pStyle w:val="44"/>
              <w:wordWrap w:val="0"/>
              <w:overflowPunct w:val="0"/>
              <w:autoSpaceDE w:val="0"/>
              <w:autoSpaceDN w:val="0"/>
              <w:spacing w:line="240" w:lineRule="exact"/>
              <w:jc w:val="both"/>
              <w:textAlignment w:val="auto"/>
              <w:rPr>
                <w:rFonts w:ascii="Arial" w:hAnsi="Arial" w:eastAsia="华文细黑" w:cs="Arial"/>
                <w:sz w:val="18"/>
                <w:szCs w:val="21"/>
              </w:rPr>
            </w:pPr>
          </w:p>
        </w:tc>
        <w:tc>
          <w:tcPr>
            <w:tcW w:w="5755" w:type="dxa"/>
          </w:tcPr>
          <w:p w14:paraId="7051C6D8">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不适用物业：</w:t>
            </w:r>
          </w:p>
          <w:p w14:paraId="18E1B1F2">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同类房地产数量很少的房地产，如：特殊厂房、机场、码头、博物馆、教堂、寺庙、古建筑等;</w:t>
            </w:r>
          </w:p>
          <w:p w14:paraId="67F0BFEA">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很少发生交易的房地产，如：学校、医院、行政办公楼等;</w:t>
            </w:r>
          </w:p>
          <w:p w14:paraId="5002EE4F">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可比性很差的房地产，如：在建工程等。</w:t>
            </w:r>
          </w:p>
        </w:tc>
      </w:tr>
      <w:tr w14:paraId="33FF6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restart"/>
          </w:tcPr>
          <w:p w14:paraId="1CB1D7A0">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收益法</w:t>
            </w:r>
          </w:p>
        </w:tc>
        <w:tc>
          <w:tcPr>
            <w:tcW w:w="2410" w:type="dxa"/>
            <w:vMerge w:val="restart"/>
          </w:tcPr>
          <w:p w14:paraId="2A3570CE">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估价对象或其同类房地产通常有租金等经济收人的，应选用收益法</w:t>
            </w:r>
          </w:p>
        </w:tc>
        <w:tc>
          <w:tcPr>
            <w:tcW w:w="5755" w:type="dxa"/>
          </w:tcPr>
          <w:p w14:paraId="307D68A6">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适用物业：同类房地产通常有租金等经济收人的收益性房地产，包括：住宅、写字楼、商店、酒店、餐馆、游乐场、影剧院、停车场、汽车加油站、标准厂房(用于出租的)、仓库(用于出租的)、农地等。</w:t>
            </w:r>
          </w:p>
        </w:tc>
      </w:tr>
      <w:tr w14:paraId="43B26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continue"/>
          </w:tcPr>
          <w:p w14:paraId="74F3DFF3">
            <w:pPr>
              <w:pStyle w:val="44"/>
              <w:wordWrap w:val="0"/>
              <w:overflowPunct w:val="0"/>
              <w:autoSpaceDE w:val="0"/>
              <w:autoSpaceDN w:val="0"/>
              <w:spacing w:line="240" w:lineRule="exact"/>
              <w:jc w:val="both"/>
              <w:textAlignment w:val="auto"/>
              <w:rPr>
                <w:rFonts w:ascii="Arial" w:hAnsi="Arial" w:eastAsia="华文细黑" w:cs="Arial"/>
                <w:sz w:val="18"/>
                <w:szCs w:val="21"/>
              </w:rPr>
            </w:pPr>
          </w:p>
        </w:tc>
        <w:tc>
          <w:tcPr>
            <w:tcW w:w="2410" w:type="dxa"/>
            <w:vMerge w:val="continue"/>
          </w:tcPr>
          <w:p w14:paraId="31E6ADC0">
            <w:pPr>
              <w:pStyle w:val="44"/>
              <w:wordWrap w:val="0"/>
              <w:overflowPunct w:val="0"/>
              <w:autoSpaceDE w:val="0"/>
              <w:autoSpaceDN w:val="0"/>
              <w:spacing w:line="240" w:lineRule="exact"/>
              <w:jc w:val="both"/>
              <w:textAlignment w:val="auto"/>
              <w:rPr>
                <w:rFonts w:ascii="Arial" w:hAnsi="Arial" w:eastAsia="华文细黑" w:cs="Arial"/>
                <w:sz w:val="18"/>
                <w:szCs w:val="21"/>
              </w:rPr>
            </w:pPr>
          </w:p>
        </w:tc>
        <w:tc>
          <w:tcPr>
            <w:tcW w:w="5755" w:type="dxa"/>
          </w:tcPr>
          <w:p w14:paraId="7CB2C79A">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不适用物业：行政办公楼、学校、公园等公用、公益性房地产。</w:t>
            </w:r>
          </w:p>
        </w:tc>
      </w:tr>
      <w:tr w14:paraId="3848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tcPr>
          <w:p w14:paraId="5B5E2F8D">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成本法</w:t>
            </w:r>
          </w:p>
        </w:tc>
        <w:tc>
          <w:tcPr>
            <w:tcW w:w="2410" w:type="dxa"/>
          </w:tcPr>
          <w:p w14:paraId="28F43D52">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估价对象可假定为独立的开发建设项目进行重新开发建设的，宜选用成本法;当估价对象的同类房地产没有交易或交易很少，且估价对象或其同类房地产没有租金等经济收人时，应选用成本法。</w:t>
            </w:r>
          </w:p>
        </w:tc>
        <w:tc>
          <w:tcPr>
            <w:tcW w:w="5755" w:type="dxa"/>
          </w:tcPr>
          <w:p w14:paraId="156D78CA">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适用物业：</w:t>
            </w:r>
          </w:p>
          <w:p w14:paraId="1E45D85A">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新近开发完成的房地产(简称新开发的房地产)、可以假设重新开发的现有房地产(简称旧的房地产)、正在开发的房地产</w:t>
            </w:r>
          </w:p>
          <w:p w14:paraId="7FD1A187">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(即在建工程)、计划开发的房地产(如期房)。</w:t>
            </w:r>
          </w:p>
          <w:p w14:paraId="0DF3ADDE">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很少发生交易而限制了比较法运用，又没有经济收入或没有潜在经济收入而限制了收益法运用的房地产，如：学校、医院、图书馆、体育场馆、公园、行政办公楼、军队营房等以公益、公用为目的的房地产，化工厂、钢铁厂、发电厂、油田、码头、机场之类有独特设计或只针对特定使用者的特殊需要而开发建设的房地产。</w:t>
            </w:r>
          </w:p>
        </w:tc>
      </w:tr>
      <w:tr w14:paraId="0A3C9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tcPr>
          <w:p w14:paraId="052F4F35">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假设开发法</w:t>
            </w:r>
          </w:p>
        </w:tc>
        <w:tc>
          <w:tcPr>
            <w:tcW w:w="2410" w:type="dxa"/>
          </w:tcPr>
          <w:p w14:paraId="13489210">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估价对象具有开发或再开发潜力且开发完成后的价值可采用除成本法以外的方法测算的，应选用假设开发法。</w:t>
            </w:r>
          </w:p>
        </w:tc>
        <w:tc>
          <w:tcPr>
            <w:tcW w:w="5755" w:type="dxa"/>
          </w:tcPr>
          <w:p w14:paraId="2EB953A7">
            <w:pPr>
              <w:pStyle w:val="44"/>
              <w:wordWrap w:val="0"/>
              <w:overflowPunct w:val="0"/>
              <w:autoSpaceDE w:val="0"/>
              <w:autoSpaceDN w:val="0"/>
              <w:spacing w:line="240" w:lineRule="exact"/>
              <w:jc w:val="both"/>
              <w:textAlignment w:val="auto"/>
              <w:rPr>
                <w:rFonts w:ascii="Arial" w:hAnsi="Arial" w:eastAsia="华文细黑" w:cs="Arial"/>
                <w:sz w:val="18"/>
                <w:szCs w:val="21"/>
              </w:rPr>
            </w:pPr>
            <w:r>
              <w:rPr>
                <w:rFonts w:hint="eastAsia" w:ascii="Arial" w:hAnsi="Arial" w:eastAsia="华文细黑" w:cs="Arial"/>
                <w:sz w:val="18"/>
                <w:szCs w:val="21"/>
              </w:rPr>
              <w:t>适用物业：可供开发的土地(包括生地、毛地、熟地，典型的是各种房地产开发用地)、在建工程(或称为房地产开发项目)、可重新开发、更新改造或改变用途的旧房(包括改建、扩建、重新装饰装修等。</w:t>
            </w:r>
          </w:p>
        </w:tc>
      </w:tr>
    </w:tbl>
    <w:p w14:paraId="6572C75E">
      <w:pPr>
        <w:pStyle w:val="44"/>
        <w:autoSpaceDE w:val="0"/>
        <w:autoSpaceDN w:val="0"/>
        <w:spacing w:line="240" w:lineRule="exact"/>
        <w:ind w:firstLine="420" w:firstLineChars="200"/>
        <w:jc w:val="both"/>
        <w:textAlignment w:val="bottom"/>
        <w:rPr>
          <w:rFonts w:ascii="Arial" w:hAnsi="Arial" w:cs="Arial"/>
          <w:color w:val="000000"/>
          <w:sz w:val="21"/>
          <w:szCs w:val="21"/>
        </w:rPr>
      </w:pPr>
    </w:p>
    <w:p w14:paraId="17865341">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评估专业人员根据估价对象的特点、实际情况以及估价目的</w:t>
      </w:r>
      <w:r>
        <w:rPr>
          <w:rFonts w:hint="eastAsia" w:ascii="Arial" w:hAnsi="Arial" w:cs="Arial"/>
          <w:sz w:val="21"/>
          <w:szCs w:val="21"/>
        </w:rPr>
        <w:t>，</w:t>
      </w:r>
      <w:r>
        <w:rPr>
          <w:rFonts w:ascii="Arial" w:hAnsi="Arial" w:cs="Arial"/>
          <w:sz w:val="21"/>
          <w:szCs w:val="21"/>
        </w:rPr>
        <w:t>对上述估价方法分析如下：</w:t>
      </w:r>
    </w:p>
    <w:p w14:paraId="045BE0DA">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比较法：</w:t>
      </w:r>
    </w:p>
    <w:p w14:paraId="05F32F78">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估价对象为综合体项目中的商业用房，同类房地产数量较多，经常发生交易且有一定可比性的房地产，符合比较法的选用及应用条件。</w:t>
      </w:r>
    </w:p>
    <w:p w14:paraId="6CA25CD8">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收益法：</w:t>
      </w:r>
    </w:p>
    <w:p w14:paraId="3B9C8832">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估价对象规划用途为商业，现状作为商业用房使用，根据评估专业人员对周边同类物业的调查，该类物业存在租赁市场，属可收益物业，符合收益法的选用及应用条件，但因本次评估目的是为估价委托人了解估价对象房地产市场租金水平提供参考依据，故本次评估未选用收益法。</w:t>
      </w:r>
    </w:p>
    <w:p w14:paraId="6A411526">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成本法：</w:t>
      </w:r>
    </w:p>
    <w:p w14:paraId="751DACE2">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估价对象为项目局部房地产，属于不可假定为独立的开发建设项目进行重新开发建设的类型，估价对象为已建成物业，且交易市场活跃，故本次评估未选用成本法。</w:t>
      </w:r>
    </w:p>
    <w:p w14:paraId="6003A68D">
      <w:pPr>
        <w:pStyle w:val="44"/>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假设开发法：</w:t>
      </w:r>
    </w:p>
    <w:p w14:paraId="4B0070A3">
      <w:pPr>
        <w:pStyle w:val="44"/>
        <w:autoSpaceDE w:val="0"/>
        <w:autoSpaceDN w:val="0"/>
        <w:spacing w:line="480" w:lineRule="auto"/>
        <w:ind w:right="140" w:firstLine="420" w:firstLineChars="200"/>
        <w:jc w:val="both"/>
        <w:textAlignment w:val="bottom"/>
        <w:rPr>
          <w:rFonts w:ascii="Arial" w:hAnsi="Arial" w:cs="Arial"/>
          <w:sz w:val="21"/>
          <w:szCs w:val="28"/>
        </w:rPr>
      </w:pPr>
      <w:r>
        <w:rPr>
          <w:rFonts w:hint="eastAsia" w:ascii="Arial" w:hAnsi="Arial" w:cs="Arial"/>
          <w:sz w:val="21"/>
          <w:szCs w:val="28"/>
        </w:rPr>
        <w:t>估价对象为已建成物业，且处于正常运营状态，尚不具备开发或在开发潜力，故不符合假设开发法的选用及应用条件。</w:t>
      </w:r>
    </w:p>
    <w:p w14:paraId="353F0344">
      <w:pPr>
        <w:pStyle w:val="44"/>
        <w:autoSpaceDE w:val="0"/>
        <w:autoSpaceDN w:val="0"/>
        <w:spacing w:line="480" w:lineRule="auto"/>
        <w:ind w:right="140" w:firstLine="420" w:firstLineChars="200"/>
        <w:jc w:val="both"/>
        <w:textAlignment w:val="bottom"/>
        <w:rPr>
          <w:rFonts w:ascii="Arial" w:hAnsi="Arial" w:cs="Arial"/>
          <w:sz w:val="21"/>
          <w:szCs w:val="28"/>
        </w:rPr>
      </w:pPr>
      <w:r>
        <w:rPr>
          <w:rFonts w:hint="eastAsia" w:ascii="Arial" w:hAnsi="Arial" w:cs="Arial"/>
          <w:sz w:val="21"/>
          <w:szCs w:val="28"/>
        </w:rPr>
        <w:t>最后，加总得出估价对象全部商业用房房地产市场租金水平</w:t>
      </w:r>
    </w:p>
    <w:p w14:paraId="52743021">
      <w:pPr>
        <w:pStyle w:val="44"/>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经上述分析，本次评估可选用的估价方法为比较法。</w:t>
      </w:r>
    </w:p>
    <w:p w14:paraId="52D296D4">
      <w:pPr>
        <w:pStyle w:val="44"/>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54398BE1">
      <w:pPr>
        <w:pStyle w:val="44"/>
        <w:autoSpaceDE w:val="0"/>
        <w:autoSpaceDN w:val="0"/>
        <w:spacing w:line="480" w:lineRule="auto"/>
        <w:ind w:right="6" w:firstLine="420" w:firstLineChars="200"/>
        <w:jc w:val="both"/>
        <w:textAlignment w:val="bottom"/>
        <w:rPr>
          <w:rFonts w:ascii="Arial" w:hAnsi="Arial" w:cs="Arial"/>
          <w:sz w:val="21"/>
          <w:szCs w:val="21"/>
        </w:rPr>
      </w:pPr>
      <w:r>
        <w:rPr>
          <w:rFonts w:ascii="Arial" w:hAnsi="Arial" w:cs="Arial"/>
          <w:sz w:val="21"/>
          <w:szCs w:val="21"/>
        </w:rPr>
        <w:t>1.根据《房地产估价规范》[GB/T 50291-2015]的估价程序采用比较法求取估价对</w:t>
      </w:r>
      <w:r>
        <w:rPr>
          <w:rFonts w:hint="eastAsia" w:ascii="Arial" w:hAnsi="Arial" w:cs="Arial"/>
          <w:sz w:val="21"/>
          <w:szCs w:val="28"/>
        </w:rPr>
        <w:t>象</w:t>
      </w:r>
      <w:r>
        <w:rPr>
          <w:rFonts w:hint="eastAsia" w:ascii="Arial" w:hAnsi="Arial" w:cs="Arial"/>
          <w:kern w:val="2"/>
          <w:sz w:val="21"/>
          <w:szCs w:val="21"/>
        </w:rPr>
        <w:t>阜盛西街11号院3</w:t>
      </w:r>
      <w:r>
        <w:rPr>
          <w:rFonts w:hint="eastAsia" w:ascii="Arial" w:hAnsi="Arial" w:cs="Arial"/>
          <w:sz w:val="21"/>
          <w:szCs w:val="28"/>
        </w:rPr>
        <w:t>号楼1层</w:t>
      </w:r>
      <w:r>
        <w:rPr>
          <w:rFonts w:hint="eastAsia" w:ascii="Arial" w:hAnsi="Arial" w:cs="Arial"/>
          <w:sz w:val="21"/>
          <w:szCs w:val="21"/>
        </w:rPr>
        <w:t>商业</w:t>
      </w:r>
      <w:r>
        <w:rPr>
          <w:rFonts w:ascii="Arial" w:hAnsi="Arial" w:cs="Arial"/>
          <w:sz w:val="21"/>
          <w:szCs w:val="21"/>
        </w:rPr>
        <w:t>用房的房地产市场价格。</w:t>
      </w:r>
    </w:p>
    <w:p w14:paraId="0D8FE16D">
      <w:pPr>
        <w:pStyle w:val="44"/>
        <w:autoSpaceDE w:val="0"/>
        <w:autoSpaceDN w:val="0"/>
        <w:spacing w:line="480" w:lineRule="auto"/>
        <w:ind w:right="6" w:firstLine="420" w:firstLineChars="200"/>
        <w:jc w:val="both"/>
        <w:textAlignment w:val="bottom"/>
        <w:rPr>
          <w:rFonts w:ascii="Arial" w:hAnsi="Arial" w:cs="Arial"/>
          <w:sz w:val="21"/>
          <w:szCs w:val="28"/>
        </w:rPr>
      </w:pPr>
      <w:r>
        <w:rPr>
          <w:rFonts w:hint="eastAsia" w:ascii="Arial" w:hAnsi="Arial"/>
          <w:kern w:val="2"/>
          <w:sz w:val="21"/>
        </w:rPr>
        <w:t>2.通过楼层、可视性、通达性、层高、使用率、平面布局等因素修正，</w:t>
      </w:r>
      <w:r>
        <w:rPr>
          <w:rFonts w:hint="eastAsia" w:ascii="Arial" w:hAnsi="Arial" w:cs="Arial"/>
          <w:sz w:val="21"/>
          <w:szCs w:val="28"/>
        </w:rPr>
        <w:t>求取估价对象各楼层商业用房房地产市场租金水平；</w:t>
      </w:r>
    </w:p>
    <w:p w14:paraId="136C9371">
      <w:pPr>
        <w:pStyle w:val="44"/>
        <w:autoSpaceDE w:val="0"/>
        <w:autoSpaceDN w:val="0"/>
        <w:spacing w:line="480" w:lineRule="auto"/>
        <w:ind w:right="6" w:firstLine="420" w:firstLineChars="200"/>
        <w:jc w:val="both"/>
        <w:textAlignment w:val="bottom"/>
        <w:rPr>
          <w:rFonts w:ascii="Arial" w:hAnsi="Arial" w:cs="Arial"/>
          <w:sz w:val="21"/>
          <w:szCs w:val="21"/>
        </w:rPr>
      </w:pPr>
      <w:r>
        <w:rPr>
          <w:rFonts w:hint="eastAsia" w:ascii="Arial" w:hAnsi="Arial" w:cs="Arial"/>
          <w:color w:val="000000"/>
          <w:kern w:val="2"/>
          <w:sz w:val="21"/>
          <w:szCs w:val="21"/>
        </w:rPr>
        <w:t>本报告最终估价结果采用价税合计的形式。其中：成本法/收益法/假设开发法的直接测算结果均不含增值税，需在其直接结果之上加计销项税额，转化为价税合计结果。对于销项税率的计取，基于估价的谨慎性原则以及对估价对象作为经营性物业其典型市场参与者为一般纳税人的判断，统一采用增值税一般纳税人的计税口径，即适用税率为9%计算。比较法因选取的可比实例成交价格直接反映了市场价税合计总价，因此该方法直接推导出的比较价值即为价税合计的结果。</w:t>
      </w:r>
    </w:p>
    <w:p w14:paraId="79EE8117">
      <w:pPr>
        <w:pStyle w:val="3"/>
        <w:numPr>
          <w:ilvl w:val="0"/>
          <w:numId w:val="0"/>
        </w:numPr>
        <w:spacing w:line="480" w:lineRule="auto"/>
        <w:ind w:left="358" w:hanging="358" w:hangingChars="170"/>
        <w:jc w:val="both"/>
        <w:rPr>
          <w:rFonts w:eastAsia="宋体"/>
          <w:kern w:val="2"/>
          <w:sz w:val="21"/>
          <w:szCs w:val="21"/>
        </w:rPr>
      </w:pPr>
      <w:bookmarkStart w:id="55" w:name="_Toc477252462"/>
      <w:r>
        <w:rPr>
          <w:rFonts w:eastAsia="宋体"/>
          <w:kern w:val="2"/>
          <w:sz w:val="21"/>
          <w:szCs w:val="21"/>
        </w:rPr>
        <w:t>五、估价测算过程</w:t>
      </w:r>
      <w:bookmarkEnd w:id="55"/>
      <w:r>
        <w:rPr>
          <w:rFonts w:hint="eastAsia" w:eastAsia="宋体"/>
          <w:kern w:val="2"/>
          <w:sz w:val="21"/>
          <w:szCs w:val="21"/>
        </w:rPr>
        <w:t xml:space="preserve">  </w:t>
      </w:r>
    </w:p>
    <w:p w14:paraId="25B42AEA">
      <w:pPr>
        <w:pStyle w:val="44"/>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估价对象面积</w:t>
      </w:r>
      <w:r>
        <w:rPr>
          <w:rFonts w:hint="eastAsia" w:ascii="Arial" w:hAnsi="Arial" w:cs="Arial"/>
          <w:sz w:val="21"/>
          <w:szCs w:val="21"/>
        </w:rPr>
        <w:t>指标</w:t>
      </w:r>
    </w:p>
    <w:p w14:paraId="4219FC3F">
      <w:pPr>
        <w:pStyle w:val="44"/>
        <w:autoSpaceDE w:val="0"/>
        <w:autoSpaceDN w:val="0"/>
        <w:spacing w:line="480" w:lineRule="auto"/>
        <w:ind w:firstLine="420" w:firstLineChars="200"/>
        <w:jc w:val="both"/>
        <w:textAlignment w:val="bottom"/>
        <w:rPr>
          <w:rFonts w:ascii="Arial" w:hAnsi="Arial"/>
          <w:bCs/>
          <w:sz w:val="21"/>
        </w:rPr>
      </w:pPr>
      <w:r>
        <w:rPr>
          <w:rFonts w:hint="eastAsia" w:ascii="Arial" w:hAnsi="Arial"/>
          <w:bCs/>
          <w:sz w:val="21"/>
        </w:rPr>
        <w:t>根据《不动产权证书》[京（2021）房不动产权第0024765号、京（2022）房不动产权第0001792、0001795号]、《房屋面积测算技术报告书（商品房类使用）》及《估价委托书》，估价对象总建筑面积为24871.67平方米，套内建筑面积为17190.47平方米</w:t>
      </w:r>
      <w:r>
        <w:rPr>
          <w:rFonts w:ascii="Arial" w:hAnsi="Arial" w:cs="Arial"/>
          <w:sz w:val="21"/>
          <w:szCs w:val="21"/>
        </w:rPr>
        <w:t>，</w:t>
      </w:r>
      <w:r>
        <w:rPr>
          <w:rFonts w:hint="eastAsia" w:ascii="Arial" w:hAnsi="Arial"/>
          <w:bCs/>
          <w:sz w:val="21"/>
        </w:rPr>
        <w:t>详见下表：</w:t>
      </w:r>
    </w:p>
    <w:tbl>
      <w:tblPr>
        <w:tblStyle w:val="32"/>
        <w:tblW w:w="4760" w:type="pct"/>
        <w:jc w:val="center"/>
        <w:tblLayout w:type="fixed"/>
        <w:tblCellMar>
          <w:top w:w="0" w:type="dxa"/>
          <w:left w:w="108" w:type="dxa"/>
          <w:bottom w:w="0" w:type="dxa"/>
          <w:right w:w="108" w:type="dxa"/>
        </w:tblCellMar>
      </w:tblPr>
      <w:tblGrid>
        <w:gridCol w:w="524"/>
        <w:gridCol w:w="970"/>
        <w:gridCol w:w="580"/>
        <w:gridCol w:w="600"/>
        <w:gridCol w:w="1134"/>
        <w:gridCol w:w="1228"/>
        <w:gridCol w:w="1701"/>
        <w:gridCol w:w="543"/>
        <w:gridCol w:w="732"/>
        <w:gridCol w:w="1045"/>
      </w:tblGrid>
      <w:tr w14:paraId="1F4309A9">
        <w:tblPrEx>
          <w:tblCellMar>
            <w:top w:w="0" w:type="dxa"/>
            <w:left w:w="108" w:type="dxa"/>
            <w:bottom w:w="0" w:type="dxa"/>
            <w:right w:w="108" w:type="dxa"/>
          </w:tblCellMar>
        </w:tblPrEx>
        <w:trPr>
          <w:trHeight w:val="20" w:hRule="atLeast"/>
          <w:tblHeader/>
          <w:jc w:val="center"/>
        </w:trPr>
        <w:tc>
          <w:tcPr>
            <w:tcW w:w="289"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3524C3C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地块</w:t>
            </w:r>
          </w:p>
        </w:tc>
        <w:tc>
          <w:tcPr>
            <w:tcW w:w="535" w:type="pct"/>
            <w:tcBorders>
              <w:top w:val="single" w:color="auto" w:sz="4" w:space="0"/>
              <w:left w:val="nil"/>
              <w:bottom w:val="single" w:color="auto" w:sz="4" w:space="0"/>
              <w:right w:val="single" w:color="auto" w:sz="4" w:space="0"/>
            </w:tcBorders>
            <w:shd w:val="clear" w:color="000000" w:fill="FFFFFF"/>
            <w:noWrap/>
            <w:vAlign w:val="center"/>
          </w:tcPr>
          <w:p w14:paraId="16B8E59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登记/测绘坐落</w:t>
            </w:r>
          </w:p>
        </w:tc>
        <w:tc>
          <w:tcPr>
            <w:tcW w:w="320" w:type="pct"/>
            <w:tcBorders>
              <w:top w:val="single" w:color="auto" w:sz="4" w:space="0"/>
              <w:left w:val="nil"/>
              <w:bottom w:val="single" w:color="auto" w:sz="4" w:space="0"/>
              <w:right w:val="single" w:color="auto" w:sz="4" w:space="0"/>
            </w:tcBorders>
            <w:shd w:val="clear" w:color="000000" w:fill="FFFFFF"/>
            <w:noWrap/>
            <w:vAlign w:val="center"/>
          </w:tcPr>
          <w:p w14:paraId="0BCA196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序号</w:t>
            </w:r>
          </w:p>
        </w:tc>
        <w:tc>
          <w:tcPr>
            <w:tcW w:w="330" w:type="pct"/>
            <w:tcBorders>
              <w:top w:val="single" w:color="auto" w:sz="4" w:space="0"/>
              <w:left w:val="nil"/>
              <w:bottom w:val="single" w:color="auto" w:sz="4" w:space="0"/>
              <w:right w:val="single" w:color="auto" w:sz="4" w:space="0"/>
            </w:tcBorders>
            <w:shd w:val="clear" w:color="000000" w:fill="FFFFFF"/>
            <w:noWrap/>
            <w:vAlign w:val="center"/>
          </w:tcPr>
          <w:p w14:paraId="2D5B99E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楼号/地块</w:t>
            </w:r>
          </w:p>
        </w:tc>
        <w:tc>
          <w:tcPr>
            <w:tcW w:w="625" w:type="pct"/>
            <w:tcBorders>
              <w:top w:val="single" w:color="auto" w:sz="4" w:space="0"/>
              <w:left w:val="nil"/>
              <w:bottom w:val="single" w:color="auto" w:sz="4" w:space="0"/>
              <w:right w:val="single" w:color="auto" w:sz="4" w:space="0"/>
            </w:tcBorders>
            <w:shd w:val="clear" w:color="000000" w:fill="FFFFFF"/>
            <w:noWrap/>
            <w:vAlign w:val="center"/>
          </w:tcPr>
          <w:p w14:paraId="20BA51F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部位及房号</w:t>
            </w:r>
          </w:p>
        </w:tc>
        <w:tc>
          <w:tcPr>
            <w:tcW w:w="677" w:type="pct"/>
            <w:tcBorders>
              <w:top w:val="single" w:color="auto" w:sz="4" w:space="0"/>
              <w:left w:val="nil"/>
              <w:bottom w:val="single" w:color="auto" w:sz="4" w:space="0"/>
              <w:right w:val="single" w:color="auto" w:sz="4" w:space="0"/>
            </w:tcBorders>
            <w:shd w:val="clear" w:color="000000" w:fill="FFFFFF"/>
            <w:noWrap/>
            <w:vAlign w:val="center"/>
          </w:tcPr>
          <w:p w14:paraId="1223707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建筑面积（㎡）</w:t>
            </w:r>
          </w:p>
        </w:tc>
        <w:tc>
          <w:tcPr>
            <w:tcW w:w="938" w:type="pct"/>
            <w:tcBorders>
              <w:top w:val="single" w:color="auto" w:sz="4" w:space="0"/>
              <w:left w:val="nil"/>
              <w:bottom w:val="single" w:color="auto" w:sz="4" w:space="0"/>
              <w:right w:val="single" w:color="auto" w:sz="4" w:space="0"/>
            </w:tcBorders>
            <w:shd w:val="clear" w:color="000000" w:fill="FFFFFF"/>
            <w:noWrap/>
            <w:vAlign w:val="center"/>
          </w:tcPr>
          <w:p w14:paraId="0239604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套内建筑面积（㎡）</w:t>
            </w:r>
          </w:p>
        </w:tc>
        <w:tc>
          <w:tcPr>
            <w:tcW w:w="300" w:type="pct"/>
            <w:tcBorders>
              <w:top w:val="single" w:color="auto" w:sz="4" w:space="0"/>
              <w:left w:val="nil"/>
              <w:bottom w:val="single" w:color="auto" w:sz="4" w:space="0"/>
              <w:right w:val="single" w:color="auto" w:sz="4" w:space="0"/>
            </w:tcBorders>
            <w:shd w:val="clear" w:color="000000" w:fill="FFFFFF"/>
            <w:noWrap/>
            <w:vAlign w:val="center"/>
          </w:tcPr>
          <w:p w14:paraId="0A6BAD6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用途</w:t>
            </w:r>
          </w:p>
        </w:tc>
        <w:tc>
          <w:tcPr>
            <w:tcW w:w="404" w:type="pct"/>
            <w:tcBorders>
              <w:top w:val="single" w:color="auto" w:sz="4" w:space="0"/>
              <w:left w:val="nil"/>
              <w:bottom w:val="single" w:color="auto" w:sz="4" w:space="0"/>
              <w:right w:val="single" w:color="auto" w:sz="4" w:space="0"/>
            </w:tcBorders>
            <w:shd w:val="clear" w:color="000000" w:fill="FFFFFF"/>
            <w:noWrap/>
            <w:vAlign w:val="center"/>
          </w:tcPr>
          <w:p w14:paraId="48E6AB1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地上/地下</w:t>
            </w:r>
          </w:p>
        </w:tc>
        <w:tc>
          <w:tcPr>
            <w:tcW w:w="577" w:type="pct"/>
            <w:tcBorders>
              <w:top w:val="single" w:color="auto" w:sz="4" w:space="0"/>
              <w:left w:val="nil"/>
              <w:bottom w:val="single" w:color="auto" w:sz="4" w:space="0"/>
              <w:right w:val="single" w:color="auto" w:sz="4" w:space="0"/>
            </w:tcBorders>
            <w:shd w:val="clear" w:color="000000" w:fill="FFFFFF"/>
            <w:noWrap/>
            <w:vAlign w:val="center"/>
          </w:tcPr>
          <w:p w14:paraId="0A86026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是否取得不动产权证书</w:t>
            </w:r>
          </w:p>
        </w:tc>
      </w:tr>
      <w:tr w14:paraId="125FC5A2">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right w:val="single" w:color="auto" w:sz="4" w:space="0"/>
            </w:tcBorders>
            <w:vAlign w:val="center"/>
          </w:tcPr>
          <w:p w14:paraId="24E37D1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042地块</w:t>
            </w:r>
          </w:p>
        </w:tc>
        <w:tc>
          <w:tcPr>
            <w:tcW w:w="535" w:type="pct"/>
            <w:vMerge w:val="restart"/>
            <w:tcBorders>
              <w:top w:val="nil"/>
              <w:left w:val="nil"/>
              <w:right w:val="single" w:color="auto" w:sz="4" w:space="0"/>
            </w:tcBorders>
            <w:shd w:val="clear" w:color="000000" w:fill="FFFFFF"/>
            <w:noWrap/>
            <w:vAlign w:val="center"/>
          </w:tcPr>
          <w:p w14:paraId="54E8BA3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房山区阜盛西街11号院3号楼</w:t>
            </w:r>
          </w:p>
        </w:tc>
        <w:tc>
          <w:tcPr>
            <w:tcW w:w="320" w:type="pct"/>
            <w:tcBorders>
              <w:top w:val="nil"/>
              <w:left w:val="nil"/>
              <w:bottom w:val="single" w:color="auto" w:sz="4" w:space="0"/>
              <w:right w:val="single" w:color="auto" w:sz="4" w:space="0"/>
            </w:tcBorders>
            <w:shd w:val="clear" w:color="000000" w:fill="FFFFFF"/>
            <w:noWrap/>
            <w:vAlign w:val="center"/>
          </w:tcPr>
          <w:p w14:paraId="3E01241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w:t>
            </w:r>
          </w:p>
        </w:tc>
        <w:tc>
          <w:tcPr>
            <w:tcW w:w="330" w:type="pct"/>
            <w:tcBorders>
              <w:top w:val="nil"/>
              <w:left w:val="nil"/>
              <w:bottom w:val="single" w:color="auto" w:sz="4" w:space="0"/>
              <w:right w:val="single" w:color="auto" w:sz="4" w:space="0"/>
            </w:tcBorders>
            <w:shd w:val="clear" w:color="000000" w:fill="FFFFFF"/>
            <w:noWrap/>
            <w:vAlign w:val="bottom"/>
          </w:tcPr>
          <w:p w14:paraId="131A796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66A039A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796A407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647.17</w:t>
            </w:r>
          </w:p>
        </w:tc>
        <w:tc>
          <w:tcPr>
            <w:tcW w:w="938" w:type="pct"/>
            <w:tcBorders>
              <w:top w:val="nil"/>
              <w:left w:val="nil"/>
              <w:bottom w:val="single" w:color="auto" w:sz="4" w:space="0"/>
              <w:right w:val="single" w:color="auto" w:sz="4" w:space="0"/>
            </w:tcBorders>
            <w:shd w:val="clear" w:color="000000" w:fill="FFFFFF"/>
            <w:noWrap/>
            <w:vAlign w:val="center"/>
          </w:tcPr>
          <w:p w14:paraId="61F9D91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517.82</w:t>
            </w:r>
          </w:p>
        </w:tc>
        <w:tc>
          <w:tcPr>
            <w:tcW w:w="300" w:type="pct"/>
            <w:tcBorders>
              <w:top w:val="nil"/>
              <w:left w:val="nil"/>
              <w:bottom w:val="single" w:color="auto" w:sz="4" w:space="0"/>
              <w:right w:val="single" w:color="auto" w:sz="4" w:space="0"/>
            </w:tcBorders>
            <w:shd w:val="clear" w:color="000000" w:fill="FFFFFF"/>
            <w:noWrap/>
            <w:vAlign w:val="center"/>
          </w:tcPr>
          <w:p w14:paraId="748CD50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EF22FF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F5EE0B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0F0F9610">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A81690D">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2967434">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AC62C5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w:t>
            </w:r>
          </w:p>
        </w:tc>
        <w:tc>
          <w:tcPr>
            <w:tcW w:w="330" w:type="pct"/>
            <w:tcBorders>
              <w:top w:val="nil"/>
              <w:left w:val="nil"/>
              <w:bottom w:val="single" w:color="auto" w:sz="4" w:space="0"/>
              <w:right w:val="single" w:color="auto" w:sz="4" w:space="0"/>
            </w:tcBorders>
            <w:shd w:val="clear" w:color="000000" w:fill="FFFFFF"/>
            <w:noWrap/>
            <w:vAlign w:val="bottom"/>
          </w:tcPr>
          <w:p w14:paraId="68E5E29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61C7361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00FFBF2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645.08</w:t>
            </w:r>
          </w:p>
        </w:tc>
        <w:tc>
          <w:tcPr>
            <w:tcW w:w="938" w:type="pct"/>
            <w:tcBorders>
              <w:top w:val="nil"/>
              <w:left w:val="nil"/>
              <w:bottom w:val="single" w:color="auto" w:sz="4" w:space="0"/>
              <w:right w:val="single" w:color="auto" w:sz="4" w:space="0"/>
            </w:tcBorders>
            <w:shd w:val="clear" w:color="000000" w:fill="FFFFFF"/>
            <w:noWrap/>
            <w:vAlign w:val="center"/>
          </w:tcPr>
          <w:p w14:paraId="141EFDF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516.15</w:t>
            </w:r>
          </w:p>
        </w:tc>
        <w:tc>
          <w:tcPr>
            <w:tcW w:w="300" w:type="pct"/>
            <w:tcBorders>
              <w:top w:val="nil"/>
              <w:left w:val="nil"/>
              <w:bottom w:val="single" w:color="auto" w:sz="4" w:space="0"/>
              <w:right w:val="single" w:color="auto" w:sz="4" w:space="0"/>
            </w:tcBorders>
            <w:shd w:val="clear" w:color="000000" w:fill="FFFFFF"/>
            <w:noWrap/>
            <w:vAlign w:val="center"/>
          </w:tcPr>
          <w:p w14:paraId="013CCF4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9FDB30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9361A0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8FB52FC">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BFD9688">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682DBC0">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3E5460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330" w:type="pct"/>
            <w:tcBorders>
              <w:top w:val="nil"/>
              <w:left w:val="nil"/>
              <w:bottom w:val="single" w:color="auto" w:sz="4" w:space="0"/>
              <w:right w:val="single" w:color="auto" w:sz="4" w:space="0"/>
            </w:tcBorders>
            <w:shd w:val="clear" w:color="000000" w:fill="FFFFFF"/>
            <w:noWrap/>
            <w:vAlign w:val="bottom"/>
          </w:tcPr>
          <w:p w14:paraId="37E69C8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3B75BC8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3063738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645.10</w:t>
            </w:r>
          </w:p>
        </w:tc>
        <w:tc>
          <w:tcPr>
            <w:tcW w:w="938" w:type="pct"/>
            <w:tcBorders>
              <w:top w:val="nil"/>
              <w:left w:val="nil"/>
              <w:bottom w:val="single" w:color="auto" w:sz="4" w:space="0"/>
              <w:right w:val="single" w:color="auto" w:sz="4" w:space="0"/>
            </w:tcBorders>
            <w:shd w:val="clear" w:color="000000" w:fill="FFFFFF"/>
            <w:noWrap/>
            <w:vAlign w:val="center"/>
          </w:tcPr>
          <w:p w14:paraId="26D89B9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516.16</w:t>
            </w:r>
          </w:p>
        </w:tc>
        <w:tc>
          <w:tcPr>
            <w:tcW w:w="300" w:type="pct"/>
            <w:tcBorders>
              <w:top w:val="nil"/>
              <w:left w:val="nil"/>
              <w:bottom w:val="single" w:color="auto" w:sz="4" w:space="0"/>
              <w:right w:val="single" w:color="auto" w:sz="4" w:space="0"/>
            </w:tcBorders>
            <w:shd w:val="clear" w:color="000000" w:fill="FFFFFF"/>
            <w:noWrap/>
            <w:vAlign w:val="center"/>
          </w:tcPr>
          <w:p w14:paraId="5309504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44EB6B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690C12B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6032A3E3">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B05CAC2">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3DB1F9B">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1A89C6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4</w:t>
            </w:r>
          </w:p>
        </w:tc>
        <w:tc>
          <w:tcPr>
            <w:tcW w:w="330" w:type="pct"/>
            <w:tcBorders>
              <w:top w:val="nil"/>
              <w:left w:val="nil"/>
              <w:bottom w:val="single" w:color="auto" w:sz="4" w:space="0"/>
              <w:right w:val="single" w:color="auto" w:sz="4" w:space="0"/>
            </w:tcBorders>
            <w:shd w:val="clear" w:color="000000" w:fill="FFFFFF"/>
            <w:noWrap/>
            <w:vAlign w:val="bottom"/>
          </w:tcPr>
          <w:p w14:paraId="5B2390A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5FF42D3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22E6EC4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654.08</w:t>
            </w:r>
          </w:p>
        </w:tc>
        <w:tc>
          <w:tcPr>
            <w:tcW w:w="938" w:type="pct"/>
            <w:tcBorders>
              <w:top w:val="nil"/>
              <w:left w:val="nil"/>
              <w:bottom w:val="single" w:color="auto" w:sz="4" w:space="0"/>
              <w:right w:val="single" w:color="auto" w:sz="4" w:space="0"/>
            </w:tcBorders>
            <w:shd w:val="clear" w:color="000000" w:fill="FFFFFF"/>
            <w:noWrap/>
            <w:vAlign w:val="center"/>
          </w:tcPr>
          <w:p w14:paraId="6EAED9F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523.35</w:t>
            </w:r>
          </w:p>
        </w:tc>
        <w:tc>
          <w:tcPr>
            <w:tcW w:w="300" w:type="pct"/>
            <w:tcBorders>
              <w:top w:val="nil"/>
              <w:left w:val="nil"/>
              <w:bottom w:val="single" w:color="auto" w:sz="4" w:space="0"/>
              <w:right w:val="single" w:color="auto" w:sz="4" w:space="0"/>
            </w:tcBorders>
            <w:shd w:val="clear" w:color="000000" w:fill="FFFFFF"/>
            <w:noWrap/>
            <w:vAlign w:val="center"/>
          </w:tcPr>
          <w:p w14:paraId="280775C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5EFE7B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7A51A6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4BF99A96">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C47AC73">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2E1FFE4">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18F03B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5</w:t>
            </w:r>
          </w:p>
        </w:tc>
        <w:tc>
          <w:tcPr>
            <w:tcW w:w="330" w:type="pct"/>
            <w:tcBorders>
              <w:top w:val="nil"/>
              <w:left w:val="nil"/>
              <w:bottom w:val="single" w:color="auto" w:sz="4" w:space="0"/>
              <w:right w:val="single" w:color="auto" w:sz="4" w:space="0"/>
            </w:tcBorders>
            <w:shd w:val="clear" w:color="000000" w:fill="FFFFFF"/>
            <w:noWrap/>
            <w:vAlign w:val="bottom"/>
          </w:tcPr>
          <w:p w14:paraId="013E6CD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0FB7717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64A952B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882.82</w:t>
            </w:r>
          </w:p>
        </w:tc>
        <w:tc>
          <w:tcPr>
            <w:tcW w:w="938" w:type="pct"/>
            <w:tcBorders>
              <w:top w:val="nil"/>
              <w:left w:val="nil"/>
              <w:bottom w:val="single" w:color="auto" w:sz="4" w:space="0"/>
              <w:right w:val="single" w:color="auto" w:sz="4" w:space="0"/>
            </w:tcBorders>
            <w:shd w:val="clear" w:color="000000" w:fill="FFFFFF"/>
            <w:noWrap/>
            <w:vAlign w:val="center"/>
          </w:tcPr>
          <w:p w14:paraId="46BE132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648.1</w:t>
            </w:r>
          </w:p>
        </w:tc>
        <w:tc>
          <w:tcPr>
            <w:tcW w:w="300" w:type="pct"/>
            <w:tcBorders>
              <w:top w:val="nil"/>
              <w:left w:val="nil"/>
              <w:bottom w:val="single" w:color="auto" w:sz="4" w:space="0"/>
              <w:right w:val="single" w:color="auto" w:sz="4" w:space="0"/>
            </w:tcBorders>
            <w:shd w:val="clear" w:color="000000" w:fill="FFFFFF"/>
            <w:noWrap/>
            <w:vAlign w:val="center"/>
          </w:tcPr>
          <w:p w14:paraId="6FF12E9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51E50E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64B6913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D6F946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A2A4805">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EFD36D4">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522D7C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330" w:type="pct"/>
            <w:tcBorders>
              <w:top w:val="nil"/>
              <w:left w:val="nil"/>
              <w:bottom w:val="single" w:color="auto" w:sz="4" w:space="0"/>
              <w:right w:val="single" w:color="auto" w:sz="4" w:space="0"/>
            </w:tcBorders>
            <w:shd w:val="clear" w:color="000000" w:fill="FFFFFF"/>
            <w:noWrap/>
            <w:vAlign w:val="bottom"/>
          </w:tcPr>
          <w:p w14:paraId="4A905C7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1A43A24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594CD65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1063.95</w:t>
            </w:r>
          </w:p>
        </w:tc>
        <w:tc>
          <w:tcPr>
            <w:tcW w:w="938" w:type="pct"/>
            <w:tcBorders>
              <w:top w:val="nil"/>
              <w:left w:val="nil"/>
              <w:bottom w:val="single" w:color="auto" w:sz="4" w:space="0"/>
              <w:right w:val="single" w:color="auto" w:sz="4" w:space="0"/>
            </w:tcBorders>
            <w:shd w:val="clear" w:color="000000" w:fill="FFFFFF"/>
            <w:noWrap/>
            <w:vAlign w:val="center"/>
          </w:tcPr>
          <w:p w14:paraId="003E0FE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781.07</w:t>
            </w:r>
          </w:p>
        </w:tc>
        <w:tc>
          <w:tcPr>
            <w:tcW w:w="300" w:type="pct"/>
            <w:tcBorders>
              <w:top w:val="nil"/>
              <w:left w:val="nil"/>
              <w:bottom w:val="single" w:color="auto" w:sz="4" w:space="0"/>
              <w:right w:val="single" w:color="auto" w:sz="4" w:space="0"/>
            </w:tcBorders>
            <w:shd w:val="clear" w:color="000000" w:fill="FFFFFF"/>
            <w:noWrap/>
            <w:vAlign w:val="center"/>
          </w:tcPr>
          <w:p w14:paraId="650C779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82292C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6BD245E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689E2051">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42F9DBD">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09FDAD1">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E9DF86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7</w:t>
            </w:r>
          </w:p>
        </w:tc>
        <w:tc>
          <w:tcPr>
            <w:tcW w:w="330" w:type="pct"/>
            <w:tcBorders>
              <w:top w:val="nil"/>
              <w:left w:val="nil"/>
              <w:bottom w:val="single" w:color="auto" w:sz="4" w:space="0"/>
              <w:right w:val="single" w:color="auto" w:sz="4" w:space="0"/>
            </w:tcBorders>
            <w:shd w:val="clear" w:color="000000" w:fill="FFFFFF"/>
            <w:noWrap/>
            <w:vAlign w:val="bottom"/>
          </w:tcPr>
          <w:p w14:paraId="3ABD0B7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70E0B10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7E6591A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749.63</w:t>
            </w:r>
          </w:p>
        </w:tc>
        <w:tc>
          <w:tcPr>
            <w:tcW w:w="938" w:type="pct"/>
            <w:tcBorders>
              <w:top w:val="nil"/>
              <w:left w:val="nil"/>
              <w:bottom w:val="single" w:color="auto" w:sz="4" w:space="0"/>
              <w:right w:val="single" w:color="auto" w:sz="4" w:space="0"/>
            </w:tcBorders>
            <w:shd w:val="clear" w:color="000000" w:fill="FFFFFF"/>
            <w:noWrap/>
            <w:vAlign w:val="center"/>
          </w:tcPr>
          <w:p w14:paraId="0AB091C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550.32</w:t>
            </w:r>
          </w:p>
        </w:tc>
        <w:tc>
          <w:tcPr>
            <w:tcW w:w="300" w:type="pct"/>
            <w:tcBorders>
              <w:top w:val="nil"/>
              <w:left w:val="nil"/>
              <w:bottom w:val="single" w:color="auto" w:sz="4" w:space="0"/>
              <w:right w:val="single" w:color="auto" w:sz="4" w:space="0"/>
            </w:tcBorders>
            <w:shd w:val="clear" w:color="000000" w:fill="FFFFFF"/>
            <w:noWrap/>
            <w:vAlign w:val="center"/>
          </w:tcPr>
          <w:p w14:paraId="424CC6A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D8AAB1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4D2015A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055498E1">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AA1B515">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2992C6FD">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01AF8DF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06968AC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3F7520D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5287.83</w:t>
            </w:r>
          </w:p>
        </w:tc>
        <w:tc>
          <w:tcPr>
            <w:tcW w:w="938" w:type="pct"/>
            <w:tcBorders>
              <w:top w:val="nil"/>
              <w:left w:val="nil"/>
              <w:bottom w:val="single" w:color="auto" w:sz="4" w:space="0"/>
              <w:right w:val="single" w:color="auto" w:sz="4" w:space="0"/>
            </w:tcBorders>
            <w:shd w:val="clear" w:color="000000" w:fill="FFFFFF"/>
            <w:noWrap/>
            <w:vAlign w:val="center"/>
          </w:tcPr>
          <w:p w14:paraId="6BF26EA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4052.97</w:t>
            </w:r>
          </w:p>
        </w:tc>
        <w:tc>
          <w:tcPr>
            <w:tcW w:w="300" w:type="pct"/>
            <w:tcBorders>
              <w:top w:val="nil"/>
              <w:left w:val="nil"/>
              <w:bottom w:val="single" w:color="auto" w:sz="4" w:space="0"/>
              <w:right w:val="single" w:color="auto" w:sz="4" w:space="0"/>
            </w:tcBorders>
            <w:shd w:val="clear" w:color="000000" w:fill="FFFFFF"/>
            <w:noWrap/>
            <w:vAlign w:val="center"/>
          </w:tcPr>
          <w:p w14:paraId="227058D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27CA402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1CD7E52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1A10471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18E8790">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2BED796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房山区阜盛西街11号院6号楼</w:t>
            </w:r>
          </w:p>
        </w:tc>
        <w:tc>
          <w:tcPr>
            <w:tcW w:w="320" w:type="pct"/>
            <w:tcBorders>
              <w:top w:val="nil"/>
              <w:left w:val="nil"/>
              <w:bottom w:val="single" w:color="auto" w:sz="4" w:space="0"/>
              <w:right w:val="single" w:color="auto" w:sz="4" w:space="0"/>
            </w:tcBorders>
            <w:shd w:val="clear" w:color="000000" w:fill="FFFFFF"/>
            <w:noWrap/>
            <w:vAlign w:val="center"/>
          </w:tcPr>
          <w:p w14:paraId="4128C73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8</w:t>
            </w:r>
          </w:p>
        </w:tc>
        <w:tc>
          <w:tcPr>
            <w:tcW w:w="330" w:type="pct"/>
            <w:tcBorders>
              <w:top w:val="nil"/>
              <w:left w:val="nil"/>
              <w:bottom w:val="single" w:color="auto" w:sz="4" w:space="0"/>
              <w:right w:val="single" w:color="auto" w:sz="4" w:space="0"/>
            </w:tcBorders>
            <w:shd w:val="clear" w:color="000000" w:fill="FFFFFF"/>
            <w:noWrap/>
            <w:vAlign w:val="bottom"/>
          </w:tcPr>
          <w:p w14:paraId="7EF80EC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7BA1595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17ECD91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969.55</w:t>
            </w:r>
          </w:p>
        </w:tc>
        <w:tc>
          <w:tcPr>
            <w:tcW w:w="938" w:type="pct"/>
            <w:tcBorders>
              <w:top w:val="nil"/>
              <w:left w:val="nil"/>
              <w:bottom w:val="single" w:color="auto" w:sz="4" w:space="0"/>
              <w:right w:val="single" w:color="auto" w:sz="4" w:space="0"/>
            </w:tcBorders>
            <w:shd w:val="clear" w:color="000000" w:fill="FFFFFF"/>
            <w:noWrap/>
            <w:vAlign w:val="center"/>
          </w:tcPr>
          <w:p w14:paraId="3259173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577.33</w:t>
            </w:r>
          </w:p>
        </w:tc>
        <w:tc>
          <w:tcPr>
            <w:tcW w:w="300" w:type="pct"/>
            <w:tcBorders>
              <w:top w:val="nil"/>
              <w:left w:val="nil"/>
              <w:bottom w:val="single" w:color="auto" w:sz="4" w:space="0"/>
              <w:right w:val="single" w:color="auto" w:sz="4" w:space="0"/>
            </w:tcBorders>
            <w:shd w:val="clear" w:color="000000" w:fill="FFFFFF"/>
            <w:noWrap/>
            <w:vAlign w:val="center"/>
          </w:tcPr>
          <w:p w14:paraId="71A6E7D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183EB8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4F76C43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7C91950">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7704BA6">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9C73BED">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BCAFC5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9</w:t>
            </w:r>
          </w:p>
        </w:tc>
        <w:tc>
          <w:tcPr>
            <w:tcW w:w="330" w:type="pct"/>
            <w:tcBorders>
              <w:top w:val="nil"/>
              <w:left w:val="nil"/>
              <w:bottom w:val="single" w:color="auto" w:sz="4" w:space="0"/>
              <w:right w:val="single" w:color="auto" w:sz="4" w:space="0"/>
            </w:tcBorders>
            <w:shd w:val="clear" w:color="000000" w:fill="FFFFFF"/>
            <w:noWrap/>
            <w:vAlign w:val="bottom"/>
          </w:tcPr>
          <w:p w14:paraId="2C7AC72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36A7536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47D194A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1449.79</w:t>
            </w:r>
          </w:p>
        </w:tc>
        <w:tc>
          <w:tcPr>
            <w:tcW w:w="938" w:type="pct"/>
            <w:tcBorders>
              <w:top w:val="nil"/>
              <w:left w:val="nil"/>
              <w:bottom w:val="single" w:color="auto" w:sz="4" w:space="0"/>
              <w:right w:val="single" w:color="auto" w:sz="4" w:space="0"/>
            </w:tcBorders>
            <w:shd w:val="clear" w:color="000000" w:fill="FFFFFF"/>
            <w:noWrap/>
            <w:vAlign w:val="center"/>
          </w:tcPr>
          <w:p w14:paraId="607C2FB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863.29</w:t>
            </w:r>
          </w:p>
        </w:tc>
        <w:tc>
          <w:tcPr>
            <w:tcW w:w="300" w:type="pct"/>
            <w:tcBorders>
              <w:top w:val="nil"/>
              <w:left w:val="nil"/>
              <w:bottom w:val="single" w:color="auto" w:sz="4" w:space="0"/>
              <w:right w:val="single" w:color="auto" w:sz="4" w:space="0"/>
            </w:tcBorders>
            <w:shd w:val="clear" w:color="000000" w:fill="FFFFFF"/>
            <w:noWrap/>
            <w:vAlign w:val="center"/>
          </w:tcPr>
          <w:p w14:paraId="5E46E67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D834D7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3B22C2B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0EBD14D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35E00D3">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09C6D4E">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21AA6B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10</w:t>
            </w:r>
          </w:p>
        </w:tc>
        <w:tc>
          <w:tcPr>
            <w:tcW w:w="330" w:type="pct"/>
            <w:tcBorders>
              <w:top w:val="nil"/>
              <w:left w:val="nil"/>
              <w:bottom w:val="single" w:color="auto" w:sz="4" w:space="0"/>
              <w:right w:val="single" w:color="auto" w:sz="4" w:space="0"/>
            </w:tcBorders>
            <w:shd w:val="clear" w:color="000000" w:fill="FFFFFF"/>
            <w:noWrap/>
            <w:vAlign w:val="bottom"/>
          </w:tcPr>
          <w:p w14:paraId="0632A53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3785410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78A6B03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1041.56</w:t>
            </w:r>
          </w:p>
        </w:tc>
        <w:tc>
          <w:tcPr>
            <w:tcW w:w="938" w:type="pct"/>
            <w:tcBorders>
              <w:top w:val="nil"/>
              <w:left w:val="nil"/>
              <w:bottom w:val="single" w:color="auto" w:sz="4" w:space="0"/>
              <w:right w:val="single" w:color="auto" w:sz="4" w:space="0"/>
            </w:tcBorders>
            <w:shd w:val="clear" w:color="000000" w:fill="FFFFFF"/>
            <w:noWrap/>
            <w:vAlign w:val="center"/>
          </w:tcPr>
          <w:p w14:paraId="32CC4E1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620.21</w:t>
            </w:r>
          </w:p>
        </w:tc>
        <w:tc>
          <w:tcPr>
            <w:tcW w:w="300" w:type="pct"/>
            <w:tcBorders>
              <w:top w:val="nil"/>
              <w:left w:val="nil"/>
              <w:bottom w:val="single" w:color="auto" w:sz="4" w:space="0"/>
              <w:right w:val="single" w:color="auto" w:sz="4" w:space="0"/>
            </w:tcBorders>
            <w:shd w:val="clear" w:color="000000" w:fill="FFFFFF"/>
            <w:noWrap/>
            <w:vAlign w:val="center"/>
          </w:tcPr>
          <w:p w14:paraId="7A8A0BA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FD628D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56678E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EE549D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BC8135F">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C8A6360">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8EA7CF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11</w:t>
            </w:r>
          </w:p>
        </w:tc>
        <w:tc>
          <w:tcPr>
            <w:tcW w:w="330" w:type="pct"/>
            <w:tcBorders>
              <w:top w:val="nil"/>
              <w:left w:val="nil"/>
              <w:bottom w:val="single" w:color="auto" w:sz="4" w:space="0"/>
              <w:right w:val="single" w:color="auto" w:sz="4" w:space="0"/>
            </w:tcBorders>
            <w:shd w:val="clear" w:color="000000" w:fill="FFFFFF"/>
            <w:noWrap/>
            <w:vAlign w:val="bottom"/>
          </w:tcPr>
          <w:p w14:paraId="3BEAA3E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39E9A14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76D15E1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883.94</w:t>
            </w:r>
          </w:p>
        </w:tc>
        <w:tc>
          <w:tcPr>
            <w:tcW w:w="938" w:type="pct"/>
            <w:tcBorders>
              <w:top w:val="nil"/>
              <w:left w:val="nil"/>
              <w:bottom w:val="single" w:color="auto" w:sz="4" w:space="0"/>
              <w:right w:val="single" w:color="auto" w:sz="4" w:space="0"/>
            </w:tcBorders>
            <w:shd w:val="clear" w:color="000000" w:fill="FFFFFF"/>
            <w:noWrap/>
            <w:vAlign w:val="center"/>
          </w:tcPr>
          <w:p w14:paraId="399DF1C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526.35</w:t>
            </w:r>
          </w:p>
        </w:tc>
        <w:tc>
          <w:tcPr>
            <w:tcW w:w="300" w:type="pct"/>
            <w:tcBorders>
              <w:top w:val="nil"/>
              <w:left w:val="nil"/>
              <w:bottom w:val="single" w:color="auto" w:sz="4" w:space="0"/>
              <w:right w:val="single" w:color="auto" w:sz="4" w:space="0"/>
            </w:tcBorders>
            <w:shd w:val="clear" w:color="000000" w:fill="FFFFFF"/>
            <w:noWrap/>
            <w:vAlign w:val="center"/>
          </w:tcPr>
          <w:p w14:paraId="046E7CD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CB98CA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FECA50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07A32E6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9839B9A">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F092698">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D2DD29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12</w:t>
            </w:r>
          </w:p>
        </w:tc>
        <w:tc>
          <w:tcPr>
            <w:tcW w:w="330" w:type="pct"/>
            <w:tcBorders>
              <w:top w:val="nil"/>
              <w:left w:val="nil"/>
              <w:bottom w:val="single" w:color="auto" w:sz="4" w:space="0"/>
              <w:right w:val="single" w:color="auto" w:sz="4" w:space="0"/>
            </w:tcBorders>
            <w:shd w:val="clear" w:color="000000" w:fill="FFFFFF"/>
            <w:noWrap/>
            <w:vAlign w:val="bottom"/>
          </w:tcPr>
          <w:p w14:paraId="2DC3428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7D7F927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7EB8451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863.40</w:t>
            </w:r>
          </w:p>
        </w:tc>
        <w:tc>
          <w:tcPr>
            <w:tcW w:w="938" w:type="pct"/>
            <w:tcBorders>
              <w:top w:val="nil"/>
              <w:left w:val="nil"/>
              <w:bottom w:val="single" w:color="auto" w:sz="4" w:space="0"/>
              <w:right w:val="single" w:color="auto" w:sz="4" w:space="0"/>
            </w:tcBorders>
            <w:shd w:val="clear" w:color="000000" w:fill="FFFFFF"/>
            <w:noWrap/>
            <w:vAlign w:val="center"/>
          </w:tcPr>
          <w:p w14:paraId="4F3D85F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514.12</w:t>
            </w:r>
          </w:p>
        </w:tc>
        <w:tc>
          <w:tcPr>
            <w:tcW w:w="300" w:type="pct"/>
            <w:tcBorders>
              <w:top w:val="nil"/>
              <w:left w:val="nil"/>
              <w:bottom w:val="single" w:color="auto" w:sz="4" w:space="0"/>
              <w:right w:val="single" w:color="auto" w:sz="4" w:space="0"/>
            </w:tcBorders>
            <w:shd w:val="clear" w:color="000000" w:fill="FFFFFF"/>
            <w:noWrap/>
            <w:vAlign w:val="center"/>
          </w:tcPr>
          <w:p w14:paraId="478F92E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B098BC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07FDDA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2F3BDCE">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2A79E36">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7E4F960">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85ADF0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13</w:t>
            </w:r>
          </w:p>
        </w:tc>
        <w:tc>
          <w:tcPr>
            <w:tcW w:w="330" w:type="pct"/>
            <w:tcBorders>
              <w:top w:val="nil"/>
              <w:left w:val="nil"/>
              <w:bottom w:val="single" w:color="auto" w:sz="4" w:space="0"/>
              <w:right w:val="single" w:color="auto" w:sz="4" w:space="0"/>
            </w:tcBorders>
            <w:shd w:val="clear" w:color="000000" w:fill="FFFFFF"/>
            <w:noWrap/>
            <w:vAlign w:val="bottom"/>
          </w:tcPr>
          <w:p w14:paraId="7B6DAF3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440FB70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1E09C38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903.32</w:t>
            </w:r>
          </w:p>
        </w:tc>
        <w:tc>
          <w:tcPr>
            <w:tcW w:w="938" w:type="pct"/>
            <w:tcBorders>
              <w:top w:val="nil"/>
              <w:left w:val="nil"/>
              <w:bottom w:val="single" w:color="auto" w:sz="4" w:space="0"/>
              <w:right w:val="single" w:color="auto" w:sz="4" w:space="0"/>
            </w:tcBorders>
            <w:shd w:val="clear" w:color="000000" w:fill="FFFFFF"/>
            <w:noWrap/>
            <w:vAlign w:val="center"/>
          </w:tcPr>
          <w:p w14:paraId="2D94F22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537.89</w:t>
            </w:r>
          </w:p>
        </w:tc>
        <w:tc>
          <w:tcPr>
            <w:tcW w:w="300" w:type="pct"/>
            <w:tcBorders>
              <w:top w:val="nil"/>
              <w:left w:val="nil"/>
              <w:bottom w:val="single" w:color="auto" w:sz="4" w:space="0"/>
              <w:right w:val="single" w:color="auto" w:sz="4" w:space="0"/>
            </w:tcBorders>
            <w:shd w:val="clear" w:color="000000" w:fill="FFFFFF"/>
            <w:noWrap/>
            <w:vAlign w:val="center"/>
          </w:tcPr>
          <w:p w14:paraId="3CC4357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C9607C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7188271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770526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1856350">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E5FEFFD">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2A339F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14</w:t>
            </w:r>
          </w:p>
        </w:tc>
        <w:tc>
          <w:tcPr>
            <w:tcW w:w="330" w:type="pct"/>
            <w:tcBorders>
              <w:top w:val="nil"/>
              <w:left w:val="nil"/>
              <w:bottom w:val="single" w:color="auto" w:sz="4" w:space="0"/>
              <w:right w:val="single" w:color="auto" w:sz="4" w:space="0"/>
            </w:tcBorders>
            <w:shd w:val="clear" w:color="000000" w:fill="FFFFFF"/>
            <w:noWrap/>
            <w:vAlign w:val="bottom"/>
          </w:tcPr>
          <w:p w14:paraId="0EBD780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1F91F78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0F835E6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892.55</w:t>
            </w:r>
          </w:p>
        </w:tc>
        <w:tc>
          <w:tcPr>
            <w:tcW w:w="938" w:type="pct"/>
            <w:tcBorders>
              <w:top w:val="nil"/>
              <w:left w:val="nil"/>
              <w:bottom w:val="single" w:color="auto" w:sz="4" w:space="0"/>
              <w:right w:val="single" w:color="auto" w:sz="4" w:space="0"/>
            </w:tcBorders>
            <w:shd w:val="clear" w:color="000000" w:fill="FFFFFF"/>
            <w:noWrap/>
            <w:vAlign w:val="center"/>
          </w:tcPr>
          <w:p w14:paraId="093D1D5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531.48</w:t>
            </w:r>
          </w:p>
        </w:tc>
        <w:tc>
          <w:tcPr>
            <w:tcW w:w="300" w:type="pct"/>
            <w:tcBorders>
              <w:top w:val="nil"/>
              <w:left w:val="nil"/>
              <w:bottom w:val="single" w:color="auto" w:sz="4" w:space="0"/>
              <w:right w:val="single" w:color="auto" w:sz="4" w:space="0"/>
            </w:tcBorders>
            <w:shd w:val="clear" w:color="000000" w:fill="FFFFFF"/>
            <w:noWrap/>
            <w:vAlign w:val="center"/>
          </w:tcPr>
          <w:p w14:paraId="39E49BE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4FA4E6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1FFD4B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DF41C3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0A6DACA">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79317D0">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46C9EB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15</w:t>
            </w:r>
          </w:p>
        </w:tc>
        <w:tc>
          <w:tcPr>
            <w:tcW w:w="330" w:type="pct"/>
            <w:tcBorders>
              <w:top w:val="nil"/>
              <w:left w:val="nil"/>
              <w:bottom w:val="single" w:color="auto" w:sz="4" w:space="0"/>
              <w:right w:val="single" w:color="auto" w:sz="4" w:space="0"/>
            </w:tcBorders>
            <w:shd w:val="clear" w:color="000000" w:fill="FFFFFF"/>
            <w:noWrap/>
            <w:vAlign w:val="bottom"/>
          </w:tcPr>
          <w:p w14:paraId="187C448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4D4CDF8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3BB2C36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883.60</w:t>
            </w:r>
          </w:p>
        </w:tc>
        <w:tc>
          <w:tcPr>
            <w:tcW w:w="938" w:type="pct"/>
            <w:tcBorders>
              <w:top w:val="nil"/>
              <w:left w:val="nil"/>
              <w:bottom w:val="single" w:color="auto" w:sz="4" w:space="0"/>
              <w:right w:val="single" w:color="auto" w:sz="4" w:space="0"/>
            </w:tcBorders>
            <w:shd w:val="clear" w:color="000000" w:fill="FFFFFF"/>
            <w:noWrap/>
            <w:vAlign w:val="center"/>
          </w:tcPr>
          <w:p w14:paraId="0434DC3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526.15</w:t>
            </w:r>
          </w:p>
        </w:tc>
        <w:tc>
          <w:tcPr>
            <w:tcW w:w="300" w:type="pct"/>
            <w:tcBorders>
              <w:top w:val="nil"/>
              <w:left w:val="nil"/>
              <w:bottom w:val="single" w:color="auto" w:sz="4" w:space="0"/>
              <w:right w:val="single" w:color="auto" w:sz="4" w:space="0"/>
            </w:tcBorders>
            <w:shd w:val="clear" w:color="000000" w:fill="FFFFFF"/>
            <w:noWrap/>
            <w:vAlign w:val="center"/>
          </w:tcPr>
          <w:p w14:paraId="4A6BDC0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4C1964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2035A9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78EBBA2">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2A1EA72">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9210EF6">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E11D54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16</w:t>
            </w:r>
          </w:p>
        </w:tc>
        <w:tc>
          <w:tcPr>
            <w:tcW w:w="330" w:type="pct"/>
            <w:tcBorders>
              <w:top w:val="nil"/>
              <w:left w:val="nil"/>
              <w:bottom w:val="single" w:color="auto" w:sz="4" w:space="0"/>
              <w:right w:val="single" w:color="auto" w:sz="4" w:space="0"/>
            </w:tcBorders>
            <w:shd w:val="clear" w:color="000000" w:fill="FFFFFF"/>
            <w:noWrap/>
            <w:vAlign w:val="bottom"/>
          </w:tcPr>
          <w:p w14:paraId="262BDD4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22ABE33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-109</w:t>
            </w:r>
          </w:p>
        </w:tc>
        <w:tc>
          <w:tcPr>
            <w:tcW w:w="677" w:type="pct"/>
            <w:tcBorders>
              <w:top w:val="nil"/>
              <w:left w:val="nil"/>
              <w:bottom w:val="single" w:color="auto" w:sz="4" w:space="0"/>
              <w:right w:val="single" w:color="auto" w:sz="4" w:space="0"/>
            </w:tcBorders>
            <w:shd w:val="clear" w:color="000000" w:fill="FFFFFF"/>
            <w:noWrap/>
            <w:vAlign w:val="center"/>
          </w:tcPr>
          <w:p w14:paraId="4F4CD06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934.77</w:t>
            </w:r>
          </w:p>
        </w:tc>
        <w:tc>
          <w:tcPr>
            <w:tcW w:w="938" w:type="pct"/>
            <w:tcBorders>
              <w:top w:val="nil"/>
              <w:left w:val="nil"/>
              <w:bottom w:val="single" w:color="auto" w:sz="4" w:space="0"/>
              <w:right w:val="single" w:color="auto" w:sz="4" w:space="0"/>
            </w:tcBorders>
            <w:shd w:val="clear" w:color="000000" w:fill="FFFFFF"/>
            <w:noWrap/>
            <w:vAlign w:val="center"/>
          </w:tcPr>
          <w:p w14:paraId="7B615F6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556.62</w:t>
            </w:r>
          </w:p>
        </w:tc>
        <w:tc>
          <w:tcPr>
            <w:tcW w:w="300" w:type="pct"/>
            <w:tcBorders>
              <w:top w:val="nil"/>
              <w:left w:val="nil"/>
              <w:bottom w:val="single" w:color="auto" w:sz="4" w:space="0"/>
              <w:right w:val="single" w:color="auto" w:sz="4" w:space="0"/>
            </w:tcBorders>
            <w:shd w:val="clear" w:color="000000" w:fill="FFFFFF"/>
            <w:noWrap/>
            <w:vAlign w:val="center"/>
          </w:tcPr>
          <w:p w14:paraId="784BBD1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3A32F5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66FEB1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96D92F9">
        <w:tblPrEx>
          <w:tblCellMar>
            <w:top w:w="0" w:type="dxa"/>
            <w:left w:w="108" w:type="dxa"/>
            <w:bottom w:w="0" w:type="dxa"/>
            <w:right w:w="108" w:type="dxa"/>
          </w:tblCellMar>
        </w:tblPrEx>
        <w:trPr>
          <w:trHeight w:val="266"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6C80672">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10451DEA">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5BC4E22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116C086B">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3518D76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8822.48 </w:t>
            </w:r>
          </w:p>
        </w:tc>
        <w:tc>
          <w:tcPr>
            <w:tcW w:w="938" w:type="pct"/>
            <w:tcBorders>
              <w:top w:val="nil"/>
              <w:left w:val="nil"/>
              <w:bottom w:val="single" w:color="auto" w:sz="4" w:space="0"/>
              <w:right w:val="single" w:color="auto" w:sz="4" w:space="0"/>
            </w:tcBorders>
            <w:shd w:val="clear" w:color="000000" w:fill="FFFFFF"/>
            <w:noWrap/>
            <w:vAlign w:val="center"/>
          </w:tcPr>
          <w:p w14:paraId="067444D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5253.44 </w:t>
            </w:r>
          </w:p>
        </w:tc>
        <w:tc>
          <w:tcPr>
            <w:tcW w:w="300" w:type="pct"/>
            <w:tcBorders>
              <w:top w:val="nil"/>
              <w:left w:val="nil"/>
              <w:bottom w:val="single" w:color="auto" w:sz="4" w:space="0"/>
              <w:right w:val="single" w:color="auto" w:sz="4" w:space="0"/>
            </w:tcBorders>
            <w:shd w:val="clear" w:color="000000" w:fill="FFFFFF"/>
            <w:noWrap/>
            <w:vAlign w:val="center"/>
          </w:tcPr>
          <w:p w14:paraId="72398C6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2FC0F845">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15DBB39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3248B56D">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000000" w:sz="4" w:space="0"/>
              <w:right w:val="single" w:color="auto" w:sz="4" w:space="0"/>
            </w:tcBorders>
            <w:shd w:val="clear" w:color="000000" w:fill="FFFFFF"/>
            <w:noWrap/>
            <w:vAlign w:val="center"/>
          </w:tcPr>
          <w:p w14:paraId="443BF66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合计</w:t>
            </w:r>
          </w:p>
        </w:tc>
        <w:tc>
          <w:tcPr>
            <w:tcW w:w="625" w:type="pct"/>
            <w:tcBorders>
              <w:top w:val="nil"/>
              <w:left w:val="nil"/>
              <w:bottom w:val="single" w:color="auto" w:sz="4" w:space="0"/>
              <w:right w:val="single" w:color="auto" w:sz="4" w:space="0"/>
            </w:tcBorders>
            <w:shd w:val="clear" w:color="000000" w:fill="FFFFFF"/>
            <w:noWrap/>
            <w:vAlign w:val="center"/>
          </w:tcPr>
          <w:p w14:paraId="2768BD22">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45D038A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14110.31</w:t>
            </w:r>
          </w:p>
        </w:tc>
        <w:tc>
          <w:tcPr>
            <w:tcW w:w="938" w:type="pct"/>
            <w:tcBorders>
              <w:top w:val="nil"/>
              <w:left w:val="nil"/>
              <w:bottom w:val="single" w:color="auto" w:sz="4" w:space="0"/>
              <w:right w:val="single" w:color="auto" w:sz="4" w:space="0"/>
            </w:tcBorders>
            <w:shd w:val="clear" w:color="000000" w:fill="FFFFFF"/>
            <w:noWrap/>
            <w:vAlign w:val="center"/>
          </w:tcPr>
          <w:p w14:paraId="4B68823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9306.41</w:t>
            </w:r>
          </w:p>
        </w:tc>
        <w:tc>
          <w:tcPr>
            <w:tcW w:w="300" w:type="pct"/>
            <w:tcBorders>
              <w:top w:val="nil"/>
              <w:left w:val="nil"/>
              <w:bottom w:val="single" w:color="auto" w:sz="4" w:space="0"/>
              <w:right w:val="single" w:color="auto" w:sz="4" w:space="0"/>
            </w:tcBorders>
            <w:shd w:val="clear" w:color="000000" w:fill="FFFFFF"/>
            <w:noWrap/>
            <w:vAlign w:val="center"/>
          </w:tcPr>
          <w:p w14:paraId="4E064E3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6D9A6BA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23E641D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0026949B">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bottom w:val="single" w:color="000000" w:sz="4" w:space="0"/>
              <w:right w:val="single" w:color="auto" w:sz="4" w:space="0"/>
            </w:tcBorders>
            <w:shd w:val="clear" w:color="000000" w:fill="FFFFFF"/>
            <w:noWrap/>
            <w:vAlign w:val="center"/>
          </w:tcPr>
          <w:p w14:paraId="12414FD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044地块</w:t>
            </w:r>
          </w:p>
        </w:tc>
        <w:tc>
          <w:tcPr>
            <w:tcW w:w="535" w:type="pct"/>
            <w:vMerge w:val="restart"/>
            <w:tcBorders>
              <w:top w:val="nil"/>
              <w:left w:val="nil"/>
              <w:right w:val="single" w:color="auto" w:sz="4" w:space="0"/>
            </w:tcBorders>
            <w:shd w:val="clear" w:color="000000" w:fill="FFFFFF"/>
            <w:noWrap/>
            <w:vAlign w:val="center"/>
          </w:tcPr>
          <w:p w14:paraId="54CC841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房山区长阳镇FS00-LX10-0044地块6#商业楼</w:t>
            </w:r>
          </w:p>
        </w:tc>
        <w:tc>
          <w:tcPr>
            <w:tcW w:w="320" w:type="pct"/>
            <w:tcBorders>
              <w:top w:val="nil"/>
              <w:left w:val="nil"/>
              <w:bottom w:val="single" w:color="auto" w:sz="4" w:space="0"/>
              <w:right w:val="single" w:color="auto" w:sz="4" w:space="0"/>
            </w:tcBorders>
            <w:shd w:val="clear" w:color="000000" w:fill="FFFFFF"/>
            <w:noWrap/>
            <w:vAlign w:val="center"/>
          </w:tcPr>
          <w:p w14:paraId="2A9CC2D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w:t>
            </w:r>
          </w:p>
        </w:tc>
        <w:tc>
          <w:tcPr>
            <w:tcW w:w="330" w:type="pct"/>
            <w:tcBorders>
              <w:top w:val="nil"/>
              <w:left w:val="nil"/>
              <w:bottom w:val="single" w:color="auto" w:sz="4" w:space="0"/>
              <w:right w:val="single" w:color="auto" w:sz="4" w:space="0"/>
            </w:tcBorders>
            <w:shd w:val="clear" w:color="000000" w:fill="FFFFFF"/>
            <w:noWrap/>
            <w:vAlign w:val="bottom"/>
          </w:tcPr>
          <w:p w14:paraId="3408DF7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870150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6A9C6B0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867.37</w:t>
            </w:r>
          </w:p>
        </w:tc>
        <w:tc>
          <w:tcPr>
            <w:tcW w:w="938" w:type="pct"/>
            <w:tcBorders>
              <w:top w:val="nil"/>
              <w:left w:val="nil"/>
              <w:bottom w:val="single" w:color="auto" w:sz="4" w:space="0"/>
              <w:right w:val="single" w:color="auto" w:sz="4" w:space="0"/>
            </w:tcBorders>
            <w:shd w:val="clear" w:color="000000" w:fill="FFFFFF"/>
            <w:noWrap/>
            <w:vAlign w:val="center"/>
          </w:tcPr>
          <w:p w14:paraId="0902E1F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734.86 </w:t>
            </w:r>
          </w:p>
        </w:tc>
        <w:tc>
          <w:tcPr>
            <w:tcW w:w="300" w:type="pct"/>
            <w:tcBorders>
              <w:top w:val="nil"/>
              <w:left w:val="nil"/>
              <w:bottom w:val="single" w:color="auto" w:sz="4" w:space="0"/>
              <w:right w:val="single" w:color="auto" w:sz="4" w:space="0"/>
            </w:tcBorders>
            <w:shd w:val="clear" w:color="000000" w:fill="FFFFFF"/>
            <w:noWrap/>
            <w:vAlign w:val="center"/>
          </w:tcPr>
          <w:p w14:paraId="31D6090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63FBFC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181D3B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647FEC3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CF8177B">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04DBBCF">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622E04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18</w:t>
            </w:r>
          </w:p>
        </w:tc>
        <w:tc>
          <w:tcPr>
            <w:tcW w:w="330" w:type="pct"/>
            <w:tcBorders>
              <w:top w:val="nil"/>
              <w:left w:val="nil"/>
              <w:bottom w:val="single" w:color="auto" w:sz="4" w:space="0"/>
              <w:right w:val="single" w:color="auto" w:sz="4" w:space="0"/>
            </w:tcBorders>
            <w:shd w:val="clear" w:color="000000" w:fill="FFFFFF"/>
            <w:noWrap/>
            <w:vAlign w:val="bottom"/>
          </w:tcPr>
          <w:p w14:paraId="2F6F5BB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D82E76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05E9DAA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771.32</w:t>
            </w:r>
          </w:p>
        </w:tc>
        <w:tc>
          <w:tcPr>
            <w:tcW w:w="938" w:type="pct"/>
            <w:tcBorders>
              <w:top w:val="nil"/>
              <w:left w:val="nil"/>
              <w:bottom w:val="single" w:color="auto" w:sz="4" w:space="0"/>
              <w:right w:val="single" w:color="auto" w:sz="4" w:space="0"/>
            </w:tcBorders>
            <w:shd w:val="clear" w:color="000000" w:fill="FFFFFF"/>
            <w:noWrap/>
            <w:vAlign w:val="center"/>
          </w:tcPr>
          <w:p w14:paraId="0921F0E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653.48 </w:t>
            </w:r>
          </w:p>
        </w:tc>
        <w:tc>
          <w:tcPr>
            <w:tcW w:w="300" w:type="pct"/>
            <w:tcBorders>
              <w:top w:val="nil"/>
              <w:left w:val="nil"/>
              <w:bottom w:val="single" w:color="auto" w:sz="4" w:space="0"/>
              <w:right w:val="single" w:color="auto" w:sz="4" w:space="0"/>
            </w:tcBorders>
            <w:shd w:val="clear" w:color="000000" w:fill="FFFFFF"/>
            <w:noWrap/>
            <w:vAlign w:val="center"/>
          </w:tcPr>
          <w:p w14:paraId="758696D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074A4F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2F52DE0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2A2A3C5D">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2FC1CF2">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9B197B9">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A9C107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19</w:t>
            </w:r>
          </w:p>
        </w:tc>
        <w:tc>
          <w:tcPr>
            <w:tcW w:w="330" w:type="pct"/>
            <w:tcBorders>
              <w:top w:val="nil"/>
              <w:left w:val="nil"/>
              <w:bottom w:val="single" w:color="auto" w:sz="4" w:space="0"/>
              <w:right w:val="single" w:color="auto" w:sz="4" w:space="0"/>
            </w:tcBorders>
            <w:shd w:val="clear" w:color="000000" w:fill="FFFFFF"/>
            <w:noWrap/>
            <w:vAlign w:val="bottom"/>
          </w:tcPr>
          <w:p w14:paraId="02A4B2F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1034029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7B6FD34A">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746.79</w:t>
            </w:r>
          </w:p>
        </w:tc>
        <w:tc>
          <w:tcPr>
            <w:tcW w:w="938" w:type="pct"/>
            <w:tcBorders>
              <w:top w:val="nil"/>
              <w:left w:val="nil"/>
              <w:bottom w:val="single" w:color="auto" w:sz="4" w:space="0"/>
              <w:right w:val="single" w:color="auto" w:sz="4" w:space="0"/>
            </w:tcBorders>
            <w:shd w:val="clear" w:color="000000" w:fill="FFFFFF"/>
            <w:noWrap/>
            <w:vAlign w:val="center"/>
          </w:tcPr>
          <w:p w14:paraId="794556F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632.70 </w:t>
            </w:r>
          </w:p>
        </w:tc>
        <w:tc>
          <w:tcPr>
            <w:tcW w:w="300" w:type="pct"/>
            <w:tcBorders>
              <w:top w:val="nil"/>
              <w:left w:val="nil"/>
              <w:bottom w:val="single" w:color="auto" w:sz="4" w:space="0"/>
              <w:right w:val="single" w:color="auto" w:sz="4" w:space="0"/>
            </w:tcBorders>
            <w:shd w:val="clear" w:color="000000" w:fill="FFFFFF"/>
            <w:noWrap/>
            <w:vAlign w:val="center"/>
          </w:tcPr>
          <w:p w14:paraId="1F3B703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05DCA1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F48015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4DAF954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EF12994">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826B677">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26FB67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20</w:t>
            </w:r>
          </w:p>
        </w:tc>
        <w:tc>
          <w:tcPr>
            <w:tcW w:w="330" w:type="pct"/>
            <w:tcBorders>
              <w:top w:val="nil"/>
              <w:left w:val="nil"/>
              <w:bottom w:val="single" w:color="auto" w:sz="4" w:space="0"/>
              <w:right w:val="single" w:color="auto" w:sz="4" w:space="0"/>
            </w:tcBorders>
            <w:shd w:val="clear" w:color="000000" w:fill="FFFFFF"/>
            <w:noWrap/>
            <w:vAlign w:val="bottom"/>
          </w:tcPr>
          <w:p w14:paraId="32EA545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6D4704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57A84DD6">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762.37</w:t>
            </w:r>
          </w:p>
        </w:tc>
        <w:tc>
          <w:tcPr>
            <w:tcW w:w="938" w:type="pct"/>
            <w:tcBorders>
              <w:top w:val="nil"/>
              <w:left w:val="nil"/>
              <w:bottom w:val="single" w:color="auto" w:sz="4" w:space="0"/>
              <w:right w:val="single" w:color="auto" w:sz="4" w:space="0"/>
            </w:tcBorders>
            <w:shd w:val="clear" w:color="000000" w:fill="FFFFFF"/>
            <w:noWrap/>
            <w:vAlign w:val="center"/>
          </w:tcPr>
          <w:p w14:paraId="60B9775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645.90 </w:t>
            </w:r>
          </w:p>
        </w:tc>
        <w:tc>
          <w:tcPr>
            <w:tcW w:w="300" w:type="pct"/>
            <w:tcBorders>
              <w:top w:val="nil"/>
              <w:left w:val="nil"/>
              <w:bottom w:val="single" w:color="auto" w:sz="4" w:space="0"/>
              <w:right w:val="single" w:color="auto" w:sz="4" w:space="0"/>
            </w:tcBorders>
            <w:shd w:val="clear" w:color="000000" w:fill="FFFFFF"/>
            <w:noWrap/>
            <w:vAlign w:val="center"/>
          </w:tcPr>
          <w:p w14:paraId="25588D5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22C5CE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08C5549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67D4196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8ACCB27">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9476881">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CB93F4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21</w:t>
            </w:r>
          </w:p>
        </w:tc>
        <w:tc>
          <w:tcPr>
            <w:tcW w:w="330" w:type="pct"/>
            <w:tcBorders>
              <w:top w:val="nil"/>
              <w:left w:val="nil"/>
              <w:bottom w:val="single" w:color="auto" w:sz="4" w:space="0"/>
              <w:right w:val="single" w:color="auto" w:sz="4" w:space="0"/>
            </w:tcBorders>
            <w:shd w:val="clear" w:color="000000" w:fill="FFFFFF"/>
            <w:noWrap/>
            <w:vAlign w:val="bottom"/>
          </w:tcPr>
          <w:p w14:paraId="763DF3F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8E18DD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739206E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762.21</w:t>
            </w:r>
          </w:p>
        </w:tc>
        <w:tc>
          <w:tcPr>
            <w:tcW w:w="938" w:type="pct"/>
            <w:tcBorders>
              <w:top w:val="nil"/>
              <w:left w:val="nil"/>
              <w:bottom w:val="single" w:color="auto" w:sz="4" w:space="0"/>
              <w:right w:val="single" w:color="auto" w:sz="4" w:space="0"/>
            </w:tcBorders>
            <w:shd w:val="clear" w:color="000000" w:fill="FFFFFF"/>
            <w:noWrap/>
            <w:vAlign w:val="center"/>
          </w:tcPr>
          <w:p w14:paraId="0297A7E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645.76 </w:t>
            </w:r>
          </w:p>
        </w:tc>
        <w:tc>
          <w:tcPr>
            <w:tcW w:w="300" w:type="pct"/>
            <w:tcBorders>
              <w:top w:val="nil"/>
              <w:left w:val="nil"/>
              <w:bottom w:val="single" w:color="auto" w:sz="4" w:space="0"/>
              <w:right w:val="single" w:color="auto" w:sz="4" w:space="0"/>
            </w:tcBorders>
            <w:shd w:val="clear" w:color="000000" w:fill="FFFFFF"/>
            <w:noWrap/>
            <w:vAlign w:val="center"/>
          </w:tcPr>
          <w:p w14:paraId="2ACB424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6E229A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47C2DA8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7E7F7B22">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C8CF9BA">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4F6784D">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ADDA16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22</w:t>
            </w:r>
          </w:p>
        </w:tc>
        <w:tc>
          <w:tcPr>
            <w:tcW w:w="330" w:type="pct"/>
            <w:tcBorders>
              <w:top w:val="nil"/>
              <w:left w:val="nil"/>
              <w:bottom w:val="single" w:color="auto" w:sz="4" w:space="0"/>
              <w:right w:val="single" w:color="auto" w:sz="4" w:space="0"/>
            </w:tcBorders>
            <w:shd w:val="clear" w:color="000000" w:fill="FFFFFF"/>
            <w:noWrap/>
            <w:vAlign w:val="bottom"/>
          </w:tcPr>
          <w:p w14:paraId="50755B6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247C94E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31F637C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875.03</w:t>
            </w:r>
          </w:p>
        </w:tc>
        <w:tc>
          <w:tcPr>
            <w:tcW w:w="938" w:type="pct"/>
            <w:tcBorders>
              <w:top w:val="nil"/>
              <w:left w:val="nil"/>
              <w:bottom w:val="single" w:color="auto" w:sz="4" w:space="0"/>
              <w:right w:val="single" w:color="auto" w:sz="4" w:space="0"/>
            </w:tcBorders>
            <w:shd w:val="clear" w:color="000000" w:fill="FFFFFF"/>
            <w:noWrap/>
            <w:vAlign w:val="center"/>
          </w:tcPr>
          <w:p w14:paraId="16E1182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741.35 </w:t>
            </w:r>
          </w:p>
        </w:tc>
        <w:tc>
          <w:tcPr>
            <w:tcW w:w="300" w:type="pct"/>
            <w:tcBorders>
              <w:top w:val="nil"/>
              <w:left w:val="nil"/>
              <w:bottom w:val="single" w:color="auto" w:sz="4" w:space="0"/>
              <w:right w:val="single" w:color="auto" w:sz="4" w:space="0"/>
            </w:tcBorders>
            <w:shd w:val="clear" w:color="000000" w:fill="FFFFFF"/>
            <w:noWrap/>
            <w:vAlign w:val="center"/>
          </w:tcPr>
          <w:p w14:paraId="0D36F8C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A97DAE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11C86F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5B117F7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A2E32EE">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20BBC76B">
            <w:pPr>
              <w:widowControl/>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nil"/>
            </w:tcBorders>
            <w:shd w:val="clear" w:color="000000" w:fill="FFFFFF"/>
            <w:noWrap/>
            <w:vAlign w:val="center"/>
          </w:tcPr>
          <w:p w14:paraId="2976AC0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single" w:color="auto" w:sz="4" w:space="0"/>
              <w:bottom w:val="single" w:color="auto" w:sz="4" w:space="0"/>
              <w:right w:val="single" w:color="auto" w:sz="4" w:space="0"/>
            </w:tcBorders>
            <w:shd w:val="clear" w:color="000000" w:fill="FFFFFF"/>
            <w:noWrap/>
            <w:vAlign w:val="bottom"/>
          </w:tcPr>
          <w:p w14:paraId="7D36138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31CD9D2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4785.09 </w:t>
            </w:r>
          </w:p>
        </w:tc>
        <w:tc>
          <w:tcPr>
            <w:tcW w:w="938" w:type="pct"/>
            <w:tcBorders>
              <w:top w:val="nil"/>
              <w:left w:val="nil"/>
              <w:bottom w:val="single" w:color="auto" w:sz="4" w:space="0"/>
              <w:right w:val="single" w:color="auto" w:sz="4" w:space="0"/>
            </w:tcBorders>
            <w:shd w:val="clear" w:color="000000" w:fill="FFFFFF"/>
            <w:noWrap/>
            <w:vAlign w:val="center"/>
          </w:tcPr>
          <w:p w14:paraId="1BF7390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4054.05 </w:t>
            </w:r>
          </w:p>
        </w:tc>
        <w:tc>
          <w:tcPr>
            <w:tcW w:w="300" w:type="pct"/>
            <w:tcBorders>
              <w:top w:val="nil"/>
              <w:left w:val="nil"/>
              <w:bottom w:val="single" w:color="auto" w:sz="4" w:space="0"/>
              <w:right w:val="single" w:color="auto" w:sz="4" w:space="0"/>
            </w:tcBorders>
            <w:shd w:val="clear" w:color="000000" w:fill="FFFFFF"/>
            <w:noWrap/>
            <w:vAlign w:val="center"/>
          </w:tcPr>
          <w:p w14:paraId="343523C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A2C699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46ED8B1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7DC52064">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477DC22">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48299FA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房山区长于大街28号院100幢</w:t>
            </w:r>
          </w:p>
        </w:tc>
        <w:tc>
          <w:tcPr>
            <w:tcW w:w="320" w:type="pct"/>
            <w:tcBorders>
              <w:top w:val="nil"/>
              <w:left w:val="nil"/>
              <w:bottom w:val="single" w:color="auto" w:sz="4" w:space="0"/>
              <w:right w:val="single" w:color="auto" w:sz="4" w:space="0"/>
            </w:tcBorders>
            <w:shd w:val="clear" w:color="000000" w:fill="FFFFFF"/>
            <w:noWrap/>
            <w:vAlign w:val="center"/>
          </w:tcPr>
          <w:p w14:paraId="1563828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23</w:t>
            </w:r>
          </w:p>
        </w:tc>
        <w:tc>
          <w:tcPr>
            <w:tcW w:w="330" w:type="pct"/>
            <w:tcBorders>
              <w:top w:val="nil"/>
              <w:left w:val="nil"/>
              <w:bottom w:val="single" w:color="auto" w:sz="4" w:space="0"/>
              <w:right w:val="single" w:color="auto" w:sz="4" w:space="0"/>
            </w:tcBorders>
            <w:shd w:val="clear" w:color="000000" w:fill="FFFFFF"/>
            <w:noWrap/>
            <w:vAlign w:val="bottom"/>
          </w:tcPr>
          <w:p w14:paraId="5974853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10462F4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1D89207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850.52 </w:t>
            </w:r>
          </w:p>
        </w:tc>
        <w:tc>
          <w:tcPr>
            <w:tcW w:w="938" w:type="pct"/>
            <w:tcBorders>
              <w:top w:val="nil"/>
              <w:left w:val="nil"/>
              <w:bottom w:val="single" w:color="auto" w:sz="4" w:space="0"/>
              <w:right w:val="single" w:color="auto" w:sz="4" w:space="0"/>
            </w:tcBorders>
            <w:shd w:val="clear" w:color="000000" w:fill="FFFFFF"/>
            <w:noWrap/>
            <w:vAlign w:val="center"/>
          </w:tcPr>
          <w:p w14:paraId="2B0ACD7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545.07 </w:t>
            </w:r>
          </w:p>
        </w:tc>
        <w:tc>
          <w:tcPr>
            <w:tcW w:w="300" w:type="pct"/>
            <w:tcBorders>
              <w:top w:val="nil"/>
              <w:left w:val="nil"/>
              <w:bottom w:val="single" w:color="auto" w:sz="4" w:space="0"/>
              <w:right w:val="single" w:color="auto" w:sz="4" w:space="0"/>
            </w:tcBorders>
            <w:shd w:val="clear" w:color="000000" w:fill="FFFFFF"/>
            <w:noWrap/>
            <w:vAlign w:val="center"/>
          </w:tcPr>
          <w:p w14:paraId="18C825F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CE3C4C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44AAFE3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1D650F6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5F0C1BC">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E3DB18A">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C8CD69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24</w:t>
            </w:r>
          </w:p>
        </w:tc>
        <w:tc>
          <w:tcPr>
            <w:tcW w:w="330" w:type="pct"/>
            <w:tcBorders>
              <w:top w:val="nil"/>
              <w:left w:val="nil"/>
              <w:bottom w:val="single" w:color="auto" w:sz="4" w:space="0"/>
              <w:right w:val="single" w:color="auto" w:sz="4" w:space="0"/>
            </w:tcBorders>
            <w:shd w:val="clear" w:color="000000" w:fill="FFFFFF"/>
            <w:noWrap/>
            <w:vAlign w:val="bottom"/>
          </w:tcPr>
          <w:p w14:paraId="27D2BFAD">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2CABA9F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1BA2486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882.99 </w:t>
            </w:r>
          </w:p>
        </w:tc>
        <w:tc>
          <w:tcPr>
            <w:tcW w:w="938" w:type="pct"/>
            <w:tcBorders>
              <w:top w:val="nil"/>
              <w:left w:val="nil"/>
              <w:bottom w:val="single" w:color="auto" w:sz="4" w:space="0"/>
              <w:right w:val="single" w:color="auto" w:sz="4" w:space="0"/>
            </w:tcBorders>
            <w:shd w:val="clear" w:color="000000" w:fill="FFFFFF"/>
            <w:noWrap/>
            <w:vAlign w:val="center"/>
          </w:tcPr>
          <w:p w14:paraId="4D987A83">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565.88 </w:t>
            </w:r>
          </w:p>
        </w:tc>
        <w:tc>
          <w:tcPr>
            <w:tcW w:w="300" w:type="pct"/>
            <w:tcBorders>
              <w:top w:val="nil"/>
              <w:left w:val="nil"/>
              <w:bottom w:val="single" w:color="auto" w:sz="4" w:space="0"/>
              <w:right w:val="single" w:color="auto" w:sz="4" w:space="0"/>
            </w:tcBorders>
            <w:shd w:val="clear" w:color="000000" w:fill="FFFFFF"/>
            <w:noWrap/>
            <w:vAlign w:val="center"/>
          </w:tcPr>
          <w:p w14:paraId="5CAC375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A48C90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6BF30EB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39A5103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4DA86BF">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9368D1A">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A6AD5E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25</w:t>
            </w:r>
          </w:p>
        </w:tc>
        <w:tc>
          <w:tcPr>
            <w:tcW w:w="330" w:type="pct"/>
            <w:tcBorders>
              <w:top w:val="nil"/>
              <w:left w:val="nil"/>
              <w:bottom w:val="single" w:color="auto" w:sz="4" w:space="0"/>
              <w:right w:val="single" w:color="auto" w:sz="4" w:space="0"/>
            </w:tcBorders>
            <w:shd w:val="clear" w:color="000000" w:fill="FFFFFF"/>
            <w:noWrap/>
            <w:vAlign w:val="bottom"/>
          </w:tcPr>
          <w:p w14:paraId="0C95587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3F2E94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2BED419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815.94 </w:t>
            </w:r>
          </w:p>
        </w:tc>
        <w:tc>
          <w:tcPr>
            <w:tcW w:w="938" w:type="pct"/>
            <w:tcBorders>
              <w:top w:val="nil"/>
              <w:left w:val="nil"/>
              <w:bottom w:val="single" w:color="auto" w:sz="4" w:space="0"/>
              <w:right w:val="single" w:color="auto" w:sz="4" w:space="0"/>
            </w:tcBorders>
            <w:shd w:val="clear" w:color="000000" w:fill="FFFFFF"/>
            <w:noWrap/>
            <w:vAlign w:val="center"/>
          </w:tcPr>
          <w:p w14:paraId="38B4524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522.91 </w:t>
            </w:r>
          </w:p>
        </w:tc>
        <w:tc>
          <w:tcPr>
            <w:tcW w:w="300" w:type="pct"/>
            <w:tcBorders>
              <w:top w:val="nil"/>
              <w:left w:val="nil"/>
              <w:bottom w:val="single" w:color="auto" w:sz="4" w:space="0"/>
              <w:right w:val="single" w:color="auto" w:sz="4" w:space="0"/>
            </w:tcBorders>
            <w:shd w:val="clear" w:color="000000" w:fill="FFFFFF"/>
            <w:noWrap/>
            <w:vAlign w:val="center"/>
          </w:tcPr>
          <w:p w14:paraId="1B5A44A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8ED3D7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DB933D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6665EA10">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F20F6ED">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0BE7F66">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86809FE">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26</w:t>
            </w:r>
          </w:p>
        </w:tc>
        <w:tc>
          <w:tcPr>
            <w:tcW w:w="330" w:type="pct"/>
            <w:tcBorders>
              <w:top w:val="nil"/>
              <w:left w:val="nil"/>
              <w:bottom w:val="single" w:color="auto" w:sz="4" w:space="0"/>
              <w:right w:val="single" w:color="auto" w:sz="4" w:space="0"/>
            </w:tcBorders>
            <w:shd w:val="clear" w:color="000000" w:fill="FFFFFF"/>
            <w:noWrap/>
            <w:vAlign w:val="bottom"/>
          </w:tcPr>
          <w:p w14:paraId="7B0091D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FC0F2EE">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6726F92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885.53 </w:t>
            </w:r>
          </w:p>
        </w:tc>
        <w:tc>
          <w:tcPr>
            <w:tcW w:w="938" w:type="pct"/>
            <w:tcBorders>
              <w:top w:val="nil"/>
              <w:left w:val="nil"/>
              <w:bottom w:val="single" w:color="auto" w:sz="4" w:space="0"/>
              <w:right w:val="single" w:color="auto" w:sz="4" w:space="0"/>
            </w:tcBorders>
            <w:shd w:val="clear" w:color="000000" w:fill="FFFFFF"/>
            <w:noWrap/>
            <w:vAlign w:val="center"/>
          </w:tcPr>
          <w:p w14:paraId="0FF0064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567.51 </w:t>
            </w:r>
          </w:p>
        </w:tc>
        <w:tc>
          <w:tcPr>
            <w:tcW w:w="300" w:type="pct"/>
            <w:tcBorders>
              <w:top w:val="nil"/>
              <w:left w:val="nil"/>
              <w:bottom w:val="single" w:color="auto" w:sz="4" w:space="0"/>
              <w:right w:val="single" w:color="auto" w:sz="4" w:space="0"/>
            </w:tcBorders>
            <w:shd w:val="clear" w:color="000000" w:fill="FFFFFF"/>
            <w:noWrap/>
            <w:vAlign w:val="center"/>
          </w:tcPr>
          <w:p w14:paraId="106318F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7D6AB4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7D070C6B">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6D050C2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6CA1FD0">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B501CA0">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D42CED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27</w:t>
            </w:r>
          </w:p>
        </w:tc>
        <w:tc>
          <w:tcPr>
            <w:tcW w:w="330" w:type="pct"/>
            <w:tcBorders>
              <w:top w:val="nil"/>
              <w:left w:val="nil"/>
              <w:bottom w:val="single" w:color="auto" w:sz="4" w:space="0"/>
              <w:right w:val="single" w:color="auto" w:sz="4" w:space="0"/>
            </w:tcBorders>
            <w:shd w:val="clear" w:color="000000" w:fill="FFFFFF"/>
            <w:noWrap/>
            <w:vAlign w:val="bottom"/>
          </w:tcPr>
          <w:p w14:paraId="00C9D49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1DDEE3F">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445A2C4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802.28 </w:t>
            </w:r>
          </w:p>
        </w:tc>
        <w:tc>
          <w:tcPr>
            <w:tcW w:w="938" w:type="pct"/>
            <w:tcBorders>
              <w:top w:val="nil"/>
              <w:left w:val="nil"/>
              <w:bottom w:val="single" w:color="auto" w:sz="4" w:space="0"/>
              <w:right w:val="single" w:color="auto" w:sz="4" w:space="0"/>
            </w:tcBorders>
            <w:shd w:val="clear" w:color="000000" w:fill="FFFFFF"/>
            <w:noWrap/>
            <w:vAlign w:val="center"/>
          </w:tcPr>
          <w:p w14:paraId="1C81AEB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514.16 </w:t>
            </w:r>
          </w:p>
        </w:tc>
        <w:tc>
          <w:tcPr>
            <w:tcW w:w="300" w:type="pct"/>
            <w:tcBorders>
              <w:top w:val="nil"/>
              <w:left w:val="nil"/>
              <w:bottom w:val="single" w:color="auto" w:sz="4" w:space="0"/>
              <w:right w:val="single" w:color="auto" w:sz="4" w:space="0"/>
            </w:tcBorders>
            <w:shd w:val="clear" w:color="000000" w:fill="FFFFFF"/>
            <w:noWrap/>
            <w:vAlign w:val="center"/>
          </w:tcPr>
          <w:p w14:paraId="39397B6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A4A07B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586C7F1C">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73CF0E20">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4737C70">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B1F837A">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18FE9C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28</w:t>
            </w:r>
          </w:p>
        </w:tc>
        <w:tc>
          <w:tcPr>
            <w:tcW w:w="330" w:type="pct"/>
            <w:tcBorders>
              <w:top w:val="nil"/>
              <w:left w:val="nil"/>
              <w:bottom w:val="single" w:color="auto" w:sz="4" w:space="0"/>
              <w:right w:val="single" w:color="auto" w:sz="4" w:space="0"/>
            </w:tcBorders>
            <w:shd w:val="clear" w:color="000000" w:fill="FFFFFF"/>
            <w:noWrap/>
            <w:vAlign w:val="bottom"/>
          </w:tcPr>
          <w:p w14:paraId="5BD40FB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789E492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25DBD77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841.70 </w:t>
            </w:r>
          </w:p>
        </w:tc>
        <w:tc>
          <w:tcPr>
            <w:tcW w:w="938" w:type="pct"/>
            <w:tcBorders>
              <w:top w:val="nil"/>
              <w:left w:val="nil"/>
              <w:bottom w:val="single" w:color="auto" w:sz="4" w:space="0"/>
              <w:right w:val="single" w:color="auto" w:sz="4" w:space="0"/>
            </w:tcBorders>
            <w:shd w:val="clear" w:color="000000" w:fill="FFFFFF"/>
            <w:noWrap/>
            <w:vAlign w:val="center"/>
          </w:tcPr>
          <w:p w14:paraId="27AF5DF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539.42 </w:t>
            </w:r>
          </w:p>
        </w:tc>
        <w:tc>
          <w:tcPr>
            <w:tcW w:w="300" w:type="pct"/>
            <w:tcBorders>
              <w:top w:val="nil"/>
              <w:left w:val="nil"/>
              <w:bottom w:val="single" w:color="auto" w:sz="4" w:space="0"/>
              <w:right w:val="single" w:color="auto" w:sz="4" w:space="0"/>
            </w:tcBorders>
            <w:shd w:val="clear" w:color="000000" w:fill="FFFFFF"/>
            <w:noWrap/>
            <w:vAlign w:val="center"/>
          </w:tcPr>
          <w:p w14:paraId="112E964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C984C6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1171DC2">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177E731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3A8EC0C">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F47B672">
            <w:pPr>
              <w:widowControl/>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CE4E183">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29</w:t>
            </w:r>
          </w:p>
        </w:tc>
        <w:tc>
          <w:tcPr>
            <w:tcW w:w="330" w:type="pct"/>
            <w:tcBorders>
              <w:top w:val="nil"/>
              <w:left w:val="nil"/>
              <w:bottom w:val="single" w:color="auto" w:sz="4" w:space="0"/>
              <w:right w:val="single" w:color="auto" w:sz="4" w:space="0"/>
            </w:tcBorders>
            <w:shd w:val="clear" w:color="000000" w:fill="FFFFFF"/>
            <w:noWrap/>
            <w:vAlign w:val="bottom"/>
          </w:tcPr>
          <w:p w14:paraId="069AC79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B094331">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0605682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897.31 </w:t>
            </w:r>
          </w:p>
        </w:tc>
        <w:tc>
          <w:tcPr>
            <w:tcW w:w="938" w:type="pct"/>
            <w:tcBorders>
              <w:top w:val="nil"/>
              <w:left w:val="nil"/>
              <w:bottom w:val="single" w:color="auto" w:sz="4" w:space="0"/>
              <w:right w:val="single" w:color="auto" w:sz="4" w:space="0"/>
            </w:tcBorders>
            <w:shd w:val="clear" w:color="000000" w:fill="FFFFFF"/>
            <w:noWrap/>
            <w:vAlign w:val="center"/>
          </w:tcPr>
          <w:p w14:paraId="71B588A9">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575.06 </w:t>
            </w:r>
          </w:p>
        </w:tc>
        <w:tc>
          <w:tcPr>
            <w:tcW w:w="300" w:type="pct"/>
            <w:tcBorders>
              <w:top w:val="nil"/>
              <w:left w:val="nil"/>
              <w:bottom w:val="single" w:color="auto" w:sz="4" w:space="0"/>
              <w:right w:val="single" w:color="auto" w:sz="4" w:space="0"/>
            </w:tcBorders>
            <w:shd w:val="clear" w:color="000000" w:fill="FFFFFF"/>
            <w:noWrap/>
            <w:vAlign w:val="center"/>
          </w:tcPr>
          <w:p w14:paraId="1FCFC20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27D6C6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7572454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09E64EC6">
        <w:tblPrEx>
          <w:tblCellMar>
            <w:top w:w="0" w:type="dxa"/>
            <w:left w:w="108" w:type="dxa"/>
            <w:bottom w:w="0" w:type="dxa"/>
            <w:right w:w="108" w:type="dxa"/>
          </w:tblCellMar>
        </w:tblPrEx>
        <w:trPr>
          <w:trHeight w:val="182" w:hRule="atLeast"/>
          <w:jc w:val="center"/>
        </w:trPr>
        <w:tc>
          <w:tcPr>
            <w:tcW w:w="289" w:type="pct"/>
            <w:vMerge w:val="continue"/>
            <w:tcBorders>
              <w:top w:val="nil"/>
              <w:left w:val="single" w:color="auto" w:sz="4" w:space="0"/>
              <w:bottom w:val="single" w:color="auto" w:sz="4" w:space="0"/>
              <w:right w:val="single" w:color="auto" w:sz="4" w:space="0"/>
            </w:tcBorders>
            <w:vAlign w:val="center"/>
          </w:tcPr>
          <w:p w14:paraId="0F620A96">
            <w:pPr>
              <w:widowControl/>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0E9F20B4">
            <w:pPr>
              <w:widowControl/>
              <w:adjustRightInd/>
              <w:spacing w:line="240" w:lineRule="auto"/>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3B40EA6A">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093D59DC">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51E6D3E7">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5976.27</w:t>
            </w:r>
          </w:p>
        </w:tc>
        <w:tc>
          <w:tcPr>
            <w:tcW w:w="938" w:type="pct"/>
            <w:tcBorders>
              <w:top w:val="nil"/>
              <w:left w:val="nil"/>
              <w:bottom w:val="single" w:color="auto" w:sz="4" w:space="0"/>
              <w:right w:val="single" w:color="auto" w:sz="4" w:space="0"/>
            </w:tcBorders>
            <w:shd w:val="clear" w:color="000000" w:fill="FFFFFF"/>
            <w:noWrap/>
            <w:vAlign w:val="center"/>
          </w:tcPr>
          <w:p w14:paraId="0E8D4BF4">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3830.01</w:t>
            </w:r>
          </w:p>
        </w:tc>
        <w:tc>
          <w:tcPr>
            <w:tcW w:w="300" w:type="pct"/>
            <w:tcBorders>
              <w:top w:val="nil"/>
              <w:left w:val="nil"/>
              <w:bottom w:val="single" w:color="auto" w:sz="4" w:space="0"/>
              <w:right w:val="single" w:color="auto" w:sz="4" w:space="0"/>
            </w:tcBorders>
            <w:shd w:val="clear" w:color="000000" w:fill="FFFFFF"/>
            <w:noWrap/>
            <w:vAlign w:val="center"/>
          </w:tcPr>
          <w:p w14:paraId="125983FF">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45D86AC0">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516D332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68B652F3">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14ED187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合计</w:t>
            </w:r>
          </w:p>
        </w:tc>
        <w:tc>
          <w:tcPr>
            <w:tcW w:w="625" w:type="pct"/>
            <w:tcBorders>
              <w:top w:val="nil"/>
              <w:left w:val="nil"/>
              <w:bottom w:val="single" w:color="auto" w:sz="4" w:space="0"/>
              <w:right w:val="single" w:color="auto" w:sz="4" w:space="0"/>
            </w:tcBorders>
            <w:shd w:val="clear" w:color="000000" w:fill="FFFFFF"/>
            <w:noWrap/>
            <w:vAlign w:val="center"/>
          </w:tcPr>
          <w:p w14:paraId="6351EFCD">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08773918">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10761.36</w:t>
            </w:r>
          </w:p>
        </w:tc>
        <w:tc>
          <w:tcPr>
            <w:tcW w:w="938" w:type="pct"/>
            <w:tcBorders>
              <w:top w:val="nil"/>
              <w:left w:val="nil"/>
              <w:bottom w:val="single" w:color="auto" w:sz="4" w:space="0"/>
              <w:right w:val="single" w:color="auto" w:sz="4" w:space="0"/>
            </w:tcBorders>
            <w:shd w:val="clear" w:color="000000" w:fill="FFFFFF"/>
            <w:noWrap/>
            <w:vAlign w:val="center"/>
          </w:tcPr>
          <w:p w14:paraId="36F133E0">
            <w:pPr>
              <w:widowControl/>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7884.06</w:t>
            </w:r>
          </w:p>
        </w:tc>
        <w:tc>
          <w:tcPr>
            <w:tcW w:w="300" w:type="pct"/>
            <w:tcBorders>
              <w:top w:val="nil"/>
              <w:left w:val="nil"/>
              <w:bottom w:val="single" w:color="auto" w:sz="4" w:space="0"/>
              <w:right w:val="single" w:color="auto" w:sz="4" w:space="0"/>
            </w:tcBorders>
            <w:shd w:val="clear" w:color="000000" w:fill="FFFFFF"/>
            <w:noWrap/>
            <w:vAlign w:val="center"/>
          </w:tcPr>
          <w:p w14:paraId="090D672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9801D96">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535EC16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75B82F53">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4FC6D7D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总计</w:t>
            </w:r>
          </w:p>
        </w:tc>
        <w:tc>
          <w:tcPr>
            <w:tcW w:w="625" w:type="pct"/>
            <w:tcBorders>
              <w:top w:val="nil"/>
              <w:left w:val="nil"/>
              <w:bottom w:val="single" w:color="auto" w:sz="4" w:space="0"/>
              <w:right w:val="single" w:color="auto" w:sz="4" w:space="0"/>
            </w:tcBorders>
            <w:shd w:val="clear" w:color="000000" w:fill="FFFFFF"/>
            <w:noWrap/>
            <w:vAlign w:val="center"/>
          </w:tcPr>
          <w:p w14:paraId="3EDC07C7">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238779B8">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24871.67 </w:t>
            </w:r>
          </w:p>
        </w:tc>
        <w:tc>
          <w:tcPr>
            <w:tcW w:w="938" w:type="pct"/>
            <w:tcBorders>
              <w:top w:val="nil"/>
              <w:left w:val="nil"/>
              <w:bottom w:val="single" w:color="auto" w:sz="4" w:space="0"/>
              <w:right w:val="single" w:color="auto" w:sz="4" w:space="0"/>
            </w:tcBorders>
            <w:shd w:val="clear" w:color="000000" w:fill="FFFFFF"/>
            <w:noWrap/>
            <w:vAlign w:val="center"/>
          </w:tcPr>
          <w:p w14:paraId="7D9FF3F4">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17190.47</w:t>
            </w:r>
          </w:p>
        </w:tc>
        <w:tc>
          <w:tcPr>
            <w:tcW w:w="300" w:type="pct"/>
            <w:tcBorders>
              <w:top w:val="nil"/>
              <w:left w:val="nil"/>
              <w:bottom w:val="single" w:color="auto" w:sz="4" w:space="0"/>
              <w:right w:val="single" w:color="auto" w:sz="4" w:space="0"/>
            </w:tcBorders>
            <w:shd w:val="clear" w:color="000000" w:fill="FFFFFF"/>
            <w:noWrap/>
            <w:vAlign w:val="center"/>
          </w:tcPr>
          <w:p w14:paraId="68D37525">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BDD3231">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1AF4E5D9">
            <w:pPr>
              <w:widowControl/>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bl>
    <w:p w14:paraId="404697E2">
      <w:pPr>
        <w:pStyle w:val="44"/>
        <w:autoSpaceDE w:val="0"/>
        <w:autoSpaceDN w:val="0"/>
        <w:spacing w:line="480" w:lineRule="auto"/>
        <w:ind w:right="140"/>
        <w:jc w:val="both"/>
        <w:textAlignment w:val="bottom"/>
        <w:rPr>
          <w:rFonts w:ascii="Arial" w:hAnsi="Arial" w:cs="Arial"/>
          <w:b/>
          <w:sz w:val="21"/>
          <w:szCs w:val="21"/>
        </w:rPr>
      </w:pPr>
      <w:r>
        <w:rPr>
          <w:rFonts w:hint="eastAsia" w:ascii="Arial" w:hAnsi="Arial" w:cs="Arial"/>
          <w:b/>
          <w:sz w:val="21"/>
          <w:szCs w:val="21"/>
        </w:rPr>
        <w:t>（一）比较法</w:t>
      </w:r>
    </w:p>
    <w:p w14:paraId="51E389F3">
      <w:pPr>
        <w:spacing w:line="480" w:lineRule="auto"/>
        <w:ind w:firstLine="411" w:firstLineChars="196"/>
        <w:jc w:val="both"/>
        <w:rPr>
          <w:rFonts w:ascii="Arial" w:hAnsi="Arial" w:cs="Arial"/>
          <w:sz w:val="21"/>
          <w:szCs w:val="21"/>
        </w:rPr>
      </w:pPr>
      <w:r>
        <w:rPr>
          <w:rFonts w:hint="eastAsia" w:ascii="Arial" w:hAnsi="Arial" w:cs="Arial"/>
          <w:sz w:val="21"/>
          <w:szCs w:val="28"/>
        </w:rPr>
        <w:t>本次评估选取估价对象中房山区阜盛西街11号院3号楼101号商业用房作为标准房，以其为标准求取估价对象1层商业用房的房地产市场租金水平。</w:t>
      </w:r>
      <w:r>
        <w:rPr>
          <w:rFonts w:hint="eastAsia" w:ascii="Arial" w:hAnsi="Arial" w:cs="Arial"/>
          <w:bCs/>
          <w:sz w:val="21"/>
          <w:szCs w:val="21"/>
        </w:rPr>
        <w:t>通过房地产交易平台等渠道，收集估价对象所在区域同类物业的交易案例，采用房地产交易中的替代原则，筛选出可比案例，统一价格内涵、建立比较基础，而后分别进行交易情况、市场状况、房地产状况</w:t>
      </w:r>
      <w:r>
        <w:rPr>
          <w:rFonts w:hint="eastAsia" w:ascii="Arial" w:hAnsi="Arial" w:cs="Arial"/>
          <w:sz w:val="21"/>
          <w:szCs w:val="21"/>
        </w:rPr>
        <w:t>的修正和调整，计算比较价值。</w:t>
      </w:r>
    </w:p>
    <w:p w14:paraId="209C4949">
      <w:pPr>
        <w:spacing w:line="480" w:lineRule="auto"/>
        <w:ind w:firstLine="411" w:firstLineChars="196"/>
        <w:jc w:val="both"/>
        <w:rPr>
          <w:rFonts w:ascii="Arial" w:hAnsi="Arial" w:cs="Arial"/>
          <w:sz w:val="21"/>
          <w:szCs w:val="21"/>
        </w:rPr>
      </w:pPr>
      <w:r>
        <w:rPr>
          <w:rFonts w:hint="eastAsia" w:ascii="Arial" w:hAnsi="Arial" w:cs="Arial"/>
          <w:sz w:val="21"/>
          <w:szCs w:val="21"/>
        </w:rPr>
        <w:t xml:space="preserve">1.搜集交易实例 </w:t>
      </w:r>
    </w:p>
    <w:p w14:paraId="433738BF">
      <w:pPr>
        <w:spacing w:line="480" w:lineRule="auto"/>
        <w:ind w:firstLine="411" w:firstLineChars="196"/>
        <w:jc w:val="both"/>
        <w:rPr>
          <w:rFonts w:ascii="Arial" w:hAnsi="Arial" w:cs="Arial"/>
          <w:sz w:val="21"/>
          <w:szCs w:val="28"/>
        </w:rPr>
      </w:pPr>
      <w:r>
        <w:rPr>
          <w:rFonts w:hint="eastAsia" w:ascii="Arial" w:hAnsi="Arial" w:cs="Arial"/>
          <w:sz w:val="21"/>
          <w:szCs w:val="21"/>
        </w:rPr>
        <w:t>评估专业人员通过对估价对象周边房地产经纪机构的走访、现场市调以及对网络挂牌案例进行电</w:t>
      </w:r>
      <w:r>
        <w:rPr>
          <w:rFonts w:hint="eastAsia" w:ascii="Arial" w:hAnsi="Arial" w:cs="Arial"/>
          <w:sz w:val="21"/>
          <w:szCs w:val="28"/>
        </w:rPr>
        <w:t>话核实，选择下列A、B、C三个与估价对象交易实例作为可比实例，可比实例基本情况见下表。</w:t>
      </w:r>
    </w:p>
    <w:tbl>
      <w:tblPr>
        <w:tblStyle w:val="32"/>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325"/>
        <w:gridCol w:w="2324"/>
        <w:gridCol w:w="2325"/>
        <w:gridCol w:w="2325"/>
      </w:tblGrid>
      <w:tr w14:paraId="5927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1FA22819">
            <w:pPr>
              <w:overflowPunct w:val="0"/>
              <w:spacing w:line="240" w:lineRule="exact"/>
              <w:rPr>
                <w:rFonts w:ascii="Arial" w:hAnsi="Arial" w:eastAsia="华文细黑"/>
                <w:sz w:val="18"/>
              </w:rPr>
            </w:pPr>
          </w:p>
        </w:tc>
        <w:tc>
          <w:tcPr>
            <w:tcW w:w="2324" w:type="dxa"/>
          </w:tcPr>
          <w:p w14:paraId="6A962C6B">
            <w:pPr>
              <w:wordWrap w:val="0"/>
              <w:overflowPunct w:val="0"/>
              <w:spacing w:line="240" w:lineRule="exact"/>
              <w:rPr>
                <w:rFonts w:ascii="Arial" w:hAnsi="Arial" w:eastAsia="华文细黑"/>
                <w:sz w:val="18"/>
              </w:rPr>
            </w:pPr>
            <w:r>
              <w:rPr>
                <w:rFonts w:hint="eastAsia" w:ascii="Arial" w:hAnsi="Arial" w:eastAsia="华文细黑"/>
                <w:sz w:val="18"/>
              </w:rPr>
              <w:t>案例A</w:t>
            </w:r>
          </w:p>
        </w:tc>
        <w:tc>
          <w:tcPr>
            <w:tcW w:w="2325" w:type="dxa"/>
          </w:tcPr>
          <w:p w14:paraId="6E9B6C9F">
            <w:pPr>
              <w:wordWrap w:val="0"/>
              <w:overflowPunct w:val="0"/>
              <w:spacing w:line="240" w:lineRule="exact"/>
              <w:rPr>
                <w:rFonts w:ascii="Arial" w:hAnsi="Arial" w:eastAsia="华文细黑"/>
                <w:sz w:val="18"/>
              </w:rPr>
            </w:pPr>
            <w:r>
              <w:rPr>
                <w:rFonts w:hint="eastAsia" w:ascii="Arial" w:hAnsi="Arial" w:eastAsia="华文细黑"/>
                <w:sz w:val="18"/>
              </w:rPr>
              <w:t>案例B</w:t>
            </w:r>
          </w:p>
        </w:tc>
        <w:tc>
          <w:tcPr>
            <w:tcW w:w="2325" w:type="dxa"/>
          </w:tcPr>
          <w:p w14:paraId="4890386A">
            <w:pPr>
              <w:wordWrap w:val="0"/>
              <w:overflowPunct w:val="0"/>
              <w:spacing w:line="240" w:lineRule="exact"/>
              <w:rPr>
                <w:rFonts w:ascii="Arial" w:hAnsi="Arial" w:eastAsia="华文细黑"/>
                <w:sz w:val="18"/>
              </w:rPr>
            </w:pPr>
            <w:r>
              <w:rPr>
                <w:rFonts w:hint="eastAsia" w:ascii="Arial" w:hAnsi="Arial" w:eastAsia="华文细黑"/>
                <w:sz w:val="18"/>
              </w:rPr>
              <w:t>案例C</w:t>
            </w:r>
          </w:p>
        </w:tc>
      </w:tr>
      <w:tr w14:paraId="618E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45030F03">
            <w:pPr>
              <w:wordWrap w:val="0"/>
              <w:overflowPunct w:val="0"/>
              <w:spacing w:line="240" w:lineRule="exact"/>
              <w:rPr>
                <w:rFonts w:ascii="Arial" w:hAnsi="Arial" w:eastAsia="华文细黑"/>
                <w:sz w:val="18"/>
              </w:rPr>
            </w:pPr>
            <w:r>
              <w:rPr>
                <w:rFonts w:hint="eastAsia" w:ascii="Arial" w:hAnsi="Arial" w:eastAsia="华文细黑"/>
                <w:sz w:val="18"/>
              </w:rPr>
              <w:t>项目名称</w:t>
            </w:r>
          </w:p>
        </w:tc>
        <w:tc>
          <w:tcPr>
            <w:tcW w:w="2324" w:type="dxa"/>
          </w:tcPr>
          <w:p w14:paraId="4B47F224">
            <w:pPr>
              <w:wordWrap w:val="0"/>
              <w:overflowPunct w:val="0"/>
              <w:spacing w:line="240" w:lineRule="exact"/>
              <w:rPr>
                <w:rFonts w:ascii="Arial" w:hAnsi="Arial" w:eastAsia="华文细黑"/>
                <w:sz w:val="18"/>
              </w:rPr>
            </w:pPr>
            <w:r>
              <w:rPr>
                <w:rFonts w:hint="eastAsia" w:ascii="Arial" w:hAnsi="Arial" w:eastAsia="华文细黑"/>
                <w:sz w:val="18"/>
              </w:rPr>
              <w:t>长阳半岛V公馆</w:t>
            </w:r>
          </w:p>
        </w:tc>
        <w:tc>
          <w:tcPr>
            <w:tcW w:w="2325" w:type="dxa"/>
          </w:tcPr>
          <w:p w14:paraId="5C4D8C68">
            <w:pPr>
              <w:wordWrap w:val="0"/>
              <w:overflowPunct w:val="0"/>
              <w:spacing w:line="240" w:lineRule="exact"/>
              <w:rPr>
                <w:rFonts w:ascii="Arial" w:hAnsi="Arial" w:eastAsia="华文细黑"/>
                <w:sz w:val="18"/>
              </w:rPr>
            </w:pPr>
            <w:r>
              <w:rPr>
                <w:rFonts w:hint="eastAsia" w:ascii="Arial" w:hAnsi="Arial" w:eastAsia="华文细黑"/>
                <w:sz w:val="18"/>
              </w:rPr>
              <w:t>首开福茂购物中心</w:t>
            </w:r>
          </w:p>
        </w:tc>
        <w:tc>
          <w:tcPr>
            <w:tcW w:w="2325" w:type="dxa"/>
          </w:tcPr>
          <w:p w14:paraId="103DB403">
            <w:pPr>
              <w:wordWrap w:val="0"/>
              <w:overflowPunct w:val="0"/>
              <w:spacing w:line="240" w:lineRule="exact"/>
              <w:rPr>
                <w:rFonts w:ascii="Arial" w:hAnsi="Arial" w:eastAsia="华文细黑"/>
                <w:sz w:val="18"/>
              </w:rPr>
            </w:pPr>
            <w:r>
              <w:rPr>
                <w:rFonts w:hint="eastAsia" w:ascii="Arial" w:hAnsi="Arial" w:eastAsia="华文细黑"/>
                <w:sz w:val="18"/>
              </w:rPr>
              <w:t>旭辉E天地</w:t>
            </w:r>
          </w:p>
        </w:tc>
      </w:tr>
      <w:tr w14:paraId="5BE3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3378408B">
            <w:pPr>
              <w:wordWrap w:val="0"/>
              <w:overflowPunct w:val="0"/>
              <w:spacing w:line="240" w:lineRule="exact"/>
              <w:rPr>
                <w:rFonts w:ascii="Arial" w:hAnsi="Arial" w:eastAsia="华文细黑"/>
                <w:sz w:val="18"/>
              </w:rPr>
            </w:pPr>
            <w:r>
              <w:rPr>
                <w:rFonts w:hint="eastAsia" w:ascii="Arial" w:hAnsi="Arial" w:eastAsia="华文细黑"/>
                <w:sz w:val="18"/>
              </w:rPr>
              <w:t>数据来源</w:t>
            </w:r>
          </w:p>
        </w:tc>
        <w:tc>
          <w:tcPr>
            <w:tcW w:w="2324" w:type="dxa"/>
          </w:tcPr>
          <w:p w14:paraId="52224356">
            <w:pPr>
              <w:wordWrap w:val="0"/>
              <w:overflowPunct w:val="0"/>
              <w:spacing w:line="240" w:lineRule="exact"/>
              <w:rPr>
                <w:rFonts w:ascii="Arial" w:hAnsi="Arial" w:eastAsia="华文细黑"/>
                <w:sz w:val="18"/>
              </w:rPr>
            </w:pPr>
            <w:r>
              <w:rPr>
                <w:rFonts w:hint="eastAsia" w:ascii="Arial" w:hAnsi="Arial" w:eastAsia="华文细黑"/>
                <w:sz w:val="18"/>
              </w:rPr>
              <w:t>房地产交易平台</w:t>
            </w:r>
          </w:p>
        </w:tc>
        <w:tc>
          <w:tcPr>
            <w:tcW w:w="2325" w:type="dxa"/>
          </w:tcPr>
          <w:p w14:paraId="35606314">
            <w:pPr>
              <w:wordWrap w:val="0"/>
              <w:overflowPunct w:val="0"/>
              <w:spacing w:line="240" w:lineRule="exact"/>
              <w:rPr>
                <w:rFonts w:ascii="Arial" w:hAnsi="Arial" w:eastAsia="华文细黑"/>
                <w:sz w:val="18"/>
              </w:rPr>
            </w:pPr>
            <w:r>
              <w:rPr>
                <w:rFonts w:hint="eastAsia" w:ascii="Arial" w:hAnsi="Arial" w:eastAsia="华文细黑"/>
                <w:sz w:val="18"/>
              </w:rPr>
              <w:t>房地产交易平台</w:t>
            </w:r>
          </w:p>
        </w:tc>
        <w:tc>
          <w:tcPr>
            <w:tcW w:w="2325" w:type="dxa"/>
          </w:tcPr>
          <w:p w14:paraId="09810717">
            <w:pPr>
              <w:wordWrap w:val="0"/>
              <w:overflowPunct w:val="0"/>
              <w:spacing w:line="240" w:lineRule="exact"/>
              <w:rPr>
                <w:rFonts w:ascii="Arial" w:hAnsi="Arial" w:eastAsia="华文细黑"/>
                <w:sz w:val="18"/>
              </w:rPr>
            </w:pPr>
            <w:r>
              <w:rPr>
                <w:rFonts w:hint="eastAsia" w:ascii="Arial" w:hAnsi="Arial" w:eastAsia="华文细黑"/>
                <w:sz w:val="18"/>
              </w:rPr>
              <w:t>房地产交易平台</w:t>
            </w:r>
          </w:p>
        </w:tc>
      </w:tr>
      <w:tr w14:paraId="1C05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0B652A53">
            <w:pPr>
              <w:wordWrap w:val="0"/>
              <w:overflowPunct w:val="0"/>
              <w:spacing w:line="240" w:lineRule="exact"/>
              <w:rPr>
                <w:rFonts w:ascii="Arial" w:hAnsi="Arial" w:eastAsia="华文细黑"/>
                <w:sz w:val="18"/>
              </w:rPr>
            </w:pPr>
            <w:r>
              <w:rPr>
                <w:rFonts w:hint="eastAsia" w:ascii="Arial" w:hAnsi="Arial" w:eastAsia="华文细黑"/>
                <w:sz w:val="18"/>
              </w:rPr>
              <w:t>交易价格（元/㎡/天）</w:t>
            </w:r>
          </w:p>
        </w:tc>
        <w:tc>
          <w:tcPr>
            <w:tcW w:w="2324" w:type="dxa"/>
          </w:tcPr>
          <w:p w14:paraId="4383EFF7">
            <w:pPr>
              <w:wordWrap w:val="0"/>
              <w:overflowPunct w:val="0"/>
              <w:spacing w:line="240" w:lineRule="exact"/>
              <w:rPr>
                <w:rFonts w:ascii="Arial" w:hAnsi="Arial" w:eastAsia="华文细黑"/>
                <w:sz w:val="18"/>
              </w:rPr>
            </w:pPr>
            <w:r>
              <w:rPr>
                <w:rFonts w:hint="eastAsia" w:ascii="Arial" w:hAnsi="Arial" w:eastAsia="华文细黑"/>
                <w:sz w:val="18"/>
              </w:rPr>
              <w:t>3.8</w:t>
            </w:r>
          </w:p>
        </w:tc>
        <w:tc>
          <w:tcPr>
            <w:tcW w:w="2325" w:type="dxa"/>
          </w:tcPr>
          <w:p w14:paraId="09EC41B5">
            <w:pPr>
              <w:wordWrap w:val="0"/>
              <w:overflowPunct w:val="0"/>
              <w:spacing w:line="240" w:lineRule="exact"/>
              <w:rPr>
                <w:rFonts w:ascii="Arial" w:hAnsi="Arial" w:eastAsia="华文细黑"/>
                <w:sz w:val="18"/>
              </w:rPr>
            </w:pPr>
            <w:r>
              <w:rPr>
                <w:rFonts w:hint="eastAsia" w:ascii="Arial" w:hAnsi="Arial" w:eastAsia="华文细黑"/>
                <w:sz w:val="18"/>
              </w:rPr>
              <w:t>3.5</w:t>
            </w:r>
          </w:p>
        </w:tc>
        <w:tc>
          <w:tcPr>
            <w:tcW w:w="2325" w:type="dxa"/>
          </w:tcPr>
          <w:p w14:paraId="007EF4CB">
            <w:pPr>
              <w:wordWrap w:val="0"/>
              <w:overflowPunct w:val="0"/>
              <w:spacing w:line="240" w:lineRule="exact"/>
              <w:rPr>
                <w:rFonts w:ascii="Arial" w:hAnsi="Arial" w:eastAsia="华文细黑"/>
                <w:sz w:val="18"/>
              </w:rPr>
            </w:pPr>
            <w:r>
              <w:rPr>
                <w:rFonts w:hint="eastAsia" w:ascii="Arial" w:hAnsi="Arial" w:eastAsia="华文细黑"/>
                <w:sz w:val="18"/>
              </w:rPr>
              <w:t>3.56</w:t>
            </w:r>
          </w:p>
        </w:tc>
      </w:tr>
      <w:tr w14:paraId="67ED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0B31F251">
            <w:pPr>
              <w:wordWrap w:val="0"/>
              <w:overflowPunct w:val="0"/>
              <w:spacing w:line="240" w:lineRule="exact"/>
              <w:rPr>
                <w:rFonts w:ascii="Arial" w:hAnsi="Arial" w:eastAsia="华文细黑"/>
                <w:sz w:val="18"/>
              </w:rPr>
            </w:pPr>
            <w:r>
              <w:rPr>
                <w:rFonts w:hint="eastAsia" w:ascii="Arial" w:hAnsi="Arial" w:eastAsia="华文细黑"/>
                <w:sz w:val="18"/>
              </w:rPr>
              <w:t>挂牌日期</w:t>
            </w:r>
          </w:p>
        </w:tc>
        <w:tc>
          <w:tcPr>
            <w:tcW w:w="2324" w:type="dxa"/>
          </w:tcPr>
          <w:p w14:paraId="67BFAFF7">
            <w:pPr>
              <w:wordWrap w:val="0"/>
              <w:overflowPunct w:val="0"/>
              <w:spacing w:line="240" w:lineRule="exact"/>
              <w:rPr>
                <w:rFonts w:ascii="Arial" w:hAnsi="Arial" w:eastAsia="华文细黑"/>
                <w:sz w:val="18"/>
              </w:rPr>
            </w:pPr>
            <w:r>
              <w:rPr>
                <w:rFonts w:hint="eastAsia" w:ascii="Arial" w:hAnsi="Arial" w:eastAsia="华文细黑"/>
                <w:sz w:val="18"/>
              </w:rPr>
              <w:t>2026年1月</w:t>
            </w:r>
          </w:p>
        </w:tc>
        <w:tc>
          <w:tcPr>
            <w:tcW w:w="2325" w:type="dxa"/>
          </w:tcPr>
          <w:p w14:paraId="2861F364">
            <w:pPr>
              <w:wordWrap w:val="0"/>
              <w:overflowPunct w:val="0"/>
              <w:spacing w:line="240" w:lineRule="exact"/>
              <w:rPr>
                <w:rFonts w:ascii="Arial" w:hAnsi="Arial" w:eastAsia="华文细黑"/>
                <w:sz w:val="18"/>
              </w:rPr>
            </w:pPr>
            <w:r>
              <w:rPr>
                <w:rFonts w:hint="eastAsia" w:ascii="Arial" w:hAnsi="Arial" w:eastAsia="华文细黑"/>
                <w:sz w:val="18"/>
              </w:rPr>
              <w:t>2025年12月</w:t>
            </w:r>
          </w:p>
        </w:tc>
        <w:tc>
          <w:tcPr>
            <w:tcW w:w="2325" w:type="dxa"/>
          </w:tcPr>
          <w:p w14:paraId="213A1F31">
            <w:pPr>
              <w:wordWrap w:val="0"/>
              <w:overflowPunct w:val="0"/>
              <w:spacing w:line="240" w:lineRule="exact"/>
              <w:rPr>
                <w:rFonts w:ascii="Arial" w:hAnsi="Arial" w:eastAsia="华文细黑"/>
                <w:sz w:val="18"/>
              </w:rPr>
            </w:pPr>
            <w:r>
              <w:rPr>
                <w:rFonts w:hint="eastAsia" w:ascii="Arial" w:hAnsi="Arial" w:eastAsia="华文细黑"/>
                <w:sz w:val="18"/>
              </w:rPr>
              <w:t>2026年1月</w:t>
            </w:r>
          </w:p>
        </w:tc>
      </w:tr>
      <w:tr w14:paraId="3C82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51AF2BA1">
            <w:pPr>
              <w:wordWrap w:val="0"/>
              <w:overflowPunct w:val="0"/>
              <w:spacing w:line="240" w:lineRule="exact"/>
              <w:rPr>
                <w:rFonts w:ascii="Arial" w:hAnsi="Arial" w:eastAsia="华文细黑"/>
                <w:sz w:val="18"/>
              </w:rPr>
            </w:pPr>
            <w:r>
              <w:rPr>
                <w:rFonts w:hint="eastAsia" w:ascii="Arial" w:hAnsi="Arial" w:eastAsia="华文细黑"/>
                <w:sz w:val="18"/>
              </w:rPr>
              <w:t>用途（及类型）</w:t>
            </w:r>
          </w:p>
        </w:tc>
        <w:tc>
          <w:tcPr>
            <w:tcW w:w="2324" w:type="dxa"/>
          </w:tcPr>
          <w:p w14:paraId="63DDC9E7">
            <w:pPr>
              <w:wordWrap w:val="0"/>
              <w:overflowPunct w:val="0"/>
              <w:spacing w:line="240" w:lineRule="exact"/>
              <w:rPr>
                <w:rFonts w:ascii="Arial" w:hAnsi="Arial" w:eastAsia="华文细黑"/>
                <w:sz w:val="18"/>
              </w:rPr>
            </w:pPr>
            <w:r>
              <w:rPr>
                <w:rFonts w:hint="eastAsia" w:ascii="Arial" w:hAnsi="Arial" w:eastAsia="华文细黑"/>
                <w:sz w:val="18"/>
              </w:rPr>
              <w:t>商业</w:t>
            </w:r>
          </w:p>
        </w:tc>
        <w:tc>
          <w:tcPr>
            <w:tcW w:w="2325" w:type="dxa"/>
          </w:tcPr>
          <w:p w14:paraId="1DBD4B02">
            <w:pPr>
              <w:wordWrap w:val="0"/>
              <w:overflowPunct w:val="0"/>
              <w:spacing w:line="240" w:lineRule="exact"/>
              <w:rPr>
                <w:rFonts w:ascii="Arial" w:hAnsi="Arial" w:eastAsia="华文细黑"/>
                <w:sz w:val="18"/>
              </w:rPr>
            </w:pPr>
            <w:r>
              <w:rPr>
                <w:rFonts w:hint="eastAsia" w:ascii="Arial" w:hAnsi="Arial" w:eastAsia="华文细黑"/>
                <w:sz w:val="18"/>
              </w:rPr>
              <w:t>商业</w:t>
            </w:r>
          </w:p>
        </w:tc>
        <w:tc>
          <w:tcPr>
            <w:tcW w:w="2325" w:type="dxa"/>
          </w:tcPr>
          <w:p w14:paraId="1288D910">
            <w:pPr>
              <w:wordWrap w:val="0"/>
              <w:overflowPunct w:val="0"/>
              <w:spacing w:line="240" w:lineRule="exact"/>
              <w:rPr>
                <w:rFonts w:ascii="Arial" w:hAnsi="Arial" w:eastAsia="华文细黑"/>
                <w:sz w:val="18"/>
              </w:rPr>
            </w:pPr>
            <w:r>
              <w:rPr>
                <w:rFonts w:hint="eastAsia" w:ascii="Arial" w:hAnsi="Arial" w:eastAsia="华文细黑"/>
                <w:sz w:val="18"/>
              </w:rPr>
              <w:t>商业</w:t>
            </w:r>
          </w:p>
        </w:tc>
      </w:tr>
      <w:tr w14:paraId="0AB3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4CFF4ABC">
            <w:pPr>
              <w:wordWrap w:val="0"/>
              <w:overflowPunct w:val="0"/>
              <w:spacing w:line="240" w:lineRule="exact"/>
              <w:rPr>
                <w:rFonts w:ascii="Arial" w:hAnsi="Arial" w:eastAsia="华文细黑"/>
                <w:sz w:val="18"/>
              </w:rPr>
            </w:pPr>
            <w:r>
              <w:rPr>
                <w:rFonts w:hint="eastAsia" w:ascii="Arial" w:hAnsi="Arial" w:eastAsia="华文细黑"/>
                <w:sz w:val="18"/>
              </w:rPr>
              <w:t>建筑面积（㎡）</w:t>
            </w:r>
          </w:p>
        </w:tc>
        <w:tc>
          <w:tcPr>
            <w:tcW w:w="2324" w:type="dxa"/>
          </w:tcPr>
          <w:p w14:paraId="7A63A075">
            <w:pPr>
              <w:wordWrap w:val="0"/>
              <w:overflowPunct w:val="0"/>
              <w:spacing w:line="240" w:lineRule="exact"/>
              <w:rPr>
                <w:rFonts w:ascii="Arial" w:hAnsi="Arial" w:eastAsia="华文细黑"/>
                <w:sz w:val="18"/>
              </w:rPr>
            </w:pPr>
            <w:r>
              <w:rPr>
                <w:rFonts w:hint="eastAsia" w:ascii="Arial" w:hAnsi="Arial" w:eastAsia="华文细黑"/>
                <w:sz w:val="18"/>
              </w:rPr>
              <w:t>500</w:t>
            </w:r>
          </w:p>
        </w:tc>
        <w:tc>
          <w:tcPr>
            <w:tcW w:w="2325" w:type="dxa"/>
          </w:tcPr>
          <w:p w14:paraId="1833B74F">
            <w:pPr>
              <w:wordWrap w:val="0"/>
              <w:overflowPunct w:val="0"/>
              <w:spacing w:line="240" w:lineRule="exact"/>
              <w:rPr>
                <w:rFonts w:ascii="Arial" w:hAnsi="Arial" w:eastAsia="华文细黑"/>
                <w:sz w:val="18"/>
              </w:rPr>
            </w:pPr>
            <w:r>
              <w:rPr>
                <w:rFonts w:hint="eastAsia" w:ascii="Arial" w:hAnsi="Arial" w:eastAsia="华文细黑"/>
                <w:sz w:val="18"/>
              </w:rPr>
              <w:t>160</w:t>
            </w:r>
          </w:p>
        </w:tc>
        <w:tc>
          <w:tcPr>
            <w:tcW w:w="2325" w:type="dxa"/>
          </w:tcPr>
          <w:p w14:paraId="79A6D341">
            <w:pPr>
              <w:wordWrap w:val="0"/>
              <w:overflowPunct w:val="0"/>
              <w:spacing w:line="240" w:lineRule="exact"/>
              <w:rPr>
                <w:rFonts w:ascii="Arial" w:hAnsi="Arial" w:eastAsia="华文细黑"/>
                <w:sz w:val="18"/>
              </w:rPr>
            </w:pPr>
            <w:r>
              <w:rPr>
                <w:rFonts w:hint="eastAsia" w:ascii="Arial" w:hAnsi="Arial" w:eastAsia="华文细黑"/>
                <w:sz w:val="18"/>
              </w:rPr>
              <w:t>150</w:t>
            </w:r>
          </w:p>
        </w:tc>
      </w:tr>
      <w:tr w14:paraId="4AC1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6120227A">
            <w:pPr>
              <w:wordWrap w:val="0"/>
              <w:overflowPunct w:val="0"/>
              <w:spacing w:line="240" w:lineRule="exact"/>
              <w:rPr>
                <w:rFonts w:ascii="Arial" w:hAnsi="Arial" w:eastAsia="华文细黑"/>
                <w:sz w:val="18"/>
              </w:rPr>
            </w:pPr>
            <w:r>
              <w:rPr>
                <w:rFonts w:hint="eastAsia" w:ascii="Arial" w:hAnsi="Arial" w:eastAsia="华文细黑"/>
                <w:sz w:val="18"/>
              </w:rPr>
              <w:t>交易情况</w:t>
            </w:r>
          </w:p>
        </w:tc>
        <w:tc>
          <w:tcPr>
            <w:tcW w:w="2324" w:type="dxa"/>
          </w:tcPr>
          <w:p w14:paraId="2453039E">
            <w:pPr>
              <w:wordWrap w:val="0"/>
              <w:overflowPunct w:val="0"/>
              <w:spacing w:line="240" w:lineRule="exact"/>
              <w:rPr>
                <w:rFonts w:ascii="Arial" w:hAnsi="Arial" w:eastAsia="华文细黑"/>
                <w:sz w:val="18"/>
              </w:rPr>
            </w:pPr>
            <w:r>
              <w:rPr>
                <w:rFonts w:hint="eastAsia" w:ascii="Arial" w:hAnsi="Arial" w:eastAsia="华文细黑"/>
                <w:sz w:val="18"/>
              </w:rPr>
              <w:t>挂牌</w:t>
            </w:r>
          </w:p>
        </w:tc>
        <w:tc>
          <w:tcPr>
            <w:tcW w:w="2325" w:type="dxa"/>
          </w:tcPr>
          <w:p w14:paraId="0FD35EF3">
            <w:pPr>
              <w:wordWrap w:val="0"/>
              <w:overflowPunct w:val="0"/>
              <w:spacing w:line="240" w:lineRule="exact"/>
              <w:rPr>
                <w:rFonts w:ascii="Arial" w:hAnsi="Arial" w:eastAsia="华文细黑"/>
                <w:sz w:val="18"/>
              </w:rPr>
            </w:pPr>
            <w:r>
              <w:rPr>
                <w:rFonts w:hint="eastAsia" w:ascii="Arial" w:hAnsi="Arial" w:eastAsia="华文细黑"/>
                <w:sz w:val="18"/>
              </w:rPr>
              <w:t>挂牌</w:t>
            </w:r>
          </w:p>
        </w:tc>
        <w:tc>
          <w:tcPr>
            <w:tcW w:w="2325" w:type="dxa"/>
          </w:tcPr>
          <w:p w14:paraId="64E0AF26">
            <w:pPr>
              <w:wordWrap w:val="0"/>
              <w:overflowPunct w:val="0"/>
              <w:spacing w:line="240" w:lineRule="exact"/>
              <w:rPr>
                <w:rFonts w:ascii="Arial" w:hAnsi="Arial" w:eastAsia="华文细黑"/>
                <w:sz w:val="18"/>
              </w:rPr>
            </w:pPr>
            <w:r>
              <w:rPr>
                <w:rFonts w:hint="eastAsia" w:ascii="Arial" w:hAnsi="Arial" w:eastAsia="华文细黑"/>
                <w:sz w:val="18"/>
              </w:rPr>
              <w:t>挂牌</w:t>
            </w:r>
          </w:p>
        </w:tc>
      </w:tr>
      <w:tr w14:paraId="33DD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4037C49B">
            <w:pPr>
              <w:wordWrap w:val="0"/>
              <w:overflowPunct w:val="0"/>
              <w:spacing w:line="240" w:lineRule="exact"/>
              <w:rPr>
                <w:rFonts w:ascii="Arial" w:hAnsi="Arial" w:eastAsia="华文细黑"/>
                <w:sz w:val="18"/>
              </w:rPr>
            </w:pPr>
            <w:r>
              <w:rPr>
                <w:rFonts w:hint="eastAsia" w:ascii="Arial" w:hAnsi="Arial" w:eastAsia="华文细黑"/>
                <w:sz w:val="18"/>
              </w:rPr>
              <w:t>权利性质</w:t>
            </w:r>
          </w:p>
        </w:tc>
        <w:tc>
          <w:tcPr>
            <w:tcW w:w="2324" w:type="dxa"/>
          </w:tcPr>
          <w:p w14:paraId="49988F2F">
            <w:pPr>
              <w:wordWrap w:val="0"/>
              <w:overflowPunct w:val="0"/>
              <w:spacing w:line="240" w:lineRule="exact"/>
              <w:rPr>
                <w:rFonts w:ascii="Arial" w:hAnsi="Arial" w:eastAsia="华文细黑"/>
                <w:sz w:val="18"/>
              </w:rPr>
            </w:pPr>
            <w:r>
              <w:rPr>
                <w:rFonts w:hint="eastAsia" w:ascii="Arial" w:hAnsi="Arial" w:eastAsia="华文细黑"/>
                <w:sz w:val="18"/>
              </w:rPr>
              <w:t>商品房</w:t>
            </w:r>
          </w:p>
        </w:tc>
        <w:tc>
          <w:tcPr>
            <w:tcW w:w="2325" w:type="dxa"/>
          </w:tcPr>
          <w:p w14:paraId="6664A22E">
            <w:pPr>
              <w:wordWrap w:val="0"/>
              <w:overflowPunct w:val="0"/>
              <w:spacing w:line="240" w:lineRule="exact"/>
              <w:rPr>
                <w:rFonts w:ascii="Arial" w:hAnsi="Arial" w:eastAsia="华文细黑"/>
                <w:sz w:val="18"/>
              </w:rPr>
            </w:pPr>
            <w:r>
              <w:rPr>
                <w:rFonts w:hint="eastAsia" w:ascii="Arial" w:hAnsi="Arial" w:eastAsia="华文细黑"/>
                <w:sz w:val="18"/>
              </w:rPr>
              <w:t>商品房</w:t>
            </w:r>
          </w:p>
        </w:tc>
        <w:tc>
          <w:tcPr>
            <w:tcW w:w="2325" w:type="dxa"/>
          </w:tcPr>
          <w:p w14:paraId="235936F0">
            <w:pPr>
              <w:wordWrap w:val="0"/>
              <w:overflowPunct w:val="0"/>
              <w:spacing w:line="240" w:lineRule="exact"/>
              <w:rPr>
                <w:rFonts w:ascii="Arial" w:hAnsi="Arial" w:eastAsia="华文细黑"/>
                <w:sz w:val="18"/>
              </w:rPr>
            </w:pPr>
            <w:r>
              <w:rPr>
                <w:rFonts w:hint="eastAsia" w:ascii="Arial" w:hAnsi="Arial" w:eastAsia="华文细黑"/>
                <w:sz w:val="18"/>
              </w:rPr>
              <w:t>商品房</w:t>
            </w:r>
          </w:p>
        </w:tc>
      </w:tr>
      <w:tr w14:paraId="5064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602CCEEB">
            <w:pPr>
              <w:wordWrap w:val="0"/>
              <w:overflowPunct w:val="0"/>
              <w:spacing w:line="240" w:lineRule="exact"/>
              <w:rPr>
                <w:rFonts w:ascii="Arial" w:hAnsi="Arial" w:eastAsia="华文细黑"/>
                <w:sz w:val="18"/>
              </w:rPr>
            </w:pPr>
            <w:r>
              <w:rPr>
                <w:rFonts w:hint="eastAsia" w:ascii="Arial" w:hAnsi="Arial" w:eastAsia="华文细黑"/>
                <w:sz w:val="18"/>
              </w:rPr>
              <w:t>成新度</w:t>
            </w:r>
          </w:p>
        </w:tc>
        <w:tc>
          <w:tcPr>
            <w:tcW w:w="2324" w:type="dxa"/>
          </w:tcPr>
          <w:p w14:paraId="5D7E16F8">
            <w:pPr>
              <w:wordWrap w:val="0"/>
              <w:overflowPunct w:val="0"/>
              <w:spacing w:line="240" w:lineRule="exact"/>
              <w:rPr>
                <w:rFonts w:ascii="Arial" w:hAnsi="Arial" w:eastAsia="华文细黑"/>
                <w:sz w:val="18"/>
              </w:rPr>
            </w:pPr>
            <w:r>
              <w:rPr>
                <w:rFonts w:hint="eastAsia" w:ascii="Arial" w:hAnsi="Arial" w:eastAsia="华文细黑"/>
                <w:sz w:val="18"/>
              </w:rPr>
              <w:t>80-90%</w:t>
            </w:r>
          </w:p>
        </w:tc>
        <w:tc>
          <w:tcPr>
            <w:tcW w:w="2325" w:type="dxa"/>
          </w:tcPr>
          <w:p w14:paraId="3BEE48A8">
            <w:pPr>
              <w:wordWrap w:val="0"/>
              <w:overflowPunct w:val="0"/>
              <w:spacing w:line="240" w:lineRule="exact"/>
              <w:rPr>
                <w:rFonts w:ascii="Arial" w:hAnsi="Arial" w:eastAsia="华文细黑"/>
                <w:sz w:val="18"/>
              </w:rPr>
            </w:pPr>
            <w:r>
              <w:rPr>
                <w:rFonts w:hint="eastAsia" w:ascii="Arial" w:hAnsi="Arial" w:eastAsia="华文细黑"/>
                <w:sz w:val="18"/>
              </w:rPr>
              <w:t>80-90%</w:t>
            </w:r>
          </w:p>
        </w:tc>
        <w:tc>
          <w:tcPr>
            <w:tcW w:w="2325" w:type="dxa"/>
          </w:tcPr>
          <w:p w14:paraId="70091C0F">
            <w:pPr>
              <w:wordWrap w:val="0"/>
              <w:overflowPunct w:val="0"/>
              <w:spacing w:line="240" w:lineRule="exact"/>
              <w:rPr>
                <w:rFonts w:ascii="Arial" w:hAnsi="Arial" w:eastAsia="华文细黑"/>
                <w:sz w:val="18"/>
              </w:rPr>
            </w:pPr>
            <w:r>
              <w:rPr>
                <w:rFonts w:hint="eastAsia" w:ascii="Arial" w:hAnsi="Arial" w:eastAsia="华文细黑"/>
                <w:sz w:val="18"/>
              </w:rPr>
              <w:t>80-90%</w:t>
            </w:r>
          </w:p>
        </w:tc>
      </w:tr>
      <w:tr w14:paraId="7A53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33971A6A">
            <w:pPr>
              <w:wordWrap w:val="0"/>
              <w:overflowPunct w:val="0"/>
              <w:spacing w:line="240" w:lineRule="exact"/>
              <w:rPr>
                <w:rFonts w:ascii="Arial" w:hAnsi="Arial" w:eastAsia="华文细黑"/>
                <w:sz w:val="18"/>
              </w:rPr>
            </w:pPr>
            <w:r>
              <w:rPr>
                <w:rFonts w:hint="eastAsia" w:ascii="Arial" w:hAnsi="Arial" w:eastAsia="华文细黑"/>
                <w:sz w:val="18"/>
              </w:rPr>
              <w:t>建筑结构</w:t>
            </w:r>
          </w:p>
        </w:tc>
        <w:tc>
          <w:tcPr>
            <w:tcW w:w="2324" w:type="dxa"/>
          </w:tcPr>
          <w:p w14:paraId="038AFBF8">
            <w:pPr>
              <w:wordWrap w:val="0"/>
              <w:overflowPunct w:val="0"/>
              <w:spacing w:line="240" w:lineRule="exact"/>
              <w:rPr>
                <w:rFonts w:ascii="Arial" w:hAnsi="Arial" w:eastAsia="华文细黑"/>
                <w:sz w:val="18"/>
              </w:rPr>
            </w:pPr>
            <w:r>
              <w:rPr>
                <w:rFonts w:hint="eastAsia" w:ascii="Arial" w:hAnsi="Arial" w:eastAsia="华文细黑"/>
                <w:sz w:val="18"/>
              </w:rPr>
              <w:t>钢混</w:t>
            </w:r>
          </w:p>
        </w:tc>
        <w:tc>
          <w:tcPr>
            <w:tcW w:w="2325" w:type="dxa"/>
          </w:tcPr>
          <w:p w14:paraId="0E4F6732">
            <w:pPr>
              <w:wordWrap w:val="0"/>
              <w:overflowPunct w:val="0"/>
              <w:spacing w:line="240" w:lineRule="exact"/>
              <w:rPr>
                <w:rFonts w:ascii="Arial" w:hAnsi="Arial" w:eastAsia="华文细黑"/>
                <w:sz w:val="18"/>
              </w:rPr>
            </w:pPr>
            <w:r>
              <w:rPr>
                <w:rFonts w:hint="eastAsia" w:ascii="Arial" w:hAnsi="Arial" w:eastAsia="华文细黑"/>
                <w:sz w:val="18"/>
              </w:rPr>
              <w:t>钢混</w:t>
            </w:r>
          </w:p>
        </w:tc>
        <w:tc>
          <w:tcPr>
            <w:tcW w:w="2325" w:type="dxa"/>
          </w:tcPr>
          <w:p w14:paraId="272BE0B7">
            <w:pPr>
              <w:wordWrap w:val="0"/>
              <w:overflowPunct w:val="0"/>
              <w:spacing w:line="240" w:lineRule="exact"/>
              <w:rPr>
                <w:rFonts w:ascii="Arial" w:hAnsi="Arial" w:eastAsia="华文细黑"/>
                <w:sz w:val="18"/>
              </w:rPr>
            </w:pPr>
            <w:r>
              <w:rPr>
                <w:rFonts w:hint="eastAsia" w:ascii="Arial" w:hAnsi="Arial" w:eastAsia="华文细黑"/>
                <w:sz w:val="18"/>
              </w:rPr>
              <w:t>钢混</w:t>
            </w:r>
          </w:p>
        </w:tc>
      </w:tr>
      <w:tr w14:paraId="627F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212C81E9">
            <w:pPr>
              <w:wordWrap w:val="0"/>
              <w:overflowPunct w:val="0"/>
              <w:spacing w:line="240" w:lineRule="exact"/>
              <w:rPr>
                <w:rFonts w:ascii="Arial" w:hAnsi="Arial" w:eastAsia="华文细黑"/>
                <w:sz w:val="18"/>
              </w:rPr>
            </w:pPr>
            <w:r>
              <w:rPr>
                <w:rFonts w:hint="eastAsia" w:ascii="Arial" w:hAnsi="Arial" w:eastAsia="华文细黑"/>
                <w:sz w:val="18"/>
              </w:rPr>
              <w:t>装修</w:t>
            </w:r>
          </w:p>
        </w:tc>
        <w:tc>
          <w:tcPr>
            <w:tcW w:w="2324" w:type="dxa"/>
          </w:tcPr>
          <w:p w14:paraId="4C9D1A07">
            <w:pPr>
              <w:wordWrap w:val="0"/>
              <w:overflowPunct w:val="0"/>
              <w:spacing w:line="240" w:lineRule="exact"/>
              <w:rPr>
                <w:rFonts w:ascii="Arial" w:hAnsi="Arial" w:eastAsia="华文细黑"/>
                <w:sz w:val="18"/>
              </w:rPr>
            </w:pPr>
            <w:r>
              <w:rPr>
                <w:rFonts w:hint="eastAsia" w:ascii="Arial" w:hAnsi="Arial" w:eastAsia="华文细黑"/>
                <w:sz w:val="18"/>
              </w:rPr>
              <w:t>普通装修</w:t>
            </w:r>
          </w:p>
        </w:tc>
        <w:tc>
          <w:tcPr>
            <w:tcW w:w="2325" w:type="dxa"/>
          </w:tcPr>
          <w:p w14:paraId="7E89D463">
            <w:pPr>
              <w:wordWrap w:val="0"/>
              <w:overflowPunct w:val="0"/>
              <w:spacing w:line="240" w:lineRule="exact"/>
              <w:rPr>
                <w:rFonts w:ascii="Arial" w:hAnsi="Arial" w:eastAsia="华文细黑"/>
                <w:sz w:val="18"/>
              </w:rPr>
            </w:pPr>
            <w:r>
              <w:rPr>
                <w:rFonts w:hint="eastAsia" w:ascii="Arial" w:hAnsi="Arial" w:eastAsia="华文细黑"/>
                <w:sz w:val="18"/>
              </w:rPr>
              <w:t>普通装修</w:t>
            </w:r>
          </w:p>
        </w:tc>
        <w:tc>
          <w:tcPr>
            <w:tcW w:w="2325" w:type="dxa"/>
          </w:tcPr>
          <w:p w14:paraId="33B2AE90">
            <w:pPr>
              <w:wordWrap w:val="0"/>
              <w:overflowPunct w:val="0"/>
              <w:spacing w:line="240" w:lineRule="exact"/>
              <w:rPr>
                <w:rFonts w:ascii="Arial" w:hAnsi="Arial" w:eastAsia="华文细黑"/>
                <w:sz w:val="18"/>
              </w:rPr>
            </w:pPr>
            <w:r>
              <w:rPr>
                <w:rFonts w:hint="eastAsia" w:ascii="Arial" w:hAnsi="Arial" w:eastAsia="华文细黑"/>
                <w:sz w:val="18"/>
              </w:rPr>
              <w:t>普通装修</w:t>
            </w:r>
          </w:p>
        </w:tc>
      </w:tr>
      <w:tr w14:paraId="5D01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75D58B6E">
            <w:pPr>
              <w:wordWrap w:val="0"/>
              <w:overflowPunct w:val="0"/>
              <w:spacing w:line="240" w:lineRule="exact"/>
              <w:rPr>
                <w:rFonts w:ascii="Arial" w:hAnsi="Arial" w:eastAsia="华文细黑"/>
                <w:sz w:val="18"/>
              </w:rPr>
            </w:pPr>
            <w:r>
              <w:rPr>
                <w:rFonts w:hint="eastAsia" w:ascii="Arial" w:hAnsi="Arial" w:eastAsia="华文细黑"/>
                <w:sz w:val="18"/>
              </w:rPr>
              <w:t>临街条件（商业）</w:t>
            </w:r>
          </w:p>
        </w:tc>
        <w:tc>
          <w:tcPr>
            <w:tcW w:w="2324" w:type="dxa"/>
          </w:tcPr>
          <w:p w14:paraId="2D802593">
            <w:pPr>
              <w:wordWrap w:val="0"/>
              <w:overflowPunct w:val="0"/>
              <w:spacing w:line="240" w:lineRule="exact"/>
              <w:rPr>
                <w:rFonts w:ascii="Arial" w:hAnsi="Arial" w:eastAsia="华文细黑"/>
                <w:sz w:val="18"/>
              </w:rPr>
            </w:pPr>
            <w:r>
              <w:rPr>
                <w:rFonts w:hint="eastAsia" w:ascii="Arial" w:hAnsi="Arial" w:eastAsia="华文细黑"/>
                <w:sz w:val="18"/>
              </w:rPr>
              <w:t>单面临街</w:t>
            </w:r>
          </w:p>
        </w:tc>
        <w:tc>
          <w:tcPr>
            <w:tcW w:w="2325" w:type="dxa"/>
          </w:tcPr>
          <w:p w14:paraId="01BA7AC6">
            <w:pPr>
              <w:wordWrap w:val="0"/>
              <w:overflowPunct w:val="0"/>
              <w:spacing w:line="240" w:lineRule="exact"/>
              <w:rPr>
                <w:rFonts w:ascii="Arial" w:hAnsi="Arial" w:eastAsia="华文细黑"/>
                <w:sz w:val="18"/>
              </w:rPr>
            </w:pPr>
            <w:r>
              <w:rPr>
                <w:rFonts w:hint="eastAsia" w:ascii="Arial" w:hAnsi="Arial" w:eastAsia="华文细黑"/>
                <w:sz w:val="18"/>
              </w:rPr>
              <w:t>单面临街</w:t>
            </w:r>
          </w:p>
        </w:tc>
        <w:tc>
          <w:tcPr>
            <w:tcW w:w="2325" w:type="dxa"/>
          </w:tcPr>
          <w:p w14:paraId="2E046B26">
            <w:pPr>
              <w:wordWrap w:val="0"/>
              <w:overflowPunct w:val="0"/>
              <w:spacing w:line="240" w:lineRule="exact"/>
              <w:rPr>
                <w:rFonts w:ascii="Arial" w:hAnsi="Arial" w:eastAsia="华文细黑"/>
                <w:sz w:val="18"/>
              </w:rPr>
            </w:pPr>
            <w:r>
              <w:rPr>
                <w:rFonts w:hint="eastAsia" w:ascii="Arial" w:hAnsi="Arial" w:eastAsia="华文细黑"/>
                <w:sz w:val="18"/>
              </w:rPr>
              <w:t>单面临街</w:t>
            </w:r>
          </w:p>
        </w:tc>
      </w:tr>
      <w:tr w14:paraId="7BC5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667910BD">
            <w:pPr>
              <w:wordWrap w:val="0"/>
              <w:overflowPunct w:val="0"/>
              <w:spacing w:line="240" w:lineRule="exact"/>
              <w:rPr>
                <w:rFonts w:ascii="Arial" w:hAnsi="Arial" w:eastAsia="华文细黑"/>
                <w:sz w:val="18"/>
              </w:rPr>
            </w:pPr>
            <w:r>
              <w:rPr>
                <w:rFonts w:hint="eastAsia" w:ascii="Arial" w:hAnsi="Arial" w:eastAsia="华文细黑"/>
                <w:sz w:val="18"/>
              </w:rPr>
              <w:t>商业类型</w:t>
            </w:r>
          </w:p>
        </w:tc>
        <w:tc>
          <w:tcPr>
            <w:tcW w:w="2324" w:type="dxa"/>
          </w:tcPr>
          <w:p w14:paraId="46261912">
            <w:pPr>
              <w:wordWrap w:val="0"/>
              <w:overflowPunct w:val="0"/>
              <w:spacing w:line="240" w:lineRule="exact"/>
              <w:rPr>
                <w:rFonts w:ascii="Arial" w:hAnsi="Arial" w:eastAsia="华文细黑"/>
                <w:sz w:val="18"/>
              </w:rPr>
            </w:pPr>
            <w:r>
              <w:rPr>
                <w:rFonts w:hint="eastAsia" w:ascii="Arial" w:hAnsi="Arial" w:eastAsia="华文细黑"/>
                <w:sz w:val="18"/>
              </w:rPr>
              <w:t>住宅底商</w:t>
            </w:r>
          </w:p>
        </w:tc>
        <w:tc>
          <w:tcPr>
            <w:tcW w:w="2325" w:type="dxa"/>
          </w:tcPr>
          <w:p w14:paraId="75449692">
            <w:pPr>
              <w:wordWrap w:val="0"/>
              <w:overflowPunct w:val="0"/>
              <w:spacing w:line="240" w:lineRule="exact"/>
              <w:rPr>
                <w:rFonts w:ascii="Arial" w:hAnsi="Arial" w:eastAsia="华文细黑"/>
                <w:sz w:val="18"/>
              </w:rPr>
            </w:pPr>
            <w:r>
              <w:rPr>
                <w:rFonts w:hint="eastAsia" w:ascii="Arial" w:hAnsi="Arial" w:eastAsia="华文细黑"/>
                <w:sz w:val="18"/>
              </w:rPr>
              <w:t>商业综合体</w:t>
            </w:r>
          </w:p>
        </w:tc>
        <w:tc>
          <w:tcPr>
            <w:tcW w:w="2325" w:type="dxa"/>
          </w:tcPr>
          <w:p w14:paraId="2AA6B2BC">
            <w:pPr>
              <w:wordWrap w:val="0"/>
              <w:overflowPunct w:val="0"/>
              <w:spacing w:line="240" w:lineRule="exact"/>
              <w:rPr>
                <w:rFonts w:ascii="Arial" w:hAnsi="Arial" w:eastAsia="华文细黑"/>
                <w:sz w:val="18"/>
              </w:rPr>
            </w:pPr>
            <w:r>
              <w:rPr>
                <w:rFonts w:hint="eastAsia" w:ascii="Arial" w:hAnsi="Arial" w:eastAsia="华文细黑"/>
                <w:sz w:val="18"/>
              </w:rPr>
              <w:t>住宅底商</w:t>
            </w:r>
          </w:p>
        </w:tc>
      </w:tr>
      <w:tr w14:paraId="0D2D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71AD0E03">
            <w:pPr>
              <w:wordWrap w:val="0"/>
              <w:overflowPunct w:val="0"/>
              <w:spacing w:line="240" w:lineRule="exact"/>
              <w:rPr>
                <w:rFonts w:ascii="Arial" w:hAnsi="Arial" w:eastAsia="华文细黑"/>
                <w:sz w:val="18"/>
              </w:rPr>
            </w:pPr>
            <w:r>
              <w:rPr>
                <w:rFonts w:hint="eastAsia" w:ascii="Arial" w:hAnsi="Arial" w:eastAsia="华文细黑"/>
                <w:sz w:val="18"/>
              </w:rPr>
              <w:t>楼层</w:t>
            </w:r>
          </w:p>
        </w:tc>
        <w:tc>
          <w:tcPr>
            <w:tcW w:w="2324" w:type="dxa"/>
          </w:tcPr>
          <w:p w14:paraId="4FDEDFE6">
            <w:pPr>
              <w:wordWrap w:val="0"/>
              <w:overflowPunct w:val="0"/>
              <w:spacing w:line="240" w:lineRule="exact"/>
              <w:rPr>
                <w:rFonts w:ascii="Arial" w:hAnsi="Arial" w:eastAsia="华文细黑"/>
                <w:sz w:val="18"/>
              </w:rPr>
            </w:pPr>
            <w:r>
              <w:rPr>
                <w:rFonts w:hint="eastAsia" w:ascii="Arial" w:hAnsi="Arial" w:eastAsia="华文细黑"/>
                <w:sz w:val="18"/>
              </w:rPr>
              <w:t>1层</w:t>
            </w:r>
          </w:p>
        </w:tc>
        <w:tc>
          <w:tcPr>
            <w:tcW w:w="2325" w:type="dxa"/>
          </w:tcPr>
          <w:p w14:paraId="0A9A3C05">
            <w:pPr>
              <w:wordWrap w:val="0"/>
              <w:overflowPunct w:val="0"/>
              <w:spacing w:line="240" w:lineRule="exact"/>
              <w:rPr>
                <w:rFonts w:ascii="Arial" w:hAnsi="Arial" w:eastAsia="华文细黑"/>
                <w:sz w:val="18"/>
              </w:rPr>
            </w:pPr>
            <w:r>
              <w:rPr>
                <w:rFonts w:hint="eastAsia" w:ascii="Arial" w:hAnsi="Arial" w:eastAsia="华文细黑"/>
                <w:sz w:val="18"/>
              </w:rPr>
              <w:t>1层</w:t>
            </w:r>
          </w:p>
        </w:tc>
        <w:tc>
          <w:tcPr>
            <w:tcW w:w="2325" w:type="dxa"/>
          </w:tcPr>
          <w:p w14:paraId="53DEE723">
            <w:pPr>
              <w:wordWrap w:val="0"/>
              <w:overflowPunct w:val="0"/>
              <w:spacing w:line="240" w:lineRule="exact"/>
              <w:rPr>
                <w:rFonts w:ascii="Arial" w:hAnsi="Arial" w:eastAsia="华文细黑"/>
                <w:sz w:val="18"/>
              </w:rPr>
            </w:pPr>
            <w:r>
              <w:rPr>
                <w:rFonts w:hint="eastAsia" w:ascii="Arial" w:hAnsi="Arial" w:eastAsia="华文细黑"/>
                <w:sz w:val="18"/>
              </w:rPr>
              <w:t>1层</w:t>
            </w:r>
          </w:p>
        </w:tc>
      </w:tr>
      <w:tr w14:paraId="4351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52F63C98">
            <w:pPr>
              <w:wordWrap w:val="0"/>
              <w:overflowPunct w:val="0"/>
              <w:spacing w:line="240" w:lineRule="exact"/>
              <w:rPr>
                <w:rFonts w:ascii="Arial" w:hAnsi="Arial" w:eastAsia="华文细黑"/>
                <w:sz w:val="18"/>
              </w:rPr>
            </w:pPr>
            <w:r>
              <w:rPr>
                <w:rFonts w:hint="eastAsia" w:ascii="Arial" w:hAnsi="Arial" w:eastAsia="华文细黑"/>
                <w:sz w:val="18"/>
              </w:rPr>
              <w:t>人流量</w:t>
            </w:r>
          </w:p>
        </w:tc>
        <w:tc>
          <w:tcPr>
            <w:tcW w:w="2324" w:type="dxa"/>
          </w:tcPr>
          <w:p w14:paraId="40061D3A">
            <w:pPr>
              <w:wordWrap w:val="0"/>
              <w:overflowPunct w:val="0"/>
              <w:spacing w:line="240" w:lineRule="exact"/>
              <w:rPr>
                <w:rFonts w:ascii="Arial" w:hAnsi="Arial" w:eastAsia="华文细黑"/>
                <w:sz w:val="18"/>
              </w:rPr>
            </w:pPr>
            <w:r>
              <w:rPr>
                <w:rFonts w:hint="eastAsia" w:ascii="Arial" w:hAnsi="Arial" w:eastAsia="华文细黑"/>
                <w:sz w:val="18"/>
              </w:rPr>
              <w:t>一般</w:t>
            </w:r>
          </w:p>
        </w:tc>
        <w:tc>
          <w:tcPr>
            <w:tcW w:w="2325" w:type="dxa"/>
          </w:tcPr>
          <w:p w14:paraId="4FAE20B3">
            <w:pPr>
              <w:wordWrap w:val="0"/>
              <w:overflowPunct w:val="0"/>
              <w:spacing w:line="240" w:lineRule="exact"/>
              <w:rPr>
                <w:rFonts w:ascii="Arial" w:hAnsi="Arial" w:eastAsia="华文细黑"/>
                <w:sz w:val="18"/>
              </w:rPr>
            </w:pPr>
            <w:r>
              <w:rPr>
                <w:rFonts w:hint="eastAsia" w:ascii="Arial" w:hAnsi="Arial" w:eastAsia="华文细黑"/>
                <w:sz w:val="18"/>
              </w:rPr>
              <w:t>一般</w:t>
            </w:r>
          </w:p>
        </w:tc>
        <w:tc>
          <w:tcPr>
            <w:tcW w:w="2325" w:type="dxa"/>
          </w:tcPr>
          <w:p w14:paraId="3250C8A9">
            <w:pPr>
              <w:wordWrap w:val="0"/>
              <w:overflowPunct w:val="0"/>
              <w:spacing w:line="240" w:lineRule="exact"/>
              <w:rPr>
                <w:rFonts w:ascii="Arial" w:hAnsi="Arial" w:eastAsia="华文细黑"/>
                <w:sz w:val="18"/>
              </w:rPr>
            </w:pPr>
            <w:r>
              <w:rPr>
                <w:rFonts w:hint="eastAsia" w:ascii="Arial" w:hAnsi="Arial" w:eastAsia="华文细黑"/>
                <w:sz w:val="18"/>
              </w:rPr>
              <w:t>一般</w:t>
            </w:r>
          </w:p>
        </w:tc>
      </w:tr>
      <w:tr w14:paraId="7FD6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400C1C0B">
            <w:pPr>
              <w:wordWrap w:val="0"/>
              <w:overflowPunct w:val="0"/>
              <w:spacing w:line="240" w:lineRule="exact"/>
              <w:rPr>
                <w:rFonts w:ascii="Arial" w:hAnsi="Arial" w:eastAsia="华文细黑"/>
                <w:sz w:val="18"/>
              </w:rPr>
            </w:pPr>
            <w:r>
              <w:rPr>
                <w:rFonts w:hint="eastAsia" w:ascii="Arial" w:hAnsi="Arial" w:eastAsia="华文细黑"/>
                <w:sz w:val="18"/>
              </w:rPr>
              <w:t>物业管理</w:t>
            </w:r>
          </w:p>
        </w:tc>
        <w:tc>
          <w:tcPr>
            <w:tcW w:w="2324" w:type="dxa"/>
          </w:tcPr>
          <w:p w14:paraId="1CC88366">
            <w:pP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c>
          <w:tcPr>
            <w:tcW w:w="2325" w:type="dxa"/>
          </w:tcPr>
          <w:p w14:paraId="6760095E">
            <w:pP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c>
          <w:tcPr>
            <w:tcW w:w="2325" w:type="dxa"/>
          </w:tcPr>
          <w:p w14:paraId="204B8468">
            <w:pP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r>
    </w:tbl>
    <w:p w14:paraId="70413FF6">
      <w:pPr>
        <w:rPr>
          <w:rFonts w:ascii="Arial" w:hAnsi="Arial" w:cs="Arial"/>
          <w:sz w:val="21"/>
          <w:szCs w:val="21"/>
        </w:rPr>
      </w:pPr>
      <w:r>
        <w:rPr>
          <w:rFonts w:hint="eastAsia" w:ascii="Arial" w:hAnsi="Arial" w:cs="Arial"/>
          <w:sz w:val="21"/>
          <w:szCs w:val="21"/>
        </w:rPr>
        <w:br w:type="page"/>
      </w:r>
    </w:p>
    <w:p w14:paraId="557E9E9F">
      <w:pPr>
        <w:spacing w:line="480" w:lineRule="auto"/>
        <w:ind w:firstLine="411" w:firstLineChars="196"/>
        <w:jc w:val="both"/>
        <w:rPr>
          <w:rFonts w:ascii="Arial" w:hAnsi="Arial" w:cs="Arial"/>
          <w:sz w:val="21"/>
          <w:szCs w:val="21"/>
        </w:rPr>
      </w:pPr>
      <w:r>
        <w:rPr>
          <w:rFonts w:hint="eastAsia" w:ascii="Arial" w:hAnsi="Arial" w:cs="Arial"/>
          <w:sz w:val="21"/>
          <w:szCs w:val="21"/>
        </w:rPr>
        <w:t>各案例位置及照片如下：</w:t>
      </w:r>
    </w:p>
    <w:tbl>
      <w:tblPr>
        <w:tblStyle w:val="32"/>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3099"/>
        <w:gridCol w:w="3100"/>
        <w:gridCol w:w="3100"/>
      </w:tblGrid>
      <w:tr w14:paraId="72D0CAF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299" w:type="dxa"/>
            <w:gridSpan w:val="3"/>
          </w:tcPr>
          <w:p w14:paraId="482A68C6">
            <w:pPr>
              <w:jc w:val="center"/>
              <w:rPr>
                <w:rFonts w:ascii="华文细黑" w:hAnsi="华文细黑" w:eastAsia="华文细黑"/>
              </w:rPr>
            </w:pPr>
            <w:r>
              <w:rPr>
                <w:rFonts w:hint="eastAsia" w:ascii="华文细黑" w:hAnsi="华文细黑" w:eastAsia="华文细黑"/>
              </w:rPr>
              <w:t>案例位置</w:t>
            </w:r>
          </w:p>
        </w:tc>
      </w:tr>
      <w:tr w14:paraId="34FE658A">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7655" w:hRule="exact"/>
          <w:jc w:val="center"/>
        </w:trPr>
        <w:tc>
          <w:tcPr>
            <w:tcW w:w="9299" w:type="dxa"/>
            <w:gridSpan w:val="3"/>
          </w:tcPr>
          <w:p w14:paraId="37482DBD">
            <w:pPr>
              <w:jc w:val="center"/>
            </w:pPr>
            <w:r>
              <mc:AlternateContent>
                <mc:Choice Requires="wps">
                  <w:drawing>
                    <wp:anchor distT="0" distB="0" distL="114300" distR="114300" simplePos="0" relativeHeight="251668480" behindDoc="0" locked="0" layoutInCell="1" allowOverlap="1">
                      <wp:simplePos x="0" y="0"/>
                      <wp:positionH relativeFrom="column">
                        <wp:posOffset>3769995</wp:posOffset>
                      </wp:positionH>
                      <wp:positionV relativeFrom="paragraph">
                        <wp:posOffset>1200785</wp:posOffset>
                      </wp:positionV>
                      <wp:extent cx="718185" cy="374015"/>
                      <wp:effectExtent l="286385" t="12700" r="16510" b="55245"/>
                      <wp:wrapNone/>
                      <wp:docPr id="2129118748" name="线形标注 1 1"/>
                      <wp:cNvGraphicFramePr/>
                      <a:graphic xmlns:a="http://schemas.openxmlformats.org/drawingml/2006/main">
                        <a:graphicData uri="http://schemas.microsoft.com/office/word/2010/wordprocessingShape">
                          <wps:wsp>
                            <wps:cNvSpPr/>
                            <wps:spPr>
                              <a:xfrm>
                                <a:off x="0" y="0"/>
                                <a:ext cx="718185" cy="37401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6CDFB9E">
                                  <w:pPr>
                                    <w:jc w:val="center"/>
                                    <w:rPr>
                                      <w:b/>
                                      <w:color w:val="FFFFFF"/>
                                    </w:rPr>
                                  </w:pPr>
                                  <w:r>
                                    <w:rPr>
                                      <w:rFonts w:hint="eastAsia"/>
                                      <w:b/>
                                      <w:color w:val="FFFFFF"/>
                                    </w:rPr>
                                    <w:t>案例</w:t>
                                  </w:r>
                                  <w:r>
                                    <w:rPr>
                                      <w:rFonts w:ascii="Arial" w:hAnsi="Arial" w:cs="Arial"/>
                                      <w:b/>
                                      <w:color w:val="FFFFFF"/>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 1" o:spid="_x0000_s1026" o:spt="47" type="#_x0000_t47" style="position:absolute;left:0pt;margin-left:296.85pt;margin-top:94.55pt;height:29.45pt;width:56.55pt;z-index:251668480;v-text-anchor:middle;mso-width-relative:page;mso-height-relative:page;" fillcolor="#558ED5" filled="t" stroked="t" coordsize="21600,21600" o:gfxdata="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&#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m7nMa2QAAAAsBAAAPAAAAAAAAAAEAIAAAACIAAABk&#10;cnMvZG93bnJldi54bWxQSwECFAAUAAAACACHTuJA33VjobACAABqBQAADgAAAAAAAAABACAAAAAo&#10;AQAAZHJzL2Uyb0RvYy54bWxQSwUGAAAAAAYABgBZAQAASgYAAAAA&#10;" adj="-8280,24300,-1800,4050">
                      <v:fill on="t" focussize="0,0"/>
                      <v:stroke weight="2pt" color="#385D8A" joinstyle="round"/>
                      <v:imagedata o:title=""/>
                      <o:lock v:ext="edit" aspectratio="f"/>
                      <v:textbox>
                        <w:txbxContent>
                          <w:p w14:paraId="56CDFB9E">
                            <w:pPr>
                              <w:jc w:val="center"/>
                              <w:rPr>
                                <w:b/>
                                <w:color w:val="FFFFFF"/>
                              </w:rPr>
                            </w:pPr>
                            <w:r>
                              <w:rPr>
                                <w:rFonts w:hint="eastAsia"/>
                                <w:b/>
                                <w:color w:val="FFFFFF"/>
                              </w:rPr>
                              <w:t>案例</w:t>
                            </w:r>
                            <w:r>
                              <w:rPr>
                                <w:rFonts w:ascii="Arial" w:hAnsi="Arial" w:cs="Arial"/>
                                <w:b/>
                                <w:color w:val="FFFFFF"/>
                              </w:rPr>
                              <w:t>A</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2534285</wp:posOffset>
                      </wp:positionH>
                      <wp:positionV relativeFrom="paragraph">
                        <wp:posOffset>644525</wp:posOffset>
                      </wp:positionV>
                      <wp:extent cx="718185" cy="389255"/>
                      <wp:effectExtent l="12700" t="12700" r="259715" b="70485"/>
                      <wp:wrapNone/>
                      <wp:docPr id="93963290" name="线形标注 1 9"/>
                      <wp:cNvGraphicFramePr/>
                      <a:graphic xmlns:a="http://schemas.openxmlformats.org/drawingml/2006/main">
                        <a:graphicData uri="http://schemas.microsoft.com/office/word/2010/wordprocessingShape">
                          <wps:wsp>
                            <wps:cNvSpPr/>
                            <wps:spPr>
                              <a:xfrm>
                                <a:off x="0" y="0"/>
                                <a:ext cx="718185" cy="38925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603A85">
                                  <w:pPr>
                                    <w:jc w:val="center"/>
                                    <w:rPr>
                                      <w:b/>
                                      <w:color w:val="FFFFFF"/>
                                    </w:rPr>
                                  </w:pPr>
                                  <w:r>
                                    <w:rPr>
                                      <w:rFonts w:hint="eastAsia"/>
                                      <w:b/>
                                      <w:color w:val="FFFFFF"/>
                                    </w:rPr>
                                    <w:t>案例</w:t>
                                  </w:r>
                                  <w:r>
                                    <w:rPr>
                                      <w:rFonts w:hint="eastAsia" w:ascii="Arial" w:hAnsi="Arial" w:cs="Arial"/>
                                      <w:b/>
                                      <w:color w:val="FFFFFF"/>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 9" o:spid="_x0000_s1026" o:spt="47" type="#_x0000_t47" style="position:absolute;left:0pt;margin-left:199.55pt;margin-top:50.75pt;height:30.65pt;width:56.55pt;z-index:251669504;v-text-anchor:middle;mso-width-relative:page;mso-height-relative:page;" fillcolor="#558ED5" filled="t" stroked="t" coordsize="21600,21600" o:gfxdata="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C36r9tsAAAALAQAADwAAAAAAAAABACAAAAAiAAAAZHJz&#10;L2Rvd25yZXYueG1sUEsBAhQAFAAAAAgAh07iQDjb48DlAgAABAYAAA4AAAAAAAAAAQAgAAAAKgEA&#10;AGRycy9lMm9Eb2MueG1sUEsFBgAAAAAGAAYAWQEAAIEGAAAAAA==&#10;" adj="28716,25132,22427,6546">
                      <v:fill on="t" focussize="0,0"/>
                      <v:stroke weight="2pt" color="#385D8A" joinstyle="round"/>
                      <v:imagedata o:title=""/>
                      <o:lock v:ext="edit" aspectratio="f"/>
                      <v:textbox>
                        <w:txbxContent>
                          <w:p w14:paraId="5B603A85">
                            <w:pPr>
                              <w:jc w:val="center"/>
                              <w:rPr>
                                <w:b/>
                                <w:color w:val="FFFFFF"/>
                              </w:rPr>
                            </w:pPr>
                            <w:r>
                              <w:rPr>
                                <w:rFonts w:hint="eastAsia"/>
                                <w:b/>
                                <w:color w:val="FFFFFF"/>
                              </w:rPr>
                              <w:t>案例</w:t>
                            </w:r>
                            <w:r>
                              <w:rPr>
                                <w:rFonts w:hint="eastAsia" w:ascii="Arial" w:hAnsi="Arial" w:cs="Arial"/>
                                <w:b/>
                                <w:color w:val="FFFFFF"/>
                              </w:rPr>
                              <w:t>B</w:t>
                            </w:r>
                          </w:p>
                        </w:txbxContent>
                      </v:textbox>
                    </v:shape>
                  </w:pict>
                </mc:Fallback>
              </mc:AlternateContent>
            </w:r>
            <w:r>
              <w:drawing>
                <wp:inline distT="0" distB="0" distL="0" distR="0">
                  <wp:extent cx="5868035" cy="4773930"/>
                  <wp:effectExtent l="0" t="0" r="14605" b="1143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868035" cy="4773930"/>
                          </a:xfrm>
                          <a:prstGeom prst="rect">
                            <a:avLst/>
                          </a:prstGeom>
                          <a:noFill/>
                          <a:ln>
                            <a:noFill/>
                          </a:ln>
                          <a:effectLst/>
                        </pic:spPr>
                      </pic:pic>
                    </a:graphicData>
                  </a:graphic>
                </wp:inline>
              </w:drawing>
            </w:r>
            <w:r>
              <mc:AlternateContent>
                <mc:Choice Requires="wps">
                  <w:drawing>
                    <wp:anchor distT="0" distB="0" distL="114300" distR="114300" simplePos="0" relativeHeight="251670528" behindDoc="0" locked="0" layoutInCell="1" allowOverlap="1">
                      <wp:simplePos x="0" y="0"/>
                      <wp:positionH relativeFrom="column">
                        <wp:posOffset>1623060</wp:posOffset>
                      </wp:positionH>
                      <wp:positionV relativeFrom="paragraph">
                        <wp:posOffset>3555365</wp:posOffset>
                      </wp:positionV>
                      <wp:extent cx="718185" cy="427355"/>
                      <wp:effectExtent l="258445" t="275590" r="13970" b="13335"/>
                      <wp:wrapNone/>
                      <wp:docPr id="1454952590" name="线形标注 1 11"/>
                      <wp:cNvGraphicFramePr/>
                      <a:graphic xmlns:a="http://schemas.openxmlformats.org/drawingml/2006/main">
                        <a:graphicData uri="http://schemas.microsoft.com/office/word/2010/wordprocessingShape">
                          <wps:wsp>
                            <wps:cNvSpPr/>
                            <wps:spPr bwMode="auto">
                              <a:xfrm>
                                <a:off x="0" y="0"/>
                                <a:ext cx="718185" cy="427355"/>
                              </a:xfrm>
                              <a:prstGeom prst="borderCallout1">
                                <a:avLst>
                                  <a:gd name="adj1" fmla="val 40449"/>
                                  <a:gd name="adj2" fmla="val -10611"/>
                                  <a:gd name="adj3" fmla="val -63370"/>
                                  <a:gd name="adj4" fmla="val -34305"/>
                                </a:avLst>
                              </a:prstGeom>
                              <a:solidFill>
                                <a:srgbClr val="558ED5"/>
                              </a:solidFill>
                              <a:ln w="25400" cmpd="sng" algn="ctr">
                                <a:solidFill>
                                  <a:srgbClr val="385D8A"/>
                                </a:solidFill>
                                <a:miter lim="800000"/>
                              </a:ln>
                              <a:effectLst/>
                            </wps:spPr>
                            <wps:txbx>
                              <w:txbxContent>
                                <w:p w14:paraId="24796D56">
                                  <w:pPr>
                                    <w:jc w:val="center"/>
                                    <w:rPr>
                                      <w:b/>
                                      <w:color w:val="FFFFFF"/>
                                    </w:rPr>
                                  </w:pPr>
                                  <w:r>
                                    <w:rPr>
                                      <w:rFonts w:hint="eastAsia"/>
                                      <w:b/>
                                      <w:color w:val="FFFFFF"/>
                                    </w:rPr>
                                    <w:t>案例</w:t>
                                  </w:r>
                                  <w:r>
                                    <w:rPr>
                                      <w:rFonts w:hint="eastAsia" w:ascii="Arial" w:hAnsi="Arial" w:cs="Arial"/>
                                      <w:b/>
                                      <w:color w:val="FFFFFF"/>
                                    </w:rPr>
                                    <w:t>C</w:t>
                                  </w:r>
                                </w:p>
                              </w:txbxContent>
                            </wps:txbx>
                            <wps:bodyPr rot="0" vert="horz" wrap="square" lIns="91440" tIns="45720" rIns="91440" bIns="45720" anchor="ctr" anchorCtr="0" upright="1">
                              <a:noAutofit/>
                            </wps:bodyPr>
                          </wps:wsp>
                        </a:graphicData>
                      </a:graphic>
                    </wp:anchor>
                  </w:drawing>
                </mc:Choice>
                <mc:Fallback>
                  <w:pict>
                    <v:shape id="线形标注 1 11" o:spid="_x0000_s1026" o:spt="47" type="#_x0000_t47" style="position:absolute;left:0pt;margin-left:127.8pt;margin-top:279.95pt;height:33.65pt;width:56.55pt;z-index:251670528;v-text-anchor:middle;mso-width-relative:page;mso-height-relative:page;" fillcolor="#558ED5" filled="t" stroked="t" coordsize="21600,21600" o:gfxdata="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xiSM9kA&#10;AAALAQAADwAAAAAAAAABACAAAAAiAAAAZHJzL2Rvd25yZXYueG1sUEsBAhQAFAAAAAgAh07iQHoD&#10;fHiQAgAAKAUAAA4AAAAAAAAAAQAgAAAAKAEAAGRycy9lMm9Eb2MueG1sUEsFBgAAAAAGAAYAWQEA&#10;ACoGAAAAAA==&#10;" adj="-7410,-13688,-2292,8737">
                      <v:fill on="t" focussize="0,0"/>
                      <v:stroke weight="2pt" color="#385D8A" miterlimit="8" joinstyle="miter"/>
                      <v:imagedata o:title=""/>
                      <o:lock v:ext="edit" aspectratio="f"/>
                      <v:textbox>
                        <w:txbxContent>
                          <w:p w14:paraId="24796D56">
                            <w:pPr>
                              <w:jc w:val="center"/>
                              <w:rPr>
                                <w:b/>
                                <w:color w:val="FFFFFF"/>
                              </w:rPr>
                            </w:pPr>
                            <w:r>
                              <w:rPr>
                                <w:rFonts w:hint="eastAsia"/>
                                <w:b/>
                                <w:color w:val="FFFFFF"/>
                              </w:rPr>
                              <w:t>案例</w:t>
                            </w:r>
                            <w:r>
                              <w:rPr>
                                <w:rFonts w:hint="eastAsia" w:ascii="Arial" w:hAnsi="Arial" w:cs="Arial"/>
                                <w:b/>
                                <w:color w:val="FFFFFF"/>
                              </w:rPr>
                              <w:t>C</w:t>
                            </w:r>
                          </w:p>
                        </w:txbxContent>
                      </v:textbox>
                    </v:shape>
                  </w:pict>
                </mc:Fallback>
              </mc:AlternateContent>
            </w:r>
            <w:r>
              <w:drawing>
                <wp:anchor distT="0" distB="0" distL="114300" distR="114300" simplePos="0" relativeHeight="251667456" behindDoc="0" locked="0" layoutInCell="1" allowOverlap="1">
                  <wp:simplePos x="0" y="0"/>
                  <wp:positionH relativeFrom="column">
                    <wp:posOffset>2050415</wp:posOffset>
                  </wp:positionH>
                  <wp:positionV relativeFrom="paragraph">
                    <wp:posOffset>2421890</wp:posOffset>
                  </wp:positionV>
                  <wp:extent cx="971550" cy="542925"/>
                  <wp:effectExtent l="0" t="0" r="0" b="0"/>
                  <wp:wrapNone/>
                  <wp:docPr id="85414113" name="图片 4" descr="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4113" name="图片 4" descr="说明: 估价对象tag-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71550" cy="542925"/>
                          </a:xfrm>
                          <a:prstGeom prst="rect">
                            <a:avLst/>
                          </a:prstGeom>
                          <a:noFill/>
                          <a:ln>
                            <a:noFill/>
                          </a:ln>
                        </pic:spPr>
                      </pic:pic>
                    </a:graphicData>
                  </a:graphic>
                </wp:anchor>
              </w:drawing>
            </w:r>
          </w:p>
        </w:tc>
      </w:tr>
      <w:tr w14:paraId="0BD44C6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299" w:type="dxa"/>
            <w:gridSpan w:val="3"/>
          </w:tcPr>
          <w:p w14:paraId="2CA853FB">
            <w:pPr>
              <w:jc w:val="center"/>
              <w:rPr>
                <w:rFonts w:ascii="华文细黑" w:hAnsi="华文细黑" w:eastAsia="华文细黑"/>
              </w:rPr>
            </w:pPr>
            <w:r>
              <w:rPr>
                <w:rFonts w:hint="eastAsia" w:ascii="华文细黑" w:hAnsi="华文细黑" w:eastAsia="华文细黑"/>
              </w:rPr>
              <w:t>案例照片</w:t>
            </w:r>
          </w:p>
        </w:tc>
      </w:tr>
      <w:tr w14:paraId="79CBA39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3099" w:type="dxa"/>
            <w:tcBorders>
              <w:bottom w:val="dotted" w:color="404040" w:sz="2" w:space="0"/>
            </w:tcBorders>
          </w:tcPr>
          <w:p w14:paraId="5A070367">
            <w:pPr>
              <w:jc w:val="center"/>
              <w:rPr>
                <w:rFonts w:ascii="华文细黑" w:hAnsi="华文细黑" w:eastAsia="华文细黑"/>
                <w:color w:val="E36C0A"/>
              </w:rPr>
            </w:pPr>
            <w:r>
              <w:rPr>
                <w:rFonts w:hint="eastAsia" w:ascii="华文细黑" w:hAnsi="华文细黑" w:eastAsia="华文细黑"/>
                <w:color w:val="E36C0A"/>
              </w:rPr>
              <w:t>案例A</w:t>
            </w:r>
          </w:p>
        </w:tc>
        <w:tc>
          <w:tcPr>
            <w:tcW w:w="3100" w:type="dxa"/>
            <w:tcBorders>
              <w:bottom w:val="dotted" w:color="404040" w:sz="2" w:space="0"/>
            </w:tcBorders>
          </w:tcPr>
          <w:p w14:paraId="6F8A5EA2">
            <w:pPr>
              <w:jc w:val="center"/>
              <w:rPr>
                <w:rFonts w:ascii="华文细黑" w:hAnsi="华文细黑" w:eastAsia="华文细黑"/>
                <w:color w:val="E36C0A"/>
              </w:rPr>
            </w:pPr>
            <w:r>
              <w:rPr>
                <w:rFonts w:hint="eastAsia" w:ascii="华文细黑" w:hAnsi="华文细黑" w:eastAsia="华文细黑"/>
                <w:color w:val="E36C0A"/>
              </w:rPr>
              <w:t>案例B</w:t>
            </w:r>
          </w:p>
        </w:tc>
        <w:tc>
          <w:tcPr>
            <w:tcW w:w="3100" w:type="dxa"/>
            <w:tcBorders>
              <w:bottom w:val="dotted" w:color="404040" w:sz="2" w:space="0"/>
            </w:tcBorders>
          </w:tcPr>
          <w:p w14:paraId="4D40AF14">
            <w:pPr>
              <w:jc w:val="center"/>
              <w:rPr>
                <w:rFonts w:ascii="华文细黑" w:hAnsi="华文细黑" w:eastAsia="华文细黑"/>
                <w:color w:val="E36C0A"/>
              </w:rPr>
            </w:pPr>
            <w:r>
              <w:rPr>
                <w:rFonts w:hint="eastAsia" w:ascii="华文细黑" w:hAnsi="华文细黑" w:eastAsia="华文细黑"/>
                <w:color w:val="E36C0A"/>
              </w:rPr>
              <w:t>案例C</w:t>
            </w:r>
          </w:p>
        </w:tc>
      </w:tr>
      <w:tr w14:paraId="3D7BA70D">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3639" w:hRule="atLeast"/>
          <w:jc w:val="center"/>
        </w:trPr>
        <w:tc>
          <w:tcPr>
            <w:tcW w:w="3099" w:type="dxa"/>
          </w:tcPr>
          <w:p w14:paraId="68FA1171">
            <w:pPr>
              <w:jc w:val="center"/>
            </w:pPr>
            <w:r>
              <w:drawing>
                <wp:inline distT="0" distB="0" distL="0" distR="0">
                  <wp:extent cx="1929765" cy="2193290"/>
                  <wp:effectExtent l="0" t="0" r="5715" b="127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9765" cy="2193290"/>
                          </a:xfrm>
                          <a:prstGeom prst="rect">
                            <a:avLst/>
                          </a:prstGeom>
                          <a:noFill/>
                          <a:ln>
                            <a:noFill/>
                          </a:ln>
                          <a:effectLst/>
                        </pic:spPr>
                      </pic:pic>
                    </a:graphicData>
                  </a:graphic>
                </wp:inline>
              </w:drawing>
            </w:r>
          </w:p>
        </w:tc>
        <w:tc>
          <w:tcPr>
            <w:tcW w:w="3100" w:type="dxa"/>
          </w:tcPr>
          <w:p w14:paraId="7CFA22DF">
            <w:pPr>
              <w:jc w:val="center"/>
            </w:pPr>
            <w:r>
              <w:drawing>
                <wp:inline distT="0" distB="0" distL="0" distR="0">
                  <wp:extent cx="1929765" cy="2221230"/>
                  <wp:effectExtent l="0" t="0" r="5715" b="381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929765" cy="2221230"/>
                          </a:xfrm>
                          <a:prstGeom prst="rect">
                            <a:avLst/>
                          </a:prstGeom>
                          <a:noFill/>
                          <a:ln>
                            <a:noFill/>
                          </a:ln>
                          <a:effectLst/>
                        </pic:spPr>
                      </pic:pic>
                    </a:graphicData>
                  </a:graphic>
                </wp:inline>
              </w:drawing>
            </w:r>
          </w:p>
        </w:tc>
        <w:tc>
          <w:tcPr>
            <w:tcW w:w="3100" w:type="dxa"/>
          </w:tcPr>
          <w:p w14:paraId="6DDB269B">
            <w:pPr>
              <w:jc w:val="center"/>
            </w:pPr>
            <w:r>
              <w:drawing>
                <wp:inline distT="0" distB="0" distL="0" distR="0">
                  <wp:extent cx="1929765" cy="2221230"/>
                  <wp:effectExtent l="0" t="0" r="5715" b="3810"/>
                  <wp:docPr id="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29765" cy="2221230"/>
                          </a:xfrm>
                          <a:prstGeom prst="rect">
                            <a:avLst/>
                          </a:prstGeom>
                          <a:noFill/>
                          <a:ln>
                            <a:noFill/>
                          </a:ln>
                          <a:effectLst/>
                        </pic:spPr>
                      </pic:pic>
                    </a:graphicData>
                  </a:graphic>
                </wp:inline>
              </w:drawing>
            </w:r>
          </w:p>
        </w:tc>
      </w:tr>
    </w:tbl>
    <w:p w14:paraId="6E0844D6">
      <w:pPr>
        <w:spacing w:line="480" w:lineRule="auto"/>
        <w:ind w:firstLine="411" w:firstLineChars="196"/>
        <w:jc w:val="both"/>
        <w:rPr>
          <w:rFonts w:ascii="Arial" w:hAnsi="Arial" w:cs="Arial"/>
          <w:sz w:val="21"/>
          <w:szCs w:val="21"/>
        </w:rPr>
        <w:sectPr>
          <w:headerReference r:id="rId27" w:type="default"/>
          <w:footerReference r:id="rId28" w:type="default"/>
          <w:pgSz w:w="11906" w:h="16838"/>
          <w:pgMar w:top="1843" w:right="1304" w:bottom="1134" w:left="1304" w:header="1134" w:footer="907" w:gutter="0"/>
          <w:cols w:space="720" w:num="1"/>
          <w:docGrid w:type="lines" w:linePitch="312" w:charSpace="0"/>
        </w:sectPr>
      </w:pPr>
    </w:p>
    <w:p w14:paraId="771C1A36">
      <w:pPr>
        <w:spacing w:line="480" w:lineRule="auto"/>
        <w:ind w:firstLine="411" w:firstLineChars="196"/>
        <w:jc w:val="both"/>
        <w:rPr>
          <w:rFonts w:ascii="Arial" w:hAnsi="Arial" w:cs="Arial"/>
          <w:sz w:val="21"/>
          <w:szCs w:val="21"/>
        </w:rPr>
      </w:pPr>
      <w:r>
        <w:rPr>
          <w:rFonts w:hint="eastAsia" w:ascii="Arial" w:hAnsi="Arial" w:cs="Arial"/>
          <w:sz w:val="21"/>
          <w:szCs w:val="21"/>
        </w:rPr>
        <w:t>3.建立比较基础</w:t>
      </w:r>
    </w:p>
    <w:p w14:paraId="06B4295F">
      <w:pPr>
        <w:spacing w:line="480" w:lineRule="auto"/>
        <w:ind w:firstLine="411" w:firstLineChars="196"/>
        <w:jc w:val="both"/>
        <w:rPr>
          <w:rFonts w:ascii="Arial" w:hAnsi="Arial" w:cs="Arial"/>
          <w:sz w:val="21"/>
          <w:szCs w:val="21"/>
        </w:rPr>
      </w:pPr>
      <w:r>
        <w:rPr>
          <w:rFonts w:hint="eastAsia" w:ascii="Arial" w:hAnsi="Arial" w:cs="Arial"/>
          <w:sz w:val="21"/>
          <w:szCs w:val="21"/>
        </w:rPr>
        <w:t>（1）统一财产范围：设定估价对象与可比案例的实物范围相同，均不含有房地产以外的资产，不存在债权债务，没有其他权益或负担；</w:t>
      </w:r>
    </w:p>
    <w:p w14:paraId="6070D0CC">
      <w:pPr>
        <w:spacing w:line="480" w:lineRule="auto"/>
        <w:ind w:firstLine="411" w:firstLineChars="196"/>
        <w:jc w:val="both"/>
        <w:rPr>
          <w:rFonts w:ascii="Arial" w:hAnsi="Arial" w:cs="Arial"/>
          <w:sz w:val="21"/>
          <w:szCs w:val="21"/>
        </w:rPr>
      </w:pPr>
      <w:r>
        <w:rPr>
          <w:rFonts w:hint="eastAsia" w:ascii="Arial" w:hAnsi="Arial" w:cs="Arial"/>
          <w:sz w:val="21"/>
          <w:szCs w:val="21"/>
        </w:rPr>
        <w:t>（2）统一付款方式：设定估价对象与可比案例的付款方式均为一次性付清；</w:t>
      </w:r>
    </w:p>
    <w:p w14:paraId="4A5065C3">
      <w:pPr>
        <w:spacing w:line="480" w:lineRule="auto"/>
        <w:ind w:firstLine="411" w:firstLineChars="196"/>
        <w:jc w:val="both"/>
        <w:rPr>
          <w:rFonts w:ascii="Arial" w:hAnsi="Arial" w:cs="Arial"/>
          <w:sz w:val="21"/>
          <w:szCs w:val="21"/>
        </w:rPr>
      </w:pPr>
      <w:r>
        <w:rPr>
          <w:rFonts w:hint="eastAsia" w:ascii="Arial" w:hAnsi="Arial" w:cs="Arial"/>
          <w:sz w:val="21"/>
          <w:szCs w:val="21"/>
        </w:rPr>
        <w:t>（3）统一融资条件：常规融资条件；</w:t>
      </w:r>
    </w:p>
    <w:p w14:paraId="37F78008">
      <w:pPr>
        <w:spacing w:line="480" w:lineRule="auto"/>
        <w:ind w:firstLine="411" w:firstLineChars="196"/>
        <w:jc w:val="both"/>
        <w:rPr>
          <w:rFonts w:ascii="Arial" w:hAnsi="Arial" w:cs="Arial"/>
          <w:sz w:val="21"/>
          <w:szCs w:val="21"/>
        </w:rPr>
      </w:pPr>
      <w:r>
        <w:rPr>
          <w:rFonts w:hint="eastAsia" w:ascii="Arial" w:hAnsi="Arial" w:cs="Arial"/>
          <w:sz w:val="21"/>
          <w:szCs w:val="21"/>
        </w:rPr>
        <w:t>（4）统一税费负担：买卖双方各付各税；</w:t>
      </w:r>
    </w:p>
    <w:p w14:paraId="42951634">
      <w:pPr>
        <w:spacing w:line="480" w:lineRule="auto"/>
        <w:ind w:firstLine="411" w:firstLineChars="196"/>
        <w:jc w:val="both"/>
        <w:rPr>
          <w:rFonts w:ascii="Arial" w:hAnsi="Arial" w:cs="Arial"/>
          <w:sz w:val="21"/>
          <w:szCs w:val="21"/>
        </w:rPr>
      </w:pPr>
      <w:r>
        <w:rPr>
          <w:rFonts w:hint="eastAsia" w:ascii="Arial" w:hAnsi="Arial" w:cs="Arial"/>
          <w:sz w:val="21"/>
          <w:szCs w:val="21"/>
        </w:rPr>
        <w:t>（5）统一计价单位：统一为单价，为单位建筑面积租金价格，即“元/建筑平方米/天”，币种为人民币。</w:t>
      </w:r>
    </w:p>
    <w:p w14:paraId="3AA0964D">
      <w:pPr>
        <w:spacing w:line="480" w:lineRule="auto"/>
        <w:ind w:firstLine="411" w:firstLineChars="196"/>
        <w:jc w:val="both"/>
        <w:rPr>
          <w:rFonts w:ascii="Arial" w:hAnsi="Arial" w:cs="Arial"/>
          <w:sz w:val="21"/>
          <w:szCs w:val="21"/>
        </w:rPr>
      </w:pPr>
      <w:r>
        <w:rPr>
          <w:rFonts w:hint="eastAsia" w:ascii="Arial" w:hAnsi="Arial" w:cs="Arial"/>
          <w:sz w:val="21"/>
          <w:szCs w:val="21"/>
        </w:rPr>
        <w:t>4.因素条件说明</w:t>
      </w:r>
    </w:p>
    <w:p w14:paraId="37DD93EF">
      <w:pPr>
        <w:jc w:val="center"/>
        <w:rPr>
          <w:rFonts w:ascii="Arial" w:hAnsi="Arial" w:eastAsia="方正黑体简体" w:cs="Arial"/>
          <w:bCs/>
          <w:szCs w:val="24"/>
        </w:rPr>
      </w:pPr>
      <w:r>
        <w:rPr>
          <w:rFonts w:hint="eastAsia" w:ascii="Arial" w:hAnsi="Arial" w:eastAsia="方正黑体简体" w:cs="Arial"/>
          <w:bCs/>
          <w:szCs w:val="24"/>
        </w:rPr>
        <w:t>表1：因素条件说明表</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994"/>
        <w:gridCol w:w="1888"/>
        <w:gridCol w:w="1604"/>
        <w:gridCol w:w="1604"/>
        <w:gridCol w:w="1604"/>
        <w:gridCol w:w="1605"/>
      </w:tblGrid>
      <w:tr w14:paraId="7958247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2882" w:type="dxa"/>
            <w:gridSpan w:val="2"/>
            <w:vMerge w:val="restart"/>
            <w:noWrap/>
            <w:vAlign w:val="center"/>
          </w:tcPr>
          <w:p w14:paraId="516C847A">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比较因素</w:t>
            </w:r>
          </w:p>
        </w:tc>
        <w:tc>
          <w:tcPr>
            <w:tcW w:w="1604" w:type="dxa"/>
            <w:vAlign w:val="center"/>
          </w:tcPr>
          <w:p w14:paraId="43C96FF2">
            <w:pPr>
              <w:wordWrap w:val="0"/>
              <w:overflowPunct w:val="0"/>
              <w:spacing w:line="240" w:lineRule="exact"/>
              <w:rPr>
                <w:rFonts w:ascii="Arial" w:hAnsi="Arial" w:eastAsia="华文细黑"/>
                <w:sz w:val="18"/>
              </w:rPr>
            </w:pPr>
            <w:r>
              <w:rPr>
                <w:rFonts w:hint="eastAsia" w:ascii="Arial" w:hAnsi="Arial" w:eastAsia="华文细黑"/>
                <w:sz w:val="18"/>
              </w:rPr>
              <w:t>估价对象</w:t>
            </w:r>
          </w:p>
        </w:tc>
        <w:tc>
          <w:tcPr>
            <w:tcW w:w="1604" w:type="dxa"/>
            <w:vAlign w:val="center"/>
          </w:tcPr>
          <w:p w14:paraId="467DE363">
            <w:pPr>
              <w:wordWrap w:val="0"/>
              <w:overflowPunct w:val="0"/>
              <w:spacing w:line="240" w:lineRule="exact"/>
              <w:rPr>
                <w:rFonts w:ascii="Arial" w:hAnsi="Arial" w:eastAsia="华文细黑"/>
                <w:sz w:val="18"/>
              </w:rPr>
            </w:pPr>
            <w:r>
              <w:rPr>
                <w:rFonts w:hint="eastAsia" w:ascii="Arial" w:hAnsi="Arial" w:eastAsia="华文细黑"/>
                <w:sz w:val="18"/>
              </w:rPr>
              <w:t>案例：A</w:t>
            </w:r>
          </w:p>
        </w:tc>
        <w:tc>
          <w:tcPr>
            <w:tcW w:w="1604" w:type="dxa"/>
            <w:vAlign w:val="center"/>
          </w:tcPr>
          <w:p w14:paraId="08941C77">
            <w:pPr>
              <w:wordWrap w:val="0"/>
              <w:overflowPunct w:val="0"/>
              <w:spacing w:line="240" w:lineRule="exact"/>
              <w:rPr>
                <w:rFonts w:ascii="Arial" w:hAnsi="Arial" w:eastAsia="华文细黑"/>
                <w:sz w:val="18"/>
              </w:rPr>
            </w:pPr>
            <w:r>
              <w:rPr>
                <w:rFonts w:hint="eastAsia" w:ascii="Arial" w:hAnsi="Arial" w:eastAsia="华文细黑"/>
                <w:sz w:val="18"/>
              </w:rPr>
              <w:t>案例：B</w:t>
            </w:r>
          </w:p>
        </w:tc>
        <w:tc>
          <w:tcPr>
            <w:tcW w:w="1605" w:type="dxa"/>
            <w:vAlign w:val="center"/>
          </w:tcPr>
          <w:p w14:paraId="6FB94F74">
            <w:pPr>
              <w:wordWrap w:val="0"/>
              <w:overflowPunct w:val="0"/>
              <w:spacing w:line="240" w:lineRule="exact"/>
              <w:rPr>
                <w:rFonts w:ascii="Arial" w:hAnsi="Arial" w:eastAsia="华文细黑"/>
                <w:sz w:val="18"/>
              </w:rPr>
            </w:pPr>
            <w:r>
              <w:rPr>
                <w:rFonts w:hint="eastAsia" w:ascii="Arial" w:hAnsi="Arial" w:eastAsia="华文细黑"/>
                <w:sz w:val="18"/>
              </w:rPr>
              <w:t>案例：C</w:t>
            </w:r>
          </w:p>
        </w:tc>
      </w:tr>
      <w:tr w14:paraId="6048478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2882" w:type="dxa"/>
            <w:gridSpan w:val="2"/>
            <w:vMerge w:val="continue"/>
            <w:vAlign w:val="center"/>
          </w:tcPr>
          <w:p w14:paraId="07BC1EE6">
            <w:pPr>
              <w:widowControl/>
              <w:spacing w:line="240" w:lineRule="exact"/>
              <w:rPr>
                <w:rFonts w:ascii="华文细黑" w:hAnsi="华文细黑" w:eastAsia="华文细黑" w:cs="Arial"/>
                <w:color w:val="000000"/>
                <w:sz w:val="18"/>
                <w:szCs w:val="18"/>
              </w:rPr>
            </w:pPr>
          </w:p>
        </w:tc>
        <w:tc>
          <w:tcPr>
            <w:tcW w:w="1604" w:type="dxa"/>
          </w:tcPr>
          <w:p w14:paraId="334291D2">
            <w:pPr>
              <w:wordWrap w:val="0"/>
              <w:overflowPunct w:val="0"/>
              <w:spacing w:line="240" w:lineRule="exact"/>
              <w:rPr>
                <w:rFonts w:ascii="Arial" w:hAnsi="Arial" w:eastAsia="华文细黑"/>
                <w:sz w:val="18"/>
              </w:rPr>
            </w:pPr>
            <w:r>
              <w:rPr>
                <w:rFonts w:hint="eastAsia" w:ascii="Arial" w:hAnsi="Arial" w:eastAsia="华文细黑"/>
                <w:sz w:val="18"/>
              </w:rPr>
              <w:t>熙悦天街</w:t>
            </w:r>
          </w:p>
        </w:tc>
        <w:tc>
          <w:tcPr>
            <w:tcW w:w="1604" w:type="dxa"/>
          </w:tcPr>
          <w:p w14:paraId="4A71CB7D">
            <w:pPr>
              <w:wordWrap w:val="0"/>
              <w:overflowPunct w:val="0"/>
              <w:spacing w:line="240" w:lineRule="exact"/>
              <w:rPr>
                <w:rFonts w:ascii="Arial" w:hAnsi="Arial" w:eastAsia="华文细黑"/>
                <w:sz w:val="18"/>
              </w:rPr>
            </w:pPr>
            <w:r>
              <w:rPr>
                <w:rFonts w:hint="eastAsia" w:ascii="Arial" w:hAnsi="Arial" w:eastAsia="华文细黑"/>
                <w:sz w:val="18"/>
              </w:rPr>
              <w:t>长阳半岛V公馆</w:t>
            </w:r>
          </w:p>
        </w:tc>
        <w:tc>
          <w:tcPr>
            <w:tcW w:w="1604" w:type="dxa"/>
          </w:tcPr>
          <w:p w14:paraId="3E7D251E">
            <w:pPr>
              <w:wordWrap w:val="0"/>
              <w:overflowPunct w:val="0"/>
              <w:spacing w:line="240" w:lineRule="exact"/>
              <w:rPr>
                <w:rFonts w:ascii="Arial" w:hAnsi="Arial" w:eastAsia="华文细黑"/>
                <w:sz w:val="18"/>
              </w:rPr>
            </w:pPr>
            <w:r>
              <w:rPr>
                <w:rFonts w:hint="eastAsia" w:ascii="Arial" w:hAnsi="Arial" w:eastAsia="华文细黑"/>
                <w:sz w:val="18"/>
              </w:rPr>
              <w:t>首开福茂购物中心</w:t>
            </w:r>
          </w:p>
        </w:tc>
        <w:tc>
          <w:tcPr>
            <w:tcW w:w="1605" w:type="dxa"/>
          </w:tcPr>
          <w:p w14:paraId="5AB29B51">
            <w:pPr>
              <w:wordWrap w:val="0"/>
              <w:overflowPunct w:val="0"/>
              <w:spacing w:line="240" w:lineRule="exact"/>
              <w:rPr>
                <w:rFonts w:ascii="Arial" w:hAnsi="Arial" w:eastAsia="华文细黑"/>
                <w:sz w:val="18"/>
              </w:rPr>
            </w:pPr>
            <w:r>
              <w:rPr>
                <w:rFonts w:hint="eastAsia" w:ascii="Arial" w:hAnsi="Arial" w:eastAsia="华文细黑"/>
                <w:sz w:val="18"/>
              </w:rPr>
              <w:t>旭辉E天地</w:t>
            </w:r>
          </w:p>
        </w:tc>
      </w:tr>
      <w:tr w14:paraId="0D53E3B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2882" w:type="dxa"/>
            <w:gridSpan w:val="2"/>
            <w:vMerge w:val="continue"/>
            <w:vAlign w:val="center"/>
          </w:tcPr>
          <w:p w14:paraId="3D80FCA6">
            <w:pPr>
              <w:widowControl/>
              <w:spacing w:line="240" w:lineRule="exact"/>
              <w:rPr>
                <w:rFonts w:ascii="华文细黑" w:hAnsi="华文细黑" w:eastAsia="华文细黑" w:cs="Arial"/>
                <w:color w:val="000000"/>
                <w:sz w:val="18"/>
                <w:szCs w:val="18"/>
              </w:rPr>
            </w:pPr>
          </w:p>
        </w:tc>
        <w:tc>
          <w:tcPr>
            <w:tcW w:w="1604" w:type="dxa"/>
          </w:tcPr>
          <w:p w14:paraId="3C889948">
            <w:pPr>
              <w:wordWrap w:val="0"/>
              <w:overflowPunct w:val="0"/>
              <w:spacing w:line="240" w:lineRule="exact"/>
              <w:rPr>
                <w:rFonts w:ascii="Arial" w:hAnsi="Arial" w:eastAsia="华文细黑"/>
                <w:sz w:val="18"/>
              </w:rPr>
            </w:pPr>
            <w:r>
              <w:rPr>
                <w:rFonts w:hint="eastAsia" w:ascii="Arial" w:hAnsi="Arial" w:eastAsia="华文细黑"/>
                <w:sz w:val="18"/>
              </w:rPr>
              <w:t>房山区阜盛西街11号院3号楼101号</w:t>
            </w:r>
          </w:p>
        </w:tc>
        <w:tc>
          <w:tcPr>
            <w:tcW w:w="1604" w:type="dxa"/>
            <w:vAlign w:val="center"/>
          </w:tcPr>
          <w:p w14:paraId="55ECFF4A">
            <w:pPr>
              <w:wordWrap w:val="0"/>
              <w:overflowPunct w:val="0"/>
              <w:spacing w:line="240" w:lineRule="exact"/>
              <w:rPr>
                <w:rFonts w:ascii="Arial" w:hAnsi="Arial" w:eastAsia="华文细黑"/>
                <w:sz w:val="18"/>
              </w:rPr>
            </w:pPr>
            <w:r>
              <w:rPr>
                <w:rFonts w:hint="eastAsia" w:ascii="Arial" w:hAnsi="Arial" w:eastAsia="华文细黑"/>
                <w:sz w:val="18"/>
              </w:rPr>
              <w:t>房山区长阳路与长泽南街交汇处</w:t>
            </w:r>
          </w:p>
        </w:tc>
        <w:tc>
          <w:tcPr>
            <w:tcW w:w="1604" w:type="dxa"/>
            <w:vAlign w:val="center"/>
          </w:tcPr>
          <w:p w14:paraId="3FF12DAF">
            <w:pPr>
              <w:wordWrap w:val="0"/>
              <w:overflowPunct w:val="0"/>
              <w:spacing w:line="240" w:lineRule="exact"/>
              <w:rPr>
                <w:rFonts w:ascii="Arial" w:hAnsi="Arial" w:eastAsia="华文细黑"/>
                <w:sz w:val="18"/>
              </w:rPr>
            </w:pPr>
            <w:r>
              <w:rPr>
                <w:rFonts w:hint="eastAsia" w:ascii="Arial" w:hAnsi="Arial" w:eastAsia="华文细黑"/>
                <w:sz w:val="18"/>
              </w:rPr>
              <w:t>房山区怡和北路3号院</w:t>
            </w:r>
          </w:p>
        </w:tc>
        <w:tc>
          <w:tcPr>
            <w:tcW w:w="1605" w:type="dxa"/>
            <w:vAlign w:val="center"/>
          </w:tcPr>
          <w:p w14:paraId="06799B3B">
            <w:pPr>
              <w:wordWrap w:val="0"/>
              <w:overflowPunct w:val="0"/>
              <w:spacing w:line="240" w:lineRule="exact"/>
              <w:rPr>
                <w:rFonts w:ascii="Arial" w:hAnsi="Arial" w:eastAsia="华文细黑"/>
                <w:sz w:val="18"/>
              </w:rPr>
            </w:pPr>
            <w:r>
              <w:rPr>
                <w:rFonts w:hint="eastAsia" w:ascii="Arial" w:hAnsi="Arial" w:eastAsia="华文细黑"/>
                <w:sz w:val="18"/>
              </w:rPr>
              <w:t>房山区书院南街12号院</w:t>
            </w:r>
          </w:p>
        </w:tc>
      </w:tr>
      <w:tr w14:paraId="5A8A417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882" w:type="dxa"/>
            <w:gridSpan w:val="2"/>
            <w:noWrap/>
            <w:vAlign w:val="center"/>
          </w:tcPr>
          <w:p w14:paraId="5D2CA0E5">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交易情况</w:t>
            </w:r>
          </w:p>
        </w:tc>
        <w:tc>
          <w:tcPr>
            <w:tcW w:w="1604" w:type="dxa"/>
            <w:vAlign w:val="center"/>
          </w:tcPr>
          <w:p w14:paraId="788C3346">
            <w:pP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正常</w:t>
            </w:r>
          </w:p>
        </w:tc>
        <w:tc>
          <w:tcPr>
            <w:tcW w:w="1604" w:type="dxa"/>
            <w:vAlign w:val="center"/>
          </w:tcPr>
          <w:p w14:paraId="0475132B">
            <w:pP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挂牌</w:t>
            </w:r>
          </w:p>
        </w:tc>
        <w:tc>
          <w:tcPr>
            <w:tcW w:w="1604" w:type="dxa"/>
            <w:vAlign w:val="center"/>
          </w:tcPr>
          <w:p w14:paraId="0EFB31E3">
            <w:pP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挂牌</w:t>
            </w:r>
          </w:p>
        </w:tc>
        <w:tc>
          <w:tcPr>
            <w:tcW w:w="1605" w:type="dxa"/>
            <w:vAlign w:val="center"/>
          </w:tcPr>
          <w:p w14:paraId="0DC07454">
            <w:pP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挂牌</w:t>
            </w:r>
          </w:p>
        </w:tc>
      </w:tr>
      <w:tr w14:paraId="7E53CBD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restart"/>
            <w:vAlign w:val="center"/>
          </w:tcPr>
          <w:p w14:paraId="40406B30">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权益状况</w:t>
            </w:r>
          </w:p>
        </w:tc>
        <w:tc>
          <w:tcPr>
            <w:tcW w:w="1888" w:type="dxa"/>
            <w:noWrap/>
            <w:vAlign w:val="center"/>
          </w:tcPr>
          <w:p w14:paraId="5D96F238">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用途</w:t>
            </w:r>
          </w:p>
        </w:tc>
        <w:tc>
          <w:tcPr>
            <w:tcW w:w="1604" w:type="dxa"/>
            <w:vAlign w:val="center"/>
          </w:tcPr>
          <w:p w14:paraId="43EDD7E9">
            <w:pPr>
              <w:widowControl/>
              <w:tabs>
                <w:tab w:val="left" w:pos="1165"/>
              </w:tabs>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c>
          <w:tcPr>
            <w:tcW w:w="1604" w:type="dxa"/>
            <w:vAlign w:val="center"/>
          </w:tcPr>
          <w:p w14:paraId="2D9324E2">
            <w:pPr>
              <w:widowControl/>
              <w:tabs>
                <w:tab w:val="left" w:pos="1165"/>
              </w:tabs>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c>
          <w:tcPr>
            <w:tcW w:w="1604" w:type="dxa"/>
            <w:vAlign w:val="center"/>
          </w:tcPr>
          <w:p w14:paraId="77A1F725">
            <w:pPr>
              <w:widowControl/>
              <w:tabs>
                <w:tab w:val="left" w:pos="1165"/>
              </w:tabs>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c>
          <w:tcPr>
            <w:tcW w:w="1605" w:type="dxa"/>
            <w:vAlign w:val="center"/>
          </w:tcPr>
          <w:p w14:paraId="2C007C0B">
            <w:pPr>
              <w:widowControl/>
              <w:tabs>
                <w:tab w:val="left" w:pos="1165"/>
              </w:tabs>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r>
      <w:tr w14:paraId="73C3B9F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57" w:hRule="atLeast"/>
          <w:jc w:val="center"/>
        </w:trPr>
        <w:tc>
          <w:tcPr>
            <w:tcW w:w="994" w:type="dxa"/>
            <w:vMerge w:val="continue"/>
            <w:vAlign w:val="center"/>
          </w:tcPr>
          <w:p w14:paraId="1DBDC6DC">
            <w:pPr>
              <w:widowControl/>
              <w:spacing w:line="240" w:lineRule="exact"/>
              <w:rPr>
                <w:rFonts w:ascii="华文细黑" w:hAnsi="华文细黑" w:eastAsia="华文细黑" w:cs="Arial"/>
                <w:color w:val="000000"/>
                <w:sz w:val="18"/>
                <w:szCs w:val="18"/>
              </w:rPr>
            </w:pPr>
          </w:p>
        </w:tc>
        <w:tc>
          <w:tcPr>
            <w:tcW w:w="1888" w:type="dxa"/>
            <w:noWrap/>
            <w:vAlign w:val="center"/>
          </w:tcPr>
          <w:p w14:paraId="3A05F281">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highlight w:val="lightGray"/>
              </w:rPr>
              <w:t>权利性质</w:t>
            </w:r>
          </w:p>
        </w:tc>
        <w:tc>
          <w:tcPr>
            <w:tcW w:w="1604" w:type="dxa"/>
            <w:vAlign w:val="center"/>
          </w:tcPr>
          <w:p w14:paraId="77244BD2">
            <w:pPr>
              <w:widowControl/>
              <w:spacing w:line="240" w:lineRule="exact"/>
              <w:rPr>
                <w:rFonts w:ascii="Arial" w:hAnsi="Arial" w:eastAsia="华文细黑" w:cs="Arial"/>
                <w:color w:val="000000"/>
                <w:sz w:val="18"/>
                <w:szCs w:val="18"/>
              </w:rPr>
            </w:pPr>
            <w:r>
              <w:rPr>
                <w:rFonts w:hint="eastAsia" w:ascii="Arial" w:hAnsi="Arial" w:eastAsia="华文细黑"/>
                <w:sz w:val="18"/>
              </w:rPr>
              <w:t>商品房</w:t>
            </w:r>
          </w:p>
        </w:tc>
        <w:tc>
          <w:tcPr>
            <w:tcW w:w="1604" w:type="dxa"/>
            <w:vAlign w:val="center"/>
          </w:tcPr>
          <w:p w14:paraId="508BA620">
            <w:pPr>
              <w:widowControl/>
              <w:spacing w:line="240" w:lineRule="exact"/>
              <w:rPr>
                <w:rFonts w:ascii="Arial" w:hAnsi="Arial" w:eastAsia="华文细黑" w:cs="Arial"/>
                <w:color w:val="000000"/>
                <w:sz w:val="18"/>
                <w:szCs w:val="18"/>
              </w:rPr>
            </w:pPr>
            <w:r>
              <w:rPr>
                <w:rFonts w:hint="eastAsia" w:ascii="Arial" w:hAnsi="Arial" w:eastAsia="华文细黑"/>
                <w:sz w:val="18"/>
              </w:rPr>
              <w:t>商品房</w:t>
            </w:r>
          </w:p>
        </w:tc>
        <w:tc>
          <w:tcPr>
            <w:tcW w:w="1604" w:type="dxa"/>
            <w:vAlign w:val="center"/>
          </w:tcPr>
          <w:p w14:paraId="06061E66">
            <w:pPr>
              <w:widowControl/>
              <w:spacing w:line="240" w:lineRule="exact"/>
              <w:rPr>
                <w:rFonts w:ascii="Arial" w:hAnsi="Arial" w:eastAsia="华文细黑" w:cs="Arial"/>
                <w:color w:val="000000"/>
                <w:sz w:val="18"/>
                <w:szCs w:val="18"/>
              </w:rPr>
            </w:pPr>
            <w:r>
              <w:rPr>
                <w:rFonts w:hint="eastAsia" w:ascii="Arial" w:hAnsi="Arial" w:eastAsia="华文细黑"/>
                <w:sz w:val="18"/>
              </w:rPr>
              <w:t>商品房</w:t>
            </w:r>
          </w:p>
        </w:tc>
        <w:tc>
          <w:tcPr>
            <w:tcW w:w="1605" w:type="dxa"/>
            <w:vAlign w:val="center"/>
          </w:tcPr>
          <w:p w14:paraId="4F88EDD4">
            <w:pPr>
              <w:widowControl/>
              <w:spacing w:line="240" w:lineRule="exact"/>
              <w:rPr>
                <w:rFonts w:ascii="Arial" w:hAnsi="Arial" w:eastAsia="华文细黑" w:cs="Arial"/>
                <w:color w:val="000000"/>
                <w:sz w:val="18"/>
                <w:szCs w:val="18"/>
              </w:rPr>
            </w:pPr>
            <w:r>
              <w:rPr>
                <w:rFonts w:hint="eastAsia" w:ascii="Arial" w:hAnsi="Arial" w:eastAsia="华文细黑"/>
                <w:sz w:val="18"/>
              </w:rPr>
              <w:t>商品房</w:t>
            </w:r>
          </w:p>
        </w:tc>
      </w:tr>
      <w:tr w14:paraId="27AC961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Align w:val="center"/>
          </w:tcPr>
          <w:p w14:paraId="4C5D6805">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市场状况</w:t>
            </w:r>
          </w:p>
        </w:tc>
        <w:tc>
          <w:tcPr>
            <w:tcW w:w="1888" w:type="dxa"/>
            <w:noWrap/>
            <w:vAlign w:val="center"/>
          </w:tcPr>
          <w:p w14:paraId="643EC4E1">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交易时间</w:t>
            </w:r>
          </w:p>
        </w:tc>
        <w:tc>
          <w:tcPr>
            <w:tcW w:w="1604" w:type="dxa"/>
            <w:vAlign w:val="center"/>
          </w:tcPr>
          <w:p w14:paraId="110268B2">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2026年1月14日</w:t>
            </w:r>
          </w:p>
        </w:tc>
        <w:tc>
          <w:tcPr>
            <w:tcW w:w="1604" w:type="dxa"/>
            <w:vAlign w:val="center"/>
          </w:tcPr>
          <w:p w14:paraId="0F4ADEA6">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2026年1月</w:t>
            </w:r>
          </w:p>
        </w:tc>
        <w:tc>
          <w:tcPr>
            <w:tcW w:w="1604" w:type="dxa"/>
            <w:vAlign w:val="center"/>
          </w:tcPr>
          <w:p w14:paraId="2195F179">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2025年12月</w:t>
            </w:r>
          </w:p>
        </w:tc>
        <w:tc>
          <w:tcPr>
            <w:tcW w:w="1605" w:type="dxa"/>
            <w:vAlign w:val="center"/>
          </w:tcPr>
          <w:p w14:paraId="24D4F888">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2026年1月</w:t>
            </w:r>
          </w:p>
        </w:tc>
      </w:tr>
      <w:tr w14:paraId="7C866BF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restart"/>
            <w:vAlign w:val="center"/>
          </w:tcPr>
          <w:p w14:paraId="04FBD4B9">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区位状况</w:t>
            </w:r>
          </w:p>
        </w:tc>
        <w:tc>
          <w:tcPr>
            <w:tcW w:w="1888" w:type="dxa"/>
            <w:noWrap/>
            <w:vAlign w:val="center"/>
          </w:tcPr>
          <w:p w14:paraId="1AD6F2EC">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商业繁华度</w:t>
            </w:r>
          </w:p>
        </w:tc>
        <w:tc>
          <w:tcPr>
            <w:tcW w:w="1604" w:type="dxa"/>
            <w:vAlign w:val="center"/>
          </w:tcPr>
          <w:p w14:paraId="3FCAC600">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6E035F43">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6AFAD8B0">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5" w:type="dxa"/>
            <w:vAlign w:val="center"/>
          </w:tcPr>
          <w:p w14:paraId="4657AF8C">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r>
      <w:tr w14:paraId="65729BD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6677C75E">
            <w:pPr>
              <w:widowControl/>
              <w:spacing w:line="240" w:lineRule="exact"/>
              <w:rPr>
                <w:rFonts w:ascii="华文细黑" w:hAnsi="华文细黑" w:eastAsia="华文细黑" w:cs="Arial"/>
                <w:color w:val="000000"/>
                <w:sz w:val="18"/>
                <w:szCs w:val="18"/>
              </w:rPr>
            </w:pPr>
          </w:p>
        </w:tc>
        <w:tc>
          <w:tcPr>
            <w:tcW w:w="1888" w:type="dxa"/>
            <w:noWrap/>
            <w:vAlign w:val="center"/>
          </w:tcPr>
          <w:p w14:paraId="7C1D6097">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交通便捷度</w:t>
            </w:r>
          </w:p>
        </w:tc>
        <w:tc>
          <w:tcPr>
            <w:tcW w:w="1604" w:type="dxa"/>
            <w:vAlign w:val="center"/>
          </w:tcPr>
          <w:p w14:paraId="3A40F6E2">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5B09405C">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2BEC5750">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5" w:type="dxa"/>
            <w:vAlign w:val="center"/>
          </w:tcPr>
          <w:p w14:paraId="510B9654">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r>
      <w:tr w14:paraId="5D476EE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390B915B">
            <w:pPr>
              <w:widowControl/>
              <w:spacing w:line="240" w:lineRule="exact"/>
              <w:rPr>
                <w:rFonts w:ascii="华文细黑" w:hAnsi="华文细黑" w:eastAsia="华文细黑" w:cs="Arial"/>
                <w:color w:val="000000"/>
                <w:sz w:val="18"/>
                <w:szCs w:val="18"/>
              </w:rPr>
            </w:pPr>
          </w:p>
        </w:tc>
        <w:tc>
          <w:tcPr>
            <w:tcW w:w="1888" w:type="dxa"/>
            <w:noWrap/>
            <w:vAlign w:val="center"/>
          </w:tcPr>
          <w:p w14:paraId="755AF5F9">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公共配套设施</w:t>
            </w:r>
          </w:p>
        </w:tc>
        <w:tc>
          <w:tcPr>
            <w:tcW w:w="1604" w:type="dxa"/>
            <w:vAlign w:val="center"/>
          </w:tcPr>
          <w:p w14:paraId="2292C6A6">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3FF8A730">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77D52B48">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5" w:type="dxa"/>
            <w:vAlign w:val="center"/>
          </w:tcPr>
          <w:p w14:paraId="23557772">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r>
      <w:tr w14:paraId="43A6E6F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01529EEF">
            <w:pPr>
              <w:widowControl/>
              <w:spacing w:line="240" w:lineRule="exact"/>
              <w:rPr>
                <w:rFonts w:ascii="华文细黑" w:hAnsi="华文细黑" w:eastAsia="华文细黑" w:cs="Arial"/>
                <w:color w:val="000000"/>
                <w:sz w:val="18"/>
                <w:szCs w:val="18"/>
              </w:rPr>
            </w:pPr>
          </w:p>
        </w:tc>
        <w:tc>
          <w:tcPr>
            <w:tcW w:w="1888" w:type="dxa"/>
            <w:noWrap/>
            <w:vAlign w:val="center"/>
          </w:tcPr>
          <w:p w14:paraId="442D211E">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基础设施水平</w:t>
            </w:r>
          </w:p>
        </w:tc>
        <w:tc>
          <w:tcPr>
            <w:tcW w:w="1604" w:type="dxa"/>
            <w:vAlign w:val="center"/>
          </w:tcPr>
          <w:p w14:paraId="5813589A">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c>
          <w:tcPr>
            <w:tcW w:w="1604" w:type="dxa"/>
            <w:vAlign w:val="center"/>
          </w:tcPr>
          <w:p w14:paraId="2B11FAC7">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c>
          <w:tcPr>
            <w:tcW w:w="1604" w:type="dxa"/>
            <w:vAlign w:val="center"/>
          </w:tcPr>
          <w:p w14:paraId="47F90BE1">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c>
          <w:tcPr>
            <w:tcW w:w="1605" w:type="dxa"/>
            <w:vAlign w:val="center"/>
          </w:tcPr>
          <w:p w14:paraId="71C37B65">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r>
      <w:tr w14:paraId="3B55BE6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4FB1161B">
            <w:pPr>
              <w:widowControl/>
              <w:spacing w:line="240" w:lineRule="exact"/>
              <w:rPr>
                <w:rFonts w:ascii="华文细黑" w:hAnsi="华文细黑" w:eastAsia="华文细黑" w:cs="Arial"/>
                <w:color w:val="000000"/>
                <w:sz w:val="18"/>
                <w:szCs w:val="18"/>
              </w:rPr>
            </w:pPr>
          </w:p>
        </w:tc>
        <w:tc>
          <w:tcPr>
            <w:tcW w:w="1888" w:type="dxa"/>
            <w:noWrap/>
            <w:vAlign w:val="center"/>
          </w:tcPr>
          <w:p w14:paraId="3B0F9F9A">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自然及人文环境</w:t>
            </w:r>
          </w:p>
        </w:tc>
        <w:tc>
          <w:tcPr>
            <w:tcW w:w="1604" w:type="dxa"/>
            <w:vAlign w:val="center"/>
          </w:tcPr>
          <w:p w14:paraId="195FF5C3">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09FC7D7D">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12770E65">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5" w:type="dxa"/>
            <w:vAlign w:val="center"/>
          </w:tcPr>
          <w:p w14:paraId="2EF541CC">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r>
      <w:tr w14:paraId="6D9420B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7C7DCB8F">
            <w:pPr>
              <w:widowControl/>
              <w:spacing w:line="240" w:lineRule="exact"/>
              <w:rPr>
                <w:rFonts w:ascii="华文细黑" w:hAnsi="华文细黑" w:eastAsia="华文细黑" w:cs="Arial"/>
                <w:color w:val="000000"/>
                <w:sz w:val="18"/>
                <w:szCs w:val="18"/>
              </w:rPr>
            </w:pPr>
          </w:p>
        </w:tc>
        <w:tc>
          <w:tcPr>
            <w:tcW w:w="1888" w:type="dxa"/>
            <w:noWrap/>
            <w:vAlign w:val="center"/>
          </w:tcPr>
          <w:p w14:paraId="08901DA3">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临街状况</w:t>
            </w:r>
          </w:p>
        </w:tc>
        <w:tc>
          <w:tcPr>
            <w:tcW w:w="1604" w:type="dxa"/>
            <w:vAlign w:val="center"/>
          </w:tcPr>
          <w:p w14:paraId="59C18F78">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c>
          <w:tcPr>
            <w:tcW w:w="1604" w:type="dxa"/>
            <w:vAlign w:val="center"/>
          </w:tcPr>
          <w:p w14:paraId="094F4BF4">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c>
          <w:tcPr>
            <w:tcW w:w="1604" w:type="dxa"/>
            <w:vAlign w:val="center"/>
          </w:tcPr>
          <w:p w14:paraId="3FDB3E1D">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c>
          <w:tcPr>
            <w:tcW w:w="1605" w:type="dxa"/>
            <w:vAlign w:val="center"/>
          </w:tcPr>
          <w:p w14:paraId="02F54294">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r>
      <w:tr w14:paraId="2C72ADE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50AD2A4F">
            <w:pPr>
              <w:widowControl/>
              <w:spacing w:line="240" w:lineRule="exact"/>
              <w:rPr>
                <w:rFonts w:ascii="华文细黑" w:hAnsi="华文细黑" w:eastAsia="华文细黑" w:cs="Arial"/>
                <w:color w:val="000000"/>
                <w:sz w:val="18"/>
                <w:szCs w:val="18"/>
              </w:rPr>
            </w:pPr>
          </w:p>
        </w:tc>
        <w:tc>
          <w:tcPr>
            <w:tcW w:w="1888" w:type="dxa"/>
            <w:noWrap/>
            <w:vAlign w:val="center"/>
          </w:tcPr>
          <w:p w14:paraId="63344D38">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人流量</w:t>
            </w:r>
          </w:p>
        </w:tc>
        <w:tc>
          <w:tcPr>
            <w:tcW w:w="1604" w:type="dxa"/>
            <w:vAlign w:val="center"/>
          </w:tcPr>
          <w:p w14:paraId="4A62F569">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6FF13CDF">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20604F1C">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5" w:type="dxa"/>
            <w:vAlign w:val="center"/>
          </w:tcPr>
          <w:p w14:paraId="476F60CD">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r>
      <w:tr w14:paraId="6879516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55AC9AC0">
            <w:pPr>
              <w:widowControl/>
              <w:spacing w:line="240" w:lineRule="exact"/>
              <w:rPr>
                <w:rFonts w:ascii="华文细黑" w:hAnsi="华文细黑" w:eastAsia="华文细黑" w:cs="Arial"/>
                <w:color w:val="000000"/>
                <w:sz w:val="18"/>
                <w:szCs w:val="18"/>
              </w:rPr>
            </w:pPr>
          </w:p>
        </w:tc>
        <w:tc>
          <w:tcPr>
            <w:tcW w:w="1888" w:type="dxa"/>
            <w:noWrap/>
            <w:vAlign w:val="center"/>
          </w:tcPr>
          <w:p w14:paraId="0223DFA1">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楼层</w:t>
            </w:r>
          </w:p>
        </w:tc>
        <w:tc>
          <w:tcPr>
            <w:tcW w:w="1604" w:type="dxa"/>
            <w:vAlign w:val="center"/>
          </w:tcPr>
          <w:p w14:paraId="2698CD8B">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c>
          <w:tcPr>
            <w:tcW w:w="1604" w:type="dxa"/>
            <w:vAlign w:val="center"/>
          </w:tcPr>
          <w:p w14:paraId="6E177971">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c>
          <w:tcPr>
            <w:tcW w:w="1604" w:type="dxa"/>
            <w:vAlign w:val="center"/>
          </w:tcPr>
          <w:p w14:paraId="6BC53E1C">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c>
          <w:tcPr>
            <w:tcW w:w="1605" w:type="dxa"/>
            <w:vAlign w:val="center"/>
          </w:tcPr>
          <w:p w14:paraId="51DC1EED">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r>
      <w:tr w14:paraId="3520F32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restart"/>
            <w:vAlign w:val="center"/>
          </w:tcPr>
          <w:p w14:paraId="36126072">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实物状况</w:t>
            </w:r>
          </w:p>
        </w:tc>
        <w:tc>
          <w:tcPr>
            <w:tcW w:w="1888" w:type="dxa"/>
            <w:noWrap/>
            <w:vAlign w:val="center"/>
          </w:tcPr>
          <w:p w14:paraId="7918E374">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商业类型</w:t>
            </w:r>
          </w:p>
        </w:tc>
        <w:tc>
          <w:tcPr>
            <w:tcW w:w="1604" w:type="dxa"/>
            <w:vAlign w:val="center"/>
          </w:tcPr>
          <w:p w14:paraId="5867074D">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商业综合体</w:t>
            </w:r>
          </w:p>
        </w:tc>
        <w:tc>
          <w:tcPr>
            <w:tcW w:w="1604" w:type="dxa"/>
            <w:vAlign w:val="center"/>
          </w:tcPr>
          <w:p w14:paraId="26CEF38D">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住宅底商</w:t>
            </w:r>
          </w:p>
        </w:tc>
        <w:tc>
          <w:tcPr>
            <w:tcW w:w="1604" w:type="dxa"/>
            <w:vAlign w:val="center"/>
          </w:tcPr>
          <w:p w14:paraId="47186729">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商业综合体</w:t>
            </w:r>
          </w:p>
        </w:tc>
        <w:tc>
          <w:tcPr>
            <w:tcW w:w="1605" w:type="dxa"/>
            <w:vAlign w:val="center"/>
          </w:tcPr>
          <w:p w14:paraId="12E05E9D">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住宅底商</w:t>
            </w:r>
          </w:p>
        </w:tc>
      </w:tr>
      <w:tr w14:paraId="1069A70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1AFAA5EE">
            <w:pPr>
              <w:widowControl/>
              <w:spacing w:line="240" w:lineRule="exact"/>
              <w:rPr>
                <w:rFonts w:ascii="华文细黑" w:hAnsi="华文细黑" w:eastAsia="华文细黑" w:cs="Arial"/>
                <w:color w:val="000000"/>
                <w:sz w:val="18"/>
                <w:szCs w:val="18"/>
              </w:rPr>
            </w:pPr>
          </w:p>
        </w:tc>
        <w:tc>
          <w:tcPr>
            <w:tcW w:w="1888" w:type="dxa"/>
            <w:noWrap/>
            <w:vAlign w:val="center"/>
          </w:tcPr>
          <w:p w14:paraId="1CD22074">
            <w:pPr>
              <w:widowControl/>
              <w:spacing w:line="240" w:lineRule="exact"/>
              <w:rPr>
                <w:rFonts w:hint="default" w:ascii="华文细黑" w:hAnsi="华文细黑" w:eastAsia="宋体" w:cs="Arial"/>
                <w:color w:val="000000"/>
                <w:sz w:val="18"/>
                <w:szCs w:val="18"/>
                <w:lang w:val="en-US" w:eastAsia="zh-CN"/>
              </w:rPr>
            </w:pPr>
            <w:commentRangeStart w:id="6"/>
            <w:r>
              <w:rPr>
                <w:rFonts w:hint="eastAsia" w:ascii="华文细黑" w:hAnsi="华文细黑" w:eastAsia="华文细黑" w:cs="Arial"/>
                <w:color w:val="000000"/>
                <w:sz w:val="18"/>
                <w:szCs w:val="18"/>
              </w:rPr>
              <w:t>建筑面积</w:t>
            </w:r>
            <w:commentRangeEnd w:id="6"/>
            <w:r>
              <w:rPr>
                <w:rStyle w:val="39"/>
              </w:rPr>
              <w:commentReference w:id="6"/>
            </w:r>
            <w:r>
              <w:rPr>
                <w:rFonts w:hint="eastAsia" w:ascii="华文细黑" w:hAnsi="华文细黑" w:eastAsia="华文细黑" w:cs="Arial"/>
                <w:color w:val="000000"/>
                <w:sz w:val="18"/>
                <w:szCs w:val="18"/>
                <w:lang w:val="en-US" w:eastAsia="zh-CN"/>
              </w:rPr>
              <w:t>（㎡）</w:t>
            </w:r>
          </w:p>
        </w:tc>
        <w:tc>
          <w:tcPr>
            <w:tcW w:w="1604" w:type="dxa"/>
            <w:vAlign w:val="center"/>
          </w:tcPr>
          <w:p w14:paraId="514DEF0C">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647.17</w:t>
            </w:r>
          </w:p>
        </w:tc>
        <w:tc>
          <w:tcPr>
            <w:tcW w:w="1604" w:type="dxa"/>
          </w:tcPr>
          <w:p w14:paraId="03A2FB76">
            <w:pP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500</w:t>
            </w:r>
          </w:p>
        </w:tc>
        <w:tc>
          <w:tcPr>
            <w:tcW w:w="1604" w:type="dxa"/>
          </w:tcPr>
          <w:p w14:paraId="54FF2F0A">
            <w:pP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160</w:t>
            </w:r>
          </w:p>
        </w:tc>
        <w:tc>
          <w:tcPr>
            <w:tcW w:w="1605" w:type="dxa"/>
          </w:tcPr>
          <w:p w14:paraId="68D3D547">
            <w:pP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150</w:t>
            </w:r>
          </w:p>
        </w:tc>
      </w:tr>
      <w:tr w14:paraId="7D232C5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728D6963">
            <w:pPr>
              <w:widowControl/>
              <w:spacing w:line="240" w:lineRule="exact"/>
              <w:rPr>
                <w:rFonts w:ascii="华文细黑" w:hAnsi="华文细黑" w:eastAsia="华文细黑" w:cs="Arial"/>
                <w:color w:val="000000"/>
                <w:sz w:val="18"/>
                <w:szCs w:val="18"/>
              </w:rPr>
            </w:pPr>
          </w:p>
        </w:tc>
        <w:tc>
          <w:tcPr>
            <w:tcW w:w="1888" w:type="dxa"/>
            <w:noWrap/>
            <w:vAlign w:val="center"/>
          </w:tcPr>
          <w:p w14:paraId="51D4E604">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建筑结构</w:t>
            </w:r>
          </w:p>
        </w:tc>
        <w:tc>
          <w:tcPr>
            <w:tcW w:w="1604" w:type="dxa"/>
            <w:vAlign w:val="center"/>
          </w:tcPr>
          <w:p w14:paraId="21452030">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c>
          <w:tcPr>
            <w:tcW w:w="1604" w:type="dxa"/>
            <w:vAlign w:val="center"/>
          </w:tcPr>
          <w:p w14:paraId="1D573324">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c>
          <w:tcPr>
            <w:tcW w:w="1604" w:type="dxa"/>
            <w:vAlign w:val="center"/>
          </w:tcPr>
          <w:p w14:paraId="2BD40CC5">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c>
          <w:tcPr>
            <w:tcW w:w="1605" w:type="dxa"/>
            <w:vAlign w:val="center"/>
          </w:tcPr>
          <w:p w14:paraId="24B52B4A">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r>
      <w:tr w14:paraId="08BAB13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682FABF9">
            <w:pPr>
              <w:widowControl/>
              <w:spacing w:line="240" w:lineRule="exact"/>
              <w:rPr>
                <w:rFonts w:ascii="华文细黑" w:hAnsi="华文细黑" w:eastAsia="华文细黑" w:cs="Arial"/>
                <w:color w:val="000000"/>
                <w:sz w:val="18"/>
                <w:szCs w:val="18"/>
              </w:rPr>
            </w:pPr>
          </w:p>
        </w:tc>
        <w:tc>
          <w:tcPr>
            <w:tcW w:w="1888" w:type="dxa"/>
            <w:noWrap/>
            <w:vAlign w:val="center"/>
          </w:tcPr>
          <w:p w14:paraId="231D201D">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内部装修</w:t>
            </w:r>
          </w:p>
        </w:tc>
        <w:tc>
          <w:tcPr>
            <w:tcW w:w="1604" w:type="dxa"/>
            <w:vAlign w:val="center"/>
          </w:tcPr>
          <w:p w14:paraId="13B0C49A">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毛坯</w:t>
            </w:r>
          </w:p>
        </w:tc>
        <w:tc>
          <w:tcPr>
            <w:tcW w:w="1604" w:type="dxa"/>
            <w:vAlign w:val="center"/>
          </w:tcPr>
          <w:p w14:paraId="1306ED04">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普通装修</w:t>
            </w:r>
          </w:p>
        </w:tc>
        <w:tc>
          <w:tcPr>
            <w:tcW w:w="1604" w:type="dxa"/>
            <w:vAlign w:val="center"/>
          </w:tcPr>
          <w:p w14:paraId="02B6A667">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普通装修</w:t>
            </w:r>
          </w:p>
        </w:tc>
        <w:tc>
          <w:tcPr>
            <w:tcW w:w="1605" w:type="dxa"/>
            <w:vAlign w:val="center"/>
          </w:tcPr>
          <w:p w14:paraId="1F2CAE98">
            <w:pPr>
              <w:widowControl/>
              <w:spacing w:line="240" w:lineRule="exact"/>
              <w:rPr>
                <w:rFonts w:ascii="华文细黑" w:hAnsi="华文细黑" w:eastAsia="华文细黑" w:cs="Arial"/>
                <w:color w:val="000000"/>
                <w:sz w:val="18"/>
                <w:szCs w:val="18"/>
              </w:rPr>
            </w:pPr>
            <w:r>
              <w:rPr>
                <w:rFonts w:hint="eastAsia" w:ascii="Arial" w:hAnsi="Arial" w:eastAsia="华文细黑"/>
                <w:sz w:val="18"/>
              </w:rPr>
              <w:t>普通装修</w:t>
            </w:r>
          </w:p>
        </w:tc>
      </w:tr>
      <w:tr w14:paraId="59A4348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49E92BB1">
            <w:pPr>
              <w:widowControl/>
              <w:spacing w:line="240" w:lineRule="exact"/>
              <w:rPr>
                <w:rFonts w:ascii="华文细黑" w:hAnsi="华文细黑" w:eastAsia="华文细黑" w:cs="Arial"/>
                <w:color w:val="000000"/>
                <w:sz w:val="18"/>
                <w:szCs w:val="18"/>
              </w:rPr>
            </w:pPr>
          </w:p>
        </w:tc>
        <w:tc>
          <w:tcPr>
            <w:tcW w:w="1888" w:type="dxa"/>
            <w:noWrap/>
            <w:vAlign w:val="center"/>
          </w:tcPr>
          <w:p w14:paraId="24B1F750">
            <w:pPr>
              <w:widowControl/>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成新度</w:t>
            </w:r>
          </w:p>
        </w:tc>
        <w:tc>
          <w:tcPr>
            <w:tcW w:w="1604" w:type="dxa"/>
          </w:tcPr>
          <w:p w14:paraId="5C6BF462">
            <w:pPr>
              <w:wordWrap w:val="0"/>
              <w:overflowPunct w:val="0"/>
              <w:spacing w:line="240" w:lineRule="exact"/>
              <w:rPr>
                <w:rFonts w:ascii="Arial" w:hAnsi="Arial" w:eastAsia="华文细黑"/>
                <w:sz w:val="18"/>
              </w:rPr>
            </w:pPr>
            <w:r>
              <w:rPr>
                <w:rFonts w:hint="eastAsia" w:ascii="Arial" w:hAnsi="Arial" w:eastAsia="华文细黑"/>
                <w:sz w:val="18"/>
              </w:rPr>
              <w:t>90-100%</w:t>
            </w:r>
          </w:p>
        </w:tc>
        <w:tc>
          <w:tcPr>
            <w:tcW w:w="1604" w:type="dxa"/>
          </w:tcPr>
          <w:p w14:paraId="7FEE77D5">
            <w:pPr>
              <w:wordWrap w:val="0"/>
              <w:overflowPunct w:val="0"/>
              <w:spacing w:line="240" w:lineRule="exact"/>
              <w:rPr>
                <w:rFonts w:ascii="Arial" w:hAnsi="Arial" w:eastAsia="华文细黑"/>
                <w:sz w:val="18"/>
              </w:rPr>
            </w:pPr>
            <w:r>
              <w:rPr>
                <w:rFonts w:hint="eastAsia" w:ascii="Arial" w:hAnsi="Arial" w:eastAsia="华文细黑"/>
                <w:sz w:val="18"/>
              </w:rPr>
              <w:t>80-90%</w:t>
            </w:r>
          </w:p>
        </w:tc>
        <w:tc>
          <w:tcPr>
            <w:tcW w:w="1604" w:type="dxa"/>
          </w:tcPr>
          <w:p w14:paraId="092B27A9">
            <w:pPr>
              <w:wordWrap w:val="0"/>
              <w:overflowPunct w:val="0"/>
              <w:spacing w:line="240" w:lineRule="exact"/>
              <w:rPr>
                <w:rFonts w:ascii="Arial" w:hAnsi="Arial" w:eastAsia="华文细黑"/>
                <w:sz w:val="18"/>
              </w:rPr>
            </w:pPr>
            <w:r>
              <w:rPr>
                <w:rFonts w:hint="eastAsia" w:ascii="Arial" w:hAnsi="Arial" w:eastAsia="华文细黑"/>
                <w:sz w:val="18"/>
              </w:rPr>
              <w:t>80-90%</w:t>
            </w:r>
          </w:p>
        </w:tc>
        <w:tc>
          <w:tcPr>
            <w:tcW w:w="1605" w:type="dxa"/>
          </w:tcPr>
          <w:p w14:paraId="40EE69B8">
            <w:pP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80-90%</w:t>
            </w:r>
          </w:p>
        </w:tc>
      </w:tr>
      <w:tr w14:paraId="4AE75D0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6F8B67A0">
            <w:pPr>
              <w:widowControl/>
              <w:spacing w:line="240" w:lineRule="exact"/>
              <w:rPr>
                <w:rFonts w:ascii="华文细黑" w:hAnsi="华文细黑" w:eastAsia="华文细黑" w:cs="Arial"/>
                <w:color w:val="000000"/>
                <w:sz w:val="18"/>
                <w:szCs w:val="18"/>
              </w:rPr>
            </w:pPr>
          </w:p>
        </w:tc>
        <w:tc>
          <w:tcPr>
            <w:tcW w:w="1888" w:type="dxa"/>
            <w:noWrap/>
          </w:tcPr>
          <w:p w14:paraId="033749FC">
            <w:pP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物业管理</w:t>
            </w:r>
          </w:p>
        </w:tc>
        <w:tc>
          <w:tcPr>
            <w:tcW w:w="1604" w:type="dxa"/>
          </w:tcPr>
          <w:p w14:paraId="6BC33157">
            <w:pP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c>
          <w:tcPr>
            <w:tcW w:w="1604" w:type="dxa"/>
          </w:tcPr>
          <w:p w14:paraId="047DBDDB">
            <w:pP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c>
          <w:tcPr>
            <w:tcW w:w="1604" w:type="dxa"/>
          </w:tcPr>
          <w:p w14:paraId="19EA2810">
            <w:pP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c>
          <w:tcPr>
            <w:tcW w:w="1605" w:type="dxa"/>
          </w:tcPr>
          <w:p w14:paraId="42DB2D50">
            <w:pP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r>
    </w:tbl>
    <w:p w14:paraId="2926CEDC">
      <w:pPr>
        <w:spacing w:before="120" w:beforeLines="50" w:line="480" w:lineRule="auto"/>
        <w:ind w:firstLine="411" w:firstLineChars="196"/>
        <w:jc w:val="both"/>
        <w:rPr>
          <w:rFonts w:ascii="Arial" w:hAnsi="Arial" w:cs="Arial"/>
          <w:sz w:val="21"/>
          <w:szCs w:val="21"/>
        </w:rPr>
      </w:pPr>
      <w:r>
        <w:rPr>
          <w:rFonts w:hint="eastAsia" w:ascii="Arial" w:hAnsi="Arial" w:cs="Arial"/>
          <w:sz w:val="21"/>
          <w:szCs w:val="21"/>
        </w:rPr>
        <w:br w:type="page"/>
      </w:r>
      <w:r>
        <w:rPr>
          <w:rFonts w:hint="eastAsia" w:ascii="Arial" w:hAnsi="Arial" w:cs="Arial"/>
          <w:sz w:val="21"/>
          <w:szCs w:val="21"/>
        </w:rPr>
        <w:t>5.编制因素修正及调整系数表（见表2）</w:t>
      </w:r>
    </w:p>
    <w:p w14:paraId="29F6A3A4">
      <w:pPr>
        <w:spacing w:line="360" w:lineRule="auto"/>
        <w:jc w:val="center"/>
        <w:rPr>
          <w:rFonts w:ascii="Arial" w:hAnsi="Arial" w:eastAsia="方正黑体简体" w:cs="Arial"/>
          <w:bCs/>
          <w:szCs w:val="24"/>
        </w:rPr>
      </w:pPr>
      <w:r>
        <w:rPr>
          <w:rFonts w:hint="eastAsia" w:ascii="Arial" w:hAnsi="Arial" w:eastAsia="方正黑体简体" w:cs="Arial"/>
          <w:bCs/>
          <w:szCs w:val="24"/>
        </w:rPr>
        <w:t>表2：比较因素条件指数表</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559"/>
        <w:gridCol w:w="2352"/>
        <w:gridCol w:w="1597"/>
        <w:gridCol w:w="1597"/>
        <w:gridCol w:w="1597"/>
        <w:gridCol w:w="1597"/>
      </w:tblGrid>
      <w:tr w14:paraId="6699ECF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2911" w:type="dxa"/>
            <w:gridSpan w:val="2"/>
            <w:noWrap/>
            <w:vAlign w:val="center"/>
          </w:tcPr>
          <w:p w14:paraId="458867A5">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比较因素</w:t>
            </w:r>
          </w:p>
        </w:tc>
        <w:tc>
          <w:tcPr>
            <w:tcW w:w="1597" w:type="dxa"/>
            <w:vAlign w:val="center"/>
          </w:tcPr>
          <w:p w14:paraId="3E375CF0">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估价对象</w:t>
            </w:r>
          </w:p>
        </w:tc>
        <w:tc>
          <w:tcPr>
            <w:tcW w:w="1597" w:type="dxa"/>
            <w:vAlign w:val="center"/>
          </w:tcPr>
          <w:p w14:paraId="10FFE6D3">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A</w:t>
            </w:r>
          </w:p>
        </w:tc>
        <w:tc>
          <w:tcPr>
            <w:tcW w:w="1597" w:type="dxa"/>
            <w:vAlign w:val="center"/>
          </w:tcPr>
          <w:p w14:paraId="4D405986">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B</w:t>
            </w:r>
          </w:p>
        </w:tc>
        <w:tc>
          <w:tcPr>
            <w:tcW w:w="1597" w:type="dxa"/>
            <w:vAlign w:val="center"/>
          </w:tcPr>
          <w:p w14:paraId="3F857FB4">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C</w:t>
            </w:r>
          </w:p>
        </w:tc>
      </w:tr>
      <w:tr w14:paraId="43A88E3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2911" w:type="dxa"/>
            <w:gridSpan w:val="2"/>
            <w:noWrap/>
            <w:vAlign w:val="center"/>
          </w:tcPr>
          <w:p w14:paraId="7FC763BF">
            <w:pPr>
              <w:widowControl/>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交易情况</w:t>
            </w:r>
          </w:p>
        </w:tc>
        <w:tc>
          <w:tcPr>
            <w:tcW w:w="1597" w:type="dxa"/>
            <w:vAlign w:val="center"/>
          </w:tcPr>
          <w:p w14:paraId="64E4A4C4">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61281446">
            <w:pPr>
              <w:spacing w:line="240" w:lineRule="exact"/>
              <w:rPr>
                <w:rFonts w:ascii="华文细黑" w:hAnsi="华文细黑"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1597" w:type="dxa"/>
            <w:vAlign w:val="center"/>
          </w:tcPr>
          <w:p w14:paraId="76170FA1">
            <w:pPr>
              <w:spacing w:line="240" w:lineRule="exact"/>
              <w:rPr>
                <w:rFonts w:ascii="华文细黑" w:hAnsi="华文细黑"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1597" w:type="dxa"/>
            <w:vAlign w:val="center"/>
          </w:tcPr>
          <w:p w14:paraId="67916836">
            <w:pPr>
              <w:spacing w:line="240" w:lineRule="exact"/>
              <w:rPr>
                <w:rFonts w:ascii="华文细黑" w:hAnsi="华文细黑"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r>
      <w:tr w14:paraId="50CA562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restart"/>
            <w:vAlign w:val="center"/>
          </w:tcPr>
          <w:p w14:paraId="77F0844D">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权益状况</w:t>
            </w:r>
          </w:p>
        </w:tc>
        <w:tc>
          <w:tcPr>
            <w:tcW w:w="2352" w:type="dxa"/>
            <w:noWrap/>
            <w:vAlign w:val="center"/>
          </w:tcPr>
          <w:p w14:paraId="7C0B5366">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用途</w:t>
            </w:r>
          </w:p>
        </w:tc>
        <w:tc>
          <w:tcPr>
            <w:tcW w:w="1597" w:type="dxa"/>
            <w:vAlign w:val="center"/>
          </w:tcPr>
          <w:p w14:paraId="287B454F">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793F486">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1684D13A">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8F91AAC">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0B2DC01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6E7151CB">
            <w:pPr>
              <w:widowControl/>
              <w:spacing w:line="240" w:lineRule="exact"/>
              <w:rPr>
                <w:rFonts w:ascii="华文细黑" w:hAnsi="华文细黑" w:eastAsia="华文细黑" w:cs="Arial"/>
                <w:sz w:val="18"/>
                <w:szCs w:val="18"/>
              </w:rPr>
            </w:pPr>
          </w:p>
        </w:tc>
        <w:tc>
          <w:tcPr>
            <w:tcW w:w="2352" w:type="dxa"/>
            <w:noWrap/>
            <w:vAlign w:val="center"/>
          </w:tcPr>
          <w:p w14:paraId="5AAACC17">
            <w:pPr>
              <w:widowControl/>
              <w:spacing w:line="240" w:lineRule="auto"/>
              <w:rPr>
                <w:rFonts w:ascii="华文细黑" w:hAnsi="华文细黑" w:eastAsia="华文细黑" w:cs="Arial"/>
                <w:sz w:val="18"/>
                <w:szCs w:val="18"/>
              </w:rPr>
            </w:pPr>
            <w:r>
              <w:rPr>
                <w:rFonts w:hint="eastAsia" w:ascii="华文细黑" w:hAnsi="华文细黑" w:eastAsia="华文细黑" w:cs="Arial"/>
                <w:sz w:val="18"/>
                <w:szCs w:val="18"/>
                <w:highlight w:val="lightGray"/>
              </w:rPr>
              <w:t>权利性质</w:t>
            </w:r>
          </w:p>
        </w:tc>
        <w:tc>
          <w:tcPr>
            <w:tcW w:w="1597" w:type="dxa"/>
            <w:vAlign w:val="center"/>
          </w:tcPr>
          <w:p w14:paraId="16BA2536">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F82AFC5">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FC0E36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B8E52D5">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706FD4B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Align w:val="center"/>
          </w:tcPr>
          <w:p w14:paraId="49642BC2">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市场状况</w:t>
            </w:r>
          </w:p>
        </w:tc>
        <w:tc>
          <w:tcPr>
            <w:tcW w:w="2352" w:type="dxa"/>
            <w:noWrap/>
            <w:vAlign w:val="center"/>
          </w:tcPr>
          <w:p w14:paraId="49FD8853">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交易时间</w:t>
            </w:r>
          </w:p>
        </w:tc>
        <w:tc>
          <w:tcPr>
            <w:tcW w:w="1597" w:type="dxa"/>
            <w:vAlign w:val="center"/>
          </w:tcPr>
          <w:p w14:paraId="1A5A599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7D19FCF">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9D4A6F8">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9590853">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34898FB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restart"/>
            <w:vAlign w:val="center"/>
          </w:tcPr>
          <w:p w14:paraId="5EA73EC8">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区位状况</w:t>
            </w:r>
          </w:p>
        </w:tc>
        <w:tc>
          <w:tcPr>
            <w:tcW w:w="2352" w:type="dxa"/>
            <w:noWrap/>
            <w:vAlign w:val="center"/>
          </w:tcPr>
          <w:p w14:paraId="0D1D551F">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商业繁华度</w:t>
            </w:r>
          </w:p>
        </w:tc>
        <w:tc>
          <w:tcPr>
            <w:tcW w:w="1597" w:type="dxa"/>
            <w:vAlign w:val="center"/>
          </w:tcPr>
          <w:p w14:paraId="1E95DDD3">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449F495">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9BEA35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D09F015">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3AAF138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62E6F56">
            <w:pPr>
              <w:widowControl/>
              <w:spacing w:line="240" w:lineRule="exact"/>
              <w:rPr>
                <w:rFonts w:ascii="华文细黑" w:hAnsi="华文细黑" w:eastAsia="华文细黑" w:cs="Arial"/>
                <w:sz w:val="18"/>
                <w:szCs w:val="18"/>
              </w:rPr>
            </w:pPr>
          </w:p>
        </w:tc>
        <w:tc>
          <w:tcPr>
            <w:tcW w:w="2352" w:type="dxa"/>
            <w:noWrap/>
            <w:vAlign w:val="center"/>
          </w:tcPr>
          <w:p w14:paraId="09E769DA">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交通便捷度</w:t>
            </w:r>
          </w:p>
        </w:tc>
        <w:tc>
          <w:tcPr>
            <w:tcW w:w="1597" w:type="dxa"/>
            <w:vAlign w:val="center"/>
          </w:tcPr>
          <w:p w14:paraId="5ED91535">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1824BFB">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53705D6">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1AE90053">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39338ED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24A4B7C">
            <w:pPr>
              <w:widowControl/>
              <w:spacing w:line="240" w:lineRule="exact"/>
              <w:rPr>
                <w:rFonts w:ascii="华文细黑" w:hAnsi="华文细黑" w:eastAsia="华文细黑" w:cs="Arial"/>
                <w:sz w:val="18"/>
                <w:szCs w:val="18"/>
              </w:rPr>
            </w:pPr>
          </w:p>
        </w:tc>
        <w:tc>
          <w:tcPr>
            <w:tcW w:w="2352" w:type="dxa"/>
            <w:noWrap/>
            <w:vAlign w:val="center"/>
          </w:tcPr>
          <w:p w14:paraId="558A22B7">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公共配套设施</w:t>
            </w:r>
          </w:p>
        </w:tc>
        <w:tc>
          <w:tcPr>
            <w:tcW w:w="1597" w:type="dxa"/>
            <w:vAlign w:val="center"/>
          </w:tcPr>
          <w:p w14:paraId="6FA7D2E1">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F16E32A">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6C9EB7AA">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C590598">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1D017AA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2A90E46D">
            <w:pPr>
              <w:widowControl/>
              <w:spacing w:line="240" w:lineRule="exact"/>
              <w:rPr>
                <w:rFonts w:ascii="华文细黑" w:hAnsi="华文细黑" w:eastAsia="华文细黑" w:cs="Arial"/>
                <w:sz w:val="18"/>
                <w:szCs w:val="18"/>
              </w:rPr>
            </w:pPr>
          </w:p>
        </w:tc>
        <w:tc>
          <w:tcPr>
            <w:tcW w:w="2352" w:type="dxa"/>
            <w:noWrap/>
            <w:vAlign w:val="center"/>
          </w:tcPr>
          <w:p w14:paraId="4813A7DC">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基础设施水平</w:t>
            </w:r>
          </w:p>
        </w:tc>
        <w:tc>
          <w:tcPr>
            <w:tcW w:w="1597" w:type="dxa"/>
            <w:vAlign w:val="center"/>
          </w:tcPr>
          <w:p w14:paraId="03814482">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7C2D27A">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6129ACA0">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6340971">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42FF352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0ABE54F1">
            <w:pPr>
              <w:widowControl/>
              <w:spacing w:line="240" w:lineRule="exact"/>
              <w:rPr>
                <w:rFonts w:ascii="华文细黑" w:hAnsi="华文细黑" w:eastAsia="华文细黑" w:cs="Arial"/>
                <w:sz w:val="18"/>
                <w:szCs w:val="18"/>
              </w:rPr>
            </w:pPr>
          </w:p>
        </w:tc>
        <w:tc>
          <w:tcPr>
            <w:tcW w:w="2352" w:type="dxa"/>
            <w:noWrap/>
            <w:vAlign w:val="center"/>
          </w:tcPr>
          <w:p w14:paraId="0AC254FA">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自然及人文环境</w:t>
            </w:r>
          </w:p>
        </w:tc>
        <w:tc>
          <w:tcPr>
            <w:tcW w:w="1597" w:type="dxa"/>
            <w:vAlign w:val="center"/>
          </w:tcPr>
          <w:p w14:paraId="25F96BE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975CFE1">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5D1E6CD">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CBAA9CD">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6508926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686855CF">
            <w:pPr>
              <w:widowControl/>
              <w:spacing w:line="240" w:lineRule="exact"/>
              <w:rPr>
                <w:rFonts w:ascii="华文细黑" w:hAnsi="华文细黑" w:eastAsia="华文细黑" w:cs="Arial"/>
                <w:sz w:val="18"/>
                <w:szCs w:val="18"/>
              </w:rPr>
            </w:pPr>
          </w:p>
        </w:tc>
        <w:tc>
          <w:tcPr>
            <w:tcW w:w="2352" w:type="dxa"/>
            <w:noWrap/>
            <w:vAlign w:val="center"/>
          </w:tcPr>
          <w:p w14:paraId="75F3180E">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临街状况</w:t>
            </w:r>
          </w:p>
        </w:tc>
        <w:tc>
          <w:tcPr>
            <w:tcW w:w="1597" w:type="dxa"/>
            <w:vAlign w:val="center"/>
          </w:tcPr>
          <w:p w14:paraId="3FFFC330">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684AF376">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102DD259">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B2F575C">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2F82711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654BBA01">
            <w:pPr>
              <w:widowControl/>
              <w:spacing w:line="240" w:lineRule="exact"/>
              <w:rPr>
                <w:rFonts w:ascii="华文细黑" w:hAnsi="华文细黑" w:eastAsia="华文细黑" w:cs="Arial"/>
                <w:sz w:val="18"/>
                <w:szCs w:val="18"/>
              </w:rPr>
            </w:pPr>
          </w:p>
        </w:tc>
        <w:tc>
          <w:tcPr>
            <w:tcW w:w="2352" w:type="dxa"/>
            <w:noWrap/>
            <w:vAlign w:val="center"/>
          </w:tcPr>
          <w:p w14:paraId="35502085">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人流量</w:t>
            </w:r>
          </w:p>
        </w:tc>
        <w:tc>
          <w:tcPr>
            <w:tcW w:w="1597" w:type="dxa"/>
            <w:vAlign w:val="center"/>
          </w:tcPr>
          <w:p w14:paraId="459D448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15A4ED7">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CAC1BCF">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5ECA3CE">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216F6A5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B92A231">
            <w:pPr>
              <w:widowControl/>
              <w:spacing w:line="240" w:lineRule="exact"/>
              <w:rPr>
                <w:rFonts w:ascii="华文细黑" w:hAnsi="华文细黑" w:eastAsia="华文细黑" w:cs="Arial"/>
                <w:sz w:val="18"/>
                <w:szCs w:val="18"/>
              </w:rPr>
            </w:pPr>
          </w:p>
        </w:tc>
        <w:tc>
          <w:tcPr>
            <w:tcW w:w="2352" w:type="dxa"/>
            <w:noWrap/>
            <w:vAlign w:val="center"/>
          </w:tcPr>
          <w:p w14:paraId="2830C7E6">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楼层</w:t>
            </w:r>
          </w:p>
        </w:tc>
        <w:tc>
          <w:tcPr>
            <w:tcW w:w="1597" w:type="dxa"/>
            <w:vAlign w:val="center"/>
          </w:tcPr>
          <w:p w14:paraId="1138150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6C864A3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9D482BB">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B2FE665">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22902E1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restart"/>
            <w:vAlign w:val="center"/>
          </w:tcPr>
          <w:p w14:paraId="466B01BD">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实物状况</w:t>
            </w:r>
          </w:p>
        </w:tc>
        <w:tc>
          <w:tcPr>
            <w:tcW w:w="2352" w:type="dxa"/>
            <w:noWrap/>
            <w:vAlign w:val="center"/>
          </w:tcPr>
          <w:p w14:paraId="1C4FB8E9">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商业类型</w:t>
            </w:r>
          </w:p>
        </w:tc>
        <w:tc>
          <w:tcPr>
            <w:tcW w:w="1597" w:type="dxa"/>
            <w:vAlign w:val="center"/>
          </w:tcPr>
          <w:p w14:paraId="35AF6080">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E34D434">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94</w:t>
            </w:r>
          </w:p>
        </w:tc>
        <w:tc>
          <w:tcPr>
            <w:tcW w:w="1597" w:type="dxa"/>
            <w:vAlign w:val="center"/>
          </w:tcPr>
          <w:p w14:paraId="609F7FF3">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5737409">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94</w:t>
            </w:r>
          </w:p>
        </w:tc>
      </w:tr>
      <w:tr w14:paraId="675ACF2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textDirection w:val="tbRlV"/>
            <w:vAlign w:val="center"/>
          </w:tcPr>
          <w:p w14:paraId="16AEBCA9">
            <w:pPr>
              <w:widowControl/>
              <w:spacing w:line="240" w:lineRule="exact"/>
              <w:rPr>
                <w:rFonts w:ascii="华文细黑" w:hAnsi="华文细黑" w:eastAsia="华文细黑" w:cs="Arial"/>
                <w:sz w:val="18"/>
                <w:szCs w:val="18"/>
              </w:rPr>
            </w:pPr>
          </w:p>
        </w:tc>
        <w:tc>
          <w:tcPr>
            <w:tcW w:w="2352" w:type="dxa"/>
            <w:noWrap/>
            <w:vAlign w:val="center"/>
          </w:tcPr>
          <w:p w14:paraId="454BAEA1">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建筑面积</w:t>
            </w:r>
          </w:p>
        </w:tc>
        <w:tc>
          <w:tcPr>
            <w:tcW w:w="1597" w:type="dxa"/>
            <w:vAlign w:val="center"/>
          </w:tcPr>
          <w:p w14:paraId="24B338A1">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9250020">
            <w:pPr>
              <w:spacing w:line="240" w:lineRule="exact"/>
              <w:rPr>
                <w:rFonts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c>
          <w:tcPr>
            <w:tcW w:w="1597" w:type="dxa"/>
            <w:vAlign w:val="center"/>
          </w:tcPr>
          <w:p w14:paraId="58EAD958">
            <w:pPr>
              <w:spacing w:line="240" w:lineRule="exact"/>
              <w:rPr>
                <w:rFonts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4</w:t>
            </w:r>
          </w:p>
        </w:tc>
        <w:tc>
          <w:tcPr>
            <w:tcW w:w="1597" w:type="dxa"/>
            <w:vAlign w:val="center"/>
          </w:tcPr>
          <w:p w14:paraId="2B2AE575">
            <w:pPr>
              <w:spacing w:line="240" w:lineRule="exact"/>
              <w:rPr>
                <w:rFonts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4</w:t>
            </w:r>
          </w:p>
        </w:tc>
      </w:tr>
      <w:tr w14:paraId="3D64D3B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77A7CBEC">
            <w:pPr>
              <w:widowControl/>
              <w:spacing w:line="240" w:lineRule="exact"/>
              <w:rPr>
                <w:rFonts w:ascii="华文细黑" w:hAnsi="华文细黑" w:eastAsia="华文细黑" w:cs="Arial"/>
                <w:sz w:val="18"/>
                <w:szCs w:val="18"/>
              </w:rPr>
            </w:pPr>
          </w:p>
        </w:tc>
        <w:tc>
          <w:tcPr>
            <w:tcW w:w="2352" w:type="dxa"/>
            <w:noWrap/>
            <w:vAlign w:val="center"/>
          </w:tcPr>
          <w:p w14:paraId="5CE3F2CB">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建筑结构</w:t>
            </w:r>
          </w:p>
        </w:tc>
        <w:tc>
          <w:tcPr>
            <w:tcW w:w="1597" w:type="dxa"/>
            <w:vAlign w:val="center"/>
          </w:tcPr>
          <w:p w14:paraId="2221C63F">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B061105">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E88505C">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F001D52">
            <w:pP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3260E67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A14CC6F">
            <w:pPr>
              <w:widowControl/>
              <w:spacing w:line="240" w:lineRule="exact"/>
              <w:rPr>
                <w:rFonts w:ascii="华文细黑" w:hAnsi="华文细黑" w:eastAsia="华文细黑" w:cs="Arial"/>
                <w:sz w:val="18"/>
                <w:szCs w:val="18"/>
              </w:rPr>
            </w:pPr>
          </w:p>
        </w:tc>
        <w:tc>
          <w:tcPr>
            <w:tcW w:w="2352" w:type="dxa"/>
            <w:noWrap/>
            <w:vAlign w:val="center"/>
          </w:tcPr>
          <w:p w14:paraId="4AD19E3B">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内部装修</w:t>
            </w:r>
          </w:p>
        </w:tc>
        <w:tc>
          <w:tcPr>
            <w:tcW w:w="1597" w:type="dxa"/>
            <w:vAlign w:val="center"/>
          </w:tcPr>
          <w:p w14:paraId="406A646E">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3FB0EB3">
            <w:pPr>
              <w:spacing w:line="240" w:lineRule="exact"/>
              <w:rPr>
                <w:rFonts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c>
          <w:tcPr>
            <w:tcW w:w="1597" w:type="dxa"/>
            <w:vAlign w:val="center"/>
          </w:tcPr>
          <w:p w14:paraId="6C949716">
            <w:pPr>
              <w:spacing w:line="240" w:lineRule="exact"/>
              <w:rPr>
                <w:rFonts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c>
          <w:tcPr>
            <w:tcW w:w="1597" w:type="dxa"/>
            <w:vAlign w:val="center"/>
          </w:tcPr>
          <w:p w14:paraId="057F56E4">
            <w:pPr>
              <w:spacing w:line="240" w:lineRule="exact"/>
              <w:rPr>
                <w:rFonts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r>
      <w:tr w14:paraId="1C4254B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2DF197DE">
            <w:pPr>
              <w:widowControl/>
              <w:spacing w:line="240" w:lineRule="exact"/>
              <w:rPr>
                <w:rFonts w:ascii="华文细黑" w:hAnsi="华文细黑" w:eastAsia="华文细黑" w:cs="Arial"/>
                <w:sz w:val="18"/>
                <w:szCs w:val="18"/>
              </w:rPr>
            </w:pPr>
          </w:p>
        </w:tc>
        <w:tc>
          <w:tcPr>
            <w:tcW w:w="2352" w:type="dxa"/>
            <w:noWrap/>
            <w:vAlign w:val="center"/>
          </w:tcPr>
          <w:p w14:paraId="2AB3324C">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成新度</w:t>
            </w:r>
          </w:p>
        </w:tc>
        <w:tc>
          <w:tcPr>
            <w:tcW w:w="1597" w:type="dxa"/>
            <w:vAlign w:val="center"/>
          </w:tcPr>
          <w:p w14:paraId="683CE6C3">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95DFD97">
            <w:pPr>
              <w:tabs>
                <w:tab w:val="left" w:pos="573"/>
              </w:tabs>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95</w:t>
            </w:r>
          </w:p>
        </w:tc>
        <w:tc>
          <w:tcPr>
            <w:tcW w:w="1597" w:type="dxa"/>
            <w:vAlign w:val="center"/>
          </w:tcPr>
          <w:p w14:paraId="0C43A773">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95</w:t>
            </w:r>
          </w:p>
        </w:tc>
        <w:tc>
          <w:tcPr>
            <w:tcW w:w="1597" w:type="dxa"/>
            <w:vAlign w:val="center"/>
          </w:tcPr>
          <w:p w14:paraId="70C01E1E">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95</w:t>
            </w:r>
          </w:p>
        </w:tc>
      </w:tr>
      <w:tr w14:paraId="160AACF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80E680A">
            <w:pPr>
              <w:widowControl/>
              <w:spacing w:line="240" w:lineRule="exact"/>
              <w:rPr>
                <w:rFonts w:ascii="华文细黑" w:hAnsi="华文细黑" w:eastAsia="华文细黑" w:cs="Arial"/>
                <w:sz w:val="18"/>
                <w:szCs w:val="18"/>
              </w:rPr>
            </w:pPr>
          </w:p>
        </w:tc>
        <w:tc>
          <w:tcPr>
            <w:tcW w:w="2352" w:type="dxa"/>
            <w:noWrap/>
          </w:tcPr>
          <w:p w14:paraId="281164DF">
            <w:pPr>
              <w:wordWrap w:val="0"/>
              <w:overflowPunct w:val="0"/>
              <w:spacing w:line="240" w:lineRule="exact"/>
              <w:rPr>
                <w:rFonts w:ascii="华文细黑" w:hAnsi="华文细黑" w:eastAsia="华文细黑" w:cs="Arial"/>
                <w:sz w:val="18"/>
                <w:szCs w:val="18"/>
              </w:rPr>
            </w:pPr>
            <w:r>
              <w:rPr>
                <w:rFonts w:hint="eastAsia" w:ascii="Arial" w:hAnsi="Arial" w:eastAsia="华文细黑"/>
                <w:sz w:val="18"/>
              </w:rPr>
              <w:t>物业管理</w:t>
            </w:r>
          </w:p>
        </w:tc>
        <w:tc>
          <w:tcPr>
            <w:tcW w:w="1597" w:type="dxa"/>
            <w:vAlign w:val="center"/>
          </w:tcPr>
          <w:p w14:paraId="6CE21A18">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294CA2C">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2D14365">
            <w:pP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A8F7D6E">
            <w:pPr>
              <w:spacing w:line="240" w:lineRule="exact"/>
              <w:rPr>
                <w:rFonts w:ascii="华文细黑" w:hAnsi="华文细黑" w:eastAsia="华文细黑" w:cs="Arial"/>
                <w:sz w:val="18"/>
                <w:szCs w:val="18"/>
              </w:rPr>
            </w:pPr>
            <w:r>
              <w:rPr>
                <w:rFonts w:ascii="Arial" w:hAnsi="Arial" w:eastAsia="华文细黑" w:cs="Arial"/>
                <w:sz w:val="18"/>
                <w:szCs w:val="18"/>
              </w:rPr>
              <w:t>100</w:t>
            </w:r>
          </w:p>
        </w:tc>
      </w:tr>
    </w:tbl>
    <w:p w14:paraId="67B5C568">
      <w:pPr>
        <w:spacing w:before="240" w:beforeLines="100" w:line="480" w:lineRule="auto"/>
        <w:ind w:firstLine="411" w:firstLineChars="196"/>
        <w:jc w:val="both"/>
        <w:rPr>
          <w:rFonts w:ascii="Arial" w:hAnsi="Arial" w:cs="Arial"/>
          <w:sz w:val="21"/>
          <w:szCs w:val="21"/>
        </w:rPr>
      </w:pPr>
      <w:r>
        <w:rPr>
          <w:rFonts w:hint="eastAsia" w:ascii="Arial" w:hAnsi="Arial" w:cs="Arial"/>
          <w:sz w:val="21"/>
          <w:szCs w:val="21"/>
        </w:rPr>
        <w:t>各因素条件指数确定说明如下：</w:t>
      </w:r>
    </w:p>
    <w:p w14:paraId="157EE4D4">
      <w:pPr>
        <w:spacing w:line="480" w:lineRule="auto"/>
        <w:ind w:firstLine="411" w:firstLineChars="196"/>
        <w:jc w:val="both"/>
        <w:rPr>
          <w:rFonts w:ascii="Arial" w:hAnsi="Arial" w:cs="Arial"/>
          <w:sz w:val="21"/>
          <w:szCs w:val="21"/>
        </w:rPr>
      </w:pPr>
      <w:r>
        <w:rPr>
          <w:rFonts w:hint="eastAsia" w:ascii="Arial" w:hAnsi="Arial" w:cs="Arial"/>
          <w:sz w:val="21"/>
          <w:szCs w:val="21"/>
        </w:rPr>
        <w:t>（1）交易情况修正指数的确定</w:t>
      </w:r>
    </w:p>
    <w:p w14:paraId="5A272C23">
      <w:pPr>
        <w:spacing w:line="480" w:lineRule="auto"/>
        <w:ind w:firstLine="411" w:firstLineChars="196"/>
        <w:jc w:val="both"/>
        <w:rPr>
          <w:rFonts w:ascii="Arial" w:hAnsi="Arial" w:cs="Arial"/>
          <w:sz w:val="21"/>
          <w:szCs w:val="21"/>
        </w:rPr>
      </w:pPr>
      <w:r>
        <w:rPr>
          <w:rFonts w:hint="eastAsia" w:ascii="Arial" w:hAnsi="Arial" w:cs="Arial"/>
          <w:sz w:val="21"/>
          <w:szCs w:val="21"/>
        </w:rPr>
        <w:t>由于估价对象和各案例交易情况不同，各案例租金均为挂牌租金水平，故估价对象及可比案例的修正系数分别为100；105；105；105。</w:t>
      </w:r>
    </w:p>
    <w:p w14:paraId="6BA4CC51">
      <w:pPr>
        <w:spacing w:line="480" w:lineRule="auto"/>
        <w:ind w:firstLine="411" w:firstLineChars="196"/>
        <w:jc w:val="both"/>
        <w:rPr>
          <w:rFonts w:ascii="Arial" w:hAnsi="Arial" w:cs="Arial"/>
          <w:sz w:val="21"/>
          <w:szCs w:val="21"/>
        </w:rPr>
      </w:pPr>
      <w:r>
        <w:rPr>
          <w:rFonts w:hint="eastAsia" w:ascii="Arial" w:hAnsi="Arial" w:cs="Arial"/>
          <w:sz w:val="21"/>
          <w:szCs w:val="21"/>
        </w:rPr>
        <w:t>（2）市场状况调整</w:t>
      </w:r>
    </w:p>
    <w:p w14:paraId="3484E5DB">
      <w:pPr>
        <w:spacing w:line="480" w:lineRule="auto"/>
        <w:ind w:firstLine="411" w:firstLineChars="196"/>
        <w:jc w:val="both"/>
        <w:rPr>
          <w:rFonts w:ascii="Arial" w:hAnsi="Arial" w:cs="Arial"/>
          <w:sz w:val="21"/>
          <w:szCs w:val="21"/>
        </w:rPr>
      </w:pPr>
      <w:r>
        <w:rPr>
          <w:rFonts w:hint="eastAsia" w:ascii="Arial" w:hAnsi="Arial" w:cs="Arial"/>
          <w:sz w:val="21"/>
          <w:szCs w:val="21"/>
        </w:rPr>
        <w:t>估价对象的价值时点为2026年1月14日 ，可比实例交易日期分别为2026年1月；2025年12月；2026年1月，根据注册房地产估价师所掌握该区域商业房地产市场情况，此段时间该类型房地产市场价格平稳，故估价对象及可比案例的调整系数均为100。</w:t>
      </w:r>
    </w:p>
    <w:p w14:paraId="38859BF4">
      <w:pPr>
        <w:spacing w:line="480" w:lineRule="auto"/>
        <w:ind w:firstLine="411" w:firstLineChars="196"/>
        <w:jc w:val="both"/>
        <w:rPr>
          <w:rFonts w:ascii="Arial" w:hAnsi="Arial" w:cs="Arial"/>
          <w:sz w:val="21"/>
          <w:szCs w:val="21"/>
        </w:rPr>
      </w:pPr>
      <w:r>
        <w:rPr>
          <w:rFonts w:hint="eastAsia" w:ascii="Arial" w:hAnsi="Arial" w:cs="Arial"/>
          <w:sz w:val="21"/>
          <w:szCs w:val="21"/>
        </w:rPr>
        <w:t>（3）房地产状况调整</w:t>
      </w:r>
    </w:p>
    <w:p w14:paraId="07F441DC">
      <w:pPr>
        <w:spacing w:line="480" w:lineRule="auto"/>
        <w:ind w:firstLine="411" w:firstLineChars="196"/>
        <w:jc w:val="both"/>
        <w:rPr>
          <w:rFonts w:ascii="Arial" w:hAnsi="Arial" w:cs="Arial"/>
          <w:sz w:val="21"/>
          <w:szCs w:val="21"/>
        </w:rPr>
      </w:pPr>
      <w:r>
        <w:rPr>
          <w:rFonts w:hint="eastAsia" w:ascii="Arial" w:hAnsi="Arial" w:cs="Arial"/>
          <w:sz w:val="21"/>
          <w:szCs w:val="21"/>
        </w:rPr>
        <w:t>本次评估以估价对象房地产的状况为基准，调整系数设定为100，可比实例的调整系数为逐项与之比较得出。</w:t>
      </w:r>
    </w:p>
    <w:p w14:paraId="7CEF9809">
      <w:pPr>
        <w:spacing w:line="480" w:lineRule="auto"/>
        <w:ind w:firstLine="411" w:firstLineChars="196"/>
        <w:jc w:val="both"/>
        <w:rPr>
          <w:rFonts w:ascii="Arial" w:hAnsi="Arial" w:cs="Arial"/>
          <w:sz w:val="21"/>
          <w:szCs w:val="21"/>
        </w:rPr>
      </w:pPr>
      <w:r>
        <w:rPr>
          <w:rFonts w:hint="eastAsia" w:ascii="Arial" w:hAnsi="Arial" w:cs="Arial"/>
          <w:sz w:val="21"/>
          <w:szCs w:val="21"/>
        </w:rPr>
        <w:t>1） 权益状况</w:t>
      </w:r>
    </w:p>
    <w:p w14:paraId="669C8CED">
      <w:pPr>
        <w:autoSpaceDE w:val="0"/>
        <w:autoSpaceDN w:val="0"/>
        <w:jc w:val="center"/>
        <w:rPr>
          <w:rFonts w:ascii="宋体" w:hAnsi="宋体"/>
          <w:szCs w:val="24"/>
        </w:rPr>
      </w:pPr>
      <w:r>
        <w:rPr>
          <w:rFonts w:hint="eastAsia" w:ascii="方正黑体简体" w:hAnsi="华文细黑" w:eastAsia="方正黑体简体"/>
          <w:szCs w:val="24"/>
        </w:rPr>
        <w:t>权益状况等级说明表</w:t>
      </w:r>
    </w:p>
    <w:tbl>
      <w:tblPr>
        <w:tblStyle w:val="32"/>
        <w:tblW w:w="4939"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413"/>
        <w:gridCol w:w="6810"/>
        <w:gridCol w:w="1075"/>
      </w:tblGrid>
      <w:tr w14:paraId="7E50BBD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564711B6">
            <w:pPr>
              <w:spacing w:line="240" w:lineRule="exact"/>
              <w:rPr>
                <w:rFonts w:ascii="Arial" w:hAnsi="Arial" w:eastAsia="华文细黑" w:cs="Arial"/>
                <w:sz w:val="18"/>
                <w:szCs w:val="18"/>
              </w:rPr>
            </w:pPr>
            <w:r>
              <w:rPr>
                <w:rFonts w:ascii="Arial" w:hAnsi="Arial" w:eastAsia="华文细黑" w:cs="Arial"/>
                <w:sz w:val="18"/>
                <w:szCs w:val="18"/>
              </w:rPr>
              <w:t>权益状况</w:t>
            </w:r>
          </w:p>
        </w:tc>
        <w:tc>
          <w:tcPr>
            <w:tcW w:w="3661" w:type="pct"/>
            <w:vAlign w:val="center"/>
          </w:tcPr>
          <w:p w14:paraId="358854E3">
            <w:pPr>
              <w:spacing w:line="240" w:lineRule="exact"/>
              <w:rPr>
                <w:rFonts w:ascii="Arial" w:hAnsi="Arial" w:eastAsia="华文细黑" w:cs="Arial"/>
                <w:sz w:val="18"/>
                <w:szCs w:val="18"/>
              </w:rPr>
            </w:pPr>
            <w:r>
              <w:rPr>
                <w:rFonts w:ascii="Arial" w:hAnsi="Arial" w:eastAsia="华文细黑" w:cs="Arial"/>
                <w:sz w:val="18"/>
                <w:szCs w:val="18"/>
              </w:rPr>
              <w:t>等级划分</w:t>
            </w:r>
          </w:p>
        </w:tc>
        <w:tc>
          <w:tcPr>
            <w:tcW w:w="578" w:type="pct"/>
            <w:vAlign w:val="center"/>
          </w:tcPr>
          <w:p w14:paraId="51F475C5">
            <w:pPr>
              <w:spacing w:line="240" w:lineRule="exact"/>
              <w:rPr>
                <w:rFonts w:ascii="Arial" w:hAnsi="Arial" w:eastAsia="华文细黑" w:cs="Arial"/>
                <w:sz w:val="18"/>
                <w:szCs w:val="18"/>
              </w:rPr>
            </w:pPr>
            <w:r>
              <w:rPr>
                <w:rFonts w:ascii="Arial" w:hAnsi="Arial" w:eastAsia="华文细黑" w:cs="Arial"/>
                <w:sz w:val="18"/>
                <w:szCs w:val="18"/>
              </w:rPr>
              <w:t>每等级向下调整幅度</w:t>
            </w:r>
          </w:p>
        </w:tc>
      </w:tr>
      <w:tr w14:paraId="75A8317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1038DBF9">
            <w:pPr>
              <w:widowControl/>
              <w:spacing w:line="240" w:lineRule="exact"/>
              <w:rPr>
                <w:rFonts w:ascii="Arial" w:hAnsi="Arial" w:eastAsia="华文细黑" w:cs="Arial"/>
                <w:sz w:val="18"/>
                <w:szCs w:val="18"/>
              </w:rPr>
            </w:pPr>
            <w:r>
              <w:rPr>
                <w:rFonts w:ascii="Arial" w:hAnsi="Arial" w:eastAsia="华文细黑" w:cs="Arial"/>
                <w:sz w:val="18"/>
                <w:szCs w:val="18"/>
              </w:rPr>
              <w:t>用途</w:t>
            </w:r>
          </w:p>
        </w:tc>
        <w:tc>
          <w:tcPr>
            <w:tcW w:w="3661" w:type="pct"/>
            <w:vAlign w:val="center"/>
          </w:tcPr>
          <w:p w14:paraId="6363069E">
            <w:pPr>
              <w:spacing w:line="240" w:lineRule="exact"/>
              <w:rPr>
                <w:rFonts w:ascii="Arial" w:hAnsi="Arial" w:eastAsia="华文细黑" w:cs="Arial"/>
                <w:sz w:val="18"/>
                <w:szCs w:val="18"/>
              </w:rPr>
            </w:pPr>
            <w:r>
              <w:rPr>
                <w:rFonts w:ascii="Arial" w:hAnsi="Arial" w:eastAsia="华文细黑" w:cs="Arial"/>
                <w:sz w:val="18"/>
                <w:szCs w:val="18"/>
              </w:rPr>
              <w:t>估价对象与</w:t>
            </w:r>
            <w:r>
              <w:rPr>
                <w:rFonts w:hint="eastAsia" w:ascii="Arial" w:hAnsi="Arial" w:eastAsia="华文细黑" w:cs="Arial"/>
                <w:sz w:val="18"/>
                <w:szCs w:val="18"/>
              </w:rPr>
              <w:t>可比实例</w:t>
            </w:r>
            <w:r>
              <w:rPr>
                <w:rFonts w:ascii="Arial" w:hAnsi="Arial" w:eastAsia="华文细黑" w:cs="Arial"/>
                <w:sz w:val="18"/>
                <w:szCs w:val="18"/>
              </w:rPr>
              <w:t>用途均为</w:t>
            </w:r>
            <w:r>
              <w:rPr>
                <w:rFonts w:hint="eastAsia" w:ascii="Arial" w:hAnsi="Arial" w:eastAsia="华文细黑" w:cs="Arial"/>
                <w:sz w:val="18"/>
                <w:szCs w:val="18"/>
              </w:rPr>
              <w:t>商业，故估价对象及可比案例的调整系数均为100</w:t>
            </w:r>
          </w:p>
        </w:tc>
        <w:tc>
          <w:tcPr>
            <w:tcW w:w="578" w:type="pct"/>
            <w:vAlign w:val="center"/>
          </w:tcPr>
          <w:p w14:paraId="463C5772">
            <w:pPr>
              <w:spacing w:line="240" w:lineRule="exact"/>
              <w:rPr>
                <w:rFonts w:ascii="Arial" w:hAnsi="Arial" w:eastAsia="华文细黑" w:cs="Arial"/>
                <w:sz w:val="18"/>
                <w:szCs w:val="18"/>
              </w:rPr>
            </w:pPr>
            <w:r>
              <w:rPr>
                <w:rFonts w:hint="eastAsia" w:ascii="Arial" w:hAnsi="Arial" w:eastAsia="华文细黑" w:cs="Arial"/>
                <w:sz w:val="18"/>
                <w:szCs w:val="18"/>
              </w:rPr>
              <w:t>-</w:t>
            </w:r>
          </w:p>
        </w:tc>
      </w:tr>
      <w:tr w14:paraId="05126CE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46DEDD7E">
            <w:pPr>
              <w:widowControl/>
              <w:spacing w:line="240" w:lineRule="exact"/>
              <w:rPr>
                <w:rFonts w:ascii="Arial" w:hAnsi="Arial" w:eastAsia="华文细黑" w:cs="Arial"/>
                <w:sz w:val="18"/>
                <w:szCs w:val="18"/>
              </w:rPr>
            </w:pPr>
            <w:r>
              <w:rPr>
                <w:rFonts w:hint="eastAsia" w:ascii="Arial" w:hAnsi="Arial" w:eastAsia="华文细黑" w:cs="Arial"/>
                <w:sz w:val="18"/>
                <w:szCs w:val="18"/>
              </w:rPr>
              <w:t>权利性质</w:t>
            </w:r>
          </w:p>
        </w:tc>
        <w:tc>
          <w:tcPr>
            <w:tcW w:w="3661" w:type="pct"/>
            <w:vAlign w:val="center"/>
          </w:tcPr>
          <w:p w14:paraId="14D71B99">
            <w:pPr>
              <w:spacing w:line="240" w:lineRule="exact"/>
              <w:rPr>
                <w:rFonts w:ascii="Arial" w:hAnsi="Arial" w:eastAsia="华文细黑" w:cs="Arial"/>
                <w:sz w:val="18"/>
                <w:szCs w:val="18"/>
              </w:rPr>
            </w:pPr>
            <w:r>
              <w:rPr>
                <w:rFonts w:ascii="Arial" w:hAnsi="Arial" w:eastAsia="华文细黑" w:cs="Arial"/>
                <w:sz w:val="18"/>
                <w:szCs w:val="18"/>
              </w:rPr>
              <w:t>估价对象与</w:t>
            </w:r>
            <w:r>
              <w:rPr>
                <w:rFonts w:hint="eastAsia" w:ascii="Arial" w:hAnsi="Arial" w:eastAsia="华文细黑" w:cs="Arial"/>
                <w:sz w:val="18"/>
                <w:szCs w:val="18"/>
              </w:rPr>
              <w:t>可比实例土地性质均为国有出让，房屋性质为商品房，均为完全产权，故估价对象及可比案例的调整系数均为100</w:t>
            </w:r>
          </w:p>
        </w:tc>
        <w:tc>
          <w:tcPr>
            <w:tcW w:w="578" w:type="pct"/>
            <w:vAlign w:val="center"/>
          </w:tcPr>
          <w:p w14:paraId="022A587E">
            <w:pPr>
              <w:spacing w:line="240" w:lineRule="exact"/>
              <w:rPr>
                <w:rFonts w:ascii="Arial" w:hAnsi="Arial" w:eastAsia="华文细黑" w:cs="Arial"/>
                <w:sz w:val="18"/>
                <w:szCs w:val="18"/>
              </w:rPr>
            </w:pPr>
            <w:r>
              <w:rPr>
                <w:rFonts w:hint="eastAsia" w:ascii="Arial" w:hAnsi="Arial" w:eastAsia="华文细黑" w:cs="Arial"/>
                <w:sz w:val="18"/>
                <w:szCs w:val="18"/>
              </w:rPr>
              <w:t>-</w:t>
            </w:r>
          </w:p>
        </w:tc>
      </w:tr>
    </w:tbl>
    <w:p w14:paraId="20E64237">
      <w:pPr>
        <w:spacing w:before="240" w:beforeLines="100" w:line="480" w:lineRule="auto"/>
        <w:ind w:firstLine="411" w:firstLineChars="196"/>
        <w:jc w:val="both"/>
        <w:rPr>
          <w:rFonts w:ascii="Arial" w:hAnsi="Arial" w:cs="Arial"/>
          <w:sz w:val="21"/>
          <w:szCs w:val="21"/>
        </w:rPr>
      </w:pPr>
      <w:r>
        <w:rPr>
          <w:rFonts w:hint="eastAsia" w:ascii="Arial" w:hAnsi="Arial" w:cs="Arial"/>
          <w:sz w:val="21"/>
          <w:szCs w:val="21"/>
        </w:rPr>
        <w:t>2）区位状况</w:t>
      </w:r>
    </w:p>
    <w:p w14:paraId="6DE18292">
      <w:pPr>
        <w:autoSpaceDE w:val="0"/>
        <w:autoSpaceDN w:val="0"/>
        <w:jc w:val="center"/>
        <w:rPr>
          <w:rFonts w:ascii="方正黑体简体" w:hAnsi="华文细黑" w:eastAsia="方正黑体简体"/>
          <w:szCs w:val="24"/>
        </w:rPr>
      </w:pPr>
      <w:r>
        <w:rPr>
          <w:rFonts w:hint="eastAsia" w:ascii="方正黑体简体" w:hAnsi="华文细黑" w:eastAsia="方正黑体简体"/>
          <w:szCs w:val="24"/>
        </w:rPr>
        <w:t>区位状况等级说明表</w:t>
      </w:r>
    </w:p>
    <w:tbl>
      <w:tblPr>
        <w:tblStyle w:val="32"/>
        <w:tblW w:w="4939"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414"/>
        <w:gridCol w:w="1360"/>
        <w:gridCol w:w="910"/>
        <w:gridCol w:w="451"/>
        <w:gridCol w:w="687"/>
        <w:gridCol w:w="673"/>
        <w:gridCol w:w="461"/>
        <w:gridCol w:w="900"/>
        <w:gridCol w:w="1371"/>
        <w:gridCol w:w="1071"/>
      </w:tblGrid>
      <w:tr w14:paraId="45D354B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53828CB9">
            <w:pPr>
              <w:spacing w:line="240" w:lineRule="exact"/>
              <w:rPr>
                <w:rFonts w:ascii="华文细黑" w:hAnsi="华文细黑" w:eastAsia="华文细黑" w:cs="Arial"/>
                <w:sz w:val="18"/>
                <w:szCs w:val="18"/>
              </w:rPr>
            </w:pPr>
            <w:r>
              <w:rPr>
                <w:rFonts w:ascii="华文细黑" w:hAnsi="华文细黑" w:eastAsia="华文细黑" w:cs="Arial"/>
                <w:sz w:val="18"/>
                <w:szCs w:val="18"/>
              </w:rPr>
              <w:t>区位状况</w:t>
            </w:r>
          </w:p>
        </w:tc>
        <w:tc>
          <w:tcPr>
            <w:tcW w:w="3662" w:type="pct"/>
            <w:gridSpan w:val="8"/>
            <w:vAlign w:val="center"/>
          </w:tcPr>
          <w:p w14:paraId="549CEC4F">
            <w:pPr>
              <w:spacing w:line="240" w:lineRule="exact"/>
              <w:rPr>
                <w:rFonts w:ascii="华文细黑" w:hAnsi="华文细黑" w:eastAsia="华文细黑" w:cs="Arial"/>
                <w:sz w:val="18"/>
                <w:szCs w:val="18"/>
              </w:rPr>
            </w:pPr>
            <w:r>
              <w:rPr>
                <w:rFonts w:ascii="华文细黑" w:hAnsi="华文细黑" w:eastAsia="华文细黑" w:cs="Arial"/>
                <w:sz w:val="18"/>
                <w:szCs w:val="18"/>
              </w:rPr>
              <w:t>等级划分</w:t>
            </w:r>
          </w:p>
        </w:tc>
        <w:tc>
          <w:tcPr>
            <w:tcW w:w="576" w:type="pct"/>
            <w:vAlign w:val="center"/>
          </w:tcPr>
          <w:p w14:paraId="232BA7E0">
            <w:pPr>
              <w:spacing w:line="240" w:lineRule="exact"/>
              <w:rPr>
                <w:rFonts w:ascii="华文细黑" w:hAnsi="华文细黑" w:eastAsia="华文细黑" w:cs="Arial"/>
                <w:sz w:val="18"/>
                <w:szCs w:val="18"/>
              </w:rPr>
            </w:pPr>
            <w:r>
              <w:rPr>
                <w:rFonts w:ascii="华文细黑" w:hAnsi="华文细黑" w:eastAsia="华文细黑" w:cs="Arial"/>
                <w:sz w:val="18"/>
                <w:szCs w:val="18"/>
              </w:rPr>
              <w:t>每等级向下调整幅度</w:t>
            </w:r>
          </w:p>
        </w:tc>
      </w:tr>
      <w:tr w14:paraId="5FF2A4B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2536454B">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商业繁华</w:t>
            </w:r>
            <w:r>
              <w:rPr>
                <w:rFonts w:ascii="华文细黑" w:hAnsi="华文细黑" w:eastAsia="华文细黑" w:cs="Arial"/>
                <w:sz w:val="18"/>
                <w:szCs w:val="18"/>
              </w:rPr>
              <w:t>度</w:t>
            </w:r>
          </w:p>
        </w:tc>
        <w:tc>
          <w:tcPr>
            <w:tcW w:w="731" w:type="pct"/>
            <w:vAlign w:val="center"/>
          </w:tcPr>
          <w:p w14:paraId="6A8D440C">
            <w:pP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38EEE93B">
            <w:pP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3CBD96D1">
            <w:pP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33C4ABD8">
            <w:pP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3A4173AD">
            <w:pP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14EC1479">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4DA7E3E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4283E1BF">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交通便捷度</w:t>
            </w:r>
          </w:p>
        </w:tc>
        <w:tc>
          <w:tcPr>
            <w:tcW w:w="731" w:type="pct"/>
            <w:vAlign w:val="center"/>
          </w:tcPr>
          <w:p w14:paraId="6459E044">
            <w:pP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2241AA9F">
            <w:pP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6419BFCB">
            <w:pP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4EA47440">
            <w:pP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345121DC">
            <w:pP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7EE54DAA">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16BB146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10A07180">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公共配套设施</w:t>
            </w:r>
          </w:p>
        </w:tc>
        <w:tc>
          <w:tcPr>
            <w:tcW w:w="731" w:type="pct"/>
            <w:vAlign w:val="center"/>
          </w:tcPr>
          <w:p w14:paraId="79286BDD">
            <w:pP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4FF98366">
            <w:pP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1E4FF792">
            <w:pP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6BA7F412">
            <w:pP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403DE742">
            <w:pP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47291E16">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12DC9D7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11BBCADD">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基础设施水平</w:t>
            </w:r>
          </w:p>
        </w:tc>
        <w:tc>
          <w:tcPr>
            <w:tcW w:w="731" w:type="pct"/>
            <w:vAlign w:val="center"/>
          </w:tcPr>
          <w:p w14:paraId="0F59B4A8">
            <w:pPr>
              <w:spacing w:line="240" w:lineRule="exact"/>
              <w:rPr>
                <w:rFonts w:ascii="华文细黑" w:hAnsi="华文细黑" w:eastAsia="华文细黑" w:cs="Arial"/>
                <w:sz w:val="18"/>
                <w:szCs w:val="18"/>
              </w:rPr>
            </w:pPr>
            <w:r>
              <w:rPr>
                <w:rFonts w:ascii="华文细黑" w:hAnsi="华文细黑" w:eastAsia="华文细黑" w:cs="Arial"/>
                <w:sz w:val="18"/>
                <w:szCs w:val="18"/>
              </w:rPr>
              <w:t>七通</w:t>
            </w:r>
          </w:p>
        </w:tc>
        <w:tc>
          <w:tcPr>
            <w:tcW w:w="731" w:type="pct"/>
            <w:gridSpan w:val="2"/>
            <w:vAlign w:val="center"/>
          </w:tcPr>
          <w:p w14:paraId="64DF6C59">
            <w:pPr>
              <w:spacing w:line="240" w:lineRule="exact"/>
              <w:rPr>
                <w:rFonts w:ascii="华文细黑" w:hAnsi="华文细黑" w:eastAsia="华文细黑" w:cs="Arial"/>
                <w:sz w:val="18"/>
                <w:szCs w:val="18"/>
              </w:rPr>
            </w:pPr>
            <w:r>
              <w:rPr>
                <w:rFonts w:ascii="华文细黑" w:hAnsi="华文细黑" w:eastAsia="华文细黑" w:cs="Arial"/>
                <w:sz w:val="18"/>
                <w:szCs w:val="18"/>
              </w:rPr>
              <w:t>六通</w:t>
            </w:r>
          </w:p>
        </w:tc>
        <w:tc>
          <w:tcPr>
            <w:tcW w:w="731" w:type="pct"/>
            <w:gridSpan w:val="2"/>
            <w:vAlign w:val="center"/>
          </w:tcPr>
          <w:p w14:paraId="40605C49">
            <w:pPr>
              <w:spacing w:line="240" w:lineRule="exact"/>
              <w:rPr>
                <w:rFonts w:ascii="华文细黑" w:hAnsi="华文细黑" w:eastAsia="华文细黑" w:cs="Arial"/>
                <w:sz w:val="18"/>
                <w:szCs w:val="18"/>
              </w:rPr>
            </w:pPr>
            <w:r>
              <w:rPr>
                <w:rFonts w:ascii="华文细黑" w:hAnsi="华文细黑" w:eastAsia="华文细黑" w:cs="Arial"/>
                <w:sz w:val="18"/>
                <w:szCs w:val="18"/>
              </w:rPr>
              <w:t>五通</w:t>
            </w:r>
          </w:p>
        </w:tc>
        <w:tc>
          <w:tcPr>
            <w:tcW w:w="732" w:type="pct"/>
            <w:gridSpan w:val="2"/>
            <w:vAlign w:val="center"/>
          </w:tcPr>
          <w:p w14:paraId="0575DCAB">
            <w:pPr>
              <w:spacing w:line="240" w:lineRule="exact"/>
              <w:rPr>
                <w:rFonts w:ascii="华文细黑" w:hAnsi="华文细黑" w:eastAsia="华文细黑" w:cs="Arial"/>
                <w:sz w:val="18"/>
                <w:szCs w:val="18"/>
              </w:rPr>
            </w:pPr>
            <w:r>
              <w:rPr>
                <w:rFonts w:ascii="华文细黑" w:hAnsi="华文细黑" w:eastAsia="华文细黑" w:cs="Arial"/>
                <w:sz w:val="18"/>
                <w:szCs w:val="18"/>
              </w:rPr>
              <w:t>四通</w:t>
            </w:r>
          </w:p>
        </w:tc>
        <w:tc>
          <w:tcPr>
            <w:tcW w:w="735" w:type="pct"/>
            <w:vAlign w:val="center"/>
          </w:tcPr>
          <w:p w14:paraId="4A0163D1">
            <w:pPr>
              <w:spacing w:line="240" w:lineRule="exact"/>
              <w:rPr>
                <w:rFonts w:ascii="华文细黑" w:hAnsi="华文细黑" w:eastAsia="华文细黑" w:cs="Arial"/>
                <w:sz w:val="18"/>
                <w:szCs w:val="18"/>
              </w:rPr>
            </w:pPr>
            <w:r>
              <w:rPr>
                <w:rFonts w:ascii="华文细黑" w:hAnsi="华文细黑" w:eastAsia="华文细黑" w:cs="Arial"/>
                <w:sz w:val="18"/>
                <w:szCs w:val="18"/>
              </w:rPr>
              <w:t>三通</w:t>
            </w:r>
          </w:p>
        </w:tc>
        <w:tc>
          <w:tcPr>
            <w:tcW w:w="576" w:type="pct"/>
            <w:vAlign w:val="center"/>
          </w:tcPr>
          <w:p w14:paraId="5B065406">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1</w:t>
            </w:r>
          </w:p>
        </w:tc>
      </w:tr>
      <w:tr w14:paraId="4469FC5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655883F1">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环境质量</w:t>
            </w:r>
          </w:p>
        </w:tc>
        <w:tc>
          <w:tcPr>
            <w:tcW w:w="731" w:type="pct"/>
            <w:vAlign w:val="center"/>
          </w:tcPr>
          <w:p w14:paraId="1B4408C2">
            <w:pP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27E17F0C">
            <w:pP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13B9F1E7">
            <w:pP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681FA1F4">
            <w:pP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31D64457">
            <w:pP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5BFB0DD7">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55A27C8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426585BC">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临街状况</w:t>
            </w:r>
          </w:p>
        </w:tc>
        <w:tc>
          <w:tcPr>
            <w:tcW w:w="1831" w:type="pct"/>
            <w:gridSpan w:val="4"/>
            <w:vAlign w:val="center"/>
          </w:tcPr>
          <w:p w14:paraId="154C65B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双面临街</w:t>
            </w:r>
          </w:p>
        </w:tc>
        <w:tc>
          <w:tcPr>
            <w:tcW w:w="1831" w:type="pct"/>
            <w:gridSpan w:val="4"/>
            <w:vAlign w:val="center"/>
          </w:tcPr>
          <w:p w14:paraId="335CA05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单面临街</w:t>
            </w:r>
          </w:p>
        </w:tc>
        <w:tc>
          <w:tcPr>
            <w:tcW w:w="576" w:type="pct"/>
            <w:vAlign w:val="center"/>
          </w:tcPr>
          <w:p w14:paraId="4E5F98C0">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7700678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137BD802">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人流量</w:t>
            </w:r>
          </w:p>
        </w:tc>
        <w:tc>
          <w:tcPr>
            <w:tcW w:w="731" w:type="pct"/>
            <w:vAlign w:val="center"/>
          </w:tcPr>
          <w:p w14:paraId="137E4CE9">
            <w:pP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06B38320">
            <w:pP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1F8B77A5">
            <w:pP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220395F4">
            <w:pP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7F6270A7">
            <w:pP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782DFC2B">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230C771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52048F20">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楼层</w:t>
            </w:r>
          </w:p>
        </w:tc>
        <w:tc>
          <w:tcPr>
            <w:tcW w:w="1220" w:type="pct"/>
            <w:gridSpan w:val="2"/>
            <w:vAlign w:val="center"/>
          </w:tcPr>
          <w:p w14:paraId="6D03C831">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1层</w:t>
            </w:r>
          </w:p>
        </w:tc>
        <w:tc>
          <w:tcPr>
            <w:tcW w:w="1221" w:type="pct"/>
            <w:gridSpan w:val="4"/>
            <w:vAlign w:val="center"/>
          </w:tcPr>
          <w:p w14:paraId="59182888">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2层</w:t>
            </w:r>
          </w:p>
        </w:tc>
        <w:tc>
          <w:tcPr>
            <w:tcW w:w="1221" w:type="pct"/>
            <w:gridSpan w:val="2"/>
            <w:vAlign w:val="center"/>
          </w:tcPr>
          <w:p w14:paraId="2756AB7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3层</w:t>
            </w:r>
          </w:p>
        </w:tc>
        <w:tc>
          <w:tcPr>
            <w:tcW w:w="576" w:type="pct"/>
            <w:vAlign w:val="center"/>
          </w:tcPr>
          <w:p w14:paraId="7BE42C2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bl>
    <w:p w14:paraId="3C4C4265">
      <w:pPr>
        <w:spacing w:before="240" w:beforeLines="100" w:line="480" w:lineRule="auto"/>
        <w:ind w:firstLine="411" w:firstLineChars="196"/>
        <w:jc w:val="both"/>
        <w:rPr>
          <w:rFonts w:ascii="Arial" w:hAnsi="Arial" w:cs="Arial"/>
          <w:sz w:val="21"/>
          <w:szCs w:val="21"/>
        </w:rPr>
      </w:pPr>
      <w:r>
        <w:rPr>
          <w:rFonts w:hint="eastAsia" w:ascii="Arial" w:hAnsi="Arial" w:cs="Arial"/>
          <w:sz w:val="21"/>
          <w:szCs w:val="21"/>
        </w:rPr>
        <w:t>3）实物状况</w:t>
      </w:r>
    </w:p>
    <w:p w14:paraId="5C81336A">
      <w:pPr>
        <w:autoSpaceDE w:val="0"/>
        <w:autoSpaceDN w:val="0"/>
        <w:jc w:val="center"/>
        <w:rPr>
          <w:rFonts w:ascii="方正黑体简体" w:hAnsi="华文细黑" w:eastAsia="方正黑体简体"/>
          <w:szCs w:val="24"/>
        </w:rPr>
      </w:pPr>
      <w:r>
        <w:rPr>
          <w:rFonts w:hint="eastAsia" w:ascii="方正黑体简体" w:hAnsi="华文细黑" w:eastAsia="方正黑体简体"/>
          <w:szCs w:val="24"/>
        </w:rPr>
        <w:t>实物状况等级说明表</w:t>
      </w:r>
    </w:p>
    <w:tbl>
      <w:tblPr>
        <w:tblStyle w:val="32"/>
        <w:tblpPr w:leftFromText="180" w:rightFromText="180" w:vertAnchor="text" w:horzAnchor="page" w:tblpX="1270" w:tblpY="153"/>
        <w:tblOverlap w:val="never"/>
        <w:tblW w:w="9299" w:type="dxa"/>
        <w:tblInd w:w="0"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418"/>
        <w:gridCol w:w="1360"/>
        <w:gridCol w:w="341"/>
        <w:gridCol w:w="567"/>
        <w:gridCol w:w="453"/>
        <w:gridCol w:w="681"/>
        <w:gridCol w:w="680"/>
        <w:gridCol w:w="454"/>
        <w:gridCol w:w="567"/>
        <w:gridCol w:w="340"/>
        <w:gridCol w:w="1361"/>
        <w:gridCol w:w="1077"/>
      </w:tblGrid>
      <w:tr w14:paraId="1D41134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0AF37BD6">
            <w:pPr>
              <w:spacing w:line="240" w:lineRule="exact"/>
              <w:rPr>
                <w:rFonts w:ascii="华文细黑" w:hAnsi="华文细黑" w:eastAsia="华文细黑" w:cs="Arial"/>
                <w:sz w:val="18"/>
                <w:szCs w:val="18"/>
              </w:rPr>
            </w:pPr>
            <w:r>
              <w:rPr>
                <w:rFonts w:ascii="华文细黑" w:hAnsi="华文细黑" w:eastAsia="华文细黑" w:cs="Arial"/>
                <w:sz w:val="18"/>
                <w:szCs w:val="18"/>
              </w:rPr>
              <w:t>实物状况</w:t>
            </w:r>
          </w:p>
        </w:tc>
        <w:tc>
          <w:tcPr>
            <w:tcW w:w="6804" w:type="dxa"/>
            <w:gridSpan w:val="10"/>
            <w:noWrap/>
            <w:vAlign w:val="center"/>
          </w:tcPr>
          <w:p w14:paraId="6E28D7DA">
            <w:pPr>
              <w:spacing w:line="240" w:lineRule="exact"/>
              <w:rPr>
                <w:rFonts w:ascii="华文细黑" w:hAnsi="华文细黑" w:eastAsia="华文细黑" w:cs="Arial"/>
                <w:sz w:val="18"/>
                <w:szCs w:val="18"/>
              </w:rPr>
            </w:pPr>
            <w:r>
              <w:rPr>
                <w:rFonts w:ascii="华文细黑" w:hAnsi="华文细黑" w:eastAsia="华文细黑" w:cs="Arial"/>
                <w:sz w:val="18"/>
                <w:szCs w:val="18"/>
              </w:rPr>
              <w:t>等级划分</w:t>
            </w:r>
          </w:p>
        </w:tc>
        <w:tc>
          <w:tcPr>
            <w:tcW w:w="1077" w:type="dxa"/>
            <w:noWrap/>
            <w:vAlign w:val="center"/>
          </w:tcPr>
          <w:p w14:paraId="46CA1372">
            <w:pPr>
              <w:spacing w:line="240" w:lineRule="exact"/>
              <w:rPr>
                <w:rFonts w:ascii="华文细黑" w:hAnsi="华文细黑" w:eastAsia="华文细黑" w:cs="Arial"/>
                <w:sz w:val="18"/>
                <w:szCs w:val="18"/>
              </w:rPr>
            </w:pPr>
            <w:r>
              <w:rPr>
                <w:rFonts w:ascii="华文细黑" w:hAnsi="华文细黑" w:eastAsia="华文细黑" w:cs="Arial"/>
                <w:sz w:val="18"/>
                <w:szCs w:val="18"/>
              </w:rPr>
              <w:t>每等级向下调整幅度</w:t>
            </w:r>
          </w:p>
        </w:tc>
      </w:tr>
      <w:tr w14:paraId="5C3C800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3853F2C4">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w:t>
            </w:r>
            <w:r>
              <w:rPr>
                <w:rFonts w:ascii="华文细黑" w:hAnsi="华文细黑" w:eastAsia="华文细黑" w:cs="Arial"/>
                <w:sz w:val="18"/>
                <w:szCs w:val="18"/>
              </w:rPr>
              <w:t>类型</w:t>
            </w:r>
          </w:p>
        </w:tc>
        <w:tc>
          <w:tcPr>
            <w:tcW w:w="1701" w:type="dxa"/>
            <w:gridSpan w:val="2"/>
            <w:noWrap/>
            <w:vAlign w:val="center"/>
          </w:tcPr>
          <w:p w14:paraId="244384BD">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商业综合体</w:t>
            </w:r>
          </w:p>
        </w:tc>
        <w:tc>
          <w:tcPr>
            <w:tcW w:w="1701" w:type="dxa"/>
            <w:gridSpan w:val="3"/>
            <w:noWrap/>
            <w:vAlign w:val="center"/>
          </w:tcPr>
          <w:p w14:paraId="2A52611C">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商业街商铺</w:t>
            </w:r>
          </w:p>
        </w:tc>
        <w:tc>
          <w:tcPr>
            <w:tcW w:w="1701" w:type="dxa"/>
            <w:gridSpan w:val="3"/>
            <w:noWrap/>
            <w:vAlign w:val="center"/>
          </w:tcPr>
          <w:p w14:paraId="4A0F033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写字楼底商</w:t>
            </w:r>
          </w:p>
        </w:tc>
        <w:tc>
          <w:tcPr>
            <w:tcW w:w="1701" w:type="dxa"/>
            <w:gridSpan w:val="2"/>
            <w:noWrap/>
            <w:vAlign w:val="center"/>
          </w:tcPr>
          <w:p w14:paraId="705A75F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住宅底商</w:t>
            </w:r>
          </w:p>
        </w:tc>
        <w:tc>
          <w:tcPr>
            <w:tcW w:w="1077" w:type="dxa"/>
            <w:noWrap/>
            <w:vAlign w:val="center"/>
          </w:tcPr>
          <w:p w14:paraId="476AE6C1">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1275E36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3499BB05">
            <w:pPr>
              <w:spacing w:line="240" w:lineRule="exact"/>
              <w:rPr>
                <w:rFonts w:ascii="华文细黑" w:hAnsi="华文细黑" w:eastAsia="华文细黑" w:cs="Arial"/>
                <w:sz w:val="18"/>
                <w:szCs w:val="18"/>
              </w:rPr>
            </w:pPr>
            <w:r>
              <w:rPr>
                <w:rFonts w:ascii="华文细黑" w:hAnsi="华文细黑" w:eastAsia="华文细黑" w:cs="Arial"/>
                <w:sz w:val="18"/>
                <w:szCs w:val="18"/>
              </w:rPr>
              <w:t>建筑</w:t>
            </w:r>
            <w:r>
              <w:rPr>
                <w:rFonts w:hint="eastAsia" w:ascii="华文细黑" w:hAnsi="华文细黑" w:eastAsia="华文细黑" w:cs="Arial"/>
                <w:sz w:val="18"/>
                <w:szCs w:val="18"/>
              </w:rPr>
              <w:t>面积</w:t>
            </w:r>
          </w:p>
        </w:tc>
        <w:tc>
          <w:tcPr>
            <w:tcW w:w="1360" w:type="dxa"/>
            <w:noWrap/>
            <w:vAlign w:val="center"/>
          </w:tcPr>
          <w:p w14:paraId="476B2E03">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0</w:t>
            </w:r>
          </w:p>
        </w:tc>
        <w:tc>
          <w:tcPr>
            <w:tcW w:w="1361" w:type="dxa"/>
            <w:gridSpan w:val="3"/>
            <w:noWrap/>
            <w:vAlign w:val="center"/>
          </w:tcPr>
          <w:p w14:paraId="0C13F581">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300</w:t>
            </w:r>
          </w:p>
        </w:tc>
        <w:tc>
          <w:tcPr>
            <w:tcW w:w="1361" w:type="dxa"/>
            <w:gridSpan w:val="2"/>
            <w:noWrap/>
            <w:vAlign w:val="center"/>
          </w:tcPr>
          <w:p w14:paraId="1F83CE67">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600</w:t>
            </w:r>
          </w:p>
        </w:tc>
        <w:tc>
          <w:tcPr>
            <w:tcW w:w="1361" w:type="dxa"/>
            <w:gridSpan w:val="3"/>
            <w:noWrap/>
            <w:vAlign w:val="center"/>
          </w:tcPr>
          <w:p w14:paraId="5A86A3EB">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900</w:t>
            </w:r>
          </w:p>
        </w:tc>
        <w:tc>
          <w:tcPr>
            <w:tcW w:w="1361" w:type="dxa"/>
            <w:noWrap/>
            <w:vAlign w:val="center"/>
          </w:tcPr>
          <w:p w14:paraId="0F8A094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1200</w:t>
            </w:r>
          </w:p>
        </w:tc>
        <w:tc>
          <w:tcPr>
            <w:tcW w:w="1077" w:type="dxa"/>
            <w:noWrap/>
            <w:vAlign w:val="center"/>
          </w:tcPr>
          <w:p w14:paraId="33D03859">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70AFDF9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47144131">
            <w:pPr>
              <w:spacing w:line="240" w:lineRule="exact"/>
              <w:rPr>
                <w:rFonts w:ascii="华文细黑" w:hAnsi="华文细黑" w:eastAsia="华文细黑" w:cs="Arial"/>
                <w:sz w:val="18"/>
                <w:szCs w:val="18"/>
              </w:rPr>
            </w:pPr>
            <w:r>
              <w:rPr>
                <w:rFonts w:ascii="华文细黑" w:hAnsi="华文细黑" w:eastAsia="华文细黑" w:cs="Arial"/>
                <w:sz w:val="18"/>
                <w:szCs w:val="18"/>
              </w:rPr>
              <w:t>建筑结构</w:t>
            </w:r>
          </w:p>
        </w:tc>
        <w:tc>
          <w:tcPr>
            <w:tcW w:w="2268" w:type="dxa"/>
            <w:gridSpan w:val="3"/>
            <w:noWrap/>
            <w:vAlign w:val="center"/>
          </w:tcPr>
          <w:p w14:paraId="3E4AC49F">
            <w:pPr>
              <w:spacing w:line="240" w:lineRule="exact"/>
              <w:rPr>
                <w:rFonts w:ascii="华文细黑" w:hAnsi="华文细黑" w:eastAsia="华文细黑" w:cs="Arial"/>
                <w:sz w:val="18"/>
                <w:szCs w:val="18"/>
              </w:rPr>
            </w:pPr>
            <w:r>
              <w:rPr>
                <w:rFonts w:ascii="华文细黑" w:hAnsi="华文细黑" w:eastAsia="华文细黑" w:cs="Arial"/>
                <w:sz w:val="18"/>
                <w:szCs w:val="18"/>
              </w:rPr>
              <w:t>钢结构</w:t>
            </w:r>
          </w:p>
        </w:tc>
        <w:tc>
          <w:tcPr>
            <w:tcW w:w="2268" w:type="dxa"/>
            <w:gridSpan w:val="4"/>
            <w:noWrap/>
            <w:vAlign w:val="center"/>
          </w:tcPr>
          <w:p w14:paraId="2C22A21B">
            <w:pPr>
              <w:spacing w:line="240" w:lineRule="exact"/>
              <w:rPr>
                <w:rFonts w:ascii="华文细黑" w:hAnsi="华文细黑" w:eastAsia="华文细黑" w:cs="Arial"/>
                <w:sz w:val="18"/>
                <w:szCs w:val="18"/>
              </w:rPr>
            </w:pPr>
            <w:r>
              <w:rPr>
                <w:rFonts w:ascii="华文细黑" w:hAnsi="华文细黑" w:eastAsia="华文细黑" w:cs="Arial"/>
                <w:sz w:val="18"/>
                <w:szCs w:val="18"/>
              </w:rPr>
              <w:t>钢混结构</w:t>
            </w:r>
          </w:p>
        </w:tc>
        <w:tc>
          <w:tcPr>
            <w:tcW w:w="2268" w:type="dxa"/>
            <w:gridSpan w:val="3"/>
            <w:noWrap/>
            <w:vAlign w:val="center"/>
          </w:tcPr>
          <w:p w14:paraId="100DAE71">
            <w:pPr>
              <w:spacing w:line="240" w:lineRule="exact"/>
              <w:rPr>
                <w:rFonts w:ascii="华文细黑" w:hAnsi="华文细黑" w:eastAsia="华文细黑" w:cs="Arial"/>
                <w:sz w:val="18"/>
                <w:szCs w:val="18"/>
              </w:rPr>
            </w:pPr>
            <w:r>
              <w:rPr>
                <w:rFonts w:ascii="华文细黑" w:hAnsi="华文细黑" w:eastAsia="华文细黑" w:cs="Arial"/>
                <w:sz w:val="18"/>
                <w:szCs w:val="18"/>
              </w:rPr>
              <w:t>砖混结构</w:t>
            </w:r>
          </w:p>
        </w:tc>
        <w:tc>
          <w:tcPr>
            <w:tcW w:w="1077" w:type="dxa"/>
            <w:noWrap/>
            <w:vAlign w:val="center"/>
          </w:tcPr>
          <w:p w14:paraId="39104555">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5F673F0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35647D72">
            <w:pPr>
              <w:spacing w:line="240" w:lineRule="exact"/>
              <w:rPr>
                <w:rFonts w:ascii="华文细黑" w:hAnsi="华文细黑" w:eastAsia="华文细黑" w:cs="Arial"/>
                <w:sz w:val="18"/>
                <w:szCs w:val="18"/>
              </w:rPr>
            </w:pPr>
            <w:r>
              <w:rPr>
                <w:rFonts w:ascii="华文细黑" w:hAnsi="华文细黑" w:eastAsia="华文细黑" w:cs="Arial"/>
                <w:sz w:val="18"/>
                <w:szCs w:val="18"/>
              </w:rPr>
              <w:t>成新度</w:t>
            </w:r>
          </w:p>
        </w:tc>
        <w:tc>
          <w:tcPr>
            <w:tcW w:w="1701" w:type="dxa"/>
            <w:gridSpan w:val="2"/>
            <w:noWrap/>
            <w:vAlign w:val="center"/>
          </w:tcPr>
          <w:p w14:paraId="1FA37633">
            <w:pPr>
              <w:spacing w:line="240" w:lineRule="exact"/>
              <w:rPr>
                <w:rFonts w:ascii="华文细黑" w:hAnsi="华文细黑" w:eastAsia="华文细黑" w:cs="Arial"/>
                <w:sz w:val="18"/>
                <w:szCs w:val="18"/>
              </w:rPr>
            </w:pPr>
            <w:r>
              <w:rPr>
                <w:rFonts w:ascii="Arial" w:hAnsi="Arial" w:eastAsia="华文细黑" w:cs="Arial"/>
                <w:sz w:val="18"/>
                <w:szCs w:val="18"/>
              </w:rPr>
              <w:t>90</w:t>
            </w:r>
            <w:r>
              <w:rPr>
                <w:rFonts w:ascii="华文细黑" w:hAnsi="华文细黑" w:eastAsia="华文细黑" w:cs="Arial"/>
                <w:sz w:val="18"/>
                <w:szCs w:val="18"/>
              </w:rPr>
              <w:t>%（含）以上</w:t>
            </w:r>
          </w:p>
        </w:tc>
        <w:tc>
          <w:tcPr>
            <w:tcW w:w="1701" w:type="dxa"/>
            <w:gridSpan w:val="3"/>
            <w:noWrap/>
            <w:vAlign w:val="center"/>
          </w:tcPr>
          <w:p w14:paraId="073E8F15">
            <w:pPr>
              <w:spacing w:line="240" w:lineRule="exact"/>
              <w:rPr>
                <w:rFonts w:ascii="华文细黑" w:hAnsi="华文细黑" w:eastAsia="华文细黑" w:cs="Arial"/>
                <w:sz w:val="18"/>
                <w:szCs w:val="18"/>
              </w:rPr>
            </w:pPr>
            <w:r>
              <w:rPr>
                <w:rFonts w:ascii="Arial" w:hAnsi="Arial" w:eastAsia="华文细黑" w:cs="Arial"/>
                <w:sz w:val="18"/>
                <w:szCs w:val="18"/>
              </w:rPr>
              <w:t>80</w:t>
            </w:r>
            <w:r>
              <w:rPr>
                <w:rFonts w:ascii="华文细黑" w:hAnsi="华文细黑" w:eastAsia="华文细黑" w:cs="Arial"/>
                <w:sz w:val="18"/>
                <w:szCs w:val="18"/>
              </w:rPr>
              <w:t>%（含）-</w:t>
            </w:r>
            <w:r>
              <w:rPr>
                <w:rFonts w:ascii="Arial" w:hAnsi="Arial" w:eastAsia="华文细黑" w:cs="Arial"/>
                <w:sz w:val="18"/>
                <w:szCs w:val="18"/>
              </w:rPr>
              <w:t>90</w:t>
            </w:r>
          </w:p>
        </w:tc>
        <w:tc>
          <w:tcPr>
            <w:tcW w:w="1701" w:type="dxa"/>
            <w:gridSpan w:val="3"/>
            <w:noWrap/>
            <w:vAlign w:val="center"/>
          </w:tcPr>
          <w:p w14:paraId="77576E32">
            <w:pPr>
              <w:spacing w:line="240" w:lineRule="exact"/>
              <w:rPr>
                <w:rFonts w:ascii="华文细黑" w:hAnsi="华文细黑" w:eastAsia="华文细黑" w:cs="Arial"/>
                <w:sz w:val="18"/>
                <w:szCs w:val="18"/>
              </w:rPr>
            </w:pPr>
            <w:r>
              <w:rPr>
                <w:rFonts w:ascii="Arial" w:hAnsi="Arial" w:eastAsia="华文细黑" w:cs="Arial"/>
                <w:sz w:val="18"/>
                <w:szCs w:val="18"/>
              </w:rPr>
              <w:t>70</w:t>
            </w:r>
            <w:r>
              <w:rPr>
                <w:rFonts w:ascii="华文细黑" w:hAnsi="华文细黑" w:eastAsia="华文细黑" w:cs="Arial"/>
                <w:sz w:val="18"/>
                <w:szCs w:val="18"/>
              </w:rPr>
              <w:t>%（含）-</w:t>
            </w:r>
            <w:r>
              <w:rPr>
                <w:rFonts w:ascii="Arial" w:hAnsi="Arial" w:eastAsia="华文细黑" w:cs="Arial"/>
                <w:sz w:val="18"/>
                <w:szCs w:val="18"/>
              </w:rPr>
              <w:t>80</w:t>
            </w:r>
          </w:p>
        </w:tc>
        <w:tc>
          <w:tcPr>
            <w:tcW w:w="1701" w:type="dxa"/>
            <w:gridSpan w:val="2"/>
            <w:noWrap/>
            <w:vAlign w:val="center"/>
          </w:tcPr>
          <w:p w14:paraId="4FC9FB4A">
            <w:pPr>
              <w:spacing w:line="240" w:lineRule="exact"/>
              <w:rPr>
                <w:rFonts w:ascii="华文细黑" w:hAnsi="华文细黑" w:eastAsia="华文细黑" w:cs="Arial"/>
                <w:sz w:val="18"/>
                <w:szCs w:val="18"/>
              </w:rPr>
            </w:pPr>
            <w:r>
              <w:rPr>
                <w:rFonts w:ascii="Arial" w:hAnsi="Arial" w:eastAsia="华文细黑" w:cs="Arial"/>
                <w:sz w:val="18"/>
                <w:szCs w:val="18"/>
              </w:rPr>
              <w:t>60</w:t>
            </w:r>
            <w:r>
              <w:rPr>
                <w:rFonts w:ascii="华文细黑" w:hAnsi="华文细黑" w:eastAsia="华文细黑" w:cs="Arial"/>
                <w:sz w:val="18"/>
                <w:szCs w:val="18"/>
              </w:rPr>
              <w:t>%（含）-</w:t>
            </w:r>
            <w:r>
              <w:rPr>
                <w:rFonts w:ascii="Arial" w:hAnsi="Arial" w:eastAsia="华文细黑" w:cs="Arial"/>
                <w:sz w:val="18"/>
                <w:szCs w:val="18"/>
              </w:rPr>
              <w:t>70</w:t>
            </w:r>
          </w:p>
        </w:tc>
        <w:tc>
          <w:tcPr>
            <w:tcW w:w="1077" w:type="dxa"/>
            <w:noWrap/>
            <w:vAlign w:val="center"/>
          </w:tcPr>
          <w:p w14:paraId="5394DE19">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5</w:t>
            </w:r>
          </w:p>
        </w:tc>
      </w:tr>
      <w:tr w14:paraId="19BF527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28538093">
            <w:pPr>
              <w:spacing w:line="240" w:lineRule="exact"/>
              <w:rPr>
                <w:rFonts w:ascii="华文细黑" w:hAnsi="华文细黑" w:eastAsia="华文细黑" w:cs="Arial"/>
                <w:sz w:val="18"/>
                <w:szCs w:val="18"/>
              </w:rPr>
            </w:pPr>
            <w:r>
              <w:rPr>
                <w:rFonts w:ascii="华文细黑" w:hAnsi="华文细黑" w:eastAsia="华文细黑" w:cs="Arial"/>
                <w:sz w:val="18"/>
                <w:szCs w:val="18"/>
              </w:rPr>
              <w:t>物业管理</w:t>
            </w:r>
          </w:p>
        </w:tc>
        <w:tc>
          <w:tcPr>
            <w:tcW w:w="3402" w:type="dxa"/>
            <w:gridSpan w:val="5"/>
            <w:noWrap/>
            <w:vAlign w:val="center"/>
          </w:tcPr>
          <w:p w14:paraId="5A0E1CD7">
            <w:pPr>
              <w:spacing w:line="240" w:lineRule="exact"/>
              <w:rPr>
                <w:rFonts w:ascii="华文细黑" w:hAnsi="华文细黑" w:eastAsia="华文细黑" w:cs="Arial"/>
                <w:sz w:val="18"/>
                <w:szCs w:val="18"/>
              </w:rPr>
            </w:pPr>
            <w:r>
              <w:rPr>
                <w:rFonts w:ascii="华文细黑" w:hAnsi="华文细黑" w:eastAsia="华文细黑" w:cs="Arial"/>
                <w:sz w:val="18"/>
                <w:szCs w:val="18"/>
              </w:rPr>
              <w:t>专业</w:t>
            </w:r>
          </w:p>
        </w:tc>
        <w:tc>
          <w:tcPr>
            <w:tcW w:w="3402" w:type="dxa"/>
            <w:gridSpan w:val="5"/>
            <w:noWrap/>
            <w:vAlign w:val="center"/>
          </w:tcPr>
          <w:p w14:paraId="5A4239FD">
            <w:pPr>
              <w:spacing w:line="240" w:lineRule="exact"/>
              <w:rPr>
                <w:rFonts w:ascii="华文细黑" w:hAnsi="华文细黑" w:eastAsia="华文细黑" w:cs="Arial"/>
                <w:sz w:val="18"/>
                <w:szCs w:val="18"/>
              </w:rPr>
            </w:pPr>
            <w:r>
              <w:rPr>
                <w:rFonts w:ascii="华文细黑" w:hAnsi="华文细黑" w:eastAsia="华文细黑" w:cs="Arial"/>
                <w:sz w:val="18"/>
                <w:szCs w:val="18"/>
              </w:rPr>
              <w:t>普通</w:t>
            </w:r>
          </w:p>
        </w:tc>
        <w:tc>
          <w:tcPr>
            <w:tcW w:w="1077" w:type="dxa"/>
            <w:noWrap/>
            <w:vAlign w:val="center"/>
          </w:tcPr>
          <w:p w14:paraId="614DDB8A">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4445825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7E949B62">
            <w:pPr>
              <w:spacing w:line="240" w:lineRule="exact"/>
              <w:rPr>
                <w:rFonts w:ascii="华文细黑" w:hAnsi="华文细黑" w:eastAsia="华文细黑" w:cs="Arial"/>
                <w:sz w:val="18"/>
                <w:szCs w:val="18"/>
              </w:rPr>
            </w:pPr>
            <w:r>
              <w:rPr>
                <w:rFonts w:ascii="华文细黑" w:hAnsi="华文细黑" w:eastAsia="华文细黑" w:cs="Arial"/>
                <w:sz w:val="18"/>
                <w:szCs w:val="18"/>
              </w:rPr>
              <w:t>层高</w:t>
            </w:r>
          </w:p>
        </w:tc>
        <w:tc>
          <w:tcPr>
            <w:tcW w:w="3402" w:type="dxa"/>
            <w:gridSpan w:val="5"/>
            <w:noWrap/>
            <w:vAlign w:val="center"/>
          </w:tcPr>
          <w:p w14:paraId="3A0D2EEF">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超高层高</w:t>
            </w:r>
          </w:p>
        </w:tc>
        <w:tc>
          <w:tcPr>
            <w:tcW w:w="3402" w:type="dxa"/>
            <w:gridSpan w:val="5"/>
            <w:noWrap/>
            <w:vAlign w:val="center"/>
          </w:tcPr>
          <w:p w14:paraId="611C4DA1">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标准层高</w:t>
            </w:r>
          </w:p>
        </w:tc>
        <w:tc>
          <w:tcPr>
            <w:tcW w:w="1077" w:type="dxa"/>
            <w:noWrap/>
            <w:vAlign w:val="center"/>
          </w:tcPr>
          <w:p w14:paraId="4353DC3A">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510C1FB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78124E4E">
            <w:pPr>
              <w:spacing w:line="240" w:lineRule="exact"/>
              <w:rPr>
                <w:rFonts w:ascii="华文细黑" w:hAnsi="华文细黑" w:eastAsia="华文细黑" w:cs="Arial"/>
                <w:sz w:val="18"/>
                <w:szCs w:val="18"/>
              </w:rPr>
            </w:pPr>
            <w:r>
              <w:rPr>
                <w:rFonts w:ascii="华文细黑" w:hAnsi="华文细黑" w:eastAsia="华文细黑" w:cs="Arial"/>
                <w:sz w:val="18"/>
                <w:szCs w:val="18"/>
              </w:rPr>
              <w:t>内部装修</w:t>
            </w:r>
          </w:p>
        </w:tc>
        <w:tc>
          <w:tcPr>
            <w:tcW w:w="1701" w:type="dxa"/>
            <w:gridSpan w:val="2"/>
            <w:noWrap/>
            <w:vAlign w:val="center"/>
          </w:tcPr>
          <w:p w14:paraId="7E8AFE9B">
            <w:pPr>
              <w:spacing w:line="240" w:lineRule="exact"/>
              <w:rPr>
                <w:rFonts w:ascii="华文细黑" w:hAnsi="华文细黑" w:eastAsia="华文细黑" w:cs="Arial"/>
                <w:sz w:val="18"/>
                <w:szCs w:val="18"/>
              </w:rPr>
            </w:pPr>
            <w:r>
              <w:rPr>
                <w:rFonts w:ascii="华文细黑" w:hAnsi="华文细黑" w:eastAsia="华文细黑" w:cs="Arial"/>
                <w:sz w:val="18"/>
                <w:szCs w:val="18"/>
              </w:rPr>
              <w:t>精装修</w:t>
            </w:r>
          </w:p>
        </w:tc>
        <w:tc>
          <w:tcPr>
            <w:tcW w:w="1701" w:type="dxa"/>
            <w:gridSpan w:val="3"/>
            <w:noWrap/>
            <w:vAlign w:val="center"/>
          </w:tcPr>
          <w:p w14:paraId="39EFB927">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普装</w:t>
            </w:r>
          </w:p>
        </w:tc>
        <w:tc>
          <w:tcPr>
            <w:tcW w:w="1701" w:type="dxa"/>
            <w:gridSpan w:val="3"/>
            <w:noWrap/>
            <w:vAlign w:val="center"/>
          </w:tcPr>
          <w:p w14:paraId="46EABAB1">
            <w:pPr>
              <w:spacing w:line="240" w:lineRule="exact"/>
              <w:rPr>
                <w:rFonts w:ascii="华文细黑" w:hAnsi="华文细黑" w:eastAsia="华文细黑" w:cs="Arial"/>
                <w:sz w:val="18"/>
                <w:szCs w:val="18"/>
              </w:rPr>
            </w:pPr>
            <w:r>
              <w:rPr>
                <w:rFonts w:ascii="华文细黑" w:hAnsi="华文细黑" w:eastAsia="华文细黑" w:cs="Arial"/>
                <w:sz w:val="18"/>
                <w:szCs w:val="18"/>
              </w:rPr>
              <w:t>简装</w:t>
            </w:r>
          </w:p>
        </w:tc>
        <w:tc>
          <w:tcPr>
            <w:tcW w:w="1701" w:type="dxa"/>
            <w:gridSpan w:val="2"/>
            <w:noWrap/>
            <w:vAlign w:val="center"/>
          </w:tcPr>
          <w:p w14:paraId="70F619B5">
            <w:pPr>
              <w:spacing w:line="240" w:lineRule="exact"/>
              <w:rPr>
                <w:rFonts w:ascii="华文细黑" w:hAnsi="华文细黑" w:eastAsia="华文细黑" w:cs="Arial"/>
                <w:sz w:val="18"/>
                <w:szCs w:val="18"/>
              </w:rPr>
            </w:pPr>
            <w:r>
              <w:rPr>
                <w:rFonts w:ascii="华文细黑" w:hAnsi="华文细黑" w:eastAsia="华文细黑" w:cs="Arial"/>
                <w:sz w:val="18"/>
                <w:szCs w:val="18"/>
              </w:rPr>
              <w:t>毛坯</w:t>
            </w:r>
          </w:p>
        </w:tc>
        <w:tc>
          <w:tcPr>
            <w:tcW w:w="1077" w:type="dxa"/>
            <w:noWrap/>
            <w:vAlign w:val="center"/>
          </w:tcPr>
          <w:p w14:paraId="29FD06AB">
            <w:pP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5</w:t>
            </w:r>
          </w:p>
        </w:tc>
      </w:tr>
    </w:tbl>
    <w:p w14:paraId="3EFE9F23">
      <w:pPr>
        <w:widowControl/>
        <w:spacing w:line="240" w:lineRule="exact"/>
        <w:rPr>
          <w:rFonts w:ascii="华文细黑" w:hAnsi="华文细黑" w:eastAsia="华文细黑" w:cs="Arial"/>
          <w:color w:val="000000"/>
          <w:sz w:val="18"/>
          <w:szCs w:val="18"/>
        </w:rPr>
      </w:pPr>
    </w:p>
    <w:p w14:paraId="097132E9">
      <w:pPr>
        <w:spacing w:line="480" w:lineRule="auto"/>
        <w:ind w:firstLine="411" w:firstLineChars="196"/>
        <w:jc w:val="both"/>
        <w:rPr>
          <w:rFonts w:ascii="Arial" w:hAnsi="Arial" w:cs="Arial"/>
          <w:sz w:val="21"/>
          <w:szCs w:val="21"/>
        </w:rPr>
      </w:pPr>
      <w:r>
        <w:rPr>
          <w:rFonts w:hint="eastAsia" w:ascii="Arial" w:hAnsi="Arial" w:cs="Arial"/>
          <w:sz w:val="21"/>
          <w:szCs w:val="21"/>
        </w:rPr>
        <w:t>6. 因素修正及调整</w:t>
      </w:r>
    </w:p>
    <w:p w14:paraId="1A452371">
      <w:pPr>
        <w:spacing w:line="480" w:lineRule="auto"/>
        <w:ind w:firstLine="411" w:firstLineChars="196"/>
        <w:jc w:val="both"/>
        <w:rPr>
          <w:rFonts w:ascii="Arial" w:hAnsi="Arial" w:cs="Arial"/>
          <w:sz w:val="21"/>
          <w:szCs w:val="21"/>
        </w:rPr>
      </w:pPr>
      <w:r>
        <w:rPr>
          <w:rFonts w:hint="eastAsia" w:ascii="Arial" w:hAnsi="Arial" w:cs="Arial"/>
          <w:sz w:val="21"/>
          <w:szCs w:val="21"/>
        </w:rPr>
        <w:t>在各因素条件指数表的基础上，进行交易情况修正、市场状况及房地产状况调整，即估价对象的因素条件指数与比较实例的因素条件进行比较，得到各因素修正及调整系数，计算得出估价对象比较价值 (见表3)：</w:t>
      </w:r>
    </w:p>
    <w:p w14:paraId="5C4F92E3">
      <w:pPr>
        <w:jc w:val="center"/>
        <w:rPr>
          <w:rFonts w:ascii="Arial" w:hAnsi="Arial" w:eastAsia="方正黑体简体" w:cs="Arial"/>
          <w:bCs/>
          <w:szCs w:val="24"/>
        </w:rPr>
      </w:pPr>
      <w:r>
        <w:rPr>
          <w:rFonts w:hint="eastAsia" w:ascii="Arial" w:hAnsi="Arial" w:eastAsia="方正黑体简体" w:cs="Arial"/>
          <w:bCs/>
          <w:szCs w:val="24"/>
        </w:rPr>
        <w:t>表3：因素修正及调整系数表</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135"/>
        <w:gridCol w:w="2386"/>
        <w:gridCol w:w="524"/>
        <w:gridCol w:w="1456"/>
        <w:gridCol w:w="451"/>
        <w:gridCol w:w="1461"/>
        <w:gridCol w:w="441"/>
        <w:gridCol w:w="1445"/>
      </w:tblGrid>
      <w:tr w14:paraId="17DE57E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3521" w:type="dxa"/>
            <w:gridSpan w:val="2"/>
            <w:noWrap/>
            <w:vAlign w:val="center"/>
          </w:tcPr>
          <w:p w14:paraId="5D4E1B6B">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比较因素</w:t>
            </w:r>
          </w:p>
        </w:tc>
        <w:tc>
          <w:tcPr>
            <w:tcW w:w="1980" w:type="dxa"/>
            <w:gridSpan w:val="2"/>
          </w:tcPr>
          <w:p w14:paraId="6B40BF00">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A</w:t>
            </w:r>
          </w:p>
        </w:tc>
        <w:tc>
          <w:tcPr>
            <w:tcW w:w="1912" w:type="dxa"/>
            <w:gridSpan w:val="2"/>
          </w:tcPr>
          <w:p w14:paraId="22C5BEDB">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B</w:t>
            </w:r>
          </w:p>
        </w:tc>
        <w:tc>
          <w:tcPr>
            <w:tcW w:w="1886" w:type="dxa"/>
            <w:gridSpan w:val="2"/>
          </w:tcPr>
          <w:p w14:paraId="4C67F603">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C</w:t>
            </w:r>
          </w:p>
        </w:tc>
      </w:tr>
      <w:tr w14:paraId="5E9EAB2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noWrap/>
            <w:vAlign w:val="bottom"/>
          </w:tcPr>
          <w:p w14:paraId="6565C8D7">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交易情况</w:t>
            </w:r>
          </w:p>
        </w:tc>
        <w:tc>
          <w:tcPr>
            <w:tcW w:w="524" w:type="dxa"/>
            <w:tcBorders>
              <w:right w:val="nil"/>
            </w:tcBorders>
            <w:vAlign w:val="center"/>
          </w:tcPr>
          <w:p w14:paraId="0BF5D511">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1F1FD8C">
            <w:pPr>
              <w:spacing w:line="240" w:lineRule="exact"/>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451" w:type="dxa"/>
            <w:tcBorders>
              <w:right w:val="nil"/>
            </w:tcBorders>
            <w:vAlign w:val="center"/>
          </w:tcPr>
          <w:p w14:paraId="5605DAB1">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2FF0C8AE">
            <w:pPr>
              <w:spacing w:line="240" w:lineRule="exact"/>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441" w:type="dxa"/>
            <w:tcBorders>
              <w:right w:val="nil"/>
            </w:tcBorders>
            <w:vAlign w:val="center"/>
          </w:tcPr>
          <w:p w14:paraId="7022FEAA">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1DE883DF">
            <w:pPr>
              <w:spacing w:line="240" w:lineRule="exact"/>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r>
      <w:tr w14:paraId="61203D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noWrap/>
            <w:vAlign w:val="bottom"/>
          </w:tcPr>
          <w:p w14:paraId="538E1EAA">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市场状况</w:t>
            </w:r>
          </w:p>
        </w:tc>
        <w:tc>
          <w:tcPr>
            <w:tcW w:w="524" w:type="dxa"/>
            <w:tcBorders>
              <w:right w:val="nil"/>
            </w:tcBorders>
            <w:vAlign w:val="center"/>
          </w:tcPr>
          <w:p w14:paraId="6E203631">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586B8BD9">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66A8E4F2">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7BDD54E4">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6E1B6976">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78729C8B">
            <w:pPr>
              <w:spacing w:line="240" w:lineRule="exact"/>
              <w:rPr>
                <w:rFonts w:ascii="Arial" w:hAnsi="Arial" w:eastAsia="华文细黑" w:cs="Arial"/>
                <w:sz w:val="18"/>
                <w:szCs w:val="18"/>
              </w:rPr>
            </w:pPr>
            <w:r>
              <w:rPr>
                <w:rFonts w:ascii="Arial" w:hAnsi="Arial" w:eastAsia="华文细黑" w:cs="Arial"/>
                <w:sz w:val="18"/>
                <w:szCs w:val="18"/>
              </w:rPr>
              <w:t>100</w:t>
            </w:r>
          </w:p>
        </w:tc>
      </w:tr>
      <w:tr w14:paraId="226AF29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jc w:val="center"/>
        </w:trPr>
        <w:tc>
          <w:tcPr>
            <w:tcW w:w="1135" w:type="dxa"/>
            <w:vMerge w:val="restart"/>
            <w:vAlign w:val="center"/>
          </w:tcPr>
          <w:p w14:paraId="0EEE28CF">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权益状况</w:t>
            </w:r>
          </w:p>
        </w:tc>
        <w:tc>
          <w:tcPr>
            <w:tcW w:w="2386" w:type="dxa"/>
            <w:noWrap/>
            <w:tcMar>
              <w:left w:w="57" w:type="dxa"/>
              <w:right w:w="57" w:type="dxa"/>
            </w:tcMar>
            <w:vAlign w:val="bottom"/>
          </w:tcPr>
          <w:p w14:paraId="66E7A156">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用途</w:t>
            </w:r>
          </w:p>
        </w:tc>
        <w:tc>
          <w:tcPr>
            <w:tcW w:w="524" w:type="dxa"/>
            <w:tcBorders>
              <w:right w:val="nil"/>
            </w:tcBorders>
            <w:vAlign w:val="center"/>
          </w:tcPr>
          <w:p w14:paraId="730E8F51">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65267E07">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035BE858">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39DCE579">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231A138C">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497F83FE">
            <w:pPr>
              <w:spacing w:line="240" w:lineRule="exact"/>
              <w:rPr>
                <w:rFonts w:ascii="Arial" w:hAnsi="Arial" w:eastAsia="华文细黑" w:cs="Arial"/>
                <w:sz w:val="18"/>
                <w:szCs w:val="18"/>
              </w:rPr>
            </w:pPr>
            <w:r>
              <w:rPr>
                <w:rFonts w:ascii="Arial" w:hAnsi="Arial" w:eastAsia="华文细黑" w:cs="Arial"/>
                <w:sz w:val="18"/>
                <w:szCs w:val="18"/>
              </w:rPr>
              <w:t>100</w:t>
            </w:r>
          </w:p>
        </w:tc>
      </w:tr>
      <w:tr w14:paraId="0DCFE06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18781937">
            <w:pPr>
              <w:widowControl/>
              <w:spacing w:line="240" w:lineRule="exact"/>
              <w:rPr>
                <w:rFonts w:ascii="华文细黑" w:hAnsi="华文细黑" w:eastAsia="华文细黑" w:cs="Arial"/>
                <w:sz w:val="18"/>
                <w:szCs w:val="18"/>
              </w:rPr>
            </w:pPr>
          </w:p>
        </w:tc>
        <w:tc>
          <w:tcPr>
            <w:tcW w:w="2386" w:type="dxa"/>
            <w:noWrap/>
            <w:tcMar>
              <w:left w:w="57" w:type="dxa"/>
              <w:right w:w="57" w:type="dxa"/>
            </w:tcMar>
            <w:vAlign w:val="bottom"/>
          </w:tcPr>
          <w:p w14:paraId="167477D9">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权利限制</w:t>
            </w:r>
          </w:p>
        </w:tc>
        <w:tc>
          <w:tcPr>
            <w:tcW w:w="524" w:type="dxa"/>
            <w:tcBorders>
              <w:right w:val="nil"/>
            </w:tcBorders>
            <w:vAlign w:val="center"/>
          </w:tcPr>
          <w:p w14:paraId="45984E7F">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6E45FC4E">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0295E61A">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29B58EE0">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244B13EC">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57329FC">
            <w:pPr>
              <w:spacing w:line="240" w:lineRule="exact"/>
              <w:rPr>
                <w:rFonts w:ascii="Arial" w:hAnsi="Arial" w:eastAsia="华文细黑" w:cs="Arial"/>
                <w:sz w:val="18"/>
                <w:szCs w:val="18"/>
              </w:rPr>
            </w:pPr>
            <w:r>
              <w:rPr>
                <w:rFonts w:ascii="Arial" w:hAnsi="Arial" w:eastAsia="华文细黑" w:cs="Arial"/>
                <w:sz w:val="18"/>
                <w:szCs w:val="18"/>
              </w:rPr>
              <w:t>100</w:t>
            </w:r>
          </w:p>
        </w:tc>
      </w:tr>
      <w:tr w14:paraId="7D4028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restart"/>
            <w:vAlign w:val="center"/>
          </w:tcPr>
          <w:p w14:paraId="653E62EB">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区位状况</w:t>
            </w:r>
          </w:p>
        </w:tc>
        <w:tc>
          <w:tcPr>
            <w:tcW w:w="2386" w:type="dxa"/>
            <w:noWrap/>
            <w:vAlign w:val="center"/>
          </w:tcPr>
          <w:p w14:paraId="1F374DA9">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商业繁华度</w:t>
            </w:r>
          </w:p>
        </w:tc>
        <w:tc>
          <w:tcPr>
            <w:tcW w:w="524" w:type="dxa"/>
            <w:tcBorders>
              <w:right w:val="nil"/>
            </w:tcBorders>
            <w:vAlign w:val="center"/>
          </w:tcPr>
          <w:p w14:paraId="7FB00E61">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35B27E3C">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2CBBA89D">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5B8B1B4A">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52AA8CAC">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0E2E6DA6">
            <w:pPr>
              <w:spacing w:line="240" w:lineRule="exact"/>
              <w:rPr>
                <w:rFonts w:ascii="Arial" w:hAnsi="Arial" w:eastAsia="华文细黑" w:cs="Arial"/>
                <w:sz w:val="18"/>
                <w:szCs w:val="18"/>
              </w:rPr>
            </w:pPr>
            <w:r>
              <w:rPr>
                <w:rFonts w:ascii="Arial" w:hAnsi="Arial" w:eastAsia="华文细黑" w:cs="Arial"/>
                <w:sz w:val="18"/>
                <w:szCs w:val="18"/>
              </w:rPr>
              <w:t>100</w:t>
            </w:r>
          </w:p>
        </w:tc>
      </w:tr>
      <w:tr w14:paraId="0D0C6FB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1AB36580">
            <w:pPr>
              <w:widowControl/>
              <w:spacing w:line="240" w:lineRule="exact"/>
              <w:rPr>
                <w:rFonts w:ascii="华文细黑" w:hAnsi="华文细黑" w:eastAsia="华文细黑" w:cs="Arial"/>
                <w:sz w:val="18"/>
                <w:szCs w:val="18"/>
              </w:rPr>
            </w:pPr>
          </w:p>
        </w:tc>
        <w:tc>
          <w:tcPr>
            <w:tcW w:w="2386" w:type="dxa"/>
            <w:noWrap/>
            <w:vAlign w:val="center"/>
          </w:tcPr>
          <w:p w14:paraId="119CFB55">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交通便捷度</w:t>
            </w:r>
          </w:p>
        </w:tc>
        <w:tc>
          <w:tcPr>
            <w:tcW w:w="524" w:type="dxa"/>
            <w:tcBorders>
              <w:right w:val="nil"/>
            </w:tcBorders>
            <w:vAlign w:val="center"/>
          </w:tcPr>
          <w:p w14:paraId="792091D4">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788ABE83">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50E5E110">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3292985A">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18A631C7">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76925703">
            <w:pPr>
              <w:spacing w:line="240" w:lineRule="exact"/>
              <w:rPr>
                <w:rFonts w:ascii="Arial" w:hAnsi="Arial" w:eastAsia="华文细黑" w:cs="Arial"/>
                <w:sz w:val="18"/>
                <w:szCs w:val="18"/>
              </w:rPr>
            </w:pPr>
            <w:r>
              <w:rPr>
                <w:rFonts w:ascii="Arial" w:hAnsi="Arial" w:eastAsia="华文细黑" w:cs="Arial"/>
                <w:sz w:val="18"/>
                <w:szCs w:val="18"/>
              </w:rPr>
              <w:t>100</w:t>
            </w:r>
          </w:p>
        </w:tc>
      </w:tr>
      <w:tr w14:paraId="5B472F8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0CE8D974">
            <w:pPr>
              <w:widowControl/>
              <w:spacing w:line="240" w:lineRule="exact"/>
              <w:rPr>
                <w:rFonts w:ascii="华文细黑" w:hAnsi="华文细黑" w:eastAsia="华文细黑" w:cs="Arial"/>
                <w:sz w:val="18"/>
                <w:szCs w:val="18"/>
              </w:rPr>
            </w:pPr>
          </w:p>
        </w:tc>
        <w:tc>
          <w:tcPr>
            <w:tcW w:w="2386" w:type="dxa"/>
            <w:noWrap/>
            <w:vAlign w:val="center"/>
          </w:tcPr>
          <w:p w14:paraId="072008DB">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公共配套设施</w:t>
            </w:r>
          </w:p>
        </w:tc>
        <w:tc>
          <w:tcPr>
            <w:tcW w:w="524" w:type="dxa"/>
            <w:tcBorders>
              <w:right w:val="nil"/>
            </w:tcBorders>
            <w:vAlign w:val="center"/>
          </w:tcPr>
          <w:p w14:paraId="45DD8FFD">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D33D215">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4D59DE40">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7A1FF86B">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0D7E51F2">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3D735CD">
            <w:pPr>
              <w:spacing w:line="240" w:lineRule="exact"/>
              <w:rPr>
                <w:rFonts w:ascii="Arial" w:hAnsi="Arial" w:eastAsia="华文细黑" w:cs="Arial"/>
                <w:sz w:val="18"/>
                <w:szCs w:val="18"/>
              </w:rPr>
            </w:pPr>
            <w:r>
              <w:rPr>
                <w:rFonts w:ascii="Arial" w:hAnsi="Arial" w:eastAsia="华文细黑" w:cs="Arial"/>
                <w:sz w:val="18"/>
                <w:szCs w:val="18"/>
              </w:rPr>
              <w:t>100</w:t>
            </w:r>
          </w:p>
        </w:tc>
      </w:tr>
      <w:tr w14:paraId="188809F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5704E210">
            <w:pPr>
              <w:widowControl/>
              <w:spacing w:line="240" w:lineRule="exact"/>
              <w:rPr>
                <w:rFonts w:ascii="华文细黑" w:hAnsi="华文细黑" w:eastAsia="华文细黑" w:cs="Arial"/>
                <w:sz w:val="18"/>
                <w:szCs w:val="18"/>
              </w:rPr>
            </w:pPr>
          </w:p>
        </w:tc>
        <w:tc>
          <w:tcPr>
            <w:tcW w:w="2386" w:type="dxa"/>
            <w:noWrap/>
            <w:vAlign w:val="center"/>
          </w:tcPr>
          <w:p w14:paraId="1D4D2975">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基础设施水平</w:t>
            </w:r>
          </w:p>
        </w:tc>
        <w:tc>
          <w:tcPr>
            <w:tcW w:w="524" w:type="dxa"/>
            <w:tcBorders>
              <w:right w:val="nil"/>
            </w:tcBorders>
            <w:vAlign w:val="center"/>
          </w:tcPr>
          <w:p w14:paraId="696B1082">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54B6CD9D">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3867F16E">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2467ECEC">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13F61647">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1AEAE781">
            <w:pPr>
              <w:spacing w:line="240" w:lineRule="exact"/>
              <w:rPr>
                <w:rFonts w:ascii="Arial" w:hAnsi="Arial" w:eastAsia="华文细黑" w:cs="Arial"/>
                <w:sz w:val="18"/>
                <w:szCs w:val="18"/>
              </w:rPr>
            </w:pPr>
            <w:r>
              <w:rPr>
                <w:rFonts w:ascii="Arial" w:hAnsi="Arial" w:eastAsia="华文细黑" w:cs="Arial"/>
                <w:sz w:val="18"/>
                <w:szCs w:val="18"/>
              </w:rPr>
              <w:t>100</w:t>
            </w:r>
          </w:p>
        </w:tc>
      </w:tr>
      <w:tr w14:paraId="3EDE3A9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69B553D6">
            <w:pPr>
              <w:widowControl/>
              <w:spacing w:line="240" w:lineRule="exact"/>
              <w:rPr>
                <w:rFonts w:ascii="华文细黑" w:hAnsi="华文细黑" w:eastAsia="华文细黑" w:cs="Arial"/>
                <w:sz w:val="18"/>
                <w:szCs w:val="18"/>
              </w:rPr>
            </w:pPr>
          </w:p>
        </w:tc>
        <w:tc>
          <w:tcPr>
            <w:tcW w:w="2386" w:type="dxa"/>
            <w:noWrap/>
            <w:vAlign w:val="center"/>
          </w:tcPr>
          <w:p w14:paraId="5861F5C3">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自然及人文环境</w:t>
            </w:r>
          </w:p>
        </w:tc>
        <w:tc>
          <w:tcPr>
            <w:tcW w:w="524" w:type="dxa"/>
            <w:tcBorders>
              <w:right w:val="nil"/>
            </w:tcBorders>
            <w:vAlign w:val="center"/>
          </w:tcPr>
          <w:p w14:paraId="4D19E4BB">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4A0E69BA">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022C056C">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79EC6FA1">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7886A628">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49F13CB9">
            <w:pPr>
              <w:spacing w:line="240" w:lineRule="exact"/>
              <w:rPr>
                <w:rFonts w:ascii="Arial" w:hAnsi="Arial" w:eastAsia="华文细黑" w:cs="Arial"/>
                <w:sz w:val="18"/>
                <w:szCs w:val="18"/>
              </w:rPr>
            </w:pPr>
            <w:r>
              <w:rPr>
                <w:rFonts w:ascii="Arial" w:hAnsi="Arial" w:eastAsia="华文细黑" w:cs="Arial"/>
                <w:sz w:val="18"/>
                <w:szCs w:val="18"/>
              </w:rPr>
              <w:t>100</w:t>
            </w:r>
          </w:p>
        </w:tc>
      </w:tr>
      <w:tr w14:paraId="76BF666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7694C430">
            <w:pPr>
              <w:widowControl/>
              <w:spacing w:line="240" w:lineRule="exact"/>
              <w:rPr>
                <w:rFonts w:ascii="华文细黑" w:hAnsi="华文细黑" w:eastAsia="华文细黑" w:cs="Arial"/>
                <w:sz w:val="18"/>
                <w:szCs w:val="18"/>
              </w:rPr>
            </w:pPr>
          </w:p>
        </w:tc>
        <w:tc>
          <w:tcPr>
            <w:tcW w:w="2386" w:type="dxa"/>
            <w:noWrap/>
            <w:vAlign w:val="center"/>
          </w:tcPr>
          <w:p w14:paraId="188E7BE9">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临街状况</w:t>
            </w:r>
          </w:p>
        </w:tc>
        <w:tc>
          <w:tcPr>
            <w:tcW w:w="524" w:type="dxa"/>
            <w:tcBorders>
              <w:right w:val="nil"/>
            </w:tcBorders>
            <w:vAlign w:val="center"/>
          </w:tcPr>
          <w:p w14:paraId="012D152E">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0290FF2B">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7B99277D">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51AD2765">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1E4D7E5D">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632A1E42">
            <w:pPr>
              <w:spacing w:line="240" w:lineRule="exact"/>
              <w:rPr>
                <w:rFonts w:ascii="Arial" w:hAnsi="Arial" w:eastAsia="华文细黑" w:cs="Arial"/>
                <w:sz w:val="18"/>
                <w:szCs w:val="18"/>
              </w:rPr>
            </w:pPr>
            <w:r>
              <w:rPr>
                <w:rFonts w:ascii="Arial" w:hAnsi="Arial" w:eastAsia="华文细黑" w:cs="Arial"/>
                <w:sz w:val="18"/>
                <w:szCs w:val="18"/>
              </w:rPr>
              <w:t>100</w:t>
            </w:r>
          </w:p>
        </w:tc>
      </w:tr>
      <w:tr w14:paraId="5A9C6D7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24CE46E4">
            <w:pPr>
              <w:widowControl/>
              <w:spacing w:line="240" w:lineRule="exact"/>
              <w:rPr>
                <w:rFonts w:ascii="华文细黑" w:hAnsi="华文细黑" w:eastAsia="华文细黑" w:cs="Arial"/>
                <w:sz w:val="18"/>
                <w:szCs w:val="18"/>
              </w:rPr>
            </w:pPr>
          </w:p>
        </w:tc>
        <w:tc>
          <w:tcPr>
            <w:tcW w:w="2386" w:type="dxa"/>
            <w:noWrap/>
            <w:vAlign w:val="center"/>
          </w:tcPr>
          <w:p w14:paraId="03952348">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人流量</w:t>
            </w:r>
          </w:p>
        </w:tc>
        <w:tc>
          <w:tcPr>
            <w:tcW w:w="524" w:type="dxa"/>
            <w:tcBorders>
              <w:right w:val="nil"/>
            </w:tcBorders>
            <w:vAlign w:val="center"/>
          </w:tcPr>
          <w:p w14:paraId="477AC78F">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3F2AD8A5">
            <w:pP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51" w:type="dxa"/>
            <w:tcBorders>
              <w:right w:val="nil"/>
            </w:tcBorders>
            <w:vAlign w:val="center"/>
          </w:tcPr>
          <w:p w14:paraId="6A50067F">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4C59318C">
            <w:pP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41" w:type="dxa"/>
            <w:tcBorders>
              <w:right w:val="nil"/>
            </w:tcBorders>
            <w:vAlign w:val="center"/>
          </w:tcPr>
          <w:p w14:paraId="3F532583">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11B29FF3">
            <w:pPr>
              <w:spacing w:line="240" w:lineRule="exact"/>
              <w:rPr>
                <w:rFonts w:ascii="Arial" w:hAnsi="Arial" w:eastAsia="华文细黑" w:cs="Arial"/>
                <w:color w:val="E36C0A"/>
                <w:sz w:val="18"/>
                <w:szCs w:val="18"/>
              </w:rPr>
            </w:pPr>
            <w:r>
              <w:rPr>
                <w:rFonts w:ascii="Arial" w:hAnsi="Arial" w:eastAsia="华文细黑" w:cs="Arial"/>
                <w:sz w:val="18"/>
                <w:szCs w:val="18"/>
              </w:rPr>
              <w:t>100</w:t>
            </w:r>
          </w:p>
        </w:tc>
      </w:tr>
      <w:tr w14:paraId="54DA2B4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23CA3493">
            <w:pPr>
              <w:widowControl/>
              <w:spacing w:line="240" w:lineRule="exact"/>
              <w:rPr>
                <w:rFonts w:ascii="华文细黑" w:hAnsi="华文细黑" w:eastAsia="华文细黑" w:cs="Arial"/>
                <w:sz w:val="18"/>
                <w:szCs w:val="18"/>
              </w:rPr>
            </w:pPr>
          </w:p>
        </w:tc>
        <w:tc>
          <w:tcPr>
            <w:tcW w:w="2386" w:type="dxa"/>
            <w:noWrap/>
            <w:vAlign w:val="center"/>
          </w:tcPr>
          <w:p w14:paraId="70F9C0F6">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楼层</w:t>
            </w:r>
          </w:p>
        </w:tc>
        <w:tc>
          <w:tcPr>
            <w:tcW w:w="524" w:type="dxa"/>
            <w:tcBorders>
              <w:right w:val="nil"/>
            </w:tcBorders>
            <w:vAlign w:val="center"/>
          </w:tcPr>
          <w:p w14:paraId="07812C18">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6BC7CFC6">
            <w:pP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51" w:type="dxa"/>
            <w:tcBorders>
              <w:right w:val="nil"/>
            </w:tcBorders>
            <w:vAlign w:val="center"/>
          </w:tcPr>
          <w:p w14:paraId="4CCB9FDA">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5B0B5C13">
            <w:pP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41" w:type="dxa"/>
            <w:tcBorders>
              <w:right w:val="nil"/>
            </w:tcBorders>
            <w:vAlign w:val="center"/>
          </w:tcPr>
          <w:p w14:paraId="011672D6">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1791B4F2">
            <w:pPr>
              <w:spacing w:line="240" w:lineRule="exact"/>
              <w:rPr>
                <w:rFonts w:ascii="Arial" w:hAnsi="Arial" w:eastAsia="华文细黑" w:cs="Arial"/>
                <w:color w:val="E36C0A"/>
                <w:sz w:val="18"/>
                <w:szCs w:val="18"/>
              </w:rPr>
            </w:pPr>
            <w:r>
              <w:rPr>
                <w:rFonts w:ascii="Arial" w:hAnsi="Arial" w:eastAsia="华文细黑" w:cs="Arial"/>
                <w:sz w:val="18"/>
                <w:szCs w:val="18"/>
              </w:rPr>
              <w:t>100</w:t>
            </w:r>
          </w:p>
        </w:tc>
      </w:tr>
      <w:tr w14:paraId="36448AC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trHeight w:val="265" w:hRule="atLeast"/>
          <w:jc w:val="center"/>
        </w:trPr>
        <w:tc>
          <w:tcPr>
            <w:tcW w:w="1135" w:type="dxa"/>
            <w:vMerge w:val="restart"/>
            <w:vAlign w:val="center"/>
          </w:tcPr>
          <w:p w14:paraId="129EED92">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实物状况</w:t>
            </w:r>
          </w:p>
        </w:tc>
        <w:tc>
          <w:tcPr>
            <w:tcW w:w="2386" w:type="dxa"/>
            <w:noWrap/>
            <w:vAlign w:val="center"/>
          </w:tcPr>
          <w:p w14:paraId="5FF0197C">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商业类型</w:t>
            </w:r>
          </w:p>
        </w:tc>
        <w:tc>
          <w:tcPr>
            <w:tcW w:w="524" w:type="dxa"/>
            <w:tcBorders>
              <w:right w:val="nil"/>
            </w:tcBorders>
            <w:vAlign w:val="center"/>
          </w:tcPr>
          <w:p w14:paraId="6226431C">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200BA199">
            <w:pPr>
              <w:spacing w:line="240" w:lineRule="exact"/>
              <w:rPr>
                <w:rFonts w:ascii="Arial" w:hAnsi="Arial" w:eastAsia="华文细黑" w:cs="Arial"/>
                <w:sz w:val="18"/>
                <w:szCs w:val="18"/>
              </w:rPr>
            </w:pPr>
            <w:r>
              <w:rPr>
                <w:rFonts w:hint="eastAsia" w:ascii="Arial" w:hAnsi="Arial" w:eastAsia="华文细黑" w:cs="Arial"/>
                <w:sz w:val="18"/>
                <w:szCs w:val="18"/>
              </w:rPr>
              <w:t>94</w:t>
            </w:r>
          </w:p>
        </w:tc>
        <w:tc>
          <w:tcPr>
            <w:tcW w:w="451" w:type="dxa"/>
            <w:tcBorders>
              <w:right w:val="nil"/>
            </w:tcBorders>
            <w:vAlign w:val="center"/>
          </w:tcPr>
          <w:p w14:paraId="448FEB09">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23E15AF2">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65047E24">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5BC20591">
            <w:pPr>
              <w:spacing w:line="240" w:lineRule="exact"/>
              <w:rPr>
                <w:rFonts w:ascii="Arial" w:hAnsi="Arial" w:eastAsia="华文细黑" w:cs="Arial"/>
                <w:sz w:val="18"/>
                <w:szCs w:val="18"/>
              </w:rPr>
            </w:pPr>
            <w:r>
              <w:rPr>
                <w:rFonts w:hint="eastAsia" w:ascii="Arial" w:hAnsi="Arial" w:eastAsia="华文细黑" w:cs="Arial"/>
                <w:sz w:val="18"/>
                <w:szCs w:val="18"/>
              </w:rPr>
              <w:t>94</w:t>
            </w:r>
          </w:p>
        </w:tc>
      </w:tr>
      <w:tr w14:paraId="528AFB3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textDirection w:val="tbRlV"/>
            <w:vAlign w:val="center"/>
          </w:tcPr>
          <w:p w14:paraId="786D6F64">
            <w:pPr>
              <w:widowControl/>
              <w:spacing w:line="240" w:lineRule="exact"/>
              <w:rPr>
                <w:rFonts w:ascii="华文细黑" w:hAnsi="华文细黑" w:eastAsia="华文细黑" w:cs="Arial"/>
                <w:sz w:val="18"/>
                <w:szCs w:val="18"/>
              </w:rPr>
            </w:pPr>
          </w:p>
        </w:tc>
        <w:tc>
          <w:tcPr>
            <w:tcW w:w="2386" w:type="dxa"/>
            <w:noWrap/>
            <w:vAlign w:val="center"/>
          </w:tcPr>
          <w:p w14:paraId="3212E148">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建筑面积</w:t>
            </w:r>
          </w:p>
        </w:tc>
        <w:tc>
          <w:tcPr>
            <w:tcW w:w="524" w:type="dxa"/>
            <w:tcBorders>
              <w:right w:val="nil"/>
            </w:tcBorders>
            <w:vAlign w:val="center"/>
          </w:tcPr>
          <w:p w14:paraId="08BE1AB4">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0F470439">
            <w:pPr>
              <w:spacing w:line="240" w:lineRule="exact"/>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c>
          <w:tcPr>
            <w:tcW w:w="451" w:type="dxa"/>
            <w:tcBorders>
              <w:right w:val="nil"/>
            </w:tcBorders>
            <w:vAlign w:val="center"/>
          </w:tcPr>
          <w:p w14:paraId="056385DE">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4A422BF0">
            <w:pPr>
              <w:spacing w:line="240" w:lineRule="exact"/>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4</w:t>
            </w:r>
          </w:p>
        </w:tc>
        <w:tc>
          <w:tcPr>
            <w:tcW w:w="441" w:type="dxa"/>
            <w:tcBorders>
              <w:right w:val="nil"/>
            </w:tcBorders>
            <w:vAlign w:val="center"/>
          </w:tcPr>
          <w:p w14:paraId="2845931A">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943557E">
            <w:pPr>
              <w:spacing w:line="240" w:lineRule="exact"/>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r>
      <w:tr w14:paraId="1750530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textDirection w:val="tbRlV"/>
            <w:vAlign w:val="center"/>
          </w:tcPr>
          <w:p w14:paraId="177F92AE">
            <w:pPr>
              <w:widowControl/>
              <w:spacing w:line="240" w:lineRule="exact"/>
              <w:rPr>
                <w:rFonts w:ascii="华文细黑" w:hAnsi="华文细黑" w:eastAsia="华文细黑" w:cs="Arial"/>
                <w:sz w:val="18"/>
                <w:szCs w:val="18"/>
              </w:rPr>
            </w:pPr>
          </w:p>
        </w:tc>
        <w:tc>
          <w:tcPr>
            <w:tcW w:w="2386" w:type="dxa"/>
            <w:noWrap/>
            <w:vAlign w:val="center"/>
          </w:tcPr>
          <w:p w14:paraId="6DDE122A">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建筑结构</w:t>
            </w:r>
          </w:p>
        </w:tc>
        <w:tc>
          <w:tcPr>
            <w:tcW w:w="524" w:type="dxa"/>
            <w:tcBorders>
              <w:right w:val="nil"/>
            </w:tcBorders>
            <w:vAlign w:val="center"/>
          </w:tcPr>
          <w:p w14:paraId="5AAD5C95">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1000546">
            <w:pPr>
              <w:spacing w:line="240" w:lineRule="exact"/>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c>
          <w:tcPr>
            <w:tcW w:w="451" w:type="dxa"/>
            <w:tcBorders>
              <w:right w:val="nil"/>
            </w:tcBorders>
            <w:vAlign w:val="center"/>
          </w:tcPr>
          <w:p w14:paraId="4593B69D">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23A0D39E">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3454DD2C">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0B31E762">
            <w:pPr>
              <w:spacing w:line="240" w:lineRule="exact"/>
              <w:rPr>
                <w:rFonts w:ascii="Arial" w:hAnsi="Arial" w:eastAsia="华文细黑" w:cs="Arial"/>
                <w:sz w:val="18"/>
                <w:szCs w:val="18"/>
              </w:rPr>
            </w:pPr>
            <w:r>
              <w:rPr>
                <w:rFonts w:ascii="Arial" w:hAnsi="Arial" w:eastAsia="华文细黑" w:cs="Arial"/>
                <w:sz w:val="18"/>
                <w:szCs w:val="18"/>
              </w:rPr>
              <w:t>100</w:t>
            </w:r>
          </w:p>
        </w:tc>
      </w:tr>
      <w:tr w14:paraId="2419836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textDirection w:val="tbRlV"/>
            <w:vAlign w:val="center"/>
          </w:tcPr>
          <w:p w14:paraId="73654556">
            <w:pPr>
              <w:widowControl/>
              <w:spacing w:line="240" w:lineRule="exact"/>
              <w:rPr>
                <w:rFonts w:ascii="华文细黑" w:hAnsi="华文细黑" w:eastAsia="华文细黑" w:cs="Arial"/>
                <w:sz w:val="18"/>
                <w:szCs w:val="18"/>
              </w:rPr>
            </w:pPr>
          </w:p>
        </w:tc>
        <w:tc>
          <w:tcPr>
            <w:tcW w:w="2386" w:type="dxa"/>
            <w:noWrap/>
            <w:vAlign w:val="center"/>
          </w:tcPr>
          <w:p w14:paraId="287F195F">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内部装修</w:t>
            </w:r>
          </w:p>
        </w:tc>
        <w:tc>
          <w:tcPr>
            <w:tcW w:w="524" w:type="dxa"/>
            <w:tcBorders>
              <w:right w:val="nil"/>
            </w:tcBorders>
            <w:vAlign w:val="center"/>
          </w:tcPr>
          <w:p w14:paraId="7C40DE37">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245CFA39">
            <w:pPr>
              <w:spacing w:line="240" w:lineRule="exact"/>
              <w:rPr>
                <w:rFonts w:ascii="Arial" w:hAnsi="Arial" w:eastAsia="华文细黑" w:cs="Arial"/>
                <w:sz w:val="18"/>
                <w:szCs w:val="18"/>
              </w:rPr>
            </w:pPr>
            <w:r>
              <w:rPr>
                <w:rFonts w:hint="eastAsia" w:ascii="Arial" w:hAnsi="Arial" w:eastAsia="华文细黑" w:cs="Arial"/>
                <w:sz w:val="18"/>
                <w:szCs w:val="18"/>
              </w:rPr>
              <w:t>105</w:t>
            </w:r>
          </w:p>
        </w:tc>
        <w:tc>
          <w:tcPr>
            <w:tcW w:w="451" w:type="dxa"/>
            <w:tcBorders>
              <w:right w:val="nil"/>
            </w:tcBorders>
            <w:vAlign w:val="center"/>
          </w:tcPr>
          <w:p w14:paraId="7DC83F03">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05B319F4">
            <w:pPr>
              <w:spacing w:line="240" w:lineRule="exact"/>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c>
          <w:tcPr>
            <w:tcW w:w="441" w:type="dxa"/>
            <w:tcBorders>
              <w:right w:val="nil"/>
            </w:tcBorders>
            <w:vAlign w:val="center"/>
          </w:tcPr>
          <w:p w14:paraId="7A55A738">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85FD78A">
            <w:pPr>
              <w:spacing w:line="240" w:lineRule="exact"/>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r>
      <w:tr w14:paraId="06B9401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64956DBC">
            <w:pPr>
              <w:widowControl/>
              <w:spacing w:line="240" w:lineRule="exact"/>
              <w:rPr>
                <w:rFonts w:ascii="华文细黑" w:hAnsi="华文细黑" w:eastAsia="华文细黑" w:cs="Arial"/>
                <w:sz w:val="18"/>
                <w:szCs w:val="18"/>
              </w:rPr>
            </w:pPr>
          </w:p>
        </w:tc>
        <w:tc>
          <w:tcPr>
            <w:tcW w:w="2386" w:type="dxa"/>
            <w:noWrap/>
            <w:vAlign w:val="center"/>
          </w:tcPr>
          <w:p w14:paraId="5524480C">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成新度</w:t>
            </w:r>
          </w:p>
        </w:tc>
        <w:tc>
          <w:tcPr>
            <w:tcW w:w="524" w:type="dxa"/>
            <w:tcBorders>
              <w:right w:val="nil"/>
            </w:tcBorders>
            <w:vAlign w:val="center"/>
          </w:tcPr>
          <w:p w14:paraId="2090CF35">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4A1330BD">
            <w:pPr>
              <w:spacing w:line="240" w:lineRule="exact"/>
              <w:rPr>
                <w:rFonts w:ascii="Arial" w:hAnsi="Arial" w:eastAsia="华文细黑" w:cs="Arial"/>
                <w:sz w:val="18"/>
                <w:szCs w:val="18"/>
              </w:rPr>
            </w:pPr>
            <w:r>
              <w:rPr>
                <w:rFonts w:hint="eastAsia" w:ascii="Arial" w:hAnsi="Arial" w:eastAsia="华文细黑" w:cs="Arial"/>
                <w:sz w:val="18"/>
                <w:szCs w:val="18"/>
              </w:rPr>
              <w:t>95</w:t>
            </w:r>
          </w:p>
        </w:tc>
        <w:tc>
          <w:tcPr>
            <w:tcW w:w="451" w:type="dxa"/>
            <w:tcBorders>
              <w:right w:val="nil"/>
            </w:tcBorders>
            <w:vAlign w:val="center"/>
          </w:tcPr>
          <w:p w14:paraId="71D72BA7">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11284E5E">
            <w:pPr>
              <w:spacing w:line="240" w:lineRule="exact"/>
              <w:rPr>
                <w:rFonts w:ascii="Arial" w:hAnsi="Arial" w:eastAsia="华文细黑" w:cs="Arial"/>
                <w:sz w:val="18"/>
                <w:szCs w:val="18"/>
              </w:rPr>
            </w:pPr>
            <w:r>
              <w:rPr>
                <w:rFonts w:hint="eastAsia" w:ascii="Arial" w:hAnsi="Arial" w:eastAsia="华文细黑" w:cs="Arial"/>
                <w:sz w:val="18"/>
                <w:szCs w:val="18"/>
              </w:rPr>
              <w:t>95</w:t>
            </w:r>
          </w:p>
        </w:tc>
        <w:tc>
          <w:tcPr>
            <w:tcW w:w="441" w:type="dxa"/>
            <w:tcBorders>
              <w:right w:val="nil"/>
            </w:tcBorders>
            <w:vAlign w:val="center"/>
          </w:tcPr>
          <w:p w14:paraId="078E6547">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22460D9A">
            <w:pPr>
              <w:spacing w:line="240" w:lineRule="exact"/>
              <w:rPr>
                <w:rFonts w:ascii="Arial" w:hAnsi="Arial" w:eastAsia="华文细黑" w:cs="Arial"/>
                <w:sz w:val="18"/>
                <w:szCs w:val="18"/>
              </w:rPr>
            </w:pPr>
            <w:r>
              <w:rPr>
                <w:rFonts w:hint="eastAsia" w:ascii="Arial" w:hAnsi="Arial" w:eastAsia="华文细黑" w:cs="Arial"/>
                <w:sz w:val="18"/>
                <w:szCs w:val="18"/>
              </w:rPr>
              <w:t>95</w:t>
            </w:r>
          </w:p>
        </w:tc>
      </w:tr>
      <w:tr w14:paraId="6BA4C7F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30554D8B">
            <w:pPr>
              <w:widowControl/>
              <w:spacing w:line="240" w:lineRule="exact"/>
              <w:rPr>
                <w:rFonts w:ascii="华文细黑" w:hAnsi="华文细黑" w:eastAsia="华文细黑" w:cs="Arial"/>
                <w:sz w:val="18"/>
                <w:szCs w:val="18"/>
              </w:rPr>
            </w:pPr>
          </w:p>
        </w:tc>
        <w:tc>
          <w:tcPr>
            <w:tcW w:w="2386" w:type="dxa"/>
            <w:noWrap/>
          </w:tcPr>
          <w:p w14:paraId="4BB5BA62">
            <w:pPr>
              <w:wordWrap w:val="0"/>
              <w:overflowPunct w:val="0"/>
              <w:spacing w:line="240" w:lineRule="exact"/>
              <w:rPr>
                <w:rFonts w:ascii="华文细黑" w:hAnsi="华文细黑" w:eastAsia="华文细黑" w:cs="Arial"/>
                <w:sz w:val="18"/>
                <w:szCs w:val="18"/>
              </w:rPr>
            </w:pPr>
            <w:r>
              <w:rPr>
                <w:rFonts w:hint="eastAsia" w:ascii="Arial" w:hAnsi="Arial" w:eastAsia="华文细黑"/>
                <w:sz w:val="18"/>
              </w:rPr>
              <w:t>物业管理</w:t>
            </w:r>
          </w:p>
        </w:tc>
        <w:tc>
          <w:tcPr>
            <w:tcW w:w="524" w:type="dxa"/>
            <w:tcBorders>
              <w:right w:val="nil"/>
            </w:tcBorders>
            <w:vAlign w:val="center"/>
          </w:tcPr>
          <w:p w14:paraId="607362C2">
            <w:pP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413F1715">
            <w:pP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02CEC2F0">
            <w:pP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64E5BEA2">
            <w:pP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2CD6B249">
            <w:pP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2EBF0DE1">
            <w:pPr>
              <w:spacing w:line="240" w:lineRule="exact"/>
              <w:rPr>
                <w:rFonts w:ascii="Arial" w:hAnsi="Arial" w:eastAsia="华文细黑" w:cs="Arial"/>
                <w:sz w:val="18"/>
                <w:szCs w:val="18"/>
              </w:rPr>
            </w:pPr>
            <w:r>
              <w:rPr>
                <w:rFonts w:ascii="Arial" w:hAnsi="Arial" w:eastAsia="华文细黑" w:cs="Arial"/>
                <w:sz w:val="18"/>
                <w:szCs w:val="18"/>
              </w:rPr>
              <w:t>100</w:t>
            </w:r>
          </w:p>
        </w:tc>
      </w:tr>
      <w:tr w14:paraId="0562114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vAlign w:val="center"/>
          </w:tcPr>
          <w:p w14:paraId="026EB295">
            <w:pPr>
              <w:widowControl/>
              <w:spacing w:line="240" w:lineRule="exact"/>
              <w:rPr>
                <w:rFonts w:ascii="华文细黑" w:hAnsi="华文细黑" w:eastAsia="华文细黑" w:cs="Arial"/>
                <w:sz w:val="18"/>
                <w:szCs w:val="18"/>
              </w:rPr>
            </w:pPr>
            <w:commentRangeStart w:id="7"/>
            <w:r>
              <w:rPr>
                <w:rFonts w:hint="eastAsia" w:ascii="华文细黑" w:hAnsi="华文细黑" w:eastAsia="华文细黑" w:cs="Arial"/>
                <w:sz w:val="18"/>
                <w:szCs w:val="18"/>
              </w:rPr>
              <w:t>交易</w:t>
            </w:r>
            <w:r>
              <w:rPr>
                <w:rFonts w:ascii="华文细黑" w:hAnsi="华文细黑" w:eastAsia="华文细黑" w:cs="Arial"/>
                <w:sz w:val="18"/>
                <w:szCs w:val="18"/>
              </w:rPr>
              <w:t>价格（元/平方米）</w:t>
            </w:r>
          </w:p>
        </w:tc>
        <w:tc>
          <w:tcPr>
            <w:tcW w:w="1980" w:type="dxa"/>
            <w:gridSpan w:val="2"/>
            <w:noWrap/>
            <w:tcMar>
              <w:left w:w="85" w:type="dxa"/>
              <w:right w:w="85" w:type="dxa"/>
            </w:tcMar>
            <w:vAlign w:val="center"/>
          </w:tcPr>
          <w:p w14:paraId="6E6AC585">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3.80</w:t>
            </w:r>
          </w:p>
        </w:tc>
        <w:tc>
          <w:tcPr>
            <w:tcW w:w="1912" w:type="dxa"/>
            <w:gridSpan w:val="2"/>
            <w:noWrap/>
            <w:tcMar>
              <w:left w:w="85" w:type="dxa"/>
              <w:right w:w="85" w:type="dxa"/>
            </w:tcMar>
            <w:vAlign w:val="center"/>
          </w:tcPr>
          <w:p w14:paraId="7AF9CC96">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3.50</w:t>
            </w:r>
          </w:p>
        </w:tc>
        <w:tc>
          <w:tcPr>
            <w:tcW w:w="1886" w:type="dxa"/>
            <w:gridSpan w:val="2"/>
            <w:noWrap/>
            <w:tcMar>
              <w:left w:w="85" w:type="dxa"/>
              <w:right w:w="85" w:type="dxa"/>
            </w:tcMar>
            <w:vAlign w:val="center"/>
          </w:tcPr>
          <w:p w14:paraId="3ACD2B72">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3.56</w:t>
            </w:r>
            <w:commentRangeEnd w:id="7"/>
            <w:r>
              <w:rPr>
                <w:rStyle w:val="39"/>
              </w:rPr>
              <w:commentReference w:id="7"/>
            </w:r>
          </w:p>
        </w:tc>
      </w:tr>
      <w:tr w14:paraId="3384AE4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vAlign w:val="center"/>
          </w:tcPr>
          <w:p w14:paraId="338CA6F2">
            <w:pPr>
              <w:widowControl/>
              <w:spacing w:line="240" w:lineRule="exact"/>
              <w:rPr>
                <w:rFonts w:hint="eastAsia" w:ascii="华文细黑" w:hAnsi="华文细黑" w:eastAsia="华文细黑" w:cs="Arial"/>
                <w:sz w:val="18"/>
                <w:szCs w:val="18"/>
                <w:lang w:val="en-US" w:eastAsia="zh-CN"/>
              </w:rPr>
            </w:pPr>
            <w:r>
              <w:rPr>
                <w:rFonts w:hint="eastAsia" w:ascii="华文细黑" w:hAnsi="华文细黑" w:eastAsia="华文细黑" w:cs="Arial"/>
                <w:sz w:val="18"/>
                <w:szCs w:val="18"/>
                <w:lang w:val="en-US" w:eastAsia="zh-CN"/>
              </w:rPr>
              <w:t>修正系数</w:t>
            </w:r>
          </w:p>
        </w:tc>
        <w:tc>
          <w:tcPr>
            <w:tcW w:w="1980" w:type="dxa"/>
            <w:gridSpan w:val="2"/>
            <w:noWrap/>
            <w:tcMar>
              <w:left w:w="85" w:type="dxa"/>
              <w:right w:w="85" w:type="dxa"/>
            </w:tcMar>
            <w:vAlign w:val="center"/>
          </w:tcPr>
          <w:p w14:paraId="68EDC46A">
            <w:pPr>
              <w:widowControl/>
              <w:spacing w:line="240" w:lineRule="exact"/>
              <w:rPr>
                <w:rFonts w:hint="default" w:ascii="华文细黑" w:hAnsi="华文细黑" w:eastAsia="华文细黑" w:cs="Arial"/>
                <w:sz w:val="18"/>
                <w:szCs w:val="18"/>
                <w:lang w:val="en-US" w:eastAsia="zh-CN"/>
              </w:rPr>
            </w:pPr>
            <w:r>
              <w:rPr>
                <w:rFonts w:hint="eastAsia" w:ascii="华文细黑" w:hAnsi="华文细黑" w:eastAsia="华文细黑" w:cs="Arial"/>
                <w:sz w:val="18"/>
                <w:szCs w:val="18"/>
                <w:lang w:val="en-US" w:eastAsia="zh-CN"/>
              </w:rPr>
              <w:t>0.9210</w:t>
            </w:r>
          </w:p>
        </w:tc>
        <w:tc>
          <w:tcPr>
            <w:tcW w:w="1912" w:type="dxa"/>
            <w:gridSpan w:val="2"/>
            <w:noWrap/>
            <w:tcMar>
              <w:left w:w="85" w:type="dxa"/>
              <w:right w:w="85" w:type="dxa"/>
            </w:tcMar>
            <w:vAlign w:val="center"/>
          </w:tcPr>
          <w:p w14:paraId="1CFC8A31">
            <w:pPr>
              <w:widowControl/>
              <w:spacing w:line="240" w:lineRule="exact"/>
              <w:rPr>
                <w:rFonts w:hint="default" w:ascii="华文细黑" w:hAnsi="华文细黑" w:eastAsia="华文细黑" w:cs="Arial"/>
                <w:sz w:val="18"/>
                <w:szCs w:val="18"/>
                <w:lang w:val="en-US" w:eastAsia="zh-CN"/>
              </w:rPr>
            </w:pPr>
            <w:r>
              <w:rPr>
                <w:rFonts w:hint="eastAsia" w:ascii="华文细黑" w:hAnsi="华文细黑" w:eastAsia="华文细黑" w:cs="Arial"/>
                <w:sz w:val="18"/>
                <w:szCs w:val="18"/>
                <w:lang w:val="en-US" w:eastAsia="zh-CN"/>
              </w:rPr>
              <w:t>0.8571</w:t>
            </w:r>
          </w:p>
        </w:tc>
        <w:tc>
          <w:tcPr>
            <w:tcW w:w="1886" w:type="dxa"/>
            <w:gridSpan w:val="2"/>
            <w:noWrap/>
            <w:tcMar>
              <w:left w:w="85" w:type="dxa"/>
              <w:right w:w="85" w:type="dxa"/>
            </w:tcMar>
            <w:vAlign w:val="center"/>
          </w:tcPr>
          <w:p w14:paraId="3BE7F587">
            <w:pPr>
              <w:widowControl/>
              <w:spacing w:line="240" w:lineRule="exact"/>
              <w:rPr>
                <w:rFonts w:hint="default" w:ascii="华文细黑" w:hAnsi="华文细黑" w:eastAsia="华文细黑" w:cs="Arial"/>
                <w:sz w:val="18"/>
                <w:szCs w:val="18"/>
                <w:lang w:val="en-US" w:eastAsia="zh-CN"/>
              </w:rPr>
            </w:pPr>
            <w:r>
              <w:rPr>
                <w:rFonts w:hint="eastAsia" w:ascii="华文细黑" w:hAnsi="华文细黑" w:eastAsia="华文细黑" w:cs="Arial"/>
                <w:sz w:val="18"/>
                <w:szCs w:val="18"/>
                <w:lang w:val="en-US" w:eastAsia="zh-CN"/>
              </w:rPr>
              <w:t>0.9269</w:t>
            </w:r>
          </w:p>
        </w:tc>
      </w:tr>
      <w:tr w14:paraId="225D7D8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vAlign w:val="center"/>
          </w:tcPr>
          <w:p w14:paraId="24ADED4E">
            <w:pPr>
              <w:widowControl/>
              <w:spacing w:line="240" w:lineRule="exact"/>
              <w:rPr>
                <w:rFonts w:ascii="华文细黑" w:hAnsi="华文细黑" w:eastAsia="华文细黑" w:cs="Arial"/>
                <w:sz w:val="18"/>
                <w:szCs w:val="18"/>
              </w:rPr>
            </w:pPr>
            <w:r>
              <w:rPr>
                <w:rFonts w:ascii="华文细黑" w:hAnsi="华文细黑" w:eastAsia="华文细黑" w:cs="Arial"/>
                <w:sz w:val="18"/>
                <w:szCs w:val="18"/>
              </w:rPr>
              <w:t>比较价值（元/平方米）</w:t>
            </w:r>
          </w:p>
        </w:tc>
        <w:tc>
          <w:tcPr>
            <w:tcW w:w="1980" w:type="dxa"/>
            <w:gridSpan w:val="2"/>
            <w:noWrap/>
            <w:tcMar>
              <w:left w:w="85" w:type="dxa"/>
              <w:right w:w="85" w:type="dxa"/>
            </w:tcMar>
            <w:vAlign w:val="center"/>
          </w:tcPr>
          <w:p w14:paraId="47C31DDC">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3.50</w:t>
            </w:r>
          </w:p>
        </w:tc>
        <w:tc>
          <w:tcPr>
            <w:tcW w:w="1912" w:type="dxa"/>
            <w:gridSpan w:val="2"/>
            <w:noWrap/>
            <w:tcMar>
              <w:left w:w="85" w:type="dxa"/>
              <w:right w:w="85" w:type="dxa"/>
            </w:tcMar>
            <w:vAlign w:val="center"/>
          </w:tcPr>
          <w:p w14:paraId="031494BF">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3.00</w:t>
            </w:r>
          </w:p>
        </w:tc>
        <w:tc>
          <w:tcPr>
            <w:tcW w:w="1886" w:type="dxa"/>
            <w:gridSpan w:val="2"/>
            <w:noWrap/>
            <w:tcMar>
              <w:left w:w="85" w:type="dxa"/>
              <w:right w:w="85" w:type="dxa"/>
            </w:tcMar>
            <w:vAlign w:val="center"/>
          </w:tcPr>
          <w:p w14:paraId="62D735C2">
            <w:pPr>
              <w:widowControl/>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3.30</w:t>
            </w:r>
          </w:p>
        </w:tc>
      </w:tr>
    </w:tbl>
    <w:p w14:paraId="6C76EFFD">
      <w:pPr>
        <w:widowControl/>
        <w:spacing w:line="240" w:lineRule="exact"/>
        <w:rPr>
          <w:rFonts w:ascii="华文细黑" w:hAnsi="华文细黑" w:eastAsia="华文细黑" w:cs="Arial"/>
          <w:sz w:val="18"/>
          <w:szCs w:val="18"/>
        </w:rPr>
      </w:pPr>
    </w:p>
    <w:p w14:paraId="7B3BC948">
      <w:pPr>
        <w:spacing w:line="480" w:lineRule="auto"/>
        <w:ind w:firstLine="411" w:firstLineChars="196"/>
        <w:jc w:val="both"/>
        <w:rPr>
          <w:rFonts w:ascii="Arial" w:hAnsi="Arial" w:cs="Arial"/>
          <w:sz w:val="21"/>
          <w:szCs w:val="21"/>
        </w:rPr>
      </w:pPr>
      <w:r>
        <w:rPr>
          <w:rFonts w:hint="eastAsia" w:ascii="Arial" w:hAnsi="Arial" w:cs="Arial"/>
          <w:sz w:val="21"/>
          <w:szCs w:val="21"/>
        </w:rPr>
        <w:t>7.估价对象的比较价值</w:t>
      </w:r>
    </w:p>
    <w:p w14:paraId="55E5DA1A">
      <w:pPr>
        <w:spacing w:line="480" w:lineRule="auto"/>
        <w:ind w:firstLine="411" w:firstLineChars="196"/>
        <w:jc w:val="both"/>
        <w:rPr>
          <w:rFonts w:ascii="Arial" w:hAnsi="Arial" w:cs="Arial"/>
          <w:sz w:val="21"/>
          <w:szCs w:val="21"/>
        </w:rPr>
      </w:pPr>
      <w:r>
        <w:rPr>
          <w:rFonts w:hint="eastAsia"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Pr>
          <w:rFonts w:hint="eastAsia" w:ascii="Arial" w:hAnsi="Arial" w:cs="Arial"/>
          <w:sz w:val="21"/>
          <w:szCs w:val="28"/>
        </w:rPr>
        <w:t>阜盛西街11号院3号楼101号</w:t>
      </w:r>
      <w:r>
        <w:rPr>
          <w:rFonts w:hint="eastAsia" w:ascii="Arial" w:hAnsi="Arial" w:cs="Arial"/>
          <w:sz w:val="21"/>
          <w:szCs w:val="21"/>
        </w:rPr>
        <w:t>的最终结果。</w:t>
      </w:r>
    </w:p>
    <w:p w14:paraId="66B3992F">
      <w:pPr>
        <w:spacing w:line="480" w:lineRule="auto"/>
        <w:ind w:firstLine="411" w:firstLineChars="196"/>
        <w:jc w:val="both"/>
        <w:rPr>
          <w:rFonts w:hint="eastAsia" w:ascii="Arial" w:hAnsi="Arial" w:cs="Arial"/>
          <w:sz w:val="21"/>
          <w:szCs w:val="21"/>
        </w:rPr>
      </w:pPr>
      <w:r>
        <w:rPr>
          <w:rFonts w:hint="eastAsia" w:ascii="Arial" w:hAnsi="Arial" w:cs="Arial"/>
          <w:sz w:val="21"/>
          <w:szCs w:val="28"/>
        </w:rPr>
        <w:t>3号楼101号</w:t>
      </w:r>
      <w:r>
        <w:rPr>
          <w:rFonts w:hint="eastAsia" w:ascii="Arial" w:hAnsi="Arial" w:cs="Arial"/>
          <w:sz w:val="21"/>
          <w:szCs w:val="21"/>
          <w:lang w:val="en-US" w:eastAsia="zh-CN"/>
        </w:rPr>
        <w:t>租金</w:t>
      </w:r>
      <w:r>
        <w:rPr>
          <w:rFonts w:hint="eastAsia" w:ascii="Arial" w:hAnsi="Arial" w:cs="Arial"/>
          <w:sz w:val="21"/>
          <w:szCs w:val="21"/>
        </w:rPr>
        <w:t>单价＝（3.50＋3.00＋3.30）÷3＝3.30（元/平方米</w:t>
      </w:r>
      <w:r>
        <w:rPr>
          <w:rFonts w:hint="eastAsia" w:ascii="Arial" w:hAnsi="Arial" w:cs="Arial"/>
          <w:sz w:val="21"/>
          <w:szCs w:val="21"/>
          <w:lang w:val="en-US" w:eastAsia="zh-CN"/>
        </w:rPr>
        <w:t>/天</w:t>
      </w:r>
      <w:r>
        <w:rPr>
          <w:rFonts w:hint="eastAsia" w:ascii="Arial" w:hAnsi="Arial" w:cs="Arial"/>
          <w:sz w:val="21"/>
          <w:szCs w:val="21"/>
        </w:rPr>
        <w:t>）</w:t>
      </w:r>
    </w:p>
    <w:p w14:paraId="178B350F">
      <w:pPr>
        <w:spacing w:line="480" w:lineRule="auto"/>
        <w:ind w:firstLine="411" w:firstLineChars="196"/>
        <w:jc w:val="both"/>
        <w:rPr>
          <w:rFonts w:hint="eastAsia" w:ascii="Arial" w:hAnsi="Arial" w:cs="Arial"/>
          <w:sz w:val="21"/>
          <w:szCs w:val="21"/>
          <w:lang w:val="en-US" w:eastAsia="zh-CN"/>
        </w:rPr>
      </w:pPr>
      <w:commentRangeStart w:id="8"/>
      <w:r>
        <w:rPr>
          <w:rFonts w:hint="eastAsia" w:ascii="Arial" w:hAnsi="Arial" w:cs="Arial"/>
          <w:sz w:val="21"/>
          <w:szCs w:val="21"/>
          <w:lang w:val="en-US" w:eastAsia="zh-CN"/>
        </w:rPr>
        <w:t>3号楼1层包含101号、102号、103号、104号商业用房，采用101号商业用房租金单价，通过面积、临街道路、朝向等因素修正得到1层综合商业用房租金水平做如下修正：</w:t>
      </w:r>
    </w:p>
    <w:p w14:paraId="4E1DB154">
      <w:pPr>
        <w:spacing w:line="480" w:lineRule="auto"/>
        <w:ind w:firstLine="411" w:firstLineChars="196"/>
        <w:jc w:val="both"/>
        <w:rPr>
          <w:rFonts w:hint="default" w:ascii="Arial" w:hAnsi="Arial" w:eastAsia="宋体" w:cs="Arial"/>
          <w:sz w:val="21"/>
          <w:szCs w:val="21"/>
          <w:lang w:val="en-US" w:eastAsia="zh-CN"/>
        </w:rPr>
      </w:pPr>
    </w:p>
    <w:tbl>
      <w:tblPr>
        <w:tblStyle w:val="32"/>
        <w:tblW w:w="0" w:type="auto"/>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autofit"/>
        <w:tblCellMar>
          <w:top w:w="57" w:type="dxa"/>
          <w:left w:w="57" w:type="dxa"/>
          <w:bottom w:w="57" w:type="dxa"/>
          <w:right w:w="57" w:type="dxa"/>
        </w:tblCellMar>
      </w:tblPr>
      <w:tblGrid>
        <w:gridCol w:w="1710"/>
        <w:gridCol w:w="1231"/>
        <w:gridCol w:w="759"/>
        <w:gridCol w:w="1910"/>
        <w:gridCol w:w="759"/>
        <w:gridCol w:w="438"/>
        <w:gridCol w:w="759"/>
        <w:gridCol w:w="1847"/>
      </w:tblGrid>
      <w:tr w14:paraId="40BB1725">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tblHeader/>
          <w:jc w:val="center"/>
        </w:trPr>
        <w:tc>
          <w:tcPr>
            <w:tcW w:w="0" w:type="auto"/>
            <w:vAlign w:val="center"/>
          </w:tcPr>
          <w:p w14:paraId="73D39EEC">
            <w:pPr>
              <w:widowControl/>
              <w:adjustRightInd/>
              <w:spacing w:line="240" w:lineRule="exact"/>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val="en-US" w:eastAsia="zh-CN"/>
              </w:rPr>
              <w:t>房号</w:t>
            </w:r>
          </w:p>
        </w:tc>
        <w:tc>
          <w:tcPr>
            <w:tcW w:w="0" w:type="auto"/>
            <w:vAlign w:val="center"/>
          </w:tcPr>
          <w:p w14:paraId="4ED28D3A">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建筑面积（㎡）</w:t>
            </w:r>
          </w:p>
        </w:tc>
        <w:tc>
          <w:tcPr>
            <w:tcW w:w="0" w:type="auto"/>
            <w:vAlign w:val="center"/>
          </w:tcPr>
          <w:p w14:paraId="325C1FE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lang w:val="en-US" w:eastAsia="zh-CN"/>
              </w:rPr>
              <w:t>修正系数</w:t>
            </w:r>
          </w:p>
        </w:tc>
        <w:tc>
          <w:tcPr>
            <w:tcW w:w="0" w:type="auto"/>
            <w:vAlign w:val="center"/>
          </w:tcPr>
          <w:p w14:paraId="4A38D6D7">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lang w:val="en-US" w:eastAsia="zh-CN"/>
              </w:rPr>
              <w:t>临街情况</w:t>
            </w:r>
          </w:p>
        </w:tc>
        <w:tc>
          <w:tcPr>
            <w:tcW w:w="0" w:type="auto"/>
            <w:shd w:val="clear"/>
            <w:vAlign w:val="center"/>
          </w:tcPr>
          <w:p w14:paraId="2009818D">
            <w:pPr>
              <w:widowControl/>
              <w:adjustRightInd/>
              <w:spacing w:line="240" w:lineRule="exact"/>
              <w:jc w:val="center"/>
              <w:textAlignment w:val="auto"/>
              <w:rPr>
                <w:rFonts w:hint="eastAsia" w:ascii="Arial" w:hAnsi="Arial" w:eastAsia="华文细黑" w:cs="Arial"/>
                <w:color w:val="000000"/>
                <w:sz w:val="18"/>
                <w:szCs w:val="18"/>
                <w:lang w:val="en-US" w:eastAsia="zh-CN" w:bidi="ar-SA"/>
              </w:rPr>
            </w:pPr>
            <w:r>
              <w:rPr>
                <w:rFonts w:hint="eastAsia" w:ascii="Arial" w:hAnsi="Arial" w:eastAsia="华文细黑" w:cs="Arial"/>
                <w:color w:val="000000"/>
                <w:sz w:val="18"/>
                <w:szCs w:val="18"/>
              </w:rPr>
              <w:t>修正系数</w:t>
            </w:r>
          </w:p>
        </w:tc>
        <w:tc>
          <w:tcPr>
            <w:tcW w:w="0" w:type="auto"/>
            <w:vAlign w:val="center"/>
          </w:tcPr>
          <w:p w14:paraId="6F5F421C">
            <w:pPr>
              <w:widowControl/>
              <w:adjustRightInd/>
              <w:spacing w:line="240" w:lineRule="exact"/>
              <w:jc w:val="center"/>
              <w:textAlignment w:val="auto"/>
              <w:rPr>
                <w:rFonts w:hint="eastAsia"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朝向</w:t>
            </w:r>
          </w:p>
        </w:tc>
        <w:tc>
          <w:tcPr>
            <w:tcW w:w="0" w:type="auto"/>
            <w:vAlign w:val="center"/>
          </w:tcPr>
          <w:p w14:paraId="74DA846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修正系数</w:t>
            </w:r>
          </w:p>
        </w:tc>
        <w:tc>
          <w:tcPr>
            <w:tcW w:w="0" w:type="auto"/>
            <w:vAlign w:val="center"/>
          </w:tcPr>
          <w:p w14:paraId="356DF5E7">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租金单价（元/平方米/天）</w:t>
            </w:r>
          </w:p>
        </w:tc>
      </w:tr>
      <w:tr w14:paraId="3BF58531">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0" w:type="auto"/>
            <w:noWrap/>
          </w:tcPr>
          <w:p w14:paraId="496D8C47">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101</w:t>
            </w:r>
          </w:p>
        </w:tc>
        <w:tc>
          <w:tcPr>
            <w:tcW w:w="0" w:type="auto"/>
            <w:vAlign w:val="center"/>
          </w:tcPr>
          <w:p w14:paraId="6ADD3289">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647.17</w:t>
            </w:r>
          </w:p>
        </w:tc>
        <w:tc>
          <w:tcPr>
            <w:tcW w:w="0" w:type="auto"/>
            <w:vAlign w:val="center"/>
          </w:tcPr>
          <w:p w14:paraId="5516BB7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0" w:type="auto"/>
            <w:vAlign w:val="center"/>
          </w:tcPr>
          <w:p w14:paraId="1729ACB7">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城市主干道——长于大街</w:t>
            </w:r>
          </w:p>
        </w:tc>
        <w:tc>
          <w:tcPr>
            <w:tcW w:w="0" w:type="auto"/>
            <w:shd w:val="clear"/>
            <w:noWrap/>
            <w:vAlign w:val="center"/>
          </w:tcPr>
          <w:p w14:paraId="5F973F8C">
            <w:pPr>
              <w:widowControl/>
              <w:adjustRightInd/>
              <w:spacing w:line="240" w:lineRule="exact"/>
              <w:jc w:val="center"/>
              <w:textAlignment w:val="auto"/>
              <w:rPr>
                <w:rFonts w:hint="eastAsia" w:ascii="Arial" w:hAnsi="Arial" w:eastAsia="华文细黑" w:cs="Arial"/>
                <w:color w:val="000000"/>
                <w:sz w:val="18"/>
                <w:szCs w:val="18"/>
                <w:lang w:val="en-US" w:eastAsia="zh-CN" w:bidi="ar-SA"/>
              </w:rPr>
            </w:pPr>
            <w:r>
              <w:rPr>
                <w:rFonts w:hint="eastAsia" w:ascii="Arial" w:hAnsi="Arial" w:eastAsia="华文细黑" w:cs="Arial"/>
                <w:color w:val="000000"/>
                <w:sz w:val="18"/>
                <w:szCs w:val="18"/>
              </w:rPr>
              <w:t>1.00</w:t>
            </w:r>
          </w:p>
        </w:tc>
        <w:tc>
          <w:tcPr>
            <w:tcW w:w="0" w:type="auto"/>
            <w:noWrap/>
            <w:vAlign w:val="center"/>
          </w:tcPr>
          <w:p w14:paraId="390A9F09">
            <w:pPr>
              <w:widowControl/>
              <w:adjustRightInd/>
              <w:spacing w:line="240" w:lineRule="exact"/>
              <w:jc w:val="center"/>
              <w:textAlignment w:val="auto"/>
              <w:rPr>
                <w:rFonts w:hint="eastAsia"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西</w:t>
            </w:r>
          </w:p>
        </w:tc>
        <w:tc>
          <w:tcPr>
            <w:tcW w:w="0" w:type="auto"/>
            <w:noWrap/>
            <w:vAlign w:val="center"/>
          </w:tcPr>
          <w:p w14:paraId="332089A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0" w:type="auto"/>
            <w:noWrap/>
            <w:vAlign w:val="center"/>
          </w:tcPr>
          <w:p w14:paraId="74C590E8">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3.30</w:t>
            </w:r>
          </w:p>
        </w:tc>
      </w:tr>
      <w:tr w14:paraId="25C487D3">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0" w:type="auto"/>
            <w:noWrap/>
          </w:tcPr>
          <w:p w14:paraId="750882FB">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102</w:t>
            </w:r>
          </w:p>
        </w:tc>
        <w:tc>
          <w:tcPr>
            <w:tcW w:w="0" w:type="auto"/>
            <w:vAlign w:val="center"/>
          </w:tcPr>
          <w:p w14:paraId="52377AEB">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645.08</w:t>
            </w:r>
          </w:p>
        </w:tc>
        <w:tc>
          <w:tcPr>
            <w:tcW w:w="0" w:type="auto"/>
            <w:vAlign w:val="center"/>
          </w:tcPr>
          <w:p w14:paraId="1095769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0" w:type="auto"/>
            <w:shd w:val="clear"/>
            <w:vAlign w:val="center"/>
          </w:tcPr>
          <w:p w14:paraId="620C36B8">
            <w:pPr>
              <w:widowControl/>
              <w:adjustRightInd/>
              <w:spacing w:line="240" w:lineRule="exact"/>
              <w:jc w:val="center"/>
              <w:textAlignment w:val="auto"/>
              <w:rPr>
                <w:rFonts w:hint="default" w:ascii="Arial" w:hAnsi="Arial" w:eastAsia="华文细黑" w:cs="Arial"/>
                <w:color w:val="000000"/>
                <w:sz w:val="18"/>
                <w:szCs w:val="18"/>
                <w:lang w:val="en-US" w:eastAsia="zh-CN" w:bidi="ar-SA"/>
              </w:rPr>
            </w:pPr>
            <w:r>
              <w:rPr>
                <w:rFonts w:hint="eastAsia" w:ascii="Arial" w:hAnsi="Arial" w:eastAsia="华文细黑" w:cs="Arial"/>
                <w:color w:val="000000"/>
                <w:sz w:val="18"/>
                <w:szCs w:val="18"/>
                <w:lang w:val="en-US" w:eastAsia="zh-CN"/>
              </w:rPr>
              <w:t>城市主干道——长于大街</w:t>
            </w:r>
          </w:p>
        </w:tc>
        <w:tc>
          <w:tcPr>
            <w:tcW w:w="0" w:type="auto"/>
            <w:shd w:val="clear"/>
            <w:noWrap/>
            <w:vAlign w:val="center"/>
          </w:tcPr>
          <w:p w14:paraId="593F7EAE">
            <w:pPr>
              <w:widowControl/>
              <w:adjustRightInd/>
              <w:spacing w:line="240" w:lineRule="exact"/>
              <w:jc w:val="center"/>
              <w:textAlignment w:val="auto"/>
              <w:rPr>
                <w:rFonts w:hint="eastAsia" w:ascii="Arial" w:hAnsi="Arial" w:eastAsia="华文细黑" w:cs="Arial"/>
                <w:color w:val="000000"/>
                <w:sz w:val="18"/>
                <w:szCs w:val="18"/>
                <w:lang w:val="en-US" w:eastAsia="zh-CN" w:bidi="ar-SA"/>
              </w:rPr>
            </w:pPr>
            <w:r>
              <w:rPr>
                <w:rFonts w:hint="eastAsia" w:ascii="Arial" w:hAnsi="Arial" w:eastAsia="华文细黑" w:cs="Arial"/>
                <w:color w:val="000000"/>
                <w:sz w:val="18"/>
                <w:szCs w:val="18"/>
              </w:rPr>
              <w:t>1.00</w:t>
            </w:r>
          </w:p>
        </w:tc>
        <w:tc>
          <w:tcPr>
            <w:tcW w:w="0" w:type="auto"/>
            <w:noWrap/>
            <w:vAlign w:val="center"/>
          </w:tcPr>
          <w:p w14:paraId="3155CF68">
            <w:pPr>
              <w:widowControl/>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lang w:val="en-US" w:eastAsia="zh-CN"/>
              </w:rPr>
              <w:t>西</w:t>
            </w:r>
          </w:p>
        </w:tc>
        <w:tc>
          <w:tcPr>
            <w:tcW w:w="0" w:type="auto"/>
            <w:noWrap/>
            <w:vAlign w:val="center"/>
          </w:tcPr>
          <w:p w14:paraId="3821D26D">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0" w:type="auto"/>
            <w:noWrap/>
            <w:vAlign w:val="center"/>
          </w:tcPr>
          <w:p w14:paraId="175EB5ED">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3.30</w:t>
            </w:r>
          </w:p>
        </w:tc>
      </w:tr>
      <w:tr w14:paraId="632B4AAD">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trHeight w:val="248" w:hRule="atLeast"/>
          <w:jc w:val="center"/>
        </w:trPr>
        <w:tc>
          <w:tcPr>
            <w:tcW w:w="0" w:type="auto"/>
            <w:noWrap/>
          </w:tcPr>
          <w:p w14:paraId="4B2F56FF">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103</w:t>
            </w:r>
          </w:p>
        </w:tc>
        <w:tc>
          <w:tcPr>
            <w:tcW w:w="0" w:type="auto"/>
            <w:vAlign w:val="center"/>
          </w:tcPr>
          <w:p w14:paraId="6F8A984C">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645.10</w:t>
            </w:r>
          </w:p>
        </w:tc>
        <w:tc>
          <w:tcPr>
            <w:tcW w:w="0" w:type="auto"/>
            <w:vAlign w:val="center"/>
          </w:tcPr>
          <w:p w14:paraId="558A3DA4">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rPr>
              <w:t>1.00</w:t>
            </w:r>
          </w:p>
        </w:tc>
        <w:tc>
          <w:tcPr>
            <w:tcW w:w="0" w:type="auto"/>
            <w:vAlign w:val="center"/>
          </w:tcPr>
          <w:p w14:paraId="45C2985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lang w:val="en-US" w:eastAsia="zh-CN"/>
              </w:rPr>
              <w:t>城市次干道——水碾屯北路</w:t>
            </w:r>
          </w:p>
        </w:tc>
        <w:tc>
          <w:tcPr>
            <w:tcW w:w="759" w:type="dxa"/>
            <w:shd w:val="clear"/>
            <w:noWrap/>
            <w:vAlign w:val="center"/>
          </w:tcPr>
          <w:p w14:paraId="01DC92F4">
            <w:pPr>
              <w:widowControl/>
              <w:adjustRightInd/>
              <w:spacing w:line="240" w:lineRule="exact"/>
              <w:jc w:val="center"/>
              <w:textAlignment w:val="auto"/>
              <w:rPr>
                <w:rFonts w:hint="eastAsia" w:ascii="Arial" w:hAnsi="Arial" w:eastAsia="华文细黑" w:cs="Arial"/>
                <w:color w:val="000000"/>
                <w:sz w:val="18"/>
                <w:szCs w:val="18"/>
                <w:lang w:val="en-US" w:eastAsia="zh-CN" w:bidi="ar-SA"/>
              </w:rPr>
            </w:pPr>
            <w:r>
              <w:rPr>
                <w:rFonts w:hint="eastAsia" w:ascii="Arial" w:hAnsi="Arial" w:eastAsia="华文细黑" w:cs="Arial"/>
                <w:color w:val="000000"/>
                <w:sz w:val="18"/>
                <w:szCs w:val="18"/>
                <w:lang w:val="en-US" w:eastAsia="zh-CN"/>
              </w:rPr>
              <w:t>0.99</w:t>
            </w:r>
          </w:p>
        </w:tc>
        <w:tc>
          <w:tcPr>
            <w:tcW w:w="0" w:type="auto"/>
            <w:noWrap/>
            <w:vAlign w:val="center"/>
          </w:tcPr>
          <w:p w14:paraId="7462BDDF">
            <w:pPr>
              <w:widowControl/>
              <w:adjustRightInd/>
              <w:spacing w:line="240" w:lineRule="exact"/>
              <w:jc w:val="center"/>
              <w:textAlignment w:val="auto"/>
              <w:rPr>
                <w:rFonts w:hint="eastAsia"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南</w:t>
            </w:r>
          </w:p>
        </w:tc>
        <w:tc>
          <w:tcPr>
            <w:tcW w:w="0" w:type="auto"/>
            <w:noWrap/>
            <w:vAlign w:val="center"/>
          </w:tcPr>
          <w:p w14:paraId="7B8278E4">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1.01</w:t>
            </w:r>
          </w:p>
        </w:tc>
        <w:tc>
          <w:tcPr>
            <w:tcW w:w="0" w:type="auto"/>
            <w:noWrap/>
            <w:vAlign w:val="center"/>
          </w:tcPr>
          <w:p w14:paraId="469BA1F3">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3.30</w:t>
            </w:r>
          </w:p>
        </w:tc>
      </w:tr>
      <w:tr w14:paraId="2D4A26FA">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0" w:type="auto"/>
            <w:noWrap/>
          </w:tcPr>
          <w:p w14:paraId="1DFEB587">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104</w:t>
            </w:r>
          </w:p>
        </w:tc>
        <w:tc>
          <w:tcPr>
            <w:tcW w:w="0" w:type="auto"/>
            <w:vAlign w:val="center"/>
          </w:tcPr>
          <w:p w14:paraId="266CC65D">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654.08</w:t>
            </w:r>
          </w:p>
        </w:tc>
        <w:tc>
          <w:tcPr>
            <w:tcW w:w="0" w:type="auto"/>
            <w:vAlign w:val="center"/>
          </w:tcPr>
          <w:p w14:paraId="05C2DCBC">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rPr>
              <w:t>1.00</w:t>
            </w:r>
          </w:p>
        </w:tc>
        <w:tc>
          <w:tcPr>
            <w:tcW w:w="0" w:type="auto"/>
            <w:vAlign w:val="center"/>
          </w:tcPr>
          <w:p w14:paraId="325608F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lang w:val="en-US" w:eastAsia="zh-CN"/>
              </w:rPr>
              <w:t>城市次干道——水碾屯北路</w:t>
            </w:r>
          </w:p>
        </w:tc>
        <w:tc>
          <w:tcPr>
            <w:tcW w:w="759" w:type="dxa"/>
            <w:shd w:val="clear"/>
            <w:noWrap/>
            <w:vAlign w:val="center"/>
          </w:tcPr>
          <w:p w14:paraId="252E0C37">
            <w:pPr>
              <w:widowControl/>
              <w:adjustRightInd/>
              <w:spacing w:line="240" w:lineRule="exact"/>
              <w:jc w:val="center"/>
              <w:textAlignment w:val="auto"/>
              <w:rPr>
                <w:rFonts w:hint="eastAsia" w:ascii="Arial" w:hAnsi="Arial" w:eastAsia="华文细黑" w:cs="Arial"/>
                <w:color w:val="000000"/>
                <w:sz w:val="18"/>
                <w:szCs w:val="18"/>
                <w:lang w:val="en-US" w:eastAsia="zh-CN" w:bidi="ar-SA"/>
              </w:rPr>
            </w:pPr>
            <w:r>
              <w:rPr>
                <w:rFonts w:hint="eastAsia" w:ascii="Arial" w:hAnsi="Arial" w:eastAsia="华文细黑" w:cs="Arial"/>
                <w:color w:val="000000"/>
                <w:sz w:val="18"/>
                <w:szCs w:val="18"/>
                <w:lang w:val="en-US" w:eastAsia="zh-CN"/>
              </w:rPr>
              <w:t>0.99</w:t>
            </w:r>
          </w:p>
        </w:tc>
        <w:tc>
          <w:tcPr>
            <w:tcW w:w="0" w:type="auto"/>
            <w:noWrap/>
            <w:vAlign w:val="center"/>
          </w:tcPr>
          <w:p w14:paraId="4ADF7007">
            <w:pPr>
              <w:widowControl/>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lang w:val="en-US" w:eastAsia="zh-CN"/>
              </w:rPr>
              <w:t>南</w:t>
            </w:r>
          </w:p>
        </w:tc>
        <w:tc>
          <w:tcPr>
            <w:tcW w:w="0" w:type="auto"/>
            <w:noWrap/>
            <w:vAlign w:val="center"/>
          </w:tcPr>
          <w:p w14:paraId="4B49ADE0">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1.01</w:t>
            </w:r>
          </w:p>
        </w:tc>
        <w:tc>
          <w:tcPr>
            <w:tcW w:w="0" w:type="auto"/>
            <w:noWrap/>
            <w:vAlign w:val="center"/>
          </w:tcPr>
          <w:p w14:paraId="7934CBC8">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3.30</w:t>
            </w:r>
          </w:p>
        </w:tc>
      </w:tr>
      <w:tr w14:paraId="5F62FEC5">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0" w:type="auto"/>
            <w:noWrap/>
          </w:tcPr>
          <w:p w14:paraId="599F574D">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3号楼1层综合单价</w:t>
            </w:r>
          </w:p>
        </w:tc>
        <w:tc>
          <w:tcPr>
            <w:tcW w:w="0" w:type="auto"/>
            <w:vAlign w:val="center"/>
          </w:tcPr>
          <w:p w14:paraId="77E55F7F">
            <w:pPr>
              <w:widowControl/>
              <w:adjustRightInd/>
              <w:spacing w:line="240" w:lineRule="exact"/>
              <w:jc w:val="center"/>
              <w:textAlignment w:val="auto"/>
              <w:rPr>
                <w:rFonts w:hint="eastAsia"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w:t>
            </w:r>
          </w:p>
        </w:tc>
        <w:tc>
          <w:tcPr>
            <w:tcW w:w="0" w:type="auto"/>
            <w:vAlign w:val="center"/>
          </w:tcPr>
          <w:p w14:paraId="54D139F2">
            <w:pPr>
              <w:widowControl/>
              <w:adjustRightInd/>
              <w:spacing w:line="240" w:lineRule="exact"/>
              <w:jc w:val="center"/>
              <w:textAlignment w:val="auto"/>
              <w:rPr>
                <w:rFonts w:hint="eastAsia"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w:t>
            </w:r>
          </w:p>
        </w:tc>
        <w:tc>
          <w:tcPr>
            <w:tcW w:w="0" w:type="auto"/>
            <w:vAlign w:val="center"/>
          </w:tcPr>
          <w:p w14:paraId="402E24D7">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w:t>
            </w:r>
          </w:p>
        </w:tc>
        <w:tc>
          <w:tcPr>
            <w:tcW w:w="0" w:type="auto"/>
            <w:shd w:val="clear"/>
            <w:noWrap/>
            <w:vAlign w:val="center"/>
          </w:tcPr>
          <w:p w14:paraId="20A0A0B5">
            <w:pPr>
              <w:widowControl/>
              <w:adjustRightInd/>
              <w:spacing w:line="240" w:lineRule="exact"/>
              <w:jc w:val="center"/>
              <w:textAlignment w:val="auto"/>
              <w:rPr>
                <w:rFonts w:hint="eastAsia"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w:t>
            </w:r>
          </w:p>
        </w:tc>
        <w:tc>
          <w:tcPr>
            <w:tcW w:w="0" w:type="auto"/>
            <w:noWrap/>
            <w:vAlign w:val="center"/>
          </w:tcPr>
          <w:p w14:paraId="0EFF0971">
            <w:pPr>
              <w:widowControl/>
              <w:adjustRightInd/>
              <w:spacing w:line="240" w:lineRule="exact"/>
              <w:jc w:val="center"/>
              <w:textAlignment w:val="auto"/>
              <w:rPr>
                <w:rFonts w:hint="eastAsia" w:ascii="Arial" w:hAnsi="Arial" w:eastAsia="华文细黑" w:cs="Arial"/>
                <w:color w:val="000000"/>
                <w:sz w:val="18"/>
                <w:szCs w:val="18"/>
              </w:rPr>
            </w:pPr>
          </w:p>
        </w:tc>
        <w:tc>
          <w:tcPr>
            <w:tcW w:w="0" w:type="auto"/>
            <w:noWrap/>
            <w:vAlign w:val="center"/>
          </w:tcPr>
          <w:p w14:paraId="1F81D636">
            <w:pPr>
              <w:widowControl/>
              <w:adjustRightInd/>
              <w:spacing w:line="240" w:lineRule="exact"/>
              <w:jc w:val="center"/>
              <w:textAlignment w:val="auto"/>
              <w:rPr>
                <w:rFonts w:hint="eastAsia" w:ascii="Arial" w:hAnsi="Arial" w:eastAsia="华文细黑" w:cs="Arial"/>
                <w:color w:val="000000"/>
                <w:sz w:val="18"/>
                <w:szCs w:val="18"/>
              </w:rPr>
            </w:pPr>
          </w:p>
        </w:tc>
        <w:tc>
          <w:tcPr>
            <w:tcW w:w="0" w:type="auto"/>
            <w:noWrap/>
            <w:vAlign w:val="center"/>
          </w:tcPr>
          <w:p w14:paraId="63A65F4C">
            <w:pPr>
              <w:widowControl/>
              <w:adjustRightInd/>
              <w:spacing w:line="240" w:lineRule="exact"/>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3.30</w:t>
            </w:r>
            <w:commentRangeEnd w:id="8"/>
            <w:r>
              <w:commentReference w:id="8"/>
            </w:r>
          </w:p>
        </w:tc>
      </w:tr>
    </w:tbl>
    <w:p w14:paraId="7113E216">
      <w:pPr>
        <w:keepNext w:val="0"/>
        <w:keepLines w:val="0"/>
        <w:pageBreakBefore w:val="0"/>
        <w:widowControl w:val="0"/>
        <w:kinsoku/>
        <w:wordWrap/>
        <w:overflowPunct/>
        <w:topLinePunct w:val="0"/>
        <w:autoSpaceDE/>
        <w:autoSpaceDN/>
        <w:bidi w:val="0"/>
        <w:adjustRightInd w:val="0"/>
        <w:snapToGrid/>
        <w:spacing w:before="327" w:beforeLines="100" w:line="480" w:lineRule="auto"/>
        <w:ind w:firstLine="422" w:firstLineChars="200"/>
        <w:jc w:val="both"/>
        <w:textAlignment w:val="baseline"/>
        <w:rPr>
          <w:rFonts w:ascii="Arial" w:hAnsi="Arial" w:cs="Arial"/>
          <w:b/>
          <w:bCs/>
          <w:kern w:val="2"/>
          <w:sz w:val="21"/>
          <w:szCs w:val="21"/>
        </w:rPr>
      </w:pPr>
      <w:r>
        <w:rPr>
          <w:rFonts w:hint="eastAsia" w:ascii="Calibri" w:hAnsi="Calibri" w:cs="Calibri"/>
          <w:b/>
          <w:bCs/>
          <w:kern w:val="2"/>
          <w:sz w:val="21"/>
          <w:szCs w:val="21"/>
        </w:rPr>
        <w:t>（二）</w:t>
      </w:r>
      <w:r>
        <w:rPr>
          <w:rFonts w:hint="eastAsia" w:ascii="Arial" w:hAnsi="Arial" w:cs="Arial"/>
          <w:b/>
          <w:bCs/>
          <w:kern w:val="2"/>
          <w:sz w:val="21"/>
          <w:szCs w:val="21"/>
        </w:rPr>
        <w:t>求取估价对象各楼层商业用房市场租金水平</w:t>
      </w:r>
    </w:p>
    <w:p w14:paraId="49A022D3">
      <w:pPr>
        <w:overflowPunct w:val="0"/>
        <w:spacing w:line="480" w:lineRule="auto"/>
        <w:ind w:firstLine="420" w:firstLineChars="200"/>
        <w:jc w:val="both"/>
        <w:textAlignment w:val="auto"/>
        <w:rPr>
          <w:rFonts w:ascii="Arial" w:hAnsi="Arial" w:cs="Arial"/>
          <w:sz w:val="21"/>
          <w:szCs w:val="21"/>
        </w:rPr>
      </w:pPr>
      <w:r>
        <w:rPr>
          <w:rFonts w:hint="eastAsia" w:ascii="Arial" w:hAnsi="Arial"/>
          <w:bCs/>
          <w:sz w:val="21"/>
        </w:rPr>
        <w:t>估价</w:t>
      </w:r>
      <w:r>
        <w:rPr>
          <w:rFonts w:hint="eastAsia" w:ascii="Arial" w:hAnsi="Arial"/>
          <w:kern w:val="2"/>
          <w:sz w:val="21"/>
        </w:rPr>
        <w:t>对象为</w:t>
      </w:r>
      <w:r>
        <w:rPr>
          <w:rFonts w:ascii="Arial" w:hAnsi="Arial"/>
          <w:kern w:val="2"/>
          <w:sz w:val="21"/>
        </w:rPr>
        <w:t>北京市房山区阜盛西街11号院3</w:t>
      </w:r>
      <w:r>
        <w:rPr>
          <w:rFonts w:hint="eastAsia" w:ascii="Arial" w:hAnsi="Arial"/>
          <w:kern w:val="2"/>
          <w:sz w:val="21"/>
        </w:rPr>
        <w:t>号楼</w:t>
      </w:r>
      <w:r>
        <w:rPr>
          <w:rFonts w:ascii="Arial" w:hAnsi="Arial"/>
          <w:kern w:val="2"/>
          <w:sz w:val="21"/>
        </w:rPr>
        <w:t>地上1</w:t>
      </w:r>
      <w:r>
        <w:rPr>
          <w:rFonts w:hint="eastAsia" w:ascii="Arial" w:hAnsi="Arial"/>
          <w:kern w:val="2"/>
          <w:sz w:val="21"/>
        </w:rPr>
        <w:t>层101号等29套商业用房，评估专业人</w:t>
      </w:r>
      <w:r>
        <w:rPr>
          <w:rFonts w:ascii="Arial" w:hAnsi="Arial" w:cs="Arial"/>
          <w:sz w:val="21"/>
          <w:szCs w:val="21"/>
        </w:rPr>
        <w:t>员根据实际情况，以</w:t>
      </w:r>
      <w:r>
        <w:rPr>
          <w:rFonts w:hint="eastAsia" w:ascii="Arial" w:hAnsi="Arial"/>
          <w:kern w:val="2"/>
          <w:sz w:val="21"/>
        </w:rPr>
        <w:t>估价对象1层商业用房市场租金</w:t>
      </w:r>
      <w:r>
        <w:rPr>
          <w:rFonts w:ascii="Arial" w:hAnsi="Arial" w:cs="Arial"/>
          <w:sz w:val="21"/>
        </w:rPr>
        <w:t>为基准，</w:t>
      </w:r>
      <w:r>
        <w:rPr>
          <w:rFonts w:hint="eastAsia" w:ascii="Arial" w:hAnsi="Arial" w:cs="Arial"/>
          <w:sz w:val="21"/>
        </w:rPr>
        <w:t>根据各楼栋、楼层</w:t>
      </w:r>
      <w:r>
        <w:rPr>
          <w:rFonts w:hint="eastAsia" w:ascii="Arial" w:hAnsi="Arial"/>
          <w:kern w:val="2"/>
          <w:sz w:val="21"/>
        </w:rPr>
        <w:t>因素不同，</w:t>
      </w:r>
      <w:r>
        <w:rPr>
          <w:rFonts w:ascii="Arial" w:hAnsi="Arial" w:cs="Arial"/>
          <w:sz w:val="21"/>
        </w:rPr>
        <w:t>对</w:t>
      </w:r>
      <w:r>
        <w:rPr>
          <w:rFonts w:hint="eastAsia" w:ascii="Arial" w:hAnsi="Arial"/>
          <w:kern w:val="2"/>
          <w:sz w:val="21"/>
        </w:rPr>
        <w:t>估价对象其他楼层</w:t>
      </w:r>
      <w:r>
        <w:rPr>
          <w:rFonts w:ascii="Arial" w:hAnsi="Arial" w:cs="Arial"/>
          <w:sz w:val="21"/>
          <w:szCs w:val="21"/>
        </w:rPr>
        <w:t>进行调整，确定估价对象</w:t>
      </w:r>
      <w:r>
        <w:rPr>
          <w:rFonts w:hint="eastAsia" w:ascii="Arial" w:hAnsi="Arial" w:cs="Arial"/>
          <w:sz w:val="21"/>
          <w:szCs w:val="21"/>
        </w:rPr>
        <w:t>商业用房</w:t>
      </w:r>
      <w:r>
        <w:rPr>
          <w:rFonts w:ascii="Arial" w:hAnsi="Arial" w:cs="Arial"/>
          <w:sz w:val="21"/>
          <w:szCs w:val="21"/>
        </w:rPr>
        <w:t>的房地产</w:t>
      </w:r>
      <w:r>
        <w:rPr>
          <w:rFonts w:hint="eastAsia" w:ascii="Arial" w:hAnsi="Arial" w:cs="Arial"/>
          <w:sz w:val="21"/>
          <w:szCs w:val="21"/>
        </w:rPr>
        <w:t>市场租金水平</w:t>
      </w:r>
      <w:r>
        <w:rPr>
          <w:rFonts w:ascii="Arial" w:hAnsi="Arial" w:cs="Arial"/>
          <w:sz w:val="21"/>
          <w:szCs w:val="21"/>
        </w:rPr>
        <w:t>。具体</w:t>
      </w:r>
      <w:r>
        <w:rPr>
          <w:rFonts w:hint="eastAsia" w:ascii="Arial" w:hAnsi="Arial" w:cs="Arial"/>
          <w:sz w:val="21"/>
          <w:szCs w:val="21"/>
        </w:rPr>
        <w:t>分析如下</w:t>
      </w:r>
      <w:r>
        <w:rPr>
          <w:rFonts w:ascii="Arial" w:hAnsi="Arial" w:cs="Arial"/>
          <w:sz w:val="21"/>
          <w:szCs w:val="21"/>
        </w:rPr>
        <w:t>：</w:t>
      </w:r>
    </w:p>
    <w:p w14:paraId="1A7CE244">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1）阜盛西街11号院3号楼地上1-2层共7套商业用房，位于042地块，西侧紧邻城市主干道——长于大街，南侧面向熙悦天街B馆，紧邻城市支路——水碾屯北路，可视性较好，1层层高6米，2层层高5.4米，开敞空间，1、2层上下独立，可自由分割，通达性较好，内部平面布局较规整，建筑面积5287.83平方米，套内建筑面积4052.97平方米，使用率77%。</w:t>
      </w:r>
    </w:p>
    <w:p w14:paraId="1AAFE8CE">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2）阜盛西街11号院6号楼地下1层共9套商业用房，位于042地块，属于地下封闭式商业用房，不临街，通往地下仅有一个楼梯入口，货物运输受限，可视性差，通达性差，层高受限，内部平面布局不规整，建筑面积8822.48平方米，套内建筑面积5253.44平方米，使用率60%。</w:t>
      </w:r>
    </w:p>
    <w:p w14:paraId="61F637E0">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（3）</w:t>
      </w:r>
      <w:r>
        <w:rPr>
          <w:rFonts w:hint="eastAsia" w:ascii="Arial" w:hAnsi="Arial"/>
          <w:color w:val="000000"/>
          <w:kern w:val="2"/>
          <w:sz w:val="21"/>
        </w:rPr>
        <w:t>长阳镇FS00-LX10-0044地块6号商业楼地上1-2层共6套商业用房，</w:t>
      </w:r>
      <w:r>
        <w:rPr>
          <w:rFonts w:hint="eastAsia" w:ascii="Arial" w:hAnsi="Arial" w:cs="Arial"/>
          <w:kern w:val="2"/>
          <w:sz w:val="21"/>
          <w:szCs w:val="21"/>
        </w:rPr>
        <w:t>东侧临近城市次干道——阜盛西街，西侧紧邻熙悦天街B馆，可视性一般，1层层高6米，2层层高5.4米，开敞空间，1、2层上下独立，可自由分割，通达性一般，内部平面布局较规整，建筑面积4785.09平方米，套内建筑面积4054.05平方米，使用率85%。</w:t>
      </w:r>
    </w:p>
    <w:p w14:paraId="7212F6C9">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（4）长于大街28号院100幢地下1层共7套商业用房，位于044地块下沉广场，不临街，可视性较差，通达性较差，内部平面布局不规整，建筑面积5976.27平方米，套内建筑面积3830.01平方米，使用率64%。</w:t>
      </w:r>
    </w:p>
    <w:tbl>
      <w:tblPr>
        <w:tblStyle w:val="32"/>
        <w:tblW w:w="4995" w:type="pct"/>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509"/>
        <w:gridCol w:w="1201"/>
        <w:gridCol w:w="1020"/>
        <w:gridCol w:w="1045"/>
        <w:gridCol w:w="1116"/>
        <w:gridCol w:w="1092"/>
        <w:gridCol w:w="1044"/>
        <w:gridCol w:w="923"/>
        <w:gridCol w:w="1454"/>
      </w:tblGrid>
      <w:tr w14:paraId="3308F463">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tblHeader/>
          <w:jc w:val="center"/>
        </w:trPr>
        <w:tc>
          <w:tcPr>
            <w:tcW w:w="270" w:type="pct"/>
            <w:vAlign w:val="center"/>
          </w:tcPr>
          <w:p w14:paraId="13E6DA2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楼层</w:t>
            </w:r>
          </w:p>
        </w:tc>
        <w:tc>
          <w:tcPr>
            <w:tcW w:w="638" w:type="pct"/>
            <w:vAlign w:val="center"/>
          </w:tcPr>
          <w:p w14:paraId="07E66C7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542" w:type="pct"/>
            <w:vAlign w:val="center"/>
          </w:tcPr>
          <w:p w14:paraId="415EDFD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可视性修正系数</w:t>
            </w:r>
          </w:p>
        </w:tc>
        <w:tc>
          <w:tcPr>
            <w:tcW w:w="555" w:type="pct"/>
            <w:vAlign w:val="center"/>
          </w:tcPr>
          <w:p w14:paraId="5D93880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通达性修正系数</w:t>
            </w:r>
          </w:p>
        </w:tc>
        <w:tc>
          <w:tcPr>
            <w:tcW w:w="593" w:type="pct"/>
            <w:vAlign w:val="center"/>
          </w:tcPr>
          <w:p w14:paraId="5AA9BDFD">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层高修正系数</w:t>
            </w:r>
          </w:p>
        </w:tc>
        <w:tc>
          <w:tcPr>
            <w:tcW w:w="580" w:type="pct"/>
            <w:vAlign w:val="center"/>
          </w:tcPr>
          <w:p w14:paraId="0BAA7C9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平面布局修正系数</w:t>
            </w:r>
          </w:p>
        </w:tc>
        <w:tc>
          <w:tcPr>
            <w:tcW w:w="555" w:type="pct"/>
            <w:vAlign w:val="center"/>
          </w:tcPr>
          <w:p w14:paraId="08E3E37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使用率修正系数</w:t>
            </w:r>
          </w:p>
        </w:tc>
        <w:tc>
          <w:tcPr>
            <w:tcW w:w="491" w:type="pct"/>
            <w:vAlign w:val="center"/>
          </w:tcPr>
          <w:p w14:paraId="5D9ED0F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楼层修正系数</w:t>
            </w:r>
          </w:p>
        </w:tc>
        <w:tc>
          <w:tcPr>
            <w:tcW w:w="773" w:type="pct"/>
            <w:vAlign w:val="center"/>
          </w:tcPr>
          <w:p w14:paraId="0812F85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调整后建筑面积租金单价</w:t>
            </w:r>
          </w:p>
        </w:tc>
      </w:tr>
      <w:tr w14:paraId="3CF9771C">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restart"/>
            <w:noWrap/>
          </w:tcPr>
          <w:p w14:paraId="5723455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638" w:type="pct"/>
            <w:noWrap/>
          </w:tcPr>
          <w:p w14:paraId="004A786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542" w:type="pct"/>
            <w:noWrap/>
          </w:tcPr>
          <w:p w14:paraId="56114E3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55" w:type="pct"/>
            <w:vAlign w:val="center"/>
          </w:tcPr>
          <w:p w14:paraId="24EE82AC">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93" w:type="pct"/>
            <w:vAlign w:val="center"/>
          </w:tcPr>
          <w:p w14:paraId="298D34E7">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80" w:type="pct"/>
            <w:vAlign w:val="center"/>
          </w:tcPr>
          <w:p w14:paraId="49147799">
            <w:pPr>
              <w:widowControl/>
              <w:adjustRightInd/>
              <w:spacing w:line="240" w:lineRule="exac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1.00</w:t>
            </w:r>
          </w:p>
        </w:tc>
        <w:tc>
          <w:tcPr>
            <w:tcW w:w="555" w:type="pct"/>
            <w:noWrap/>
            <w:vAlign w:val="center"/>
          </w:tcPr>
          <w:p w14:paraId="6BFB527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491" w:type="pct"/>
            <w:noWrap/>
            <w:vAlign w:val="center"/>
          </w:tcPr>
          <w:p w14:paraId="43B57E8D">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773" w:type="pct"/>
            <w:noWrap/>
            <w:vAlign w:val="center"/>
          </w:tcPr>
          <w:p w14:paraId="5EF4172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26094572">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continue"/>
            <w:noWrap/>
          </w:tcPr>
          <w:p w14:paraId="41D820D0">
            <w:pPr>
              <w:widowControl/>
              <w:adjustRightInd/>
              <w:spacing w:line="240" w:lineRule="exact"/>
              <w:jc w:val="center"/>
              <w:textAlignment w:val="auto"/>
              <w:rPr>
                <w:rFonts w:ascii="Arial" w:hAnsi="Arial" w:eastAsia="华文细黑" w:cs="Arial"/>
                <w:color w:val="000000"/>
                <w:sz w:val="18"/>
                <w:szCs w:val="18"/>
              </w:rPr>
            </w:pPr>
          </w:p>
        </w:tc>
        <w:tc>
          <w:tcPr>
            <w:tcW w:w="638" w:type="pct"/>
            <w:noWrap/>
          </w:tcPr>
          <w:p w14:paraId="526E788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542" w:type="pct"/>
            <w:noWrap/>
          </w:tcPr>
          <w:p w14:paraId="7B12B5C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vAlign w:val="center"/>
          </w:tcPr>
          <w:p w14:paraId="29C5B95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93" w:type="pct"/>
            <w:vAlign w:val="center"/>
          </w:tcPr>
          <w:p w14:paraId="034EAB9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80" w:type="pct"/>
            <w:vAlign w:val="center"/>
          </w:tcPr>
          <w:p w14:paraId="059A813F">
            <w:pPr>
              <w:widowControl/>
              <w:adjustRightInd/>
              <w:spacing w:line="240" w:lineRule="exact"/>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1.0</w:t>
            </w:r>
            <w:r>
              <w:rPr>
                <w:rFonts w:hint="eastAsia" w:ascii="Arial" w:hAnsi="Arial" w:eastAsia="华文细黑" w:cs="Arial"/>
                <w:color w:val="000000"/>
                <w:sz w:val="18"/>
                <w:szCs w:val="18"/>
              </w:rPr>
              <w:t>0</w:t>
            </w:r>
          </w:p>
        </w:tc>
        <w:tc>
          <w:tcPr>
            <w:tcW w:w="555" w:type="pct"/>
            <w:noWrap/>
            <w:vAlign w:val="center"/>
          </w:tcPr>
          <w:p w14:paraId="0119470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491" w:type="pct"/>
            <w:noWrap/>
            <w:vAlign w:val="center"/>
          </w:tcPr>
          <w:p w14:paraId="5EBB92B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773" w:type="pct"/>
            <w:noWrap/>
            <w:vAlign w:val="center"/>
          </w:tcPr>
          <w:p w14:paraId="22EF8FE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4777E0C5">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trHeight w:val="248" w:hRule="atLeast"/>
          <w:jc w:val="center"/>
        </w:trPr>
        <w:tc>
          <w:tcPr>
            <w:tcW w:w="270" w:type="pct"/>
            <w:vMerge w:val="restart"/>
            <w:noWrap/>
          </w:tcPr>
          <w:p w14:paraId="55A9D70D">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w:t>
            </w:r>
          </w:p>
        </w:tc>
        <w:tc>
          <w:tcPr>
            <w:tcW w:w="638" w:type="pct"/>
            <w:noWrap/>
          </w:tcPr>
          <w:p w14:paraId="54924DA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542" w:type="pct"/>
            <w:noWrap/>
          </w:tcPr>
          <w:p w14:paraId="610FBCC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55" w:type="pct"/>
            <w:vAlign w:val="center"/>
          </w:tcPr>
          <w:p w14:paraId="166B369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93" w:type="pct"/>
            <w:vAlign w:val="center"/>
          </w:tcPr>
          <w:p w14:paraId="0A7BF31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80" w:type="pct"/>
            <w:vAlign w:val="center"/>
          </w:tcPr>
          <w:p w14:paraId="2A24803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09FA693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491" w:type="pct"/>
            <w:noWrap/>
            <w:vAlign w:val="center"/>
          </w:tcPr>
          <w:p w14:paraId="13ABCB6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0.80</w:t>
            </w:r>
          </w:p>
        </w:tc>
        <w:tc>
          <w:tcPr>
            <w:tcW w:w="773" w:type="pct"/>
            <w:noWrap/>
            <w:vAlign w:val="center"/>
          </w:tcPr>
          <w:p w14:paraId="0141C63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7FEDC1CE">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continue"/>
            <w:noWrap/>
          </w:tcPr>
          <w:p w14:paraId="11D3C606">
            <w:pPr>
              <w:widowControl/>
              <w:adjustRightInd/>
              <w:spacing w:line="240" w:lineRule="exact"/>
              <w:jc w:val="center"/>
              <w:textAlignment w:val="auto"/>
              <w:rPr>
                <w:rFonts w:ascii="Arial" w:hAnsi="Arial" w:eastAsia="华文细黑" w:cs="Arial"/>
                <w:color w:val="000000"/>
                <w:sz w:val="18"/>
                <w:szCs w:val="18"/>
              </w:rPr>
            </w:pPr>
          </w:p>
        </w:tc>
        <w:tc>
          <w:tcPr>
            <w:tcW w:w="638" w:type="pct"/>
            <w:noWrap/>
          </w:tcPr>
          <w:p w14:paraId="6811F34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542" w:type="pct"/>
            <w:noWrap/>
          </w:tcPr>
          <w:p w14:paraId="71D8A14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vAlign w:val="center"/>
          </w:tcPr>
          <w:p w14:paraId="6008AA2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93" w:type="pct"/>
            <w:vAlign w:val="center"/>
          </w:tcPr>
          <w:p w14:paraId="761AC5C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80" w:type="pct"/>
            <w:vAlign w:val="center"/>
          </w:tcPr>
          <w:p w14:paraId="35E565F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5B289FE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491" w:type="pct"/>
            <w:noWrap/>
            <w:vAlign w:val="center"/>
          </w:tcPr>
          <w:p w14:paraId="0D1325A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0.80</w:t>
            </w:r>
          </w:p>
        </w:tc>
        <w:tc>
          <w:tcPr>
            <w:tcW w:w="773" w:type="pct"/>
            <w:noWrap/>
            <w:vAlign w:val="center"/>
          </w:tcPr>
          <w:p w14:paraId="3964B28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0ACF34EB">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restart"/>
            <w:noWrap/>
          </w:tcPr>
          <w:p w14:paraId="58E037D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638" w:type="pct"/>
            <w:noWrap/>
          </w:tcPr>
          <w:p w14:paraId="268C84C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542" w:type="pct"/>
            <w:noWrap/>
          </w:tcPr>
          <w:p w14:paraId="50037A0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555" w:type="pct"/>
            <w:vAlign w:val="center"/>
          </w:tcPr>
          <w:p w14:paraId="1B129DD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593" w:type="pct"/>
            <w:vAlign w:val="center"/>
          </w:tcPr>
          <w:p w14:paraId="3091D1A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80" w:type="pct"/>
            <w:vAlign w:val="center"/>
          </w:tcPr>
          <w:p w14:paraId="248554A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62B8D2D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491" w:type="pct"/>
            <w:noWrap/>
            <w:vAlign w:val="center"/>
          </w:tcPr>
          <w:p w14:paraId="74C5A4F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0.60</w:t>
            </w:r>
          </w:p>
        </w:tc>
        <w:tc>
          <w:tcPr>
            <w:tcW w:w="773" w:type="pct"/>
            <w:noWrap/>
            <w:vAlign w:val="center"/>
          </w:tcPr>
          <w:p w14:paraId="4A993C1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65BC2C06">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continue"/>
            <w:noWrap/>
          </w:tcPr>
          <w:p w14:paraId="076187C4">
            <w:pPr>
              <w:widowControl/>
              <w:adjustRightInd/>
              <w:spacing w:line="240" w:lineRule="exact"/>
              <w:jc w:val="center"/>
              <w:textAlignment w:val="auto"/>
              <w:rPr>
                <w:rFonts w:ascii="Arial" w:hAnsi="Arial" w:eastAsia="华文细黑" w:cs="Arial"/>
                <w:color w:val="000000"/>
                <w:sz w:val="18"/>
                <w:szCs w:val="18"/>
              </w:rPr>
            </w:pPr>
          </w:p>
        </w:tc>
        <w:tc>
          <w:tcPr>
            <w:tcW w:w="638" w:type="pct"/>
            <w:noWrap/>
          </w:tcPr>
          <w:p w14:paraId="6FB5E67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542" w:type="pct"/>
            <w:noWrap/>
          </w:tcPr>
          <w:p w14:paraId="72FD8C8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55" w:type="pct"/>
            <w:vAlign w:val="center"/>
          </w:tcPr>
          <w:p w14:paraId="2BD821E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93" w:type="pct"/>
            <w:vAlign w:val="center"/>
          </w:tcPr>
          <w:p w14:paraId="4192F08D">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80" w:type="pct"/>
            <w:vAlign w:val="center"/>
          </w:tcPr>
          <w:p w14:paraId="05C4F2D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5680933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491" w:type="pct"/>
            <w:noWrap/>
            <w:vAlign w:val="center"/>
          </w:tcPr>
          <w:p w14:paraId="22E2FD2C">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0.60</w:t>
            </w:r>
          </w:p>
        </w:tc>
        <w:tc>
          <w:tcPr>
            <w:tcW w:w="773" w:type="pct"/>
            <w:noWrap/>
            <w:vAlign w:val="center"/>
          </w:tcPr>
          <w:p w14:paraId="6B7125E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bl>
    <w:p w14:paraId="11C1AF27">
      <w:pPr>
        <w:spacing w:line="360" w:lineRule="auto"/>
        <w:ind w:right="17"/>
        <w:rPr>
          <w:rFonts w:ascii="Arial" w:hAnsi="Arial" w:eastAsia="华文细黑" w:cs="Arial"/>
          <w:sz w:val="18"/>
          <w:szCs w:val="18"/>
        </w:rPr>
      </w:pPr>
      <w:r>
        <w:rPr>
          <w:rFonts w:hint="eastAsia" w:ascii="Arial" w:hAnsi="Arial" w:eastAsia="华文细黑"/>
          <w:sz w:val="18"/>
          <w:szCs w:val="18"/>
        </w:rPr>
        <w:t xml:space="preserve">      单位：</w:t>
      </w:r>
      <w:r>
        <w:rPr>
          <w:rFonts w:hint="eastAsia" w:ascii="Arial" w:hAnsi="Arial" w:eastAsia="华文细黑" w:cs="宋体"/>
          <w:sz w:val="18"/>
          <w:szCs w:val="18"/>
        </w:rPr>
        <w:t>元/建筑面积平方米·天</w:t>
      </w:r>
      <w:r>
        <w:rPr>
          <w:rFonts w:ascii="Arial" w:hAnsi="Arial" w:eastAsia="华文细黑" w:cs="Arial"/>
          <w:sz w:val="18"/>
          <w:szCs w:val="18"/>
        </w:rPr>
        <w:t>（币种：人民币）</w:t>
      </w:r>
    </w:p>
    <w:p w14:paraId="1F6AF1E5">
      <w:pPr>
        <w:spacing w:before="120" w:beforeLines="50" w:line="480" w:lineRule="auto"/>
        <w:ind w:firstLine="420" w:firstLineChars="200"/>
        <w:rPr>
          <w:rFonts w:ascii="Arial" w:hAnsi="Arial" w:cs="Arial"/>
          <w:sz w:val="21"/>
          <w:szCs w:val="21"/>
        </w:rPr>
      </w:pPr>
      <w:r>
        <w:rPr>
          <w:rFonts w:hint="eastAsia" w:ascii="Arial" w:hAnsi="Arial" w:cs="Arial"/>
          <w:sz w:val="21"/>
          <w:szCs w:val="21"/>
        </w:rPr>
        <w:t>根据上述情况，各楼层商业用房市场租金水平如下表：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414"/>
        <w:gridCol w:w="2597"/>
        <w:gridCol w:w="2556"/>
        <w:gridCol w:w="2846"/>
      </w:tblGrid>
      <w:tr w14:paraId="51F2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1" w:hRule="atLeast"/>
          <w:jc w:val="center"/>
        </w:trPr>
        <w:tc>
          <w:tcPr>
            <w:tcW w:w="751" w:type="pct"/>
            <w:vAlign w:val="center"/>
          </w:tcPr>
          <w:p w14:paraId="0E446E8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楼层</w:t>
            </w:r>
          </w:p>
        </w:tc>
        <w:tc>
          <w:tcPr>
            <w:tcW w:w="1379" w:type="pct"/>
            <w:vAlign w:val="center"/>
          </w:tcPr>
          <w:p w14:paraId="72DE6FB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357" w:type="pct"/>
            <w:vAlign w:val="center"/>
          </w:tcPr>
          <w:p w14:paraId="0B3232B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1511" w:type="pct"/>
            <w:vAlign w:val="center"/>
          </w:tcPr>
          <w:p w14:paraId="4BA84A4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1846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1" w:hRule="atLeast"/>
          <w:jc w:val="center"/>
        </w:trPr>
        <w:tc>
          <w:tcPr>
            <w:tcW w:w="751" w:type="pct"/>
            <w:vMerge w:val="restart"/>
            <w:vAlign w:val="center"/>
          </w:tcPr>
          <w:p w14:paraId="30E2A34D">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2597" w:type="dxa"/>
            <w:vAlign w:val="center"/>
          </w:tcPr>
          <w:p w14:paraId="4747789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357" w:type="pct"/>
            <w:vAlign w:val="center"/>
          </w:tcPr>
          <w:p w14:paraId="5AA1AC4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1511" w:type="pct"/>
            <w:vAlign w:val="center"/>
          </w:tcPr>
          <w:p w14:paraId="7836020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3135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7" w:hRule="atLeast"/>
          <w:jc w:val="center"/>
        </w:trPr>
        <w:tc>
          <w:tcPr>
            <w:tcW w:w="751" w:type="pct"/>
            <w:vMerge w:val="continue"/>
            <w:vAlign w:val="center"/>
          </w:tcPr>
          <w:p w14:paraId="1A7BBE52">
            <w:pPr>
              <w:widowControl/>
              <w:adjustRightInd/>
              <w:spacing w:line="240" w:lineRule="exact"/>
              <w:jc w:val="center"/>
              <w:textAlignment w:val="auto"/>
              <w:rPr>
                <w:rFonts w:ascii="Arial" w:hAnsi="Arial" w:eastAsia="华文细黑" w:cs="Arial"/>
                <w:color w:val="000000"/>
                <w:sz w:val="18"/>
                <w:szCs w:val="18"/>
              </w:rPr>
            </w:pPr>
          </w:p>
        </w:tc>
        <w:tc>
          <w:tcPr>
            <w:tcW w:w="2597" w:type="dxa"/>
            <w:vAlign w:val="center"/>
          </w:tcPr>
          <w:p w14:paraId="11F42007">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357" w:type="pct"/>
            <w:vAlign w:val="center"/>
          </w:tcPr>
          <w:p w14:paraId="24281CE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1511" w:type="pct"/>
            <w:vAlign w:val="center"/>
          </w:tcPr>
          <w:p w14:paraId="3A75A7B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674B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7" w:hRule="atLeast"/>
          <w:jc w:val="center"/>
        </w:trPr>
        <w:tc>
          <w:tcPr>
            <w:tcW w:w="751" w:type="pct"/>
            <w:vMerge w:val="restart"/>
            <w:vAlign w:val="center"/>
          </w:tcPr>
          <w:p w14:paraId="136671D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w:t>
            </w:r>
          </w:p>
        </w:tc>
        <w:tc>
          <w:tcPr>
            <w:tcW w:w="2597" w:type="dxa"/>
            <w:vAlign w:val="center"/>
          </w:tcPr>
          <w:p w14:paraId="1603875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357" w:type="pct"/>
            <w:vAlign w:val="center"/>
          </w:tcPr>
          <w:p w14:paraId="6CBA49F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1511" w:type="pct"/>
            <w:vAlign w:val="center"/>
          </w:tcPr>
          <w:p w14:paraId="4C0F97D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09B8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5" w:hRule="atLeast"/>
          <w:jc w:val="center"/>
        </w:trPr>
        <w:tc>
          <w:tcPr>
            <w:tcW w:w="751" w:type="pct"/>
            <w:vMerge w:val="continue"/>
            <w:vAlign w:val="center"/>
          </w:tcPr>
          <w:p w14:paraId="7D0B579F">
            <w:pPr>
              <w:widowControl/>
              <w:adjustRightInd/>
              <w:spacing w:line="240" w:lineRule="exact"/>
              <w:jc w:val="center"/>
              <w:textAlignment w:val="auto"/>
              <w:rPr>
                <w:rFonts w:ascii="Arial" w:hAnsi="Arial" w:eastAsia="华文细黑" w:cs="Arial"/>
                <w:color w:val="000000"/>
                <w:sz w:val="18"/>
                <w:szCs w:val="18"/>
              </w:rPr>
            </w:pPr>
          </w:p>
        </w:tc>
        <w:tc>
          <w:tcPr>
            <w:tcW w:w="2597" w:type="dxa"/>
            <w:vAlign w:val="center"/>
          </w:tcPr>
          <w:p w14:paraId="1EA13A6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357" w:type="pct"/>
            <w:vAlign w:val="center"/>
          </w:tcPr>
          <w:p w14:paraId="4B24B3A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1511" w:type="pct"/>
            <w:vAlign w:val="center"/>
          </w:tcPr>
          <w:p w14:paraId="0FF7404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7476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5" w:hRule="atLeast"/>
          <w:jc w:val="center"/>
        </w:trPr>
        <w:tc>
          <w:tcPr>
            <w:tcW w:w="751" w:type="pct"/>
            <w:vMerge w:val="restart"/>
            <w:vAlign w:val="center"/>
          </w:tcPr>
          <w:p w14:paraId="6F82044C">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2597" w:type="dxa"/>
            <w:vAlign w:val="center"/>
          </w:tcPr>
          <w:p w14:paraId="6BBD63C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1357" w:type="pct"/>
            <w:vAlign w:val="center"/>
          </w:tcPr>
          <w:p w14:paraId="77572C9F">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1511" w:type="pct"/>
            <w:vAlign w:val="center"/>
          </w:tcPr>
          <w:p w14:paraId="1531433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4475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5" w:hRule="atLeast"/>
          <w:jc w:val="center"/>
        </w:trPr>
        <w:tc>
          <w:tcPr>
            <w:tcW w:w="751" w:type="pct"/>
            <w:vMerge w:val="continue"/>
            <w:vAlign w:val="center"/>
          </w:tcPr>
          <w:p w14:paraId="0A8C50DF">
            <w:pPr>
              <w:widowControl/>
              <w:adjustRightInd/>
              <w:spacing w:line="240" w:lineRule="exact"/>
              <w:jc w:val="center"/>
              <w:textAlignment w:val="auto"/>
              <w:rPr>
                <w:rFonts w:ascii="Arial" w:hAnsi="Arial" w:eastAsia="华文细黑" w:cs="Arial"/>
                <w:color w:val="000000"/>
                <w:sz w:val="18"/>
                <w:szCs w:val="18"/>
              </w:rPr>
            </w:pPr>
          </w:p>
        </w:tc>
        <w:tc>
          <w:tcPr>
            <w:tcW w:w="2597" w:type="dxa"/>
            <w:vAlign w:val="center"/>
          </w:tcPr>
          <w:p w14:paraId="423DF027">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1357" w:type="pct"/>
            <w:vAlign w:val="center"/>
          </w:tcPr>
          <w:p w14:paraId="331D6FB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1511" w:type="pct"/>
            <w:vAlign w:val="center"/>
          </w:tcPr>
          <w:p w14:paraId="501D459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r w14:paraId="7271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5" w:hRule="atLeast"/>
          <w:jc w:val="center"/>
        </w:trPr>
        <w:tc>
          <w:tcPr>
            <w:tcW w:w="751" w:type="pct"/>
            <w:vAlign w:val="center"/>
          </w:tcPr>
          <w:p w14:paraId="48BE4214">
            <w:pPr>
              <w:widowControl/>
              <w:adjustRightInd/>
              <w:spacing w:line="240" w:lineRule="auto"/>
              <w:jc w:val="center"/>
              <w:textAlignment w:val="auto"/>
              <w:rPr>
                <w:rFonts w:ascii="Arial" w:hAnsi="Arial" w:eastAsia="华文细黑" w:cs="宋体"/>
                <w:sz w:val="20"/>
              </w:rPr>
            </w:pPr>
            <w:r>
              <w:rPr>
                <w:rFonts w:hint="eastAsia" w:ascii="Arial" w:hAnsi="Arial" w:eastAsia="华文细黑" w:cs="宋体"/>
                <w:sz w:val="20"/>
              </w:rPr>
              <w:t>合计</w:t>
            </w:r>
          </w:p>
        </w:tc>
        <w:tc>
          <w:tcPr>
            <w:tcW w:w="1379" w:type="pct"/>
            <w:vAlign w:val="center"/>
          </w:tcPr>
          <w:p w14:paraId="7D135C1B">
            <w:pPr>
              <w:widowControl/>
              <w:adjustRightInd/>
              <w:spacing w:line="240" w:lineRule="auto"/>
              <w:jc w:val="center"/>
              <w:textAlignment w:val="auto"/>
              <w:rPr>
                <w:rFonts w:ascii="Arial" w:hAnsi="Arial" w:eastAsia="华文细黑" w:cs="宋体"/>
                <w:sz w:val="20"/>
              </w:rPr>
            </w:pPr>
            <w:r>
              <w:rPr>
                <w:rFonts w:hint="eastAsia" w:ascii="Arial" w:hAnsi="Arial" w:eastAsia="华文细黑" w:cs="宋体"/>
                <w:sz w:val="20"/>
              </w:rPr>
              <w:t>-</w:t>
            </w:r>
          </w:p>
        </w:tc>
        <w:tc>
          <w:tcPr>
            <w:tcW w:w="1357" w:type="pct"/>
            <w:vAlign w:val="center"/>
          </w:tcPr>
          <w:p w14:paraId="5607EEA3">
            <w:pPr>
              <w:widowControl/>
              <w:adjustRightInd/>
              <w:spacing w:line="240" w:lineRule="exact"/>
              <w:jc w:val="center"/>
              <w:textAlignment w:val="auto"/>
              <w:rPr>
                <w:rFonts w:ascii="Arial" w:hAnsi="Arial" w:eastAsia="华文细黑" w:cs="宋体"/>
                <w:sz w:val="20"/>
              </w:rPr>
            </w:pPr>
            <w:r>
              <w:rPr>
                <w:rFonts w:hint="eastAsia" w:ascii="Arial" w:hAnsi="Arial" w:eastAsia="华文细黑" w:cs="Arial"/>
                <w:color w:val="000000"/>
                <w:sz w:val="18"/>
                <w:szCs w:val="18"/>
              </w:rPr>
              <w:t xml:space="preserve">24871.67 </w:t>
            </w:r>
          </w:p>
        </w:tc>
        <w:tc>
          <w:tcPr>
            <w:tcW w:w="1511" w:type="pct"/>
            <w:vAlign w:val="center"/>
          </w:tcPr>
          <w:p w14:paraId="4950A303">
            <w:pPr>
              <w:widowControl/>
              <w:adjustRightInd/>
              <w:spacing w:line="240" w:lineRule="auto"/>
              <w:jc w:val="center"/>
              <w:textAlignment w:val="auto"/>
              <w:rPr>
                <w:rFonts w:ascii="Arial" w:hAnsi="Arial" w:eastAsia="华文细黑" w:cs="宋体"/>
                <w:sz w:val="20"/>
              </w:rPr>
            </w:pPr>
            <w:r>
              <w:rPr>
                <w:rFonts w:hint="eastAsia" w:ascii="Arial" w:hAnsi="Arial" w:eastAsia="华文细黑" w:cs="宋体"/>
                <w:sz w:val="20"/>
              </w:rPr>
              <w:t>-</w:t>
            </w:r>
          </w:p>
        </w:tc>
      </w:tr>
    </w:tbl>
    <w:p w14:paraId="5D5DA365">
      <w:pPr>
        <w:widowControl/>
        <w:adjustRightInd/>
        <w:spacing w:line="240" w:lineRule="auto"/>
        <w:ind w:firstLine="180" w:firstLineChars="100"/>
        <w:jc w:val="both"/>
        <w:textAlignment w:val="auto"/>
        <w:rPr>
          <w:rFonts w:ascii="Arial" w:hAnsi="Arial" w:eastAsia="华文细黑" w:cs="宋体"/>
          <w:sz w:val="18"/>
          <w:szCs w:val="18"/>
        </w:rPr>
      </w:pPr>
      <w:r>
        <w:rPr>
          <w:rFonts w:hint="eastAsia" w:ascii="Arial" w:hAnsi="Arial" w:eastAsia="华文细黑" w:cs="宋体"/>
          <w:sz w:val="18"/>
          <w:szCs w:val="18"/>
        </w:rPr>
        <w:t>单位：平方米、元/建筑面积平方米·天</w:t>
      </w:r>
    </w:p>
    <w:p w14:paraId="7A9D6CE5">
      <w:pPr>
        <w:spacing w:line="480" w:lineRule="auto"/>
        <w:ind w:firstLine="422" w:firstLineChars="200"/>
        <w:jc w:val="both"/>
        <w:rPr>
          <w:rFonts w:ascii="Arial" w:hAnsi="Arial" w:cs="Arial"/>
          <w:b/>
          <w:sz w:val="21"/>
          <w:szCs w:val="21"/>
        </w:rPr>
      </w:pPr>
    </w:p>
    <w:p w14:paraId="41807F42">
      <w:pPr>
        <w:pStyle w:val="3"/>
        <w:numPr>
          <w:ilvl w:val="0"/>
          <w:numId w:val="0"/>
        </w:numPr>
        <w:spacing w:line="480" w:lineRule="auto"/>
        <w:ind w:left="358" w:hanging="358" w:hangingChars="170"/>
        <w:jc w:val="both"/>
        <w:rPr>
          <w:rFonts w:eastAsia="宋体"/>
          <w:kern w:val="2"/>
          <w:sz w:val="21"/>
          <w:szCs w:val="21"/>
        </w:rPr>
      </w:pPr>
      <w:bookmarkStart w:id="56" w:name="_Toc477252463"/>
      <w:r>
        <w:rPr>
          <w:rFonts w:eastAsia="宋体"/>
          <w:kern w:val="2"/>
          <w:sz w:val="21"/>
          <w:szCs w:val="21"/>
        </w:rPr>
        <w:br w:type="page"/>
      </w:r>
      <w:r>
        <w:rPr>
          <w:rFonts w:eastAsia="宋体"/>
          <w:kern w:val="2"/>
          <w:sz w:val="21"/>
          <w:szCs w:val="21"/>
        </w:rPr>
        <w:t>六、估价结果确定</w:t>
      </w:r>
      <w:bookmarkEnd w:id="56"/>
    </w:p>
    <w:p w14:paraId="2EB52669">
      <w:pPr>
        <w:spacing w:line="480" w:lineRule="auto"/>
        <w:ind w:firstLine="420" w:firstLineChars="200"/>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14:paraId="5AE691CE">
      <w:pPr>
        <w:spacing w:line="240" w:lineRule="auto"/>
        <w:jc w:val="center"/>
        <w:rPr>
          <w:rFonts w:ascii="Arial" w:hAnsi="Arial" w:eastAsia="方正黑体简体" w:cs="Arial"/>
          <w:szCs w:val="24"/>
        </w:rPr>
      </w:pPr>
      <w:r>
        <w:rPr>
          <w:rFonts w:hint="eastAsia" w:ascii="Arial" w:hAnsi="Arial" w:eastAsia="方正黑体简体" w:cs="Arial"/>
          <w:szCs w:val="24"/>
        </w:rPr>
        <w:t>估价结果一览表</w:t>
      </w:r>
    </w:p>
    <w:p w14:paraId="6E66CBD9">
      <w:pPr>
        <w:spacing w:line="240" w:lineRule="auto"/>
        <w:jc w:val="center"/>
        <w:rPr>
          <w:rFonts w:ascii="Arial" w:hAnsi="Arial" w:eastAsia="方正黑体简体" w:cs="Arial"/>
          <w:szCs w:val="24"/>
        </w:rPr>
      </w:pPr>
      <w:r>
        <w:rPr>
          <w:rFonts w:hint="eastAsia" w:ascii="Arial" w:hAnsi="Arial" w:eastAsia="方正黑体简体" w:cs="Arial"/>
          <w:szCs w:val="24"/>
        </w:rPr>
        <w:t>结果表-1</w:t>
      </w:r>
    </w:p>
    <w:tbl>
      <w:tblPr>
        <w:tblStyle w:val="32"/>
        <w:tblW w:w="5000" w:type="pct"/>
        <w:jc w:val="center"/>
        <w:tblLayout w:type="autofit"/>
        <w:tblCellMar>
          <w:top w:w="57" w:type="dxa"/>
          <w:left w:w="57" w:type="dxa"/>
          <w:bottom w:w="57" w:type="dxa"/>
          <w:right w:w="57" w:type="dxa"/>
        </w:tblCellMar>
      </w:tblPr>
      <w:tblGrid>
        <w:gridCol w:w="4612"/>
        <w:gridCol w:w="4801"/>
      </w:tblGrid>
      <w:tr w14:paraId="54B344BE">
        <w:tblPrEx>
          <w:tblCellMar>
            <w:top w:w="57" w:type="dxa"/>
            <w:left w:w="57" w:type="dxa"/>
            <w:bottom w:w="57" w:type="dxa"/>
            <w:right w:w="57" w:type="dxa"/>
          </w:tblCellMar>
        </w:tblPrEx>
        <w:trPr>
          <w:cantSplit/>
          <w:trHeight w:val="567" w:hRule="atLeast"/>
          <w:jc w:val="center"/>
        </w:trPr>
        <w:tc>
          <w:tcPr>
            <w:tcW w:w="2450"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54E0289E">
            <w:pPr>
              <w:widowControl/>
              <w:adjustRightInd/>
              <w:spacing w:line="240" w:lineRule="exact"/>
              <w:jc w:val="righ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                                 租金水平</w:t>
            </w:r>
          </w:p>
          <w:p w14:paraId="490F440C">
            <w:pPr>
              <w:widowControl/>
              <w:adjustRightInd/>
              <w:spacing w:line="240" w:lineRule="exac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相关结果</w:t>
            </w:r>
          </w:p>
        </w:tc>
        <w:tc>
          <w:tcPr>
            <w:tcW w:w="2550" w:type="pct"/>
            <w:tcBorders>
              <w:top w:val="thinThickThinSmallGap" w:color="auto" w:sz="12" w:space="0"/>
              <w:left w:val="dotted" w:color="auto" w:sz="2" w:space="0"/>
              <w:bottom w:val="dotted" w:color="auto" w:sz="2" w:space="0"/>
              <w:right w:val="dotted" w:color="auto" w:sz="2" w:space="0"/>
            </w:tcBorders>
            <w:vAlign w:val="center"/>
          </w:tcPr>
          <w:p w14:paraId="68278967">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房山区阜盛西街11号院3号楼101号</w:t>
            </w:r>
          </w:p>
          <w:p w14:paraId="7354A66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商业用房市场租金水平</w:t>
            </w:r>
          </w:p>
        </w:tc>
      </w:tr>
      <w:tr w14:paraId="3CA9F435">
        <w:tblPrEx>
          <w:tblCellMar>
            <w:top w:w="57" w:type="dxa"/>
            <w:left w:w="57" w:type="dxa"/>
            <w:bottom w:w="57" w:type="dxa"/>
            <w:right w:w="57" w:type="dxa"/>
          </w:tblCellMar>
        </w:tblPrEx>
        <w:trPr>
          <w:cantSplit/>
          <w:trHeight w:val="567" w:hRule="atLeast"/>
          <w:jc w:val="center"/>
        </w:trPr>
        <w:tc>
          <w:tcPr>
            <w:tcW w:w="2450" w:type="pct"/>
            <w:tcBorders>
              <w:top w:val="dotted" w:color="auto" w:sz="2" w:space="0"/>
              <w:left w:val="dotted" w:color="auto" w:sz="2" w:space="0"/>
              <w:bottom w:val="thinThickThinSmallGap" w:color="auto" w:sz="12" w:space="0"/>
              <w:right w:val="dotted" w:color="auto" w:sz="2" w:space="0"/>
            </w:tcBorders>
            <w:vAlign w:val="center"/>
          </w:tcPr>
          <w:p w14:paraId="435B3BE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评估结果</w:t>
            </w:r>
          </w:p>
        </w:tc>
        <w:tc>
          <w:tcPr>
            <w:tcW w:w="2550" w:type="pct"/>
            <w:tcBorders>
              <w:top w:val="dotted" w:color="auto" w:sz="2" w:space="0"/>
              <w:left w:val="dotted" w:color="auto" w:sz="2" w:space="0"/>
              <w:bottom w:val="thinThickThinSmallGap" w:color="auto" w:sz="12" w:space="0"/>
              <w:right w:val="dotted" w:color="auto" w:sz="2" w:space="0"/>
            </w:tcBorders>
            <w:vAlign w:val="center"/>
          </w:tcPr>
          <w:p w14:paraId="052F0081">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bl>
    <w:p w14:paraId="511FB35F">
      <w:pPr>
        <w:widowControl/>
        <w:adjustRightInd/>
        <w:spacing w:line="240" w:lineRule="auto"/>
        <w:jc w:val="both"/>
        <w:textAlignment w:val="auto"/>
        <w:rPr>
          <w:rFonts w:ascii="Arial" w:hAnsi="Arial" w:eastAsia="华文细黑" w:cs="宋体"/>
          <w:sz w:val="18"/>
          <w:szCs w:val="18"/>
        </w:rPr>
      </w:pPr>
      <w:r>
        <w:rPr>
          <w:rFonts w:hint="eastAsia" w:ascii="Arial" w:hAnsi="Arial" w:eastAsia="华文细黑" w:cs="宋体"/>
          <w:sz w:val="18"/>
          <w:szCs w:val="18"/>
        </w:rPr>
        <w:t>单位：元/建筑</w:t>
      </w:r>
      <w:r>
        <w:rPr>
          <w:rFonts w:ascii="Arial" w:hAnsi="Arial" w:eastAsia="华文细黑" w:cs="宋体"/>
          <w:sz w:val="18"/>
          <w:szCs w:val="18"/>
        </w:rPr>
        <w:t>面积</w:t>
      </w:r>
      <w:r>
        <w:rPr>
          <w:rFonts w:hint="eastAsia" w:ascii="Arial" w:hAnsi="Arial" w:eastAsia="华文细黑" w:cs="宋体"/>
          <w:sz w:val="18"/>
          <w:szCs w:val="18"/>
        </w:rPr>
        <w:t>平方米·天</w:t>
      </w:r>
    </w:p>
    <w:p w14:paraId="5D6E2BEF">
      <w:pPr>
        <w:spacing w:line="240" w:lineRule="auto"/>
        <w:jc w:val="center"/>
        <w:outlineLvl w:val="0"/>
        <w:rPr>
          <w:rFonts w:ascii="Arial" w:hAnsi="Arial" w:eastAsia="方正黑体简体"/>
          <w:szCs w:val="24"/>
        </w:rPr>
      </w:pPr>
      <w:r>
        <w:rPr>
          <w:rFonts w:hint="eastAsia" w:ascii="Arial" w:hAnsi="Arial" w:eastAsia="方正黑体简体"/>
          <w:szCs w:val="24"/>
        </w:rPr>
        <w:t>结果表-2</w:t>
      </w:r>
    </w:p>
    <w:tbl>
      <w:tblPr>
        <w:tblStyle w:val="32"/>
        <w:tblW w:w="5000" w:type="pct"/>
        <w:jc w:val="center"/>
        <w:tblLayout w:type="autofit"/>
        <w:tblCellMar>
          <w:top w:w="57" w:type="dxa"/>
          <w:left w:w="57" w:type="dxa"/>
          <w:bottom w:w="57" w:type="dxa"/>
          <w:right w:w="57" w:type="dxa"/>
        </w:tblCellMar>
      </w:tblPr>
      <w:tblGrid>
        <w:gridCol w:w="2750"/>
        <w:gridCol w:w="876"/>
        <w:gridCol w:w="1887"/>
        <w:gridCol w:w="2066"/>
        <w:gridCol w:w="1834"/>
      </w:tblGrid>
      <w:tr w14:paraId="4CF2FB20">
        <w:tblPrEx>
          <w:tblCellMar>
            <w:top w:w="57" w:type="dxa"/>
            <w:left w:w="57" w:type="dxa"/>
            <w:bottom w:w="57" w:type="dxa"/>
            <w:right w:w="57" w:type="dxa"/>
          </w:tblCellMar>
        </w:tblPrEx>
        <w:trPr>
          <w:cantSplit/>
          <w:trHeight w:val="567" w:hRule="atLeast"/>
          <w:jc w:val="center"/>
        </w:trPr>
        <w:tc>
          <w:tcPr>
            <w:tcW w:w="1461"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720D586E">
            <w:pPr>
              <w:widowControl/>
              <w:adjustRightInd/>
              <w:spacing w:line="240" w:lineRule="exact"/>
              <w:jc w:val="righ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分层租金明细</w:t>
            </w:r>
          </w:p>
          <w:p w14:paraId="7904AFE6">
            <w:pPr>
              <w:widowControl/>
              <w:adjustRightInd/>
              <w:spacing w:line="240" w:lineRule="exact"/>
              <w:textAlignment w:val="auto"/>
              <w:rPr>
                <w:rFonts w:ascii="Arial" w:hAnsi="Arial" w:eastAsia="华文细黑" w:cs="Arial"/>
                <w:color w:val="000000"/>
                <w:sz w:val="18"/>
                <w:szCs w:val="18"/>
              </w:rPr>
            </w:pPr>
            <w:r>
              <w:rPr>
                <w:rFonts w:hint="eastAsia" w:ascii="Arial" w:hAnsi="Arial" w:eastAsia="华文细黑" w:cs="Arial"/>
                <w:color w:val="000000"/>
                <w:sz w:val="18"/>
                <w:szCs w:val="18"/>
              </w:rPr>
              <w:t>估价对象</w:t>
            </w:r>
          </w:p>
        </w:tc>
        <w:tc>
          <w:tcPr>
            <w:tcW w:w="465" w:type="pct"/>
            <w:tcBorders>
              <w:top w:val="thinThickThinSmallGap" w:color="auto" w:sz="12" w:space="0"/>
              <w:left w:val="dotted" w:color="auto" w:sz="2" w:space="0"/>
              <w:bottom w:val="dotted" w:color="auto" w:sz="2" w:space="0"/>
              <w:right w:val="dotted" w:color="auto" w:sz="2" w:space="0"/>
            </w:tcBorders>
            <w:vAlign w:val="center"/>
          </w:tcPr>
          <w:p w14:paraId="6435071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楼层</w:t>
            </w:r>
          </w:p>
        </w:tc>
        <w:tc>
          <w:tcPr>
            <w:tcW w:w="1000" w:type="pct"/>
            <w:tcBorders>
              <w:top w:val="thinThickThinSmallGap" w:color="auto" w:sz="12" w:space="0"/>
              <w:left w:val="dotted" w:color="auto" w:sz="2" w:space="0"/>
              <w:bottom w:val="dotted" w:color="auto" w:sz="2" w:space="0"/>
              <w:right w:val="dotted" w:color="auto" w:sz="2" w:space="0"/>
            </w:tcBorders>
            <w:vAlign w:val="center"/>
          </w:tcPr>
          <w:p w14:paraId="03E7F4A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097" w:type="pct"/>
            <w:tcBorders>
              <w:top w:val="thinThickThinSmallGap" w:color="auto" w:sz="12" w:space="0"/>
              <w:left w:val="dotted" w:color="auto" w:sz="2" w:space="0"/>
              <w:bottom w:val="dotted" w:color="auto" w:sz="2" w:space="0"/>
              <w:right w:val="dotted" w:color="auto" w:sz="2" w:space="0"/>
            </w:tcBorders>
            <w:vAlign w:val="center"/>
          </w:tcPr>
          <w:p w14:paraId="44BE110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974" w:type="pct"/>
            <w:tcBorders>
              <w:top w:val="thinThickThinSmallGap" w:color="auto" w:sz="12" w:space="0"/>
              <w:left w:val="dotted" w:color="auto" w:sz="2" w:space="0"/>
              <w:bottom w:val="dotted" w:color="auto" w:sz="2" w:space="0"/>
              <w:right w:val="dotted" w:color="auto" w:sz="2" w:space="0"/>
            </w:tcBorders>
            <w:vAlign w:val="center"/>
          </w:tcPr>
          <w:p w14:paraId="24EE980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08E42435">
        <w:tblPrEx>
          <w:tblCellMar>
            <w:top w:w="57" w:type="dxa"/>
            <w:left w:w="57" w:type="dxa"/>
            <w:bottom w:w="57" w:type="dxa"/>
            <w:right w:w="57" w:type="dxa"/>
          </w:tblCellMar>
        </w:tblPrEx>
        <w:trPr>
          <w:cantSplit/>
          <w:trHeight w:val="291" w:hRule="atLeast"/>
          <w:jc w:val="center"/>
        </w:trPr>
        <w:tc>
          <w:tcPr>
            <w:tcW w:w="1461" w:type="pct"/>
            <w:vMerge w:val="restart"/>
            <w:tcBorders>
              <w:top w:val="dotted" w:color="auto" w:sz="2" w:space="0"/>
              <w:left w:val="dotted" w:color="auto" w:sz="2" w:space="0"/>
              <w:right w:val="dotted" w:color="auto" w:sz="2" w:space="0"/>
            </w:tcBorders>
            <w:vAlign w:val="center"/>
          </w:tcPr>
          <w:p w14:paraId="0AD1D0C9">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北京市房山区阜盛西街11号院3号楼地上1层101号等29套商业用房</w:t>
            </w:r>
          </w:p>
        </w:tc>
        <w:tc>
          <w:tcPr>
            <w:tcW w:w="465" w:type="pct"/>
            <w:vMerge w:val="restart"/>
            <w:tcBorders>
              <w:top w:val="dotted" w:color="auto" w:sz="2" w:space="0"/>
              <w:left w:val="dotted" w:color="auto" w:sz="2" w:space="0"/>
              <w:right w:val="dotted" w:color="auto" w:sz="2" w:space="0"/>
            </w:tcBorders>
            <w:vAlign w:val="center"/>
          </w:tcPr>
          <w:p w14:paraId="4F8F7BF3">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1887" w:type="dxa"/>
            <w:tcBorders>
              <w:top w:val="dotted" w:color="auto" w:sz="2" w:space="0"/>
              <w:left w:val="dotted" w:color="auto" w:sz="2" w:space="0"/>
              <w:bottom w:val="dotted" w:color="auto" w:sz="2" w:space="0"/>
              <w:right w:val="dotted" w:color="auto" w:sz="2" w:space="0"/>
            </w:tcBorders>
            <w:vAlign w:val="center"/>
          </w:tcPr>
          <w:p w14:paraId="1948EA6E">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4EF806C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1834" w:type="dxa"/>
            <w:tcBorders>
              <w:top w:val="dotted" w:color="auto" w:sz="2" w:space="0"/>
              <w:left w:val="dotted" w:color="auto" w:sz="2" w:space="0"/>
              <w:bottom w:val="dotted" w:color="auto" w:sz="2" w:space="0"/>
              <w:right w:val="dotted" w:color="auto" w:sz="2" w:space="0"/>
            </w:tcBorders>
            <w:vAlign w:val="center"/>
          </w:tcPr>
          <w:p w14:paraId="61C372D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79C32220">
        <w:tblPrEx>
          <w:tblCellMar>
            <w:top w:w="57" w:type="dxa"/>
            <w:left w:w="57" w:type="dxa"/>
            <w:bottom w:w="57" w:type="dxa"/>
            <w:right w:w="57" w:type="dxa"/>
          </w:tblCellMar>
        </w:tblPrEx>
        <w:trPr>
          <w:cantSplit/>
          <w:trHeight w:val="297" w:hRule="atLeast"/>
          <w:jc w:val="center"/>
        </w:trPr>
        <w:tc>
          <w:tcPr>
            <w:tcW w:w="1461" w:type="pct"/>
            <w:vMerge w:val="continue"/>
            <w:tcBorders>
              <w:left w:val="dotted" w:color="auto" w:sz="2" w:space="0"/>
              <w:right w:val="dotted" w:color="auto" w:sz="2" w:space="0"/>
            </w:tcBorders>
            <w:vAlign w:val="center"/>
          </w:tcPr>
          <w:p w14:paraId="6297E9DD">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5FEF47D2">
            <w:pPr>
              <w:widowControl/>
              <w:adjustRightInd/>
              <w:spacing w:line="240" w:lineRule="exact"/>
              <w:jc w:val="center"/>
              <w:textAlignment w:val="auto"/>
              <w:rPr>
                <w:rFonts w:ascii="Arial" w:hAnsi="Arial" w:eastAsia="华文细黑" w:cs="Arial"/>
                <w:color w:val="000000"/>
                <w:sz w:val="18"/>
                <w:szCs w:val="18"/>
              </w:rPr>
            </w:pPr>
          </w:p>
        </w:tc>
        <w:tc>
          <w:tcPr>
            <w:tcW w:w="1887" w:type="dxa"/>
            <w:tcBorders>
              <w:top w:val="dotted" w:color="auto" w:sz="2" w:space="0"/>
              <w:left w:val="dotted" w:color="auto" w:sz="2" w:space="0"/>
              <w:bottom w:val="dotted" w:color="auto" w:sz="2" w:space="0"/>
              <w:right w:val="dotted" w:color="auto" w:sz="2" w:space="0"/>
            </w:tcBorders>
            <w:vAlign w:val="center"/>
          </w:tcPr>
          <w:p w14:paraId="25B362F6">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4CBB5CB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1834" w:type="dxa"/>
            <w:tcBorders>
              <w:top w:val="dotted" w:color="auto" w:sz="2" w:space="0"/>
              <w:left w:val="dotted" w:color="auto" w:sz="2" w:space="0"/>
              <w:bottom w:val="dotted" w:color="auto" w:sz="2" w:space="0"/>
              <w:right w:val="dotted" w:color="auto" w:sz="2" w:space="0"/>
            </w:tcBorders>
            <w:vAlign w:val="center"/>
          </w:tcPr>
          <w:p w14:paraId="503E6AD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6C0B0F52">
        <w:tblPrEx>
          <w:tblCellMar>
            <w:top w:w="57" w:type="dxa"/>
            <w:left w:w="57" w:type="dxa"/>
            <w:bottom w:w="57" w:type="dxa"/>
            <w:right w:w="57" w:type="dxa"/>
          </w:tblCellMar>
        </w:tblPrEx>
        <w:trPr>
          <w:cantSplit/>
          <w:trHeight w:val="317" w:hRule="atLeast"/>
          <w:jc w:val="center"/>
        </w:trPr>
        <w:tc>
          <w:tcPr>
            <w:tcW w:w="1461" w:type="pct"/>
            <w:vMerge w:val="continue"/>
            <w:tcBorders>
              <w:left w:val="dotted" w:color="auto" w:sz="2" w:space="0"/>
              <w:right w:val="dotted" w:color="auto" w:sz="2" w:space="0"/>
            </w:tcBorders>
            <w:vAlign w:val="center"/>
          </w:tcPr>
          <w:p w14:paraId="0C65716B">
            <w:pPr>
              <w:widowControl/>
              <w:adjustRightInd/>
              <w:spacing w:line="240" w:lineRule="exact"/>
              <w:jc w:val="center"/>
              <w:textAlignment w:val="auto"/>
              <w:rPr>
                <w:rFonts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5A42CCC7">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w:t>
            </w:r>
          </w:p>
        </w:tc>
        <w:tc>
          <w:tcPr>
            <w:tcW w:w="1887" w:type="dxa"/>
            <w:tcBorders>
              <w:top w:val="dotted" w:color="auto" w:sz="2" w:space="0"/>
              <w:left w:val="dotted" w:color="auto" w:sz="2" w:space="0"/>
              <w:bottom w:val="dotted" w:color="auto" w:sz="2" w:space="0"/>
              <w:right w:val="dotted" w:color="auto" w:sz="2" w:space="0"/>
            </w:tcBorders>
            <w:vAlign w:val="center"/>
          </w:tcPr>
          <w:p w14:paraId="4167CAC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76767FA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1834" w:type="dxa"/>
            <w:tcBorders>
              <w:top w:val="dotted" w:color="auto" w:sz="2" w:space="0"/>
              <w:left w:val="dotted" w:color="auto" w:sz="2" w:space="0"/>
              <w:bottom w:val="dotted" w:color="auto" w:sz="2" w:space="0"/>
              <w:right w:val="dotted" w:color="auto" w:sz="2" w:space="0"/>
            </w:tcBorders>
            <w:vAlign w:val="center"/>
          </w:tcPr>
          <w:p w14:paraId="0AADA63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505FA4C4">
        <w:tblPrEx>
          <w:tblCellMar>
            <w:top w:w="57" w:type="dxa"/>
            <w:left w:w="57" w:type="dxa"/>
            <w:bottom w:w="57" w:type="dxa"/>
            <w:right w:w="57" w:type="dxa"/>
          </w:tblCellMar>
        </w:tblPrEx>
        <w:trPr>
          <w:cantSplit/>
          <w:trHeight w:val="295" w:hRule="atLeast"/>
          <w:jc w:val="center"/>
        </w:trPr>
        <w:tc>
          <w:tcPr>
            <w:tcW w:w="1461" w:type="pct"/>
            <w:vMerge w:val="continue"/>
            <w:tcBorders>
              <w:left w:val="dotted" w:color="auto" w:sz="2" w:space="0"/>
              <w:right w:val="dotted" w:color="auto" w:sz="2" w:space="0"/>
            </w:tcBorders>
            <w:vAlign w:val="center"/>
          </w:tcPr>
          <w:p w14:paraId="2FEEC504">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1D609741">
            <w:pPr>
              <w:widowControl/>
              <w:adjustRightInd/>
              <w:spacing w:line="240" w:lineRule="exact"/>
              <w:jc w:val="center"/>
              <w:textAlignment w:val="auto"/>
              <w:rPr>
                <w:rFonts w:ascii="Arial" w:hAnsi="Arial" w:eastAsia="华文细黑" w:cs="Arial"/>
                <w:color w:val="000000"/>
                <w:sz w:val="18"/>
                <w:szCs w:val="18"/>
              </w:rPr>
            </w:pPr>
          </w:p>
        </w:tc>
        <w:tc>
          <w:tcPr>
            <w:tcW w:w="1887" w:type="dxa"/>
            <w:tcBorders>
              <w:top w:val="dotted" w:color="auto" w:sz="2" w:space="0"/>
              <w:left w:val="dotted" w:color="auto" w:sz="2" w:space="0"/>
              <w:bottom w:val="dotted" w:color="auto" w:sz="2" w:space="0"/>
              <w:right w:val="dotted" w:color="auto" w:sz="2" w:space="0"/>
            </w:tcBorders>
            <w:vAlign w:val="center"/>
          </w:tcPr>
          <w:p w14:paraId="4DBCEC2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1C7E8C0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1834" w:type="dxa"/>
            <w:tcBorders>
              <w:top w:val="dotted" w:color="auto" w:sz="2" w:space="0"/>
              <w:left w:val="dotted" w:color="auto" w:sz="2" w:space="0"/>
              <w:bottom w:val="dotted" w:color="auto" w:sz="2" w:space="0"/>
              <w:right w:val="dotted" w:color="auto" w:sz="2" w:space="0"/>
            </w:tcBorders>
            <w:vAlign w:val="center"/>
          </w:tcPr>
          <w:p w14:paraId="190E62D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4807126E">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74EF56DB">
            <w:pPr>
              <w:widowControl/>
              <w:adjustRightInd/>
              <w:spacing w:line="240" w:lineRule="exact"/>
              <w:jc w:val="center"/>
              <w:textAlignment w:val="auto"/>
              <w:rPr>
                <w:rFonts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70883CF2">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1887" w:type="dxa"/>
            <w:tcBorders>
              <w:top w:val="dotted" w:color="auto" w:sz="2" w:space="0"/>
              <w:left w:val="dotted" w:color="auto" w:sz="2" w:space="0"/>
              <w:bottom w:val="dotted" w:color="auto" w:sz="2" w:space="0"/>
              <w:right w:val="dotted" w:color="auto" w:sz="2" w:space="0"/>
            </w:tcBorders>
            <w:vAlign w:val="center"/>
          </w:tcPr>
          <w:p w14:paraId="17954B3A">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2066" w:type="dxa"/>
            <w:tcBorders>
              <w:top w:val="dotted" w:color="auto" w:sz="2" w:space="0"/>
              <w:left w:val="dotted" w:color="auto" w:sz="2" w:space="0"/>
              <w:bottom w:val="dotted" w:color="auto" w:sz="2" w:space="0"/>
              <w:right w:val="dotted" w:color="auto" w:sz="2" w:space="0"/>
            </w:tcBorders>
            <w:vAlign w:val="center"/>
          </w:tcPr>
          <w:p w14:paraId="583BDDE8">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1834" w:type="dxa"/>
            <w:tcBorders>
              <w:top w:val="dotted" w:color="auto" w:sz="2" w:space="0"/>
              <w:left w:val="dotted" w:color="auto" w:sz="2" w:space="0"/>
              <w:bottom w:val="dotted" w:color="auto" w:sz="2" w:space="0"/>
              <w:right w:val="dotted" w:color="auto" w:sz="2" w:space="0"/>
            </w:tcBorders>
            <w:vAlign w:val="center"/>
          </w:tcPr>
          <w:p w14:paraId="098350A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30E39043">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2987044F">
            <w:pPr>
              <w:widowControl/>
              <w:adjustRightInd/>
              <w:spacing w:line="240" w:lineRule="exact"/>
              <w:jc w:val="center"/>
              <w:textAlignment w:val="auto"/>
              <w:rPr>
                <w:rFonts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2AE9244D">
            <w:pPr>
              <w:widowControl/>
              <w:adjustRightInd/>
              <w:spacing w:line="240" w:lineRule="exact"/>
              <w:jc w:val="center"/>
              <w:textAlignment w:val="auto"/>
              <w:rPr>
                <w:rFonts w:ascii="Arial" w:hAnsi="Arial" w:eastAsia="华文细黑" w:cs="Arial"/>
                <w:color w:val="000000"/>
                <w:sz w:val="18"/>
                <w:szCs w:val="18"/>
              </w:rPr>
            </w:pPr>
          </w:p>
        </w:tc>
        <w:tc>
          <w:tcPr>
            <w:tcW w:w="1887" w:type="dxa"/>
            <w:tcBorders>
              <w:top w:val="dotted" w:color="auto" w:sz="2" w:space="0"/>
              <w:left w:val="dotted" w:color="auto" w:sz="2" w:space="0"/>
              <w:bottom w:val="dotted" w:color="auto" w:sz="2" w:space="0"/>
              <w:right w:val="dotted" w:color="auto" w:sz="2" w:space="0"/>
            </w:tcBorders>
            <w:vAlign w:val="center"/>
          </w:tcPr>
          <w:p w14:paraId="11B50C24">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2066" w:type="dxa"/>
            <w:tcBorders>
              <w:top w:val="dotted" w:color="auto" w:sz="2" w:space="0"/>
              <w:left w:val="dotted" w:color="auto" w:sz="2" w:space="0"/>
              <w:bottom w:val="dotted" w:color="auto" w:sz="2" w:space="0"/>
              <w:right w:val="dotted" w:color="auto" w:sz="2" w:space="0"/>
            </w:tcBorders>
            <w:vAlign w:val="center"/>
          </w:tcPr>
          <w:p w14:paraId="12F7EB3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1834" w:type="dxa"/>
            <w:tcBorders>
              <w:top w:val="dotted" w:color="auto" w:sz="2" w:space="0"/>
              <w:left w:val="dotted" w:color="auto" w:sz="2" w:space="0"/>
              <w:bottom w:val="dotted" w:color="auto" w:sz="2" w:space="0"/>
              <w:right w:val="dotted" w:color="auto" w:sz="2" w:space="0"/>
            </w:tcBorders>
            <w:vAlign w:val="center"/>
          </w:tcPr>
          <w:p w14:paraId="2032375B">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r w14:paraId="2701C1BF">
        <w:tblPrEx>
          <w:tblCellMar>
            <w:top w:w="57" w:type="dxa"/>
            <w:left w:w="57" w:type="dxa"/>
            <w:bottom w:w="57" w:type="dxa"/>
            <w:right w:w="57" w:type="dxa"/>
          </w:tblCellMar>
        </w:tblPrEx>
        <w:trPr>
          <w:cantSplit/>
          <w:trHeight w:val="307" w:hRule="atLeast"/>
          <w:jc w:val="center"/>
        </w:trPr>
        <w:tc>
          <w:tcPr>
            <w:tcW w:w="2928" w:type="pct"/>
            <w:gridSpan w:val="3"/>
            <w:tcBorders>
              <w:top w:val="dotted" w:color="auto" w:sz="2" w:space="0"/>
              <w:left w:val="dotted" w:color="auto" w:sz="2" w:space="0"/>
              <w:bottom w:val="thinThickThinSmallGap" w:color="auto" w:sz="12" w:space="0"/>
              <w:right w:val="dotted" w:color="auto" w:sz="2" w:space="0"/>
            </w:tcBorders>
            <w:vAlign w:val="center"/>
          </w:tcPr>
          <w:p w14:paraId="186D9B20">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合计</w:t>
            </w:r>
          </w:p>
        </w:tc>
        <w:tc>
          <w:tcPr>
            <w:tcW w:w="2066" w:type="dxa"/>
            <w:tcBorders>
              <w:top w:val="dotted" w:color="auto" w:sz="2" w:space="0"/>
              <w:left w:val="dotted" w:color="auto" w:sz="2" w:space="0"/>
              <w:bottom w:val="thinThickThinSmallGap" w:color="auto" w:sz="12" w:space="0"/>
              <w:right w:val="dotted" w:color="auto" w:sz="2" w:space="0"/>
            </w:tcBorders>
            <w:vAlign w:val="center"/>
          </w:tcPr>
          <w:p w14:paraId="5261EAF5">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 xml:space="preserve">24871.67 </w:t>
            </w:r>
          </w:p>
        </w:tc>
        <w:tc>
          <w:tcPr>
            <w:tcW w:w="974" w:type="pct"/>
            <w:tcBorders>
              <w:top w:val="dotted" w:color="auto" w:sz="2" w:space="0"/>
              <w:left w:val="dotted" w:color="auto" w:sz="2" w:space="0"/>
              <w:bottom w:val="thinThickThinSmallGap" w:color="auto" w:sz="12" w:space="0"/>
              <w:right w:val="dotted" w:color="auto" w:sz="2" w:space="0"/>
            </w:tcBorders>
            <w:vAlign w:val="center"/>
          </w:tcPr>
          <w:p w14:paraId="5FBFA75C">
            <w:pPr>
              <w:widowControl/>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w:t>
            </w:r>
          </w:p>
        </w:tc>
      </w:tr>
    </w:tbl>
    <w:p w14:paraId="42D07317">
      <w:pPr>
        <w:widowControl/>
        <w:adjustRightInd/>
        <w:spacing w:line="240" w:lineRule="auto"/>
        <w:ind w:firstLine="180" w:firstLineChars="100"/>
        <w:jc w:val="both"/>
        <w:textAlignment w:val="auto"/>
        <w:rPr>
          <w:rFonts w:ascii="Arial" w:hAnsi="Arial" w:eastAsia="华文细黑"/>
          <w:sz w:val="18"/>
        </w:rPr>
      </w:pPr>
      <w:r>
        <w:rPr>
          <w:rFonts w:hint="eastAsia" w:ascii="Arial" w:hAnsi="Arial" w:eastAsia="华文细黑"/>
          <w:sz w:val="18"/>
        </w:rPr>
        <w:t>单位：</w:t>
      </w:r>
      <w:r>
        <w:rPr>
          <w:rFonts w:hint="eastAsia" w:ascii="Arial" w:hAnsi="Arial" w:eastAsia="华文细黑" w:cs="宋体"/>
          <w:sz w:val="18"/>
          <w:szCs w:val="18"/>
        </w:rPr>
        <w:t>平方米、元/建筑</w:t>
      </w:r>
      <w:r>
        <w:rPr>
          <w:rFonts w:ascii="Arial" w:hAnsi="Arial" w:eastAsia="华文细黑" w:cs="宋体"/>
          <w:sz w:val="18"/>
          <w:szCs w:val="18"/>
        </w:rPr>
        <w:t>面积</w:t>
      </w:r>
      <w:r>
        <w:rPr>
          <w:rFonts w:hint="eastAsia" w:ascii="Arial" w:hAnsi="Arial" w:eastAsia="华文细黑" w:cs="宋体"/>
          <w:sz w:val="18"/>
          <w:szCs w:val="18"/>
        </w:rPr>
        <w:t>平方米·天</w:t>
      </w:r>
      <w:r>
        <w:rPr>
          <w:rFonts w:hint="eastAsia" w:ascii="Arial" w:hAnsi="Arial" w:eastAsia="华文细黑"/>
          <w:sz w:val="18"/>
        </w:rPr>
        <w:t>（币种：人民币）</w:t>
      </w:r>
    </w:p>
    <w:p w14:paraId="7E2351B6">
      <w:pPr>
        <w:widowControl/>
        <w:adjustRightInd/>
        <w:spacing w:line="240" w:lineRule="auto"/>
        <w:ind w:firstLine="180" w:firstLineChars="100"/>
        <w:jc w:val="both"/>
        <w:textAlignment w:val="auto"/>
        <w:rPr>
          <w:rFonts w:ascii="Arial" w:hAnsi="Arial" w:eastAsia="华文细黑" w:cs="宋体"/>
          <w:sz w:val="18"/>
          <w:szCs w:val="18"/>
        </w:rPr>
      </w:pPr>
      <w:r>
        <w:rPr>
          <w:rFonts w:hint="eastAsia" w:ascii="Arial" w:hAnsi="Arial" w:eastAsia="华文细黑" w:cs="宋体"/>
          <w:sz w:val="18"/>
          <w:szCs w:val="18"/>
        </w:rPr>
        <w:t>备注：因市场情况复杂，实际签订价格将受交易双方对项目心理预期的影响，会在估价结果的基础上出现一定范围内的上下浮动。</w:t>
      </w:r>
    </w:p>
    <w:p w14:paraId="0C204F8A">
      <w:pPr>
        <w:widowControl/>
        <w:adjustRightInd/>
        <w:spacing w:line="240" w:lineRule="auto"/>
        <w:jc w:val="both"/>
        <w:textAlignment w:val="auto"/>
        <w:rPr>
          <w:rFonts w:ascii="Arial" w:hAnsi="Arial" w:eastAsia="华文细黑" w:cs="宋体"/>
          <w:sz w:val="18"/>
          <w:szCs w:val="18"/>
        </w:rPr>
      </w:pPr>
    </w:p>
    <w:p w14:paraId="37A766BC">
      <w:pPr>
        <w:spacing w:line="480" w:lineRule="auto"/>
        <w:jc w:val="both"/>
        <w:rPr>
          <w:rFonts w:ascii="Arial" w:hAnsi="Arial" w:cs="Arial"/>
          <w:b/>
          <w:bCs/>
          <w:sz w:val="21"/>
          <w:szCs w:val="21"/>
        </w:rPr>
      </w:pPr>
      <w:r>
        <w:rPr>
          <w:rFonts w:ascii="Arial" w:hAnsi="Arial" w:cs="Arial"/>
          <w:b/>
          <w:bCs/>
          <w:sz w:val="21"/>
          <w:szCs w:val="21"/>
        </w:rPr>
        <w:t>特别提示：</w:t>
      </w:r>
    </w:p>
    <w:p w14:paraId="42275BFF">
      <w:pPr>
        <w:spacing w:line="480" w:lineRule="auto"/>
        <w:jc w:val="both"/>
        <w:rPr>
          <w:rFonts w:ascii="Arial" w:hAnsi="Arial" w:cs="Arial"/>
          <w:color w:val="E36C0A"/>
          <w:sz w:val="21"/>
          <w:szCs w:val="21"/>
        </w:rPr>
      </w:pPr>
      <w:r>
        <w:rPr>
          <w:rFonts w:ascii="Arial" w:hAnsi="Arial" w:cs="Arial"/>
          <w:bCs/>
          <w:sz w:val="21"/>
          <w:szCs w:val="21"/>
        </w:rPr>
        <w:t>1.</w:t>
      </w:r>
      <w:r>
        <w:rPr>
          <w:rFonts w:hint="eastAsia" w:ascii="Arial" w:hAnsi="Arial"/>
          <w:bCs/>
          <w:sz w:val="21"/>
          <w:szCs w:val="21"/>
        </w:rPr>
        <w:t>本次评估设定估价对象权属清晰、合法、无争议，未被查封或者以其他形式限制其房地产权利，不涉及第三方权利义务。</w:t>
      </w:r>
    </w:p>
    <w:p w14:paraId="749E3727">
      <w:pPr>
        <w:spacing w:line="480" w:lineRule="auto"/>
        <w:jc w:val="both"/>
        <w:rPr>
          <w:rFonts w:ascii="Arial" w:hAnsi="Arial" w:cs="Arial"/>
          <w:bCs/>
          <w:sz w:val="21"/>
          <w:szCs w:val="21"/>
        </w:rPr>
      </w:pPr>
      <w:r>
        <w:rPr>
          <w:rFonts w:hint="eastAsia" w:ascii="Arial" w:hAnsi="Arial" w:cs="Arial"/>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hint="eastAsia" w:ascii="Arial" w:hAnsi="Arial" w:cs="Arial"/>
          <w:bCs/>
          <w:sz w:val="21"/>
          <w:szCs w:val="21"/>
        </w:rPr>
        <w:t>“</w:t>
      </w:r>
      <w:r>
        <w:rPr>
          <w:rFonts w:ascii="Arial" w:hAnsi="Arial" w:cs="Arial"/>
          <w:bCs/>
          <w:sz w:val="21"/>
          <w:szCs w:val="21"/>
        </w:rPr>
        <w:t>估价的假设和限制条件</w:t>
      </w:r>
      <w:r>
        <w:rPr>
          <w:rFonts w:hint="eastAsia" w:ascii="Arial" w:hAnsi="Arial" w:cs="Arial"/>
          <w:bCs/>
          <w:sz w:val="21"/>
          <w:szCs w:val="21"/>
        </w:rPr>
        <w:t>”</w:t>
      </w:r>
      <w:r>
        <w:rPr>
          <w:rFonts w:ascii="Arial" w:hAnsi="Arial" w:cs="Arial"/>
          <w:bCs/>
          <w:sz w:val="21"/>
          <w:szCs w:val="21"/>
        </w:rPr>
        <w:t>限制。</w:t>
      </w:r>
    </w:p>
    <w:p w14:paraId="05E09F2E">
      <w:pPr>
        <w:spacing w:line="480" w:lineRule="auto"/>
        <w:jc w:val="both"/>
        <w:rPr>
          <w:rFonts w:ascii="Arial" w:hAnsi="Arial" w:cs="Arial"/>
          <w:b/>
          <w:bCs/>
          <w:sz w:val="21"/>
          <w:szCs w:val="21"/>
        </w:rPr>
      </w:pPr>
    </w:p>
    <w:p w14:paraId="6D2B84FE">
      <w:pPr>
        <w:spacing w:line="480" w:lineRule="auto"/>
        <w:ind w:firstLine="420" w:firstLineChars="200"/>
        <w:rPr>
          <w:rFonts w:ascii="Arial" w:hAnsi="Arial" w:cs="Arial"/>
          <w:sz w:val="21"/>
          <w:szCs w:val="21"/>
        </w:rPr>
        <w:sectPr>
          <w:footerReference r:id="rId29" w:type="default"/>
          <w:pgSz w:w="11907" w:h="16840"/>
          <w:pgMar w:top="1843" w:right="1304" w:bottom="1134" w:left="1304" w:header="1134" w:footer="907" w:gutter="0"/>
          <w:cols w:space="720" w:num="1"/>
          <w:docGrid w:linePitch="326" w:charSpace="0"/>
        </w:sectPr>
      </w:pPr>
    </w:p>
    <w:p w14:paraId="6EF5CCA9">
      <w:pPr>
        <w:spacing w:line="240" w:lineRule="auto"/>
        <w:jc w:val="center"/>
        <w:rPr>
          <w:rFonts w:ascii="Arial" w:hAnsi="Arial" w:eastAsia="方正黑体简体" w:cs="Arial"/>
          <w:szCs w:val="21"/>
        </w:rPr>
      </w:pPr>
    </w:p>
    <w:p w14:paraId="431C5DAD">
      <w:pPr>
        <w:pStyle w:val="2"/>
        <w:spacing w:line="480" w:lineRule="auto"/>
        <w:jc w:val="center"/>
        <w:rPr>
          <w:rFonts w:eastAsia="方正黑体简体"/>
          <w:b w:val="0"/>
          <w:kern w:val="2"/>
          <w:sz w:val="32"/>
          <w:szCs w:val="32"/>
        </w:rPr>
      </w:pPr>
      <w:bookmarkStart w:id="57" w:name="_Toc477252467"/>
      <w:r>
        <w:rPr>
          <w:rFonts w:hint="eastAsia" w:eastAsia="方正黑体简体"/>
          <w:b w:val="0"/>
          <w:kern w:val="2"/>
          <w:sz w:val="32"/>
          <w:szCs w:val="32"/>
        </w:rPr>
        <w:t>附   件</w:t>
      </w:r>
      <w:bookmarkEnd w:id="57"/>
    </w:p>
    <w:p w14:paraId="76E0A727">
      <w:pPr>
        <w:numPr>
          <w:ilvl w:val="0"/>
          <w:numId w:val="11"/>
        </w:numPr>
        <w:spacing w:line="480" w:lineRule="auto"/>
        <w:jc w:val="both"/>
        <w:rPr>
          <w:rFonts w:ascii="Arial" w:hAnsi="Arial" w:cs="Arial"/>
          <w:sz w:val="21"/>
          <w:szCs w:val="21"/>
        </w:rPr>
      </w:pPr>
      <w:r>
        <w:rPr>
          <w:rFonts w:ascii="Arial" w:hAnsi="Arial" w:cs="Arial"/>
          <w:sz w:val="21"/>
          <w:szCs w:val="21"/>
        </w:rPr>
        <w:t>《估价委托书》</w:t>
      </w:r>
      <w:r>
        <w:rPr>
          <w:rFonts w:hint="eastAsia" w:ascii="Arial" w:hAnsi="Arial" w:cs="Arial"/>
          <w:sz w:val="21"/>
          <w:szCs w:val="21"/>
        </w:rPr>
        <w:t>复印件</w:t>
      </w:r>
    </w:p>
    <w:p w14:paraId="1942E8B4">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14:paraId="403691D0">
      <w:pPr>
        <w:numPr>
          <w:ilvl w:val="0"/>
          <w:numId w:val="11"/>
        </w:numPr>
        <w:spacing w:line="480" w:lineRule="auto"/>
        <w:jc w:val="both"/>
        <w:rPr>
          <w:rFonts w:ascii="Arial" w:hAnsi="Arial" w:cs="Arial"/>
          <w:sz w:val="21"/>
          <w:szCs w:val="21"/>
        </w:rPr>
      </w:pPr>
      <w:r>
        <w:rPr>
          <w:rFonts w:ascii="Arial" w:hAnsi="Arial" w:cs="Arial"/>
          <w:sz w:val="21"/>
          <w:szCs w:val="21"/>
        </w:rPr>
        <w:t>估价对象实地查勘情况和相关照片</w:t>
      </w:r>
    </w:p>
    <w:p w14:paraId="78F8AA35">
      <w:pPr>
        <w:numPr>
          <w:ilvl w:val="0"/>
          <w:numId w:val="11"/>
        </w:numPr>
        <w:spacing w:line="480" w:lineRule="auto"/>
        <w:jc w:val="both"/>
        <w:rPr>
          <w:rFonts w:ascii="Arial" w:hAnsi="Arial" w:cs="Arial"/>
          <w:sz w:val="21"/>
          <w:szCs w:val="21"/>
        </w:rPr>
      </w:pPr>
      <w:r>
        <w:rPr>
          <w:rFonts w:hint="eastAsia" w:ascii="Arial" w:hAnsi="Arial"/>
          <w:bCs/>
          <w:sz w:val="21"/>
        </w:rPr>
        <w:t>《不动产权证书》[京（2021）房不动产权第0024765号]</w:t>
      </w:r>
      <w:r>
        <w:rPr>
          <w:rFonts w:hint="eastAsia" w:ascii="Arial" w:hAnsi="Arial" w:cs="Arial"/>
          <w:sz w:val="21"/>
          <w:szCs w:val="21"/>
        </w:rPr>
        <w:t>复印件</w:t>
      </w:r>
    </w:p>
    <w:p w14:paraId="232161F8">
      <w:pPr>
        <w:numPr>
          <w:ilvl w:val="0"/>
          <w:numId w:val="11"/>
        </w:numPr>
        <w:spacing w:line="480" w:lineRule="auto"/>
        <w:jc w:val="both"/>
        <w:rPr>
          <w:rFonts w:ascii="Arial" w:hAnsi="Arial" w:cs="Arial"/>
          <w:sz w:val="21"/>
          <w:szCs w:val="21"/>
        </w:rPr>
      </w:pPr>
      <w:r>
        <w:rPr>
          <w:rFonts w:hint="eastAsia" w:ascii="Arial" w:hAnsi="Arial"/>
          <w:bCs/>
          <w:sz w:val="21"/>
        </w:rPr>
        <w:t>《不动产权证书》[京（2022）房不动产权第0001792、0001795号]</w:t>
      </w:r>
      <w:r>
        <w:rPr>
          <w:rFonts w:hint="eastAsia" w:ascii="Arial" w:hAnsi="Arial" w:cs="Arial"/>
          <w:sz w:val="21"/>
          <w:szCs w:val="21"/>
        </w:rPr>
        <w:t>复印件</w:t>
      </w:r>
    </w:p>
    <w:p w14:paraId="339AD510">
      <w:pPr>
        <w:numPr>
          <w:ilvl w:val="0"/>
          <w:numId w:val="11"/>
        </w:numPr>
        <w:spacing w:line="480" w:lineRule="auto"/>
        <w:jc w:val="both"/>
        <w:rPr>
          <w:rFonts w:ascii="Arial" w:hAnsi="Arial" w:cs="Arial"/>
          <w:sz w:val="21"/>
          <w:szCs w:val="21"/>
        </w:rPr>
      </w:pPr>
      <w:r>
        <w:rPr>
          <w:rFonts w:hint="eastAsia" w:ascii="Arial" w:hAnsi="Arial"/>
          <w:bCs/>
          <w:sz w:val="21"/>
        </w:rPr>
        <w:t>《房屋面积测算技术报告书（商品房类使用）》</w:t>
      </w:r>
      <w:r>
        <w:rPr>
          <w:rFonts w:hint="eastAsia" w:ascii="Arial" w:hAnsi="Arial" w:cs="Arial"/>
          <w:sz w:val="21"/>
          <w:szCs w:val="21"/>
        </w:rPr>
        <w:t>复印件</w:t>
      </w:r>
    </w:p>
    <w:p w14:paraId="7DFE4C6E">
      <w:pPr>
        <w:numPr>
          <w:ilvl w:val="0"/>
          <w:numId w:val="11"/>
        </w:numPr>
        <w:spacing w:line="480" w:lineRule="auto"/>
        <w:jc w:val="both"/>
        <w:rPr>
          <w:rFonts w:ascii="Arial" w:hAnsi="Arial" w:cs="Arial"/>
          <w:sz w:val="21"/>
          <w:szCs w:val="21"/>
        </w:rPr>
      </w:pPr>
      <w:r>
        <w:rPr>
          <w:rFonts w:hint="eastAsia" w:ascii="Arial" w:hAnsi="Arial" w:cs="Arial"/>
          <w:sz w:val="21"/>
          <w:szCs w:val="21"/>
        </w:rPr>
        <w:t>专业帮助情况及相关专业意见</w:t>
      </w:r>
    </w:p>
    <w:p w14:paraId="67600ED5">
      <w:pPr>
        <w:numPr>
          <w:ilvl w:val="0"/>
          <w:numId w:val="11"/>
        </w:numPr>
        <w:spacing w:line="480" w:lineRule="auto"/>
        <w:jc w:val="both"/>
        <w:rPr>
          <w:rFonts w:ascii="Arial" w:hAnsi="Arial" w:cs="Arial"/>
          <w:sz w:val="21"/>
          <w:szCs w:val="21"/>
        </w:rPr>
      </w:pPr>
      <w:r>
        <w:rPr>
          <w:rFonts w:ascii="Arial" w:hAnsi="Arial" w:cs="Arial"/>
          <w:sz w:val="21"/>
          <w:szCs w:val="21"/>
        </w:rPr>
        <w:t>估价委托人《营业执照（副本）》复印件</w:t>
      </w:r>
    </w:p>
    <w:p w14:paraId="2B8BDA4B">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4AC92D34">
      <w:pPr>
        <w:numPr>
          <w:ilvl w:val="0"/>
          <w:numId w:val="11"/>
        </w:numPr>
        <w:spacing w:line="480" w:lineRule="auto"/>
        <w:jc w:val="both"/>
        <w:rPr>
          <w:rFonts w:ascii="Arial" w:hAnsi="Arial" w:cs="Arial"/>
          <w:sz w:val="21"/>
          <w:szCs w:val="21"/>
        </w:rPr>
      </w:pPr>
      <w:r>
        <w:rPr>
          <w:rFonts w:hint="eastAsia" w:ascii="Arial" w:hAnsi="Arial" w:cs="Arial"/>
          <w:sz w:val="21"/>
          <w:szCs w:val="21"/>
        </w:rPr>
        <w:t>房地产估价机构估价资质证书</w:t>
      </w:r>
      <w:r>
        <w:rPr>
          <w:rFonts w:ascii="Arial" w:hAnsi="Arial" w:cs="Arial"/>
          <w:sz w:val="21"/>
          <w:szCs w:val="21"/>
        </w:rPr>
        <w:t>复印件</w:t>
      </w:r>
    </w:p>
    <w:p w14:paraId="1F9505E3">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headerReference r:id="rId30" w:type="default"/>
      <w:footerReference r:id="rId31" w:type="default"/>
      <w:pgSz w:w="11907" w:h="16840"/>
      <w:pgMar w:top="1843" w:right="1304" w:bottom="1134" w:left="1304" w:header="1134" w:footer="907" w:gutter="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in10B" w:date="2026-01-27T15:47:00Z" w:initials="w">
    <w:p w14:paraId="347DB1CA">
      <w:pPr>
        <w:pStyle w:val="10"/>
      </w:pPr>
      <w:r>
        <w:t>税费呢</w:t>
      </w:r>
    </w:p>
  </w:comment>
  <w:comment w:id="1" w:author="win10B" w:date="2026-01-27T15:50:00Z" w:initials="w">
    <w:p w14:paraId="63FF6E67">
      <w:pPr>
        <w:pStyle w:val="10"/>
      </w:pPr>
      <w:r>
        <w:t>在哪个地块上</w:t>
      </w:r>
    </w:p>
  </w:comment>
  <w:comment w:id="2" w:author="win10B" w:date="2026-01-27T16:15:00Z" w:initials="w">
    <w:p w14:paraId="3865D80C">
      <w:pPr>
        <w:pStyle w:val="10"/>
      </w:pPr>
      <w:r>
        <w:t>排版</w:t>
      </w:r>
      <w:r>
        <w:rPr>
          <w:rFonts w:hint="eastAsia"/>
        </w:rPr>
        <w:t xml:space="preserve"> </w:t>
      </w:r>
    </w:p>
  </w:comment>
  <w:comment w:id="3" w:author="win10B" w:date="2026-01-27T16:21:00Z" w:initials="w">
    <w:p w14:paraId="0DEDDD70">
      <w:pPr>
        <w:pStyle w:val="10"/>
      </w:pPr>
      <w:r>
        <w:annotationRef/>
      </w:r>
    </w:p>
  </w:comment>
  <w:comment w:id="4" w:author="诗霖" w:date="2026-01-27T17:18:35Z" w:initials="">
    <w:p w14:paraId="06EAAF5D">
      <w:pPr>
        <w:pStyle w:val="10"/>
      </w:pPr>
      <w:r>
        <w:annotationRef/>
      </w:r>
    </w:p>
  </w:comment>
  <w:comment w:id="5" w:author="win10B" w:date="2026-01-27T16:31:00Z" w:initials="w">
    <w:p w14:paraId="5AB2C602">
      <w:pPr>
        <w:pStyle w:val="10"/>
      </w:pPr>
      <w:r>
        <w:t>换下位置</w:t>
      </w:r>
    </w:p>
  </w:comment>
  <w:comment w:id="6" w:author="win10B" w:date="2026-01-27T16:34:00Z" w:initials="w">
    <w:p w14:paraId="41C019EC">
      <w:pPr>
        <w:pStyle w:val="10"/>
      </w:pPr>
      <w:r>
        <w:t>单位</w:t>
      </w:r>
    </w:p>
  </w:comment>
  <w:comment w:id="7" w:author="win10B" w:date="2026-01-27T16:38:00Z" w:initials="w">
    <w:p w14:paraId="384DB5D3">
      <w:pPr>
        <w:pStyle w:val="10"/>
      </w:pPr>
      <w:r>
        <w:t>再加一行，修正系数</w:t>
      </w:r>
    </w:p>
  </w:comment>
  <w:comment w:id="8" w:author="诗霖" w:date="2026-01-27T17:16:09Z" w:initials="">
    <w:p w14:paraId="55E67656">
      <w:pPr>
        <w:pStyle w:val="10"/>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47DB1CA" w15:done="0"/>
  <w15:commentEx w15:paraId="63FF6E67" w15:done="0"/>
  <w15:commentEx w15:paraId="3865D80C" w15:done="0"/>
  <w15:commentEx w15:paraId="0DEDDD70" w15:done="0"/>
  <w15:commentEx w15:paraId="06EAAF5D" w15:done="0"/>
  <w15:commentEx w15:paraId="5AB2C602" w15:done="0"/>
  <w15:commentEx w15:paraId="41C019EC" w15:done="0"/>
  <w15:commentEx w15:paraId="384DB5D3" w15:done="0"/>
  <w15:commentEx w15:paraId="55E676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方正黑体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BC17A">
    <w:pPr>
      <w:pStyle w:val="20"/>
      <w:ind w:right="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5F471">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390B65F3">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22A8">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49</w:t>
    </w:r>
    <w:r>
      <w:rPr>
        <w:rFonts w:ascii="Arial" w:hAnsi="Arial"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F1976">
    <w:pPr>
      <w:pStyle w:val="20"/>
      <w:pBdr>
        <w:top w:val="single" w:color="auto" w:sz="4" w:space="1"/>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53</w:t>
    </w:r>
    <w:r>
      <w:rPr>
        <w:rFonts w:ascii="Arial" w:hAnsi="Arial" w:cs="Aria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1E55C">
    <w:pPr>
      <w:pStyle w:val="20"/>
      <w:pBdr>
        <w:top w:val="single" w:color="auto" w:sz="4" w:space="1"/>
      </w:pBdr>
      <w:tabs>
        <w:tab w:val="right" w:pos="14249"/>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57</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51E2C">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289B68C2">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2259B">
    <w:pPr>
      <w:pStyle w:val="20"/>
      <w:pBdr>
        <w:top w:val="single" w:color="404040" w:sz="4" w:space="0"/>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4</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15CA7">
    <w:pPr>
      <w:pStyle w:val="20"/>
      <w:pBdr>
        <w:top w:val="single" w:color="auto"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11</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2986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C18F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C203">
    <w:pPr>
      <w:pStyle w:val="20"/>
      <w:jc w:val="center"/>
    </w:pPr>
    <w:r>
      <w:fldChar w:fldCharType="begin"/>
    </w:r>
    <w:r>
      <w:instrText xml:space="preserve">PAGE   \* MERGEFORMAT</w:instrText>
    </w:r>
    <w:r>
      <w:fldChar w:fldCharType="separate"/>
    </w:r>
    <w:r>
      <w:rPr>
        <w:rFonts w:ascii="Arial" w:hAnsi="Arial"/>
        <w:lang w:val="zh-CN"/>
      </w:rPr>
      <w:t>12</w:t>
    </w:r>
    <w:r>
      <w:fldChar w:fldCharType="end"/>
    </w:r>
  </w:p>
  <w:p w14:paraId="66C64532">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07EC0">
    <w:pPr>
      <w:pStyle w:val="20"/>
      <w:pBdr>
        <w:top w:val="single" w:color="auto" w:sz="4" w:space="1"/>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16</w:t>
    </w:r>
    <w:r>
      <w:rP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187E1">
    <w:pPr>
      <w:pStyle w:val="20"/>
      <w:pBdr>
        <w:top w:val="single" w:color="auto" w:sz="4" w:space="1"/>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22</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D2473">
    <w:pPr>
      <w:pStyle w:val="21"/>
      <w:pBdr>
        <w:bottom w:val="none" w:color="auto" w:sz="0" w:space="0"/>
      </w:pBdr>
    </w:pPr>
    <w:r>
      <w:drawing>
        <wp:inline distT="0" distB="0" distL="0" distR="0">
          <wp:extent cx="5901690" cy="286385"/>
          <wp:effectExtent l="0" t="0" r="0" b="0"/>
          <wp:docPr id="2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6E7E3">
    <w:pPr>
      <w:pStyle w:val="21"/>
      <w:pBdr>
        <w:bottom w:val="none" w:color="auto" w:sz="0" w:space="0"/>
      </w:pBdr>
      <w:jc w:val="both"/>
      <w:rPr>
        <w:rFonts w:ascii="楷体_GB2312" w:eastAsia="楷体_GB2312"/>
        <w:color w:val="FF0000"/>
        <w:spacing w:val="-20"/>
        <w:sz w:val="21"/>
      </w:rPr>
    </w:pPr>
    <w:r>
      <w:drawing>
        <wp:inline distT="0" distB="0" distL="0" distR="0">
          <wp:extent cx="5901690" cy="286385"/>
          <wp:effectExtent l="0" t="0" r="0" b="0"/>
          <wp:docPr id="1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58952">
    <w:pPr>
      <w:pStyle w:val="21"/>
      <w:pBdr>
        <w:bottom w:val="none" w:color="auto" w:sz="0" w:space="0"/>
      </w:pBdr>
    </w:pPr>
    <w:r>
      <w:drawing>
        <wp:inline distT="0" distB="0" distL="0" distR="0">
          <wp:extent cx="5895975" cy="280670"/>
          <wp:effectExtent l="0" t="0" r="0" b="0"/>
          <wp:docPr id="11" name="图片 36"/>
          <wp:cNvGraphicFramePr/>
          <a:graphic xmlns:a="http://schemas.openxmlformats.org/drawingml/2006/main">
            <a:graphicData uri="http://schemas.openxmlformats.org/drawingml/2006/picture">
              <pic:pic xmlns:pic="http://schemas.openxmlformats.org/drawingml/2006/picture">
                <pic:nvPicPr>
                  <pic:cNvPr id="11" name="图片 3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5975" cy="28067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13F5">
    <w:pPr>
      <w:pStyle w:val="21"/>
      <w:pBdr>
        <w:bottom w:val="none" w:color="auto" w:sz="0" w:space="0"/>
      </w:pBdr>
    </w:pPr>
    <w:r>
      <w:drawing>
        <wp:inline distT="0" distB="0" distL="0" distR="0">
          <wp:extent cx="5901690" cy="286385"/>
          <wp:effectExtent l="0" t="0" r="0" b="0"/>
          <wp:docPr id="1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EE9DE">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A5BF">
    <w:pPr>
      <w:pStyle w:val="21"/>
      <w:pBdr>
        <w:bottom w:val="none" w:color="auto" w:sz="0" w:space="0"/>
      </w:pBdr>
      <w:jc w:val="both"/>
      <w:rPr>
        <w:rFonts w:ascii="楷体_GB2312" w:eastAsia="楷体_GB2312"/>
        <w:color w:val="FF0000"/>
        <w:spacing w:val="-20"/>
        <w:sz w:val="21"/>
      </w:rPr>
    </w:pPr>
    <w:r>
      <w:drawing>
        <wp:inline distT="0" distB="0" distL="0" distR="0">
          <wp:extent cx="5901690" cy="28638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7CF58">
    <w:pPr>
      <w:pStyle w:val="21"/>
      <w:pBdr>
        <w:bottom w:val="none" w:color="auto" w:sz="0" w:space="0"/>
      </w:pBdr>
      <w:jc w:val="both"/>
      <w:rPr>
        <w:rFonts w:ascii="楷体_GB2312" w:eastAsia="楷体_GB2312"/>
        <w:color w:val="FF0000"/>
        <w:spacing w:val="-20"/>
        <w:sz w:val="21"/>
      </w:rPr>
    </w:pPr>
    <w:r>
      <w:drawing>
        <wp:inline distT="0" distB="0" distL="0" distR="0">
          <wp:extent cx="5901690" cy="28638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p w14:paraId="1EEAADF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7213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E57A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70B01">
    <w:pPr>
      <w:pStyle w:val="21"/>
      <w:pBdr>
        <w:bottom w:val="none" w:color="auto" w:sz="0" w:space="0"/>
      </w:pBdr>
      <w:jc w:val="both"/>
      <w:rPr>
        <w:rFonts w:ascii="楷体_GB2312" w:eastAsia="楷体_GB2312"/>
        <w:color w:val="FF0000"/>
        <w:spacing w:val="-20"/>
        <w:sz w:val="21"/>
      </w:rPr>
    </w:pPr>
    <w:r>
      <w:drawing>
        <wp:inline distT="0" distB="0" distL="0" distR="0">
          <wp:extent cx="5901690" cy="28638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E5A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493AD">
    <w:pPr>
      <w:pStyle w:val="21"/>
    </w:pPr>
    <w:r>
      <w:drawing>
        <wp:inline distT="0" distB="0" distL="0" distR="0">
          <wp:extent cx="5503545" cy="286385"/>
          <wp:effectExtent l="0" t="0" r="0" b="0"/>
          <wp:docPr id="2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354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F05B78"/>
    <w:multiLevelType w:val="multilevel"/>
    <w:tmpl w:val="0DF05B78"/>
    <w:lvl w:ilvl="0" w:tentative="0">
      <w:start w:val="1"/>
      <w:numFmt w:val="decimal"/>
      <w:lvlText w:val="%1."/>
      <w:lvlJc w:val="left"/>
      <w:pPr>
        <w:ind w:left="846" w:hanging="420"/>
      </w:pPr>
      <w:rPr>
        <w:snapToGrid w:val="0"/>
        <w:spacing w:val="0"/>
        <w:kern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210A438F"/>
    <w:multiLevelType w:val="multilevel"/>
    <w:tmpl w:val="210A438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7383E00"/>
    <w:multiLevelType w:val="multilevel"/>
    <w:tmpl w:val="27383E0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4224C1A"/>
    <w:multiLevelType w:val="multilevel"/>
    <w:tmpl w:val="34224C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96812ED"/>
    <w:multiLevelType w:val="multilevel"/>
    <w:tmpl w:val="396812ED"/>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557F39EB"/>
    <w:multiLevelType w:val="multilevel"/>
    <w:tmpl w:val="557F39EB"/>
    <w:lvl w:ilvl="0" w:tentative="0">
      <w:start w:val="1"/>
      <w:numFmt w:val="decimal"/>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7">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9">
    <w:nsid w:val="733B7460"/>
    <w:multiLevelType w:val="multilevel"/>
    <w:tmpl w:val="733B7460"/>
    <w:lvl w:ilvl="0" w:tentative="0">
      <w:start w:val="1"/>
      <w:numFmt w:val="decimal"/>
      <w:lvlText w:val="%1."/>
      <w:lvlJc w:val="left"/>
      <w:pPr>
        <w:ind w:left="704"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1"/>
  </w:num>
  <w:num w:numId="3">
    <w:abstractNumId w:val="8"/>
  </w:num>
  <w:num w:numId="4">
    <w:abstractNumId w:val="7"/>
  </w:num>
  <w:num w:numId="5">
    <w:abstractNumId w:val="5"/>
  </w:num>
  <w:num w:numId="6">
    <w:abstractNumId w:val="0"/>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10B">
    <w15:presenceInfo w15:providerId="None" w15:userId="win10B"/>
  </w15:person>
  <w15:person w15:author="诗霖">
    <w15:presenceInfo w15:providerId="WPS Office" w15:userId="2424977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50"/>
  <w:doNotHyphenateCaps/>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4952"/>
    <w:rsid w:val="00004CA5"/>
    <w:rsid w:val="00004D42"/>
    <w:rsid w:val="0001031A"/>
    <w:rsid w:val="00011EE1"/>
    <w:rsid w:val="0001237C"/>
    <w:rsid w:val="00012E86"/>
    <w:rsid w:val="0001354F"/>
    <w:rsid w:val="00014F2D"/>
    <w:rsid w:val="0001714F"/>
    <w:rsid w:val="00022827"/>
    <w:rsid w:val="00027D53"/>
    <w:rsid w:val="00030519"/>
    <w:rsid w:val="00031A0B"/>
    <w:rsid w:val="000345BA"/>
    <w:rsid w:val="00035392"/>
    <w:rsid w:val="00037642"/>
    <w:rsid w:val="0003783C"/>
    <w:rsid w:val="00037D7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E6A"/>
    <w:rsid w:val="00081F03"/>
    <w:rsid w:val="00082C75"/>
    <w:rsid w:val="00084265"/>
    <w:rsid w:val="00085690"/>
    <w:rsid w:val="00090ADF"/>
    <w:rsid w:val="00092F3C"/>
    <w:rsid w:val="0009464C"/>
    <w:rsid w:val="00094856"/>
    <w:rsid w:val="000A1B10"/>
    <w:rsid w:val="000A3B50"/>
    <w:rsid w:val="000A4345"/>
    <w:rsid w:val="000A5752"/>
    <w:rsid w:val="000B0322"/>
    <w:rsid w:val="000B060E"/>
    <w:rsid w:val="000B7C3D"/>
    <w:rsid w:val="000B7E14"/>
    <w:rsid w:val="000C1CAA"/>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95F"/>
    <w:rsid w:val="000F55C7"/>
    <w:rsid w:val="000F5732"/>
    <w:rsid w:val="000F5D1B"/>
    <w:rsid w:val="000F746A"/>
    <w:rsid w:val="00102861"/>
    <w:rsid w:val="00103AC3"/>
    <w:rsid w:val="00106495"/>
    <w:rsid w:val="001070F4"/>
    <w:rsid w:val="00110932"/>
    <w:rsid w:val="00112C6B"/>
    <w:rsid w:val="0011651C"/>
    <w:rsid w:val="001201A8"/>
    <w:rsid w:val="00121EB7"/>
    <w:rsid w:val="00121F4B"/>
    <w:rsid w:val="00123526"/>
    <w:rsid w:val="00124891"/>
    <w:rsid w:val="0012550C"/>
    <w:rsid w:val="001267C9"/>
    <w:rsid w:val="00126809"/>
    <w:rsid w:val="001300C8"/>
    <w:rsid w:val="001308A9"/>
    <w:rsid w:val="0013092A"/>
    <w:rsid w:val="001309C4"/>
    <w:rsid w:val="001310D8"/>
    <w:rsid w:val="00134710"/>
    <w:rsid w:val="00137B2B"/>
    <w:rsid w:val="00143163"/>
    <w:rsid w:val="001433AC"/>
    <w:rsid w:val="00146B62"/>
    <w:rsid w:val="00150A2F"/>
    <w:rsid w:val="0015101C"/>
    <w:rsid w:val="00152C21"/>
    <w:rsid w:val="00153D34"/>
    <w:rsid w:val="0015637F"/>
    <w:rsid w:val="00162718"/>
    <w:rsid w:val="0016376A"/>
    <w:rsid w:val="00170B7A"/>
    <w:rsid w:val="00170FF7"/>
    <w:rsid w:val="0017152E"/>
    <w:rsid w:val="00171F28"/>
    <w:rsid w:val="0017359A"/>
    <w:rsid w:val="00174015"/>
    <w:rsid w:val="00174FED"/>
    <w:rsid w:val="001752EA"/>
    <w:rsid w:val="00181B68"/>
    <w:rsid w:val="0018215B"/>
    <w:rsid w:val="00182645"/>
    <w:rsid w:val="00183C97"/>
    <w:rsid w:val="0018410F"/>
    <w:rsid w:val="00184596"/>
    <w:rsid w:val="00185D76"/>
    <w:rsid w:val="00186416"/>
    <w:rsid w:val="00186584"/>
    <w:rsid w:val="00190A23"/>
    <w:rsid w:val="0019484B"/>
    <w:rsid w:val="00194E5F"/>
    <w:rsid w:val="00197502"/>
    <w:rsid w:val="00197D26"/>
    <w:rsid w:val="001A13ED"/>
    <w:rsid w:val="001A2C77"/>
    <w:rsid w:val="001A326D"/>
    <w:rsid w:val="001A5444"/>
    <w:rsid w:val="001A59C1"/>
    <w:rsid w:val="001A6F1B"/>
    <w:rsid w:val="001A7B50"/>
    <w:rsid w:val="001A7FA2"/>
    <w:rsid w:val="001B1B96"/>
    <w:rsid w:val="001B3319"/>
    <w:rsid w:val="001B427F"/>
    <w:rsid w:val="001B64A0"/>
    <w:rsid w:val="001B72D0"/>
    <w:rsid w:val="001B730A"/>
    <w:rsid w:val="001B79C7"/>
    <w:rsid w:val="001B7B1D"/>
    <w:rsid w:val="001C20AE"/>
    <w:rsid w:val="001C2A98"/>
    <w:rsid w:val="001C2C79"/>
    <w:rsid w:val="001C2DF8"/>
    <w:rsid w:val="001C44F5"/>
    <w:rsid w:val="001C577A"/>
    <w:rsid w:val="001C6964"/>
    <w:rsid w:val="001C6AF2"/>
    <w:rsid w:val="001C7458"/>
    <w:rsid w:val="001C75B0"/>
    <w:rsid w:val="001C788E"/>
    <w:rsid w:val="001C7AAD"/>
    <w:rsid w:val="001D4FBC"/>
    <w:rsid w:val="001D650B"/>
    <w:rsid w:val="001D7D7A"/>
    <w:rsid w:val="001E0925"/>
    <w:rsid w:val="001E425D"/>
    <w:rsid w:val="001E53E3"/>
    <w:rsid w:val="001E5E1C"/>
    <w:rsid w:val="001E758A"/>
    <w:rsid w:val="001F0458"/>
    <w:rsid w:val="001F0888"/>
    <w:rsid w:val="001F6090"/>
    <w:rsid w:val="002002BD"/>
    <w:rsid w:val="00200E28"/>
    <w:rsid w:val="00201A37"/>
    <w:rsid w:val="00202895"/>
    <w:rsid w:val="00203314"/>
    <w:rsid w:val="00205D6F"/>
    <w:rsid w:val="00206854"/>
    <w:rsid w:val="002106F0"/>
    <w:rsid w:val="0021285B"/>
    <w:rsid w:val="00212AAF"/>
    <w:rsid w:val="00212AEE"/>
    <w:rsid w:val="002157AC"/>
    <w:rsid w:val="00221C8C"/>
    <w:rsid w:val="00222265"/>
    <w:rsid w:val="0022545A"/>
    <w:rsid w:val="00225481"/>
    <w:rsid w:val="002278A9"/>
    <w:rsid w:val="0023344F"/>
    <w:rsid w:val="00233C6E"/>
    <w:rsid w:val="002347B1"/>
    <w:rsid w:val="00234CB5"/>
    <w:rsid w:val="00235EFE"/>
    <w:rsid w:val="002361E9"/>
    <w:rsid w:val="00237F00"/>
    <w:rsid w:val="00241409"/>
    <w:rsid w:val="002422F5"/>
    <w:rsid w:val="0024323F"/>
    <w:rsid w:val="002437E0"/>
    <w:rsid w:val="00243D67"/>
    <w:rsid w:val="0024429E"/>
    <w:rsid w:val="00244311"/>
    <w:rsid w:val="00244F91"/>
    <w:rsid w:val="002455C6"/>
    <w:rsid w:val="00247052"/>
    <w:rsid w:val="00250828"/>
    <w:rsid w:val="00252130"/>
    <w:rsid w:val="00252E12"/>
    <w:rsid w:val="0025385C"/>
    <w:rsid w:val="002539C2"/>
    <w:rsid w:val="00253F04"/>
    <w:rsid w:val="002547BD"/>
    <w:rsid w:val="00256148"/>
    <w:rsid w:val="00264322"/>
    <w:rsid w:val="00264B8C"/>
    <w:rsid w:val="002671FD"/>
    <w:rsid w:val="00267E50"/>
    <w:rsid w:val="00270C1D"/>
    <w:rsid w:val="0027408F"/>
    <w:rsid w:val="00277CA3"/>
    <w:rsid w:val="0028042D"/>
    <w:rsid w:val="00280B27"/>
    <w:rsid w:val="00282EC8"/>
    <w:rsid w:val="002832F1"/>
    <w:rsid w:val="002856FC"/>
    <w:rsid w:val="002944D0"/>
    <w:rsid w:val="002960DC"/>
    <w:rsid w:val="00296579"/>
    <w:rsid w:val="002975A8"/>
    <w:rsid w:val="00297B55"/>
    <w:rsid w:val="002A136E"/>
    <w:rsid w:val="002A24B2"/>
    <w:rsid w:val="002A4036"/>
    <w:rsid w:val="002A4C30"/>
    <w:rsid w:val="002A53A9"/>
    <w:rsid w:val="002A59ED"/>
    <w:rsid w:val="002B1195"/>
    <w:rsid w:val="002B35F7"/>
    <w:rsid w:val="002B384D"/>
    <w:rsid w:val="002B4B70"/>
    <w:rsid w:val="002B711A"/>
    <w:rsid w:val="002B71B8"/>
    <w:rsid w:val="002C00B5"/>
    <w:rsid w:val="002C1627"/>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783"/>
    <w:rsid w:val="002F6A0D"/>
    <w:rsid w:val="002F6A3A"/>
    <w:rsid w:val="0030112B"/>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30243"/>
    <w:rsid w:val="00330E9E"/>
    <w:rsid w:val="00332156"/>
    <w:rsid w:val="00333BD4"/>
    <w:rsid w:val="003362D2"/>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71EA7"/>
    <w:rsid w:val="0037309D"/>
    <w:rsid w:val="00374847"/>
    <w:rsid w:val="00375183"/>
    <w:rsid w:val="00376596"/>
    <w:rsid w:val="0037667F"/>
    <w:rsid w:val="00381636"/>
    <w:rsid w:val="003826D8"/>
    <w:rsid w:val="003843D8"/>
    <w:rsid w:val="00384C51"/>
    <w:rsid w:val="00385340"/>
    <w:rsid w:val="003871E5"/>
    <w:rsid w:val="003879AE"/>
    <w:rsid w:val="00390D6F"/>
    <w:rsid w:val="00391276"/>
    <w:rsid w:val="003920B1"/>
    <w:rsid w:val="003922BA"/>
    <w:rsid w:val="003958DE"/>
    <w:rsid w:val="0039646A"/>
    <w:rsid w:val="003972AF"/>
    <w:rsid w:val="003A15DC"/>
    <w:rsid w:val="003A38A4"/>
    <w:rsid w:val="003A44A4"/>
    <w:rsid w:val="003A4D8E"/>
    <w:rsid w:val="003A6366"/>
    <w:rsid w:val="003B0E4C"/>
    <w:rsid w:val="003B1BD5"/>
    <w:rsid w:val="003B30CE"/>
    <w:rsid w:val="003B6989"/>
    <w:rsid w:val="003C235C"/>
    <w:rsid w:val="003C3914"/>
    <w:rsid w:val="003C405D"/>
    <w:rsid w:val="003C413A"/>
    <w:rsid w:val="003C497C"/>
    <w:rsid w:val="003C4E7F"/>
    <w:rsid w:val="003D27EF"/>
    <w:rsid w:val="003D33D6"/>
    <w:rsid w:val="003D4A89"/>
    <w:rsid w:val="003D53D3"/>
    <w:rsid w:val="003E258C"/>
    <w:rsid w:val="003E611B"/>
    <w:rsid w:val="003E64BD"/>
    <w:rsid w:val="003E748F"/>
    <w:rsid w:val="003E7E84"/>
    <w:rsid w:val="003F0BAC"/>
    <w:rsid w:val="003F17E9"/>
    <w:rsid w:val="003F42B3"/>
    <w:rsid w:val="003F7F99"/>
    <w:rsid w:val="004004FE"/>
    <w:rsid w:val="00403BC4"/>
    <w:rsid w:val="00404396"/>
    <w:rsid w:val="00405CBD"/>
    <w:rsid w:val="004109A6"/>
    <w:rsid w:val="0041133E"/>
    <w:rsid w:val="00413A98"/>
    <w:rsid w:val="004150E4"/>
    <w:rsid w:val="0041611B"/>
    <w:rsid w:val="0042034C"/>
    <w:rsid w:val="00420AA6"/>
    <w:rsid w:val="004213EA"/>
    <w:rsid w:val="004218B1"/>
    <w:rsid w:val="00423270"/>
    <w:rsid w:val="0042778C"/>
    <w:rsid w:val="00432405"/>
    <w:rsid w:val="00432BA4"/>
    <w:rsid w:val="00433765"/>
    <w:rsid w:val="00434F74"/>
    <w:rsid w:val="00436D80"/>
    <w:rsid w:val="00440A23"/>
    <w:rsid w:val="0044389D"/>
    <w:rsid w:val="00444961"/>
    <w:rsid w:val="00447F02"/>
    <w:rsid w:val="00450DCF"/>
    <w:rsid w:val="00452F36"/>
    <w:rsid w:val="00456EBD"/>
    <w:rsid w:val="00461451"/>
    <w:rsid w:val="00463B6D"/>
    <w:rsid w:val="00463D86"/>
    <w:rsid w:val="00464612"/>
    <w:rsid w:val="00464B8C"/>
    <w:rsid w:val="00466C77"/>
    <w:rsid w:val="00471598"/>
    <w:rsid w:val="00471DA7"/>
    <w:rsid w:val="00472B83"/>
    <w:rsid w:val="00472BCD"/>
    <w:rsid w:val="00473217"/>
    <w:rsid w:val="00476958"/>
    <w:rsid w:val="00477395"/>
    <w:rsid w:val="0047754E"/>
    <w:rsid w:val="00477DD3"/>
    <w:rsid w:val="00480709"/>
    <w:rsid w:val="004810F5"/>
    <w:rsid w:val="00481308"/>
    <w:rsid w:val="00481CDF"/>
    <w:rsid w:val="0048204B"/>
    <w:rsid w:val="00483265"/>
    <w:rsid w:val="00483F19"/>
    <w:rsid w:val="004855EC"/>
    <w:rsid w:val="004863CD"/>
    <w:rsid w:val="00491DF0"/>
    <w:rsid w:val="00496EDE"/>
    <w:rsid w:val="004970B5"/>
    <w:rsid w:val="00497C55"/>
    <w:rsid w:val="004A0176"/>
    <w:rsid w:val="004A1300"/>
    <w:rsid w:val="004A42DB"/>
    <w:rsid w:val="004A5026"/>
    <w:rsid w:val="004A541C"/>
    <w:rsid w:val="004A548D"/>
    <w:rsid w:val="004A61D8"/>
    <w:rsid w:val="004B0FC7"/>
    <w:rsid w:val="004B2641"/>
    <w:rsid w:val="004B312F"/>
    <w:rsid w:val="004B60D1"/>
    <w:rsid w:val="004C0043"/>
    <w:rsid w:val="004C0C6A"/>
    <w:rsid w:val="004C294D"/>
    <w:rsid w:val="004C3B6F"/>
    <w:rsid w:val="004C4FC0"/>
    <w:rsid w:val="004C6E54"/>
    <w:rsid w:val="004C7D88"/>
    <w:rsid w:val="004D0EE4"/>
    <w:rsid w:val="004D4D55"/>
    <w:rsid w:val="004D62BB"/>
    <w:rsid w:val="004E16A1"/>
    <w:rsid w:val="004E21FE"/>
    <w:rsid w:val="004E3F45"/>
    <w:rsid w:val="004E73CF"/>
    <w:rsid w:val="004F0C1D"/>
    <w:rsid w:val="004F14D2"/>
    <w:rsid w:val="004F3C6B"/>
    <w:rsid w:val="004F3DA1"/>
    <w:rsid w:val="004F5293"/>
    <w:rsid w:val="004F7676"/>
    <w:rsid w:val="004F7C8A"/>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43844"/>
    <w:rsid w:val="00543F6A"/>
    <w:rsid w:val="0054495D"/>
    <w:rsid w:val="00544C45"/>
    <w:rsid w:val="0054546A"/>
    <w:rsid w:val="00545BF4"/>
    <w:rsid w:val="00546458"/>
    <w:rsid w:val="005523C3"/>
    <w:rsid w:val="00552741"/>
    <w:rsid w:val="005540F2"/>
    <w:rsid w:val="00560BCE"/>
    <w:rsid w:val="005610B7"/>
    <w:rsid w:val="0056169A"/>
    <w:rsid w:val="00561D46"/>
    <w:rsid w:val="00565CBC"/>
    <w:rsid w:val="00566084"/>
    <w:rsid w:val="0056658C"/>
    <w:rsid w:val="005671FF"/>
    <w:rsid w:val="00573359"/>
    <w:rsid w:val="005734E9"/>
    <w:rsid w:val="00575B58"/>
    <w:rsid w:val="005770A9"/>
    <w:rsid w:val="005774F5"/>
    <w:rsid w:val="00577B2B"/>
    <w:rsid w:val="00584E27"/>
    <w:rsid w:val="0058526A"/>
    <w:rsid w:val="00585457"/>
    <w:rsid w:val="005925BC"/>
    <w:rsid w:val="005934D2"/>
    <w:rsid w:val="005964B4"/>
    <w:rsid w:val="00597BD4"/>
    <w:rsid w:val="005A2C8D"/>
    <w:rsid w:val="005A33D9"/>
    <w:rsid w:val="005A4848"/>
    <w:rsid w:val="005A679E"/>
    <w:rsid w:val="005B0290"/>
    <w:rsid w:val="005B30DC"/>
    <w:rsid w:val="005B3601"/>
    <w:rsid w:val="005B3974"/>
    <w:rsid w:val="005B3FFD"/>
    <w:rsid w:val="005B4A91"/>
    <w:rsid w:val="005B4FAB"/>
    <w:rsid w:val="005B741B"/>
    <w:rsid w:val="005C2098"/>
    <w:rsid w:val="005C22B7"/>
    <w:rsid w:val="005C6DEB"/>
    <w:rsid w:val="005C7CD3"/>
    <w:rsid w:val="005C7E9A"/>
    <w:rsid w:val="005D1758"/>
    <w:rsid w:val="005D262F"/>
    <w:rsid w:val="005D4241"/>
    <w:rsid w:val="005D4276"/>
    <w:rsid w:val="005D4B6E"/>
    <w:rsid w:val="005D5C55"/>
    <w:rsid w:val="005D785A"/>
    <w:rsid w:val="005D7924"/>
    <w:rsid w:val="005E15B0"/>
    <w:rsid w:val="005E4A75"/>
    <w:rsid w:val="005E6E39"/>
    <w:rsid w:val="005E708A"/>
    <w:rsid w:val="005F00BB"/>
    <w:rsid w:val="005F29B8"/>
    <w:rsid w:val="005F3A08"/>
    <w:rsid w:val="005F4469"/>
    <w:rsid w:val="00602105"/>
    <w:rsid w:val="006023C6"/>
    <w:rsid w:val="006033C4"/>
    <w:rsid w:val="0060386C"/>
    <w:rsid w:val="00604345"/>
    <w:rsid w:val="0060539C"/>
    <w:rsid w:val="00605600"/>
    <w:rsid w:val="00605EB6"/>
    <w:rsid w:val="00606A14"/>
    <w:rsid w:val="00607FFD"/>
    <w:rsid w:val="0061090D"/>
    <w:rsid w:val="00611F0A"/>
    <w:rsid w:val="006206EC"/>
    <w:rsid w:val="00620E9C"/>
    <w:rsid w:val="00621CB2"/>
    <w:rsid w:val="0062248F"/>
    <w:rsid w:val="006231D4"/>
    <w:rsid w:val="00623662"/>
    <w:rsid w:val="00626468"/>
    <w:rsid w:val="00627C4D"/>
    <w:rsid w:val="006305A1"/>
    <w:rsid w:val="0063086A"/>
    <w:rsid w:val="006315B9"/>
    <w:rsid w:val="006340BC"/>
    <w:rsid w:val="00635366"/>
    <w:rsid w:val="00637B4B"/>
    <w:rsid w:val="00637CD9"/>
    <w:rsid w:val="00640F31"/>
    <w:rsid w:val="006448ED"/>
    <w:rsid w:val="006470B4"/>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1A24"/>
    <w:rsid w:val="006827BC"/>
    <w:rsid w:val="00683DFE"/>
    <w:rsid w:val="006863BC"/>
    <w:rsid w:val="00686AFE"/>
    <w:rsid w:val="00687629"/>
    <w:rsid w:val="00687990"/>
    <w:rsid w:val="00690E7D"/>
    <w:rsid w:val="00691BD3"/>
    <w:rsid w:val="006950DF"/>
    <w:rsid w:val="00695ED8"/>
    <w:rsid w:val="006969CE"/>
    <w:rsid w:val="006A0A03"/>
    <w:rsid w:val="006A4A4B"/>
    <w:rsid w:val="006A738A"/>
    <w:rsid w:val="006A7A5B"/>
    <w:rsid w:val="006B311D"/>
    <w:rsid w:val="006B4A2F"/>
    <w:rsid w:val="006C188F"/>
    <w:rsid w:val="006C30AC"/>
    <w:rsid w:val="006C547E"/>
    <w:rsid w:val="006C6400"/>
    <w:rsid w:val="006C6921"/>
    <w:rsid w:val="006C78C8"/>
    <w:rsid w:val="006D0D42"/>
    <w:rsid w:val="006D256C"/>
    <w:rsid w:val="006D280A"/>
    <w:rsid w:val="006D2C3C"/>
    <w:rsid w:val="006D51AE"/>
    <w:rsid w:val="006D56D6"/>
    <w:rsid w:val="006D71F3"/>
    <w:rsid w:val="006E7B93"/>
    <w:rsid w:val="006F04B9"/>
    <w:rsid w:val="006F0E4B"/>
    <w:rsid w:val="006F2864"/>
    <w:rsid w:val="006F3C78"/>
    <w:rsid w:val="006F4CB0"/>
    <w:rsid w:val="006F5FC1"/>
    <w:rsid w:val="006F73D4"/>
    <w:rsid w:val="006F7717"/>
    <w:rsid w:val="006F7B16"/>
    <w:rsid w:val="0070221C"/>
    <w:rsid w:val="00704230"/>
    <w:rsid w:val="00707492"/>
    <w:rsid w:val="00707500"/>
    <w:rsid w:val="00711456"/>
    <w:rsid w:val="00711779"/>
    <w:rsid w:val="00713746"/>
    <w:rsid w:val="0071465E"/>
    <w:rsid w:val="00715E2D"/>
    <w:rsid w:val="0071645F"/>
    <w:rsid w:val="00717B19"/>
    <w:rsid w:val="00720778"/>
    <w:rsid w:val="00721447"/>
    <w:rsid w:val="0072195E"/>
    <w:rsid w:val="00724FFE"/>
    <w:rsid w:val="00727849"/>
    <w:rsid w:val="00727C26"/>
    <w:rsid w:val="00730863"/>
    <w:rsid w:val="00730A48"/>
    <w:rsid w:val="00731C63"/>
    <w:rsid w:val="00733A9F"/>
    <w:rsid w:val="007353FF"/>
    <w:rsid w:val="0073750D"/>
    <w:rsid w:val="00737EFD"/>
    <w:rsid w:val="0074097E"/>
    <w:rsid w:val="00740BA3"/>
    <w:rsid w:val="00740F8B"/>
    <w:rsid w:val="00741ABC"/>
    <w:rsid w:val="00741FEB"/>
    <w:rsid w:val="00743FAD"/>
    <w:rsid w:val="00744CC2"/>
    <w:rsid w:val="00750298"/>
    <w:rsid w:val="0075192C"/>
    <w:rsid w:val="00754393"/>
    <w:rsid w:val="00754E0D"/>
    <w:rsid w:val="007551AD"/>
    <w:rsid w:val="00755B6B"/>
    <w:rsid w:val="00760C34"/>
    <w:rsid w:val="00762219"/>
    <w:rsid w:val="00762810"/>
    <w:rsid w:val="00763696"/>
    <w:rsid w:val="0076716E"/>
    <w:rsid w:val="0076737B"/>
    <w:rsid w:val="007676CC"/>
    <w:rsid w:val="00771556"/>
    <w:rsid w:val="00773CAE"/>
    <w:rsid w:val="007775FF"/>
    <w:rsid w:val="007778D5"/>
    <w:rsid w:val="007813C6"/>
    <w:rsid w:val="0078149A"/>
    <w:rsid w:val="0078330B"/>
    <w:rsid w:val="00783AA9"/>
    <w:rsid w:val="0078750D"/>
    <w:rsid w:val="007917D9"/>
    <w:rsid w:val="007926F2"/>
    <w:rsid w:val="00792A75"/>
    <w:rsid w:val="00792E8C"/>
    <w:rsid w:val="00793630"/>
    <w:rsid w:val="0079439C"/>
    <w:rsid w:val="00795623"/>
    <w:rsid w:val="007A15BA"/>
    <w:rsid w:val="007A1A98"/>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1AED"/>
    <w:rsid w:val="007C72BC"/>
    <w:rsid w:val="007D0FED"/>
    <w:rsid w:val="007D28AD"/>
    <w:rsid w:val="007D28F2"/>
    <w:rsid w:val="007D46D9"/>
    <w:rsid w:val="007D4826"/>
    <w:rsid w:val="007E0C41"/>
    <w:rsid w:val="007E2B40"/>
    <w:rsid w:val="007E41B0"/>
    <w:rsid w:val="007E490C"/>
    <w:rsid w:val="007E590D"/>
    <w:rsid w:val="007E665F"/>
    <w:rsid w:val="007F1537"/>
    <w:rsid w:val="007F301E"/>
    <w:rsid w:val="007F3107"/>
    <w:rsid w:val="007F4EC2"/>
    <w:rsid w:val="007F542D"/>
    <w:rsid w:val="007F6DE3"/>
    <w:rsid w:val="007F77CA"/>
    <w:rsid w:val="007F7F5B"/>
    <w:rsid w:val="008016EA"/>
    <w:rsid w:val="00802CBB"/>
    <w:rsid w:val="00802D0E"/>
    <w:rsid w:val="00803847"/>
    <w:rsid w:val="00803D8E"/>
    <w:rsid w:val="00803E4D"/>
    <w:rsid w:val="00805D2A"/>
    <w:rsid w:val="00810BDC"/>
    <w:rsid w:val="0081232A"/>
    <w:rsid w:val="00813970"/>
    <w:rsid w:val="00814FF4"/>
    <w:rsid w:val="00815372"/>
    <w:rsid w:val="00816771"/>
    <w:rsid w:val="0081686B"/>
    <w:rsid w:val="00817AF9"/>
    <w:rsid w:val="00820C78"/>
    <w:rsid w:val="00823E5E"/>
    <w:rsid w:val="00826BDE"/>
    <w:rsid w:val="00830E5D"/>
    <w:rsid w:val="00831441"/>
    <w:rsid w:val="00831E03"/>
    <w:rsid w:val="00834451"/>
    <w:rsid w:val="008348C4"/>
    <w:rsid w:val="00836842"/>
    <w:rsid w:val="00836ECC"/>
    <w:rsid w:val="008424C4"/>
    <w:rsid w:val="0084556C"/>
    <w:rsid w:val="008459C0"/>
    <w:rsid w:val="008464F8"/>
    <w:rsid w:val="00850B9E"/>
    <w:rsid w:val="00855B88"/>
    <w:rsid w:val="00855C34"/>
    <w:rsid w:val="00856390"/>
    <w:rsid w:val="00860C9A"/>
    <w:rsid w:val="0086126B"/>
    <w:rsid w:val="00862045"/>
    <w:rsid w:val="00863B62"/>
    <w:rsid w:val="00864E6C"/>
    <w:rsid w:val="00865D58"/>
    <w:rsid w:val="00867524"/>
    <w:rsid w:val="00867534"/>
    <w:rsid w:val="008708AC"/>
    <w:rsid w:val="00870CBA"/>
    <w:rsid w:val="00871697"/>
    <w:rsid w:val="00873ED8"/>
    <w:rsid w:val="008741A3"/>
    <w:rsid w:val="00876CE7"/>
    <w:rsid w:val="008803D1"/>
    <w:rsid w:val="00882574"/>
    <w:rsid w:val="008878FD"/>
    <w:rsid w:val="00892817"/>
    <w:rsid w:val="0089390A"/>
    <w:rsid w:val="00893CCD"/>
    <w:rsid w:val="00894BE1"/>
    <w:rsid w:val="00895C80"/>
    <w:rsid w:val="008A1AB9"/>
    <w:rsid w:val="008A4342"/>
    <w:rsid w:val="008A4368"/>
    <w:rsid w:val="008A4707"/>
    <w:rsid w:val="008A4A5F"/>
    <w:rsid w:val="008A65BE"/>
    <w:rsid w:val="008A6EC3"/>
    <w:rsid w:val="008B2FD7"/>
    <w:rsid w:val="008B6380"/>
    <w:rsid w:val="008B72D0"/>
    <w:rsid w:val="008B7307"/>
    <w:rsid w:val="008C02C5"/>
    <w:rsid w:val="008C1C36"/>
    <w:rsid w:val="008C25A1"/>
    <w:rsid w:val="008C31D9"/>
    <w:rsid w:val="008C32C5"/>
    <w:rsid w:val="008C4F88"/>
    <w:rsid w:val="008C58DC"/>
    <w:rsid w:val="008C6DA7"/>
    <w:rsid w:val="008D1FC8"/>
    <w:rsid w:val="008D408F"/>
    <w:rsid w:val="008E0F88"/>
    <w:rsid w:val="008E1B0B"/>
    <w:rsid w:val="008E326C"/>
    <w:rsid w:val="008E5AC6"/>
    <w:rsid w:val="008F0BEE"/>
    <w:rsid w:val="008F0FB1"/>
    <w:rsid w:val="008F160E"/>
    <w:rsid w:val="008F1645"/>
    <w:rsid w:val="008F1BD6"/>
    <w:rsid w:val="008F5C53"/>
    <w:rsid w:val="008F61D6"/>
    <w:rsid w:val="008F746F"/>
    <w:rsid w:val="008F7B2B"/>
    <w:rsid w:val="0090112D"/>
    <w:rsid w:val="00905D6A"/>
    <w:rsid w:val="00907CFC"/>
    <w:rsid w:val="00911103"/>
    <w:rsid w:val="00913645"/>
    <w:rsid w:val="0091524F"/>
    <w:rsid w:val="009157E5"/>
    <w:rsid w:val="00916936"/>
    <w:rsid w:val="009173A0"/>
    <w:rsid w:val="00920CF1"/>
    <w:rsid w:val="00921FB4"/>
    <w:rsid w:val="0093248F"/>
    <w:rsid w:val="00933F19"/>
    <w:rsid w:val="009359E2"/>
    <w:rsid w:val="00936A0C"/>
    <w:rsid w:val="009410E0"/>
    <w:rsid w:val="00942BAA"/>
    <w:rsid w:val="009437C5"/>
    <w:rsid w:val="00947511"/>
    <w:rsid w:val="00950BB5"/>
    <w:rsid w:val="00952592"/>
    <w:rsid w:val="00952C49"/>
    <w:rsid w:val="0095411F"/>
    <w:rsid w:val="00955F94"/>
    <w:rsid w:val="00956025"/>
    <w:rsid w:val="009563D4"/>
    <w:rsid w:val="00956659"/>
    <w:rsid w:val="009566A0"/>
    <w:rsid w:val="009574AF"/>
    <w:rsid w:val="009606E9"/>
    <w:rsid w:val="00960D77"/>
    <w:rsid w:val="009615C3"/>
    <w:rsid w:val="00962326"/>
    <w:rsid w:val="0096490C"/>
    <w:rsid w:val="009660AD"/>
    <w:rsid w:val="00966EEF"/>
    <w:rsid w:val="00967AE9"/>
    <w:rsid w:val="00971743"/>
    <w:rsid w:val="00972581"/>
    <w:rsid w:val="009734E0"/>
    <w:rsid w:val="00981C08"/>
    <w:rsid w:val="00981C3C"/>
    <w:rsid w:val="00984015"/>
    <w:rsid w:val="0098426C"/>
    <w:rsid w:val="00986186"/>
    <w:rsid w:val="009948B6"/>
    <w:rsid w:val="009975F9"/>
    <w:rsid w:val="009A032A"/>
    <w:rsid w:val="009A2A1F"/>
    <w:rsid w:val="009A7283"/>
    <w:rsid w:val="009A7C28"/>
    <w:rsid w:val="009B0AF5"/>
    <w:rsid w:val="009B42AB"/>
    <w:rsid w:val="009B5AF8"/>
    <w:rsid w:val="009B5FD8"/>
    <w:rsid w:val="009B6FE9"/>
    <w:rsid w:val="009C5027"/>
    <w:rsid w:val="009C5287"/>
    <w:rsid w:val="009C530D"/>
    <w:rsid w:val="009C6A20"/>
    <w:rsid w:val="009D30C4"/>
    <w:rsid w:val="009D44C3"/>
    <w:rsid w:val="009D5E06"/>
    <w:rsid w:val="009E1A87"/>
    <w:rsid w:val="009E3C3F"/>
    <w:rsid w:val="009E424F"/>
    <w:rsid w:val="009E464E"/>
    <w:rsid w:val="009E669B"/>
    <w:rsid w:val="009E6A66"/>
    <w:rsid w:val="009E7AF8"/>
    <w:rsid w:val="009F02C8"/>
    <w:rsid w:val="009F660F"/>
    <w:rsid w:val="009F76AD"/>
    <w:rsid w:val="00A0033C"/>
    <w:rsid w:val="00A02CA7"/>
    <w:rsid w:val="00A03E05"/>
    <w:rsid w:val="00A03F45"/>
    <w:rsid w:val="00A04D14"/>
    <w:rsid w:val="00A0661D"/>
    <w:rsid w:val="00A06A7D"/>
    <w:rsid w:val="00A10059"/>
    <w:rsid w:val="00A1572B"/>
    <w:rsid w:val="00A15B12"/>
    <w:rsid w:val="00A2091B"/>
    <w:rsid w:val="00A21DE3"/>
    <w:rsid w:val="00A24F4F"/>
    <w:rsid w:val="00A26B76"/>
    <w:rsid w:val="00A30CD9"/>
    <w:rsid w:val="00A32C16"/>
    <w:rsid w:val="00A36326"/>
    <w:rsid w:val="00A37F22"/>
    <w:rsid w:val="00A40067"/>
    <w:rsid w:val="00A415C5"/>
    <w:rsid w:val="00A4306E"/>
    <w:rsid w:val="00A4388D"/>
    <w:rsid w:val="00A44C9A"/>
    <w:rsid w:val="00A44EE2"/>
    <w:rsid w:val="00A46370"/>
    <w:rsid w:val="00A51664"/>
    <w:rsid w:val="00A52BF7"/>
    <w:rsid w:val="00A531CE"/>
    <w:rsid w:val="00A55054"/>
    <w:rsid w:val="00A56CC7"/>
    <w:rsid w:val="00A60821"/>
    <w:rsid w:val="00A64450"/>
    <w:rsid w:val="00A65F84"/>
    <w:rsid w:val="00A67848"/>
    <w:rsid w:val="00A7380D"/>
    <w:rsid w:val="00A75D5D"/>
    <w:rsid w:val="00A76FFB"/>
    <w:rsid w:val="00A77273"/>
    <w:rsid w:val="00A80609"/>
    <w:rsid w:val="00A825F4"/>
    <w:rsid w:val="00A83630"/>
    <w:rsid w:val="00A83869"/>
    <w:rsid w:val="00A9004F"/>
    <w:rsid w:val="00A9026C"/>
    <w:rsid w:val="00A90CE1"/>
    <w:rsid w:val="00A91B3F"/>
    <w:rsid w:val="00A931C3"/>
    <w:rsid w:val="00A935CF"/>
    <w:rsid w:val="00A937DC"/>
    <w:rsid w:val="00A96773"/>
    <w:rsid w:val="00AA1156"/>
    <w:rsid w:val="00AA1715"/>
    <w:rsid w:val="00AA1C8C"/>
    <w:rsid w:val="00AA29C5"/>
    <w:rsid w:val="00AA3276"/>
    <w:rsid w:val="00AA363D"/>
    <w:rsid w:val="00AA50DA"/>
    <w:rsid w:val="00AB22BE"/>
    <w:rsid w:val="00AB2F7C"/>
    <w:rsid w:val="00AB2FB9"/>
    <w:rsid w:val="00AB6047"/>
    <w:rsid w:val="00AB667C"/>
    <w:rsid w:val="00AB6FB1"/>
    <w:rsid w:val="00AC09D8"/>
    <w:rsid w:val="00AC1219"/>
    <w:rsid w:val="00AC14FE"/>
    <w:rsid w:val="00AC4564"/>
    <w:rsid w:val="00AC4C71"/>
    <w:rsid w:val="00AC4DED"/>
    <w:rsid w:val="00AC53DE"/>
    <w:rsid w:val="00AC7372"/>
    <w:rsid w:val="00AD1B9B"/>
    <w:rsid w:val="00AD31D5"/>
    <w:rsid w:val="00AD3AB8"/>
    <w:rsid w:val="00AD418C"/>
    <w:rsid w:val="00AE0FCC"/>
    <w:rsid w:val="00AE2B5C"/>
    <w:rsid w:val="00AE3A4D"/>
    <w:rsid w:val="00AE47DA"/>
    <w:rsid w:val="00AE4E53"/>
    <w:rsid w:val="00AE69C8"/>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155C"/>
    <w:rsid w:val="00B0369F"/>
    <w:rsid w:val="00B04D69"/>
    <w:rsid w:val="00B06BB3"/>
    <w:rsid w:val="00B07EB9"/>
    <w:rsid w:val="00B07F9E"/>
    <w:rsid w:val="00B10026"/>
    <w:rsid w:val="00B10C96"/>
    <w:rsid w:val="00B11AEE"/>
    <w:rsid w:val="00B13564"/>
    <w:rsid w:val="00B13D8E"/>
    <w:rsid w:val="00B15AE4"/>
    <w:rsid w:val="00B15D7C"/>
    <w:rsid w:val="00B17126"/>
    <w:rsid w:val="00B17705"/>
    <w:rsid w:val="00B1797E"/>
    <w:rsid w:val="00B20F1A"/>
    <w:rsid w:val="00B24040"/>
    <w:rsid w:val="00B258C4"/>
    <w:rsid w:val="00B322CC"/>
    <w:rsid w:val="00B34913"/>
    <w:rsid w:val="00B374FF"/>
    <w:rsid w:val="00B37D83"/>
    <w:rsid w:val="00B415BD"/>
    <w:rsid w:val="00B422D7"/>
    <w:rsid w:val="00B430F1"/>
    <w:rsid w:val="00B447D8"/>
    <w:rsid w:val="00B462BE"/>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2F6F"/>
    <w:rsid w:val="00B7320A"/>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15B5"/>
    <w:rsid w:val="00BA1650"/>
    <w:rsid w:val="00BA2FCA"/>
    <w:rsid w:val="00BA3829"/>
    <w:rsid w:val="00BA695A"/>
    <w:rsid w:val="00BA7681"/>
    <w:rsid w:val="00BB3058"/>
    <w:rsid w:val="00BB3D92"/>
    <w:rsid w:val="00BB54EF"/>
    <w:rsid w:val="00BB6032"/>
    <w:rsid w:val="00BC2D66"/>
    <w:rsid w:val="00BC5E46"/>
    <w:rsid w:val="00BC63E9"/>
    <w:rsid w:val="00BC6E4A"/>
    <w:rsid w:val="00BC7B93"/>
    <w:rsid w:val="00BD0ED6"/>
    <w:rsid w:val="00BD28FA"/>
    <w:rsid w:val="00BD3EF7"/>
    <w:rsid w:val="00BD41A5"/>
    <w:rsid w:val="00BD4DB9"/>
    <w:rsid w:val="00BD501C"/>
    <w:rsid w:val="00BD666F"/>
    <w:rsid w:val="00BD774B"/>
    <w:rsid w:val="00BD7E28"/>
    <w:rsid w:val="00BE362E"/>
    <w:rsid w:val="00BE4971"/>
    <w:rsid w:val="00BE5A8A"/>
    <w:rsid w:val="00BF03C0"/>
    <w:rsid w:val="00BF167A"/>
    <w:rsid w:val="00BF1ECF"/>
    <w:rsid w:val="00BF217B"/>
    <w:rsid w:val="00BF46F5"/>
    <w:rsid w:val="00BF4F89"/>
    <w:rsid w:val="00C00651"/>
    <w:rsid w:val="00C00DFB"/>
    <w:rsid w:val="00C00FAB"/>
    <w:rsid w:val="00C02744"/>
    <w:rsid w:val="00C0378B"/>
    <w:rsid w:val="00C03D85"/>
    <w:rsid w:val="00C055CF"/>
    <w:rsid w:val="00C06C2A"/>
    <w:rsid w:val="00C10573"/>
    <w:rsid w:val="00C118B1"/>
    <w:rsid w:val="00C126D4"/>
    <w:rsid w:val="00C159F8"/>
    <w:rsid w:val="00C17843"/>
    <w:rsid w:val="00C179DD"/>
    <w:rsid w:val="00C20527"/>
    <w:rsid w:val="00C24073"/>
    <w:rsid w:val="00C30BD1"/>
    <w:rsid w:val="00C31A7F"/>
    <w:rsid w:val="00C336AA"/>
    <w:rsid w:val="00C33C5D"/>
    <w:rsid w:val="00C345A6"/>
    <w:rsid w:val="00C348A7"/>
    <w:rsid w:val="00C406A7"/>
    <w:rsid w:val="00C40CDD"/>
    <w:rsid w:val="00C40FA9"/>
    <w:rsid w:val="00C42081"/>
    <w:rsid w:val="00C43B42"/>
    <w:rsid w:val="00C45108"/>
    <w:rsid w:val="00C46703"/>
    <w:rsid w:val="00C50BF5"/>
    <w:rsid w:val="00C540FB"/>
    <w:rsid w:val="00C550F5"/>
    <w:rsid w:val="00C5746C"/>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6810"/>
    <w:rsid w:val="00C80823"/>
    <w:rsid w:val="00C81C23"/>
    <w:rsid w:val="00C83360"/>
    <w:rsid w:val="00C8359E"/>
    <w:rsid w:val="00C83E15"/>
    <w:rsid w:val="00C84144"/>
    <w:rsid w:val="00C8580E"/>
    <w:rsid w:val="00C86F6F"/>
    <w:rsid w:val="00C917FB"/>
    <w:rsid w:val="00C92F5F"/>
    <w:rsid w:val="00C93A31"/>
    <w:rsid w:val="00C93EF0"/>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6119"/>
    <w:rsid w:val="00CC7449"/>
    <w:rsid w:val="00CD1323"/>
    <w:rsid w:val="00CD1407"/>
    <w:rsid w:val="00CD412F"/>
    <w:rsid w:val="00CD6B05"/>
    <w:rsid w:val="00CD74C4"/>
    <w:rsid w:val="00CE0A5D"/>
    <w:rsid w:val="00CE401A"/>
    <w:rsid w:val="00CE60D0"/>
    <w:rsid w:val="00CE629B"/>
    <w:rsid w:val="00CE6327"/>
    <w:rsid w:val="00CF3D0E"/>
    <w:rsid w:val="00CF51C3"/>
    <w:rsid w:val="00CF7548"/>
    <w:rsid w:val="00D0717F"/>
    <w:rsid w:val="00D1465F"/>
    <w:rsid w:val="00D149BF"/>
    <w:rsid w:val="00D21B38"/>
    <w:rsid w:val="00D3185F"/>
    <w:rsid w:val="00D3604C"/>
    <w:rsid w:val="00D3626D"/>
    <w:rsid w:val="00D44793"/>
    <w:rsid w:val="00D44FA7"/>
    <w:rsid w:val="00D45D76"/>
    <w:rsid w:val="00D461B9"/>
    <w:rsid w:val="00D4652D"/>
    <w:rsid w:val="00D50577"/>
    <w:rsid w:val="00D51EAD"/>
    <w:rsid w:val="00D52899"/>
    <w:rsid w:val="00D52C10"/>
    <w:rsid w:val="00D54A0D"/>
    <w:rsid w:val="00D56B23"/>
    <w:rsid w:val="00D57950"/>
    <w:rsid w:val="00D60040"/>
    <w:rsid w:val="00D61272"/>
    <w:rsid w:val="00D612BC"/>
    <w:rsid w:val="00D62E4E"/>
    <w:rsid w:val="00D64014"/>
    <w:rsid w:val="00D65D6A"/>
    <w:rsid w:val="00D725DB"/>
    <w:rsid w:val="00D740CC"/>
    <w:rsid w:val="00D74494"/>
    <w:rsid w:val="00D87DDB"/>
    <w:rsid w:val="00D916A1"/>
    <w:rsid w:val="00D921AE"/>
    <w:rsid w:val="00D93E44"/>
    <w:rsid w:val="00D94E21"/>
    <w:rsid w:val="00D957E9"/>
    <w:rsid w:val="00D95AD0"/>
    <w:rsid w:val="00D97943"/>
    <w:rsid w:val="00DA5110"/>
    <w:rsid w:val="00DA7E21"/>
    <w:rsid w:val="00DB016D"/>
    <w:rsid w:val="00DB1814"/>
    <w:rsid w:val="00DB1913"/>
    <w:rsid w:val="00DB3208"/>
    <w:rsid w:val="00DB5462"/>
    <w:rsid w:val="00DC0CA4"/>
    <w:rsid w:val="00DC1B47"/>
    <w:rsid w:val="00DC2354"/>
    <w:rsid w:val="00DC43AC"/>
    <w:rsid w:val="00DC4429"/>
    <w:rsid w:val="00DC560F"/>
    <w:rsid w:val="00DC5704"/>
    <w:rsid w:val="00DD0BEA"/>
    <w:rsid w:val="00DD282B"/>
    <w:rsid w:val="00DD2EB0"/>
    <w:rsid w:val="00DD36CF"/>
    <w:rsid w:val="00DD3E33"/>
    <w:rsid w:val="00DD497E"/>
    <w:rsid w:val="00DE11DC"/>
    <w:rsid w:val="00DE4166"/>
    <w:rsid w:val="00DE614D"/>
    <w:rsid w:val="00DE618B"/>
    <w:rsid w:val="00DE761C"/>
    <w:rsid w:val="00DE7A95"/>
    <w:rsid w:val="00DF05D8"/>
    <w:rsid w:val="00DF2127"/>
    <w:rsid w:val="00DF324D"/>
    <w:rsid w:val="00DF35A9"/>
    <w:rsid w:val="00DF3E33"/>
    <w:rsid w:val="00DF5244"/>
    <w:rsid w:val="00DF5758"/>
    <w:rsid w:val="00E0273F"/>
    <w:rsid w:val="00E061EF"/>
    <w:rsid w:val="00E06AEA"/>
    <w:rsid w:val="00E1001F"/>
    <w:rsid w:val="00E10FBF"/>
    <w:rsid w:val="00E13EEC"/>
    <w:rsid w:val="00E14E05"/>
    <w:rsid w:val="00E222D9"/>
    <w:rsid w:val="00E23AE8"/>
    <w:rsid w:val="00E243D7"/>
    <w:rsid w:val="00E25B59"/>
    <w:rsid w:val="00E273EF"/>
    <w:rsid w:val="00E30567"/>
    <w:rsid w:val="00E31865"/>
    <w:rsid w:val="00E34634"/>
    <w:rsid w:val="00E34E88"/>
    <w:rsid w:val="00E370BD"/>
    <w:rsid w:val="00E405C7"/>
    <w:rsid w:val="00E40DA2"/>
    <w:rsid w:val="00E418A5"/>
    <w:rsid w:val="00E41E87"/>
    <w:rsid w:val="00E41EFA"/>
    <w:rsid w:val="00E42FD2"/>
    <w:rsid w:val="00E45B12"/>
    <w:rsid w:val="00E50E1F"/>
    <w:rsid w:val="00E54034"/>
    <w:rsid w:val="00E6043C"/>
    <w:rsid w:val="00E60B40"/>
    <w:rsid w:val="00E64696"/>
    <w:rsid w:val="00E64D23"/>
    <w:rsid w:val="00E65928"/>
    <w:rsid w:val="00E65DB2"/>
    <w:rsid w:val="00E66630"/>
    <w:rsid w:val="00E67EA2"/>
    <w:rsid w:val="00E70B02"/>
    <w:rsid w:val="00E717A2"/>
    <w:rsid w:val="00E71B45"/>
    <w:rsid w:val="00E72DCD"/>
    <w:rsid w:val="00E75B4C"/>
    <w:rsid w:val="00E760B0"/>
    <w:rsid w:val="00E801F0"/>
    <w:rsid w:val="00E80F99"/>
    <w:rsid w:val="00E8184D"/>
    <w:rsid w:val="00E837E6"/>
    <w:rsid w:val="00E85540"/>
    <w:rsid w:val="00E858D6"/>
    <w:rsid w:val="00E8633C"/>
    <w:rsid w:val="00E91B19"/>
    <w:rsid w:val="00E9313A"/>
    <w:rsid w:val="00E93ADB"/>
    <w:rsid w:val="00E96700"/>
    <w:rsid w:val="00EA1693"/>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0D72"/>
    <w:rsid w:val="00EE14D1"/>
    <w:rsid w:val="00EE5E3D"/>
    <w:rsid w:val="00EF22EB"/>
    <w:rsid w:val="00EF30D4"/>
    <w:rsid w:val="00EF3570"/>
    <w:rsid w:val="00EF3B9C"/>
    <w:rsid w:val="00EF4826"/>
    <w:rsid w:val="00F0030A"/>
    <w:rsid w:val="00F024F6"/>
    <w:rsid w:val="00F05030"/>
    <w:rsid w:val="00F05A92"/>
    <w:rsid w:val="00F11BFB"/>
    <w:rsid w:val="00F11EF5"/>
    <w:rsid w:val="00F130A9"/>
    <w:rsid w:val="00F13231"/>
    <w:rsid w:val="00F14772"/>
    <w:rsid w:val="00F155E8"/>
    <w:rsid w:val="00F156A8"/>
    <w:rsid w:val="00F16BF8"/>
    <w:rsid w:val="00F20A59"/>
    <w:rsid w:val="00F21149"/>
    <w:rsid w:val="00F22B81"/>
    <w:rsid w:val="00F22FB8"/>
    <w:rsid w:val="00F23A1F"/>
    <w:rsid w:val="00F2417F"/>
    <w:rsid w:val="00F243D3"/>
    <w:rsid w:val="00F24B82"/>
    <w:rsid w:val="00F271B5"/>
    <w:rsid w:val="00F2738C"/>
    <w:rsid w:val="00F27BE6"/>
    <w:rsid w:val="00F30540"/>
    <w:rsid w:val="00F34098"/>
    <w:rsid w:val="00F3622B"/>
    <w:rsid w:val="00F43247"/>
    <w:rsid w:val="00F43570"/>
    <w:rsid w:val="00F46671"/>
    <w:rsid w:val="00F47637"/>
    <w:rsid w:val="00F5281C"/>
    <w:rsid w:val="00F557E0"/>
    <w:rsid w:val="00F61B76"/>
    <w:rsid w:val="00F630D1"/>
    <w:rsid w:val="00F66151"/>
    <w:rsid w:val="00F71F29"/>
    <w:rsid w:val="00F73D46"/>
    <w:rsid w:val="00F74FB5"/>
    <w:rsid w:val="00F756BC"/>
    <w:rsid w:val="00F776C8"/>
    <w:rsid w:val="00F80796"/>
    <w:rsid w:val="00F84A08"/>
    <w:rsid w:val="00F85D27"/>
    <w:rsid w:val="00F86A25"/>
    <w:rsid w:val="00F86ADA"/>
    <w:rsid w:val="00F92CCE"/>
    <w:rsid w:val="00F94FCC"/>
    <w:rsid w:val="00FA0279"/>
    <w:rsid w:val="00FA2FF8"/>
    <w:rsid w:val="00FA6FAD"/>
    <w:rsid w:val="00FA759D"/>
    <w:rsid w:val="00FB0C72"/>
    <w:rsid w:val="00FB0F73"/>
    <w:rsid w:val="00FB2169"/>
    <w:rsid w:val="00FB22A8"/>
    <w:rsid w:val="00FB2787"/>
    <w:rsid w:val="00FB389A"/>
    <w:rsid w:val="00FB4C68"/>
    <w:rsid w:val="00FB5C67"/>
    <w:rsid w:val="00FB64E3"/>
    <w:rsid w:val="00FB6F13"/>
    <w:rsid w:val="00FC1D97"/>
    <w:rsid w:val="00FC297E"/>
    <w:rsid w:val="00FC2E46"/>
    <w:rsid w:val="00FC3D5A"/>
    <w:rsid w:val="00FC4345"/>
    <w:rsid w:val="00FD048A"/>
    <w:rsid w:val="00FD115F"/>
    <w:rsid w:val="00FD1E7A"/>
    <w:rsid w:val="00FD2047"/>
    <w:rsid w:val="00FD4B28"/>
    <w:rsid w:val="00FD549F"/>
    <w:rsid w:val="00FD5726"/>
    <w:rsid w:val="00FD6804"/>
    <w:rsid w:val="00FD72A9"/>
    <w:rsid w:val="00FE0B94"/>
    <w:rsid w:val="00FE1935"/>
    <w:rsid w:val="00FE1CEE"/>
    <w:rsid w:val="00FE2710"/>
    <w:rsid w:val="00FE4260"/>
    <w:rsid w:val="00FE4618"/>
    <w:rsid w:val="00FE51FE"/>
    <w:rsid w:val="00FE53D2"/>
    <w:rsid w:val="00FE542D"/>
    <w:rsid w:val="00FE6669"/>
    <w:rsid w:val="00FE669E"/>
    <w:rsid w:val="00FE68B2"/>
    <w:rsid w:val="00FE7E03"/>
    <w:rsid w:val="00FF0963"/>
    <w:rsid w:val="00FF32E2"/>
    <w:rsid w:val="00FF3527"/>
    <w:rsid w:val="00FF3DD4"/>
    <w:rsid w:val="00FF4845"/>
    <w:rsid w:val="00FF6085"/>
    <w:rsid w:val="00FF7393"/>
    <w:rsid w:val="010352AF"/>
    <w:rsid w:val="01536528"/>
    <w:rsid w:val="02421D02"/>
    <w:rsid w:val="05E933F5"/>
    <w:rsid w:val="05F23A3F"/>
    <w:rsid w:val="067A5F0E"/>
    <w:rsid w:val="069B7C33"/>
    <w:rsid w:val="07BE007D"/>
    <w:rsid w:val="099A0675"/>
    <w:rsid w:val="0A5151D8"/>
    <w:rsid w:val="0B5B1E16"/>
    <w:rsid w:val="0B744B0C"/>
    <w:rsid w:val="0BEB6F66"/>
    <w:rsid w:val="0C791B80"/>
    <w:rsid w:val="0C955188"/>
    <w:rsid w:val="0F225395"/>
    <w:rsid w:val="0FAD1102"/>
    <w:rsid w:val="103764A9"/>
    <w:rsid w:val="121A5E17"/>
    <w:rsid w:val="12C363B1"/>
    <w:rsid w:val="132711CC"/>
    <w:rsid w:val="13286CF2"/>
    <w:rsid w:val="13FB7F63"/>
    <w:rsid w:val="147A357D"/>
    <w:rsid w:val="14A34882"/>
    <w:rsid w:val="15521099"/>
    <w:rsid w:val="159D5775"/>
    <w:rsid w:val="169D3553"/>
    <w:rsid w:val="16FE39CC"/>
    <w:rsid w:val="17667DE9"/>
    <w:rsid w:val="18115FA7"/>
    <w:rsid w:val="19777080"/>
    <w:rsid w:val="1A952EBF"/>
    <w:rsid w:val="1B680783"/>
    <w:rsid w:val="1DCA7323"/>
    <w:rsid w:val="1DEC16E8"/>
    <w:rsid w:val="1E122A78"/>
    <w:rsid w:val="1E8C347C"/>
    <w:rsid w:val="1ED13DFB"/>
    <w:rsid w:val="1F313FDF"/>
    <w:rsid w:val="1F6B0692"/>
    <w:rsid w:val="21C4408A"/>
    <w:rsid w:val="224B72CB"/>
    <w:rsid w:val="22D64BAD"/>
    <w:rsid w:val="23571659"/>
    <w:rsid w:val="244D0366"/>
    <w:rsid w:val="24577437"/>
    <w:rsid w:val="24D740D4"/>
    <w:rsid w:val="27930A0C"/>
    <w:rsid w:val="27DB3EDB"/>
    <w:rsid w:val="2816018C"/>
    <w:rsid w:val="29E70AEF"/>
    <w:rsid w:val="2A1831C5"/>
    <w:rsid w:val="2A3F4BF5"/>
    <w:rsid w:val="2B6C2944"/>
    <w:rsid w:val="2C3246E9"/>
    <w:rsid w:val="2CAB3B93"/>
    <w:rsid w:val="2D485B6F"/>
    <w:rsid w:val="2DDE64D3"/>
    <w:rsid w:val="2E30091E"/>
    <w:rsid w:val="2E424CB4"/>
    <w:rsid w:val="2F0361F1"/>
    <w:rsid w:val="2FCC0CD9"/>
    <w:rsid w:val="3058256D"/>
    <w:rsid w:val="30CE282F"/>
    <w:rsid w:val="31CC516B"/>
    <w:rsid w:val="31F862AE"/>
    <w:rsid w:val="340E7B7F"/>
    <w:rsid w:val="342310E4"/>
    <w:rsid w:val="34A02734"/>
    <w:rsid w:val="35DE2B48"/>
    <w:rsid w:val="36FC6348"/>
    <w:rsid w:val="37052D23"/>
    <w:rsid w:val="398E6FFF"/>
    <w:rsid w:val="3A86417A"/>
    <w:rsid w:val="3ACF78CF"/>
    <w:rsid w:val="3AE8460D"/>
    <w:rsid w:val="3BA1126C"/>
    <w:rsid w:val="3CF67395"/>
    <w:rsid w:val="3E4405D4"/>
    <w:rsid w:val="3F6031EC"/>
    <w:rsid w:val="401D3FD3"/>
    <w:rsid w:val="40442B0E"/>
    <w:rsid w:val="413801F6"/>
    <w:rsid w:val="416F5F0D"/>
    <w:rsid w:val="41C2018E"/>
    <w:rsid w:val="41EE0F83"/>
    <w:rsid w:val="42D15B1E"/>
    <w:rsid w:val="43A35D9D"/>
    <w:rsid w:val="44160645"/>
    <w:rsid w:val="44765407"/>
    <w:rsid w:val="448D5140"/>
    <w:rsid w:val="45A1557E"/>
    <w:rsid w:val="45A81344"/>
    <w:rsid w:val="45C85647"/>
    <w:rsid w:val="47315848"/>
    <w:rsid w:val="480B1BC8"/>
    <w:rsid w:val="49277031"/>
    <w:rsid w:val="4B180E1F"/>
    <w:rsid w:val="4CA0731E"/>
    <w:rsid w:val="4D446617"/>
    <w:rsid w:val="4D6E11CA"/>
    <w:rsid w:val="4DB409F0"/>
    <w:rsid w:val="4DD40F69"/>
    <w:rsid w:val="4F860EAD"/>
    <w:rsid w:val="50483F54"/>
    <w:rsid w:val="545804DE"/>
    <w:rsid w:val="57A53A3A"/>
    <w:rsid w:val="5C634E4E"/>
    <w:rsid w:val="5C6B34A4"/>
    <w:rsid w:val="5D4D4958"/>
    <w:rsid w:val="5D595968"/>
    <w:rsid w:val="5E565A8E"/>
    <w:rsid w:val="5E641D71"/>
    <w:rsid w:val="5E9428E3"/>
    <w:rsid w:val="5EDF1D3E"/>
    <w:rsid w:val="60B45075"/>
    <w:rsid w:val="63BF7C32"/>
    <w:rsid w:val="670C5884"/>
    <w:rsid w:val="679C386D"/>
    <w:rsid w:val="6876329A"/>
    <w:rsid w:val="696F0C5D"/>
    <w:rsid w:val="6A681023"/>
    <w:rsid w:val="6AEB57B0"/>
    <w:rsid w:val="6C040F28"/>
    <w:rsid w:val="6CC938CF"/>
    <w:rsid w:val="6CE4695B"/>
    <w:rsid w:val="6D1006A0"/>
    <w:rsid w:val="6D4162FB"/>
    <w:rsid w:val="6E7361E8"/>
    <w:rsid w:val="703E276F"/>
    <w:rsid w:val="7104137A"/>
    <w:rsid w:val="71E53F7A"/>
    <w:rsid w:val="73293FFE"/>
    <w:rsid w:val="733D46F8"/>
    <w:rsid w:val="741C1FBD"/>
    <w:rsid w:val="769C07B3"/>
    <w:rsid w:val="76C53359"/>
    <w:rsid w:val="770A6B55"/>
    <w:rsid w:val="78880AE2"/>
    <w:rsid w:val="7A3D2A94"/>
    <w:rsid w:val="7AAD7D37"/>
    <w:rsid w:val="7B1B3E90"/>
    <w:rsid w:val="7BBD6DD7"/>
    <w:rsid w:val="7D2D1C58"/>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2pt" color="#385D8A"/>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unhideWhenUsed="0" w:uiPriority="0" w:name="toc 9"/>
    <w:lsdException w:qFormat="1" w:unhideWhenUsed="0" w:uiPriority="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99" w:semiHidden="0" w:name="Hyperlink"/>
    <w:lsdException w:unhideWhenUsed="0"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Document Map"/>
    <w:basedOn w:val="1"/>
    <w:link w:val="40"/>
    <w:semiHidden/>
    <w:qFormat/>
    <w:uiPriority w:val="0"/>
    <w:pPr>
      <w:shd w:val="clear" w:color="auto" w:fill="000080"/>
    </w:pPr>
  </w:style>
  <w:style w:type="paragraph" w:styleId="10">
    <w:name w:val="annotation text"/>
    <w:basedOn w:val="1"/>
    <w:link w:val="41"/>
    <w:semiHidden/>
    <w:qFormat/>
    <w:uiPriority w:val="99"/>
  </w:style>
  <w:style w:type="paragraph" w:styleId="11">
    <w:name w:val="Body Text"/>
    <w:basedOn w:val="1"/>
    <w:semiHidden/>
    <w:qFormat/>
    <w:uiPriority w:val="0"/>
    <w:rPr>
      <w:rFonts w:eastAsia="隶书"/>
      <w:sz w:val="52"/>
    </w:rPr>
  </w:style>
  <w:style w:type="paragraph" w:styleId="12">
    <w:name w:val="Body Text Indent"/>
    <w:basedOn w:val="1"/>
    <w:semiHidden/>
    <w:qFormat/>
    <w:uiPriority w:val="0"/>
    <w:pPr>
      <w:spacing w:before="120" w:line="360" w:lineRule="auto"/>
      <w:ind w:left="1145"/>
    </w:pPr>
    <w:rPr>
      <w:rFonts w:ascii="楷体_GB2312" w:eastAsia="楷体_GB2312"/>
      <w:kern w:val="2"/>
      <w:sz w:val="28"/>
    </w:rPr>
  </w:style>
  <w:style w:type="paragraph" w:styleId="13">
    <w:name w:val="toc 5"/>
    <w:basedOn w:val="1"/>
    <w:next w:val="1"/>
    <w:semiHidden/>
    <w:qFormat/>
    <w:uiPriority w:val="0"/>
    <w:pPr>
      <w:ind w:left="1680" w:leftChars="800"/>
    </w:pPr>
  </w:style>
  <w:style w:type="paragraph" w:styleId="14">
    <w:name w:val="toc 3"/>
    <w:basedOn w:val="1"/>
    <w:next w:val="1"/>
    <w:semiHidden/>
    <w:qFormat/>
    <w:uiPriority w:val="0"/>
    <w:pPr>
      <w:ind w:left="840" w:leftChars="400"/>
    </w:pPr>
  </w:style>
  <w:style w:type="paragraph" w:styleId="15">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6">
    <w:name w:val="toc 8"/>
    <w:basedOn w:val="1"/>
    <w:next w:val="1"/>
    <w:semiHidden/>
    <w:qFormat/>
    <w:uiPriority w:val="0"/>
    <w:pPr>
      <w:ind w:left="2940" w:leftChars="1400"/>
    </w:pPr>
  </w:style>
  <w:style w:type="paragraph" w:styleId="17">
    <w:name w:val="Date"/>
    <w:basedOn w:val="1"/>
    <w:next w:val="1"/>
    <w:semiHidden/>
    <w:qFormat/>
    <w:uiPriority w:val="0"/>
    <w:pPr>
      <w:jc w:val="both"/>
    </w:pPr>
    <w:rPr>
      <w:rFonts w:ascii="楷体_GB2312" w:eastAsia="楷体_GB2312"/>
      <w:b/>
      <w:sz w:val="28"/>
    </w:rPr>
  </w:style>
  <w:style w:type="paragraph" w:styleId="18">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19">
    <w:name w:val="Balloon Text"/>
    <w:basedOn w:val="1"/>
    <w:semiHidden/>
    <w:qFormat/>
    <w:uiPriority w:val="0"/>
    <w:rPr>
      <w:sz w:val="18"/>
      <w:szCs w:val="18"/>
    </w:rPr>
  </w:style>
  <w:style w:type="paragraph" w:styleId="20">
    <w:name w:val="footer"/>
    <w:basedOn w:val="1"/>
    <w:link w:val="42"/>
    <w:qFormat/>
    <w:uiPriority w:val="99"/>
    <w:pPr>
      <w:tabs>
        <w:tab w:val="center" w:pos="4153"/>
        <w:tab w:val="right" w:pos="8306"/>
      </w:tabs>
      <w:spacing w:line="240" w:lineRule="atLeast"/>
    </w:pPr>
    <w:rPr>
      <w:sz w:val="18"/>
    </w:rPr>
  </w:style>
  <w:style w:type="paragraph" w:styleId="21">
    <w:name w:val="header"/>
    <w:basedOn w:val="1"/>
    <w:link w:val="43"/>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2">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3">
    <w:name w:val="toc 4"/>
    <w:basedOn w:val="1"/>
    <w:next w:val="1"/>
    <w:semiHidden/>
    <w:qFormat/>
    <w:uiPriority w:val="0"/>
    <w:pPr>
      <w:ind w:left="1260" w:leftChars="600"/>
    </w:pPr>
  </w:style>
  <w:style w:type="paragraph" w:styleId="24">
    <w:name w:val="toc 6"/>
    <w:basedOn w:val="1"/>
    <w:next w:val="1"/>
    <w:semiHidden/>
    <w:qFormat/>
    <w:uiPriority w:val="0"/>
    <w:pPr>
      <w:ind w:left="2100" w:leftChars="1000"/>
    </w:pPr>
  </w:style>
  <w:style w:type="paragraph" w:styleId="25">
    <w:name w:val="Body Text Indent 3"/>
    <w:basedOn w:val="1"/>
    <w:semiHidden/>
    <w:qFormat/>
    <w:uiPriority w:val="0"/>
    <w:pPr>
      <w:spacing w:line="360" w:lineRule="auto"/>
      <w:ind w:left="600" w:firstLine="555"/>
      <w:outlineLvl w:val="0"/>
    </w:pPr>
    <w:rPr>
      <w:rFonts w:ascii="楷体_GB2312" w:eastAsia="楷体_GB2312"/>
      <w:kern w:val="2"/>
      <w:sz w:val="28"/>
    </w:rPr>
  </w:style>
  <w:style w:type="paragraph" w:styleId="26">
    <w:name w:val="toc 2"/>
    <w:basedOn w:val="1"/>
    <w:next w:val="1"/>
    <w:qFormat/>
    <w:uiPriority w:val="39"/>
    <w:pPr>
      <w:tabs>
        <w:tab w:val="right" w:leader="dot" w:pos="9072"/>
      </w:tabs>
      <w:spacing w:line="360" w:lineRule="auto"/>
      <w:ind w:left="480" w:leftChars="200"/>
    </w:pPr>
    <w:rPr>
      <w:rFonts w:eastAsia="楷体_GB2312"/>
    </w:rPr>
  </w:style>
  <w:style w:type="paragraph" w:styleId="27">
    <w:name w:val="toc 9"/>
    <w:basedOn w:val="1"/>
    <w:next w:val="1"/>
    <w:semiHidden/>
    <w:uiPriority w:val="0"/>
    <w:pPr>
      <w:ind w:left="3360" w:leftChars="1600"/>
    </w:pPr>
  </w:style>
  <w:style w:type="paragraph" w:styleId="28">
    <w:name w:val="Body Text 2"/>
    <w:basedOn w:val="1"/>
    <w:semiHidden/>
    <w:qFormat/>
    <w:uiPriority w:val="0"/>
    <w:pPr>
      <w:spacing w:line="360" w:lineRule="auto"/>
      <w:ind w:right="2"/>
    </w:pPr>
    <w:rPr>
      <w:rFonts w:eastAsia="仿宋_GB2312"/>
      <w:sz w:val="28"/>
    </w:rPr>
  </w:style>
  <w:style w:type="paragraph" w:styleId="29">
    <w:name w:val="Normal (Web)"/>
    <w:basedOn w:val="1"/>
    <w:uiPriority w:val="99"/>
    <w:pPr>
      <w:widowControl/>
      <w:adjustRightInd/>
      <w:spacing w:line="360" w:lineRule="auto"/>
      <w:textAlignment w:val="auto"/>
    </w:pPr>
    <w:rPr>
      <w:rFonts w:ascii="宋体" w:hAnsi="宋体"/>
      <w:sz w:val="18"/>
      <w:szCs w:val="18"/>
    </w:rPr>
  </w:style>
  <w:style w:type="paragraph" w:styleId="30">
    <w:name w:val="annotation subject"/>
    <w:basedOn w:val="10"/>
    <w:next w:val="10"/>
    <w:semiHidden/>
    <w:qFormat/>
    <w:uiPriority w:val="0"/>
    <w:rPr>
      <w:b/>
      <w:bCs/>
    </w:rPr>
  </w:style>
  <w:style w:type="paragraph" w:styleId="31">
    <w:name w:val="Body Text First Indent"/>
    <w:basedOn w:val="11"/>
    <w:semiHidden/>
    <w:qFormat/>
    <w:uiPriority w:val="0"/>
    <w:pPr>
      <w:adjustRightInd/>
      <w:spacing w:after="120" w:line="240" w:lineRule="auto"/>
      <w:ind w:firstLine="420"/>
      <w:jc w:val="both"/>
      <w:textAlignment w:val="auto"/>
    </w:pPr>
    <w:rPr>
      <w:rFonts w:eastAsia="宋体"/>
      <w:kern w:val="2"/>
      <w:sz w:val="21"/>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basedOn w:val="34"/>
    <w:qFormat/>
    <w:uiPriority w:val="0"/>
  </w:style>
  <w:style w:type="character" w:styleId="37">
    <w:name w:val="FollowedHyperlink"/>
    <w:semiHidden/>
    <w:uiPriority w:val="0"/>
    <w:rPr>
      <w:color w:val="800080"/>
      <w:u w:val="single"/>
    </w:rPr>
  </w:style>
  <w:style w:type="character" w:styleId="38">
    <w:name w:val="Hyperlink"/>
    <w:qFormat/>
    <w:uiPriority w:val="99"/>
    <w:rPr>
      <w:color w:val="0000FF"/>
      <w:u w:val="single"/>
    </w:rPr>
  </w:style>
  <w:style w:type="character" w:styleId="39">
    <w:name w:val="annotation reference"/>
    <w:semiHidden/>
    <w:qFormat/>
    <w:uiPriority w:val="99"/>
    <w:rPr>
      <w:sz w:val="21"/>
      <w:szCs w:val="21"/>
    </w:rPr>
  </w:style>
  <w:style w:type="character" w:customStyle="1" w:styleId="40">
    <w:name w:val="文档结构图 Char"/>
    <w:link w:val="9"/>
    <w:semiHidden/>
    <w:qFormat/>
    <w:uiPriority w:val="0"/>
    <w:rPr>
      <w:sz w:val="24"/>
      <w:shd w:val="clear" w:color="auto" w:fill="000080"/>
    </w:rPr>
  </w:style>
  <w:style w:type="character" w:customStyle="1" w:styleId="41">
    <w:name w:val="批注文字 Char"/>
    <w:link w:val="10"/>
    <w:semiHidden/>
    <w:qFormat/>
    <w:uiPriority w:val="99"/>
    <w:rPr>
      <w:sz w:val="24"/>
    </w:rPr>
  </w:style>
  <w:style w:type="character" w:customStyle="1" w:styleId="42">
    <w:name w:val="页脚 Char"/>
    <w:link w:val="20"/>
    <w:qFormat/>
    <w:uiPriority w:val="99"/>
    <w:rPr>
      <w:sz w:val="18"/>
    </w:rPr>
  </w:style>
  <w:style w:type="character" w:customStyle="1" w:styleId="43">
    <w:name w:val="页眉 Char"/>
    <w:link w:val="21"/>
    <w:qFormat/>
    <w:uiPriority w:val="99"/>
    <w:rPr>
      <w:sz w:val="18"/>
    </w:rPr>
  </w:style>
  <w:style w:type="paragraph" w:customStyle="1" w:styleId="44">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45">
    <w:name w:val="text1"/>
    <w:qFormat/>
    <w:uiPriority w:val="0"/>
    <w:rPr>
      <w:spacing w:val="10"/>
      <w:sz w:val="28"/>
      <w:szCs w:val="28"/>
    </w:rPr>
  </w:style>
  <w:style w:type="character" w:customStyle="1" w:styleId="46">
    <w:name w:val="unnamed11"/>
    <w:qFormat/>
    <w:uiPriority w:val="0"/>
    <w:rPr>
      <w:rFonts w:hint="eastAsia" w:ascii="宋体" w:hAnsi="宋体" w:eastAsia="宋体"/>
      <w:color w:val="000000"/>
      <w:sz w:val="18"/>
      <w:szCs w:val="18"/>
      <w:u w:val="none"/>
    </w:rPr>
  </w:style>
  <w:style w:type="paragraph" w:customStyle="1" w:styleId="4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48">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4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50">
    <w:name w:val="xl28"/>
    <w:basedOn w:val="1"/>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1">
    <w:name w:val="Char Char1 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52">
    <w:name w:val="t12h291"/>
    <w:qFormat/>
    <w:uiPriority w:val="0"/>
    <w:rPr>
      <w:color w:val="000000"/>
      <w:sz w:val="24"/>
      <w:szCs w:val="24"/>
    </w:rPr>
  </w:style>
  <w:style w:type="character" w:customStyle="1" w:styleId="53">
    <w:name w:val="nr1"/>
    <w:uiPriority w:val="0"/>
    <w:rPr>
      <w:rFonts w:hint="eastAsia" w:ascii="楷体_GB2312" w:eastAsia="楷体_GB2312"/>
      <w:color w:val="000000"/>
      <w:sz w:val="24"/>
      <w:szCs w:val="24"/>
    </w:rPr>
  </w:style>
  <w:style w:type="character" w:customStyle="1" w:styleId="54">
    <w:name w:val="标题 5 Char"/>
    <w:qFormat/>
    <w:uiPriority w:val="0"/>
    <w:rPr>
      <w:rFonts w:ascii="楷体_GB2312" w:eastAsia="楷体_GB2312"/>
      <w:color w:val="000000"/>
      <w:sz w:val="28"/>
    </w:r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styleId="56">
    <w:name w:val="List Paragraph"/>
    <w:basedOn w:val="1"/>
    <w:qFormat/>
    <w:uiPriority w:val="34"/>
    <w:pPr>
      <w:ind w:firstLine="420" w:firstLineChars="200"/>
    </w:pPr>
  </w:style>
  <w:style w:type="paragraph" w:styleId="57">
    <w:name w:val="No Spacing"/>
    <w:link w:val="58"/>
    <w:qFormat/>
    <w:uiPriority w:val="1"/>
    <w:rPr>
      <w:rFonts w:ascii="Calibri" w:hAnsi="Calibri" w:eastAsia="宋体" w:cs="Times New Roman"/>
      <w:sz w:val="22"/>
      <w:szCs w:val="22"/>
      <w:lang w:val="en-US" w:eastAsia="zh-CN" w:bidi="ar-SA"/>
    </w:rPr>
  </w:style>
  <w:style w:type="character" w:customStyle="1" w:styleId="58">
    <w:name w:val="无间隔 Char"/>
    <w:link w:val="57"/>
    <w:uiPriority w:val="1"/>
    <w:rPr>
      <w:rFonts w:ascii="Calibri" w:hAnsi="Calibri"/>
      <w:sz w:val="22"/>
      <w:szCs w:val="22"/>
    </w:rPr>
  </w:style>
  <w:style w:type="paragraph" w:customStyle="1" w:styleId="59">
    <w:name w:val="正文11"/>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0" Type="http://schemas.microsoft.com/office/2011/relationships/people" Target="people.xml"/><Relationship Id="rId5" Type="http://schemas.openxmlformats.org/officeDocument/2006/relationships/footnotes" Target="footnotes.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1.jpeg"/><Relationship Id="rId45" Type="http://schemas.openxmlformats.org/officeDocument/2006/relationships/image" Target="media/image10.jpeg"/><Relationship Id="rId44" Type="http://schemas.openxmlformats.org/officeDocument/2006/relationships/image" Target="media/image9.jpe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microsoft.com/office/2011/relationships/commentsExtended" Target="commentsExtended.xml"/><Relationship Id="rId39" Type="http://schemas.openxmlformats.org/officeDocument/2006/relationships/chart" Target="charts/chart5.xml"/><Relationship Id="rId38" Type="http://schemas.openxmlformats.org/officeDocument/2006/relationships/chart" Target="charts/chart4.xml"/><Relationship Id="rId37" Type="http://schemas.openxmlformats.org/officeDocument/2006/relationships/chart" Target="charts/chart3.xml"/><Relationship Id="rId36" Type="http://schemas.openxmlformats.org/officeDocument/2006/relationships/chart" Target="charts/chart2.xml"/><Relationship Id="rId35" Type="http://schemas.openxmlformats.org/officeDocument/2006/relationships/chart" Target="charts/chart1.xml"/><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theme" Target="theme/theme1.xml"/><Relationship Id="rId31" Type="http://schemas.openxmlformats.org/officeDocument/2006/relationships/footer" Target="footer13.xml"/><Relationship Id="rId30" Type="http://schemas.openxmlformats.org/officeDocument/2006/relationships/header" Target="header12.xml"/><Relationship Id="rId3" Type="http://schemas.openxmlformats.org/officeDocument/2006/relationships/comments" Target="comment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1.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0.xml"/><Relationship Id="rId23" Type="http://schemas.openxmlformats.org/officeDocument/2006/relationships/footer" Target="footer8.xml"/><Relationship Id="rId22" Type="http://schemas.openxmlformats.org/officeDocument/2006/relationships/footer" Target="footer7.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footer" Target="footer4.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23457;&#26680;&#32452;\2025&#24180;\&#24066;&#22330;&#20998;&#26512;\2025&#24180;4&#23395;&#24230;\&#21830;&#21150;\&#21382;&#24180;&#22303;&#22320;&#25104;&#20132;&#21450;&#20844;&#21578;&#21830;&#21150;2025&#24180;4&#23395;&#24230;.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4&#23395;&#24230;\&#21830;&#21150;\&#21382;&#24180;&#22303;&#22320;&#25104;&#20132;&#21450;&#20844;&#21578;&#21830;&#21150;2025&#24180;4&#23395;&#24230;.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4&#23395;&#24230;\&#21830;&#21150;\&#25968;&#25454;&#27719;&#38598;&#20998;&#26512;-&#21830;&#21150;-2025&#24180;4&#23395;&#24230;.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4&#23395;&#24230;\&#21830;&#21150;\&#25968;&#25454;&#27719;&#38598;&#20998;&#26512;-&#21830;&#21150;-2025&#24180;4&#23395;&#242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67167232"/>
        <c:axId val="267168768"/>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67174656"/>
        <c:axId val="267176192"/>
      </c:lineChart>
      <c:catAx>
        <c:axId val="26716723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7168768"/>
        <c:crosses val="autoZero"/>
        <c:auto val="1"/>
        <c:lblAlgn val="ctr"/>
        <c:lblOffset val="100"/>
        <c:noMultiLvlLbl val="0"/>
      </c:catAx>
      <c:valAx>
        <c:axId val="26716876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7167232"/>
        <c:crosses val="autoZero"/>
        <c:crossBetween val="between"/>
        <c:majorUnit val="500"/>
      </c:valAx>
      <c:catAx>
        <c:axId val="2671746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7176192"/>
        <c:crosses val="autoZero"/>
        <c:auto val="1"/>
        <c:lblAlgn val="ctr"/>
        <c:lblOffset val="100"/>
        <c:noMultiLvlLbl val="0"/>
      </c:catAx>
      <c:valAx>
        <c:axId val="26717619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71746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e7dfb00b-723c-4e3a-be8e-fe05b7a732a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297823596792667"/>
                  <c:y val="-0.0370370370370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c:formatCode="0.00">
                  <c:v>78.75</c:v>
                </c:pt>
              </c:numCache>
            </c:numRef>
          </c:val>
        </c:ser>
        <c:ser>
          <c:idx val="1"/>
          <c:order val="1"/>
          <c:tx>
            <c:strRef>
              <c:f>公告和成交建面!$C$2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1.6800111383779e-16"/>
                  <c:y val="-0.03703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c:v>
                </c:pt>
                <c:pt idx="3">
                  <c:v>158.1</c:v>
                </c:pt>
                <c:pt idx="4">
                  <c:v>102.78</c:v>
                </c:pt>
                <c:pt idx="5">
                  <c:v>78.75</c:v>
                </c:pt>
              </c:numCache>
            </c:numRef>
          </c:val>
        </c:ser>
        <c:dLbls>
          <c:showLegendKey val="0"/>
          <c:showVal val="0"/>
          <c:showCatName val="0"/>
          <c:showSerName val="0"/>
          <c:showPercent val="0"/>
          <c:showBubbleSize val="0"/>
        </c:dLbls>
        <c:gapWidth val="150"/>
        <c:axId val="267350400"/>
        <c:axId val="267351936"/>
      </c:barChart>
      <c:catAx>
        <c:axId val="2673504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351936"/>
        <c:crosses val="autoZero"/>
        <c:auto val="1"/>
        <c:lblAlgn val="ctr"/>
        <c:lblOffset val="100"/>
        <c:noMultiLvlLbl val="0"/>
      </c:catAx>
      <c:valAx>
        <c:axId val="2673519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350400"/>
        <c:crosses val="autoZero"/>
        <c:crossBetween val="between"/>
        <c:majorUnit val="20"/>
        <c:minorUnit val="4"/>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8189ea8-7de8-4d30-8a69-a72fe26a4e87}"/>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成交楼面单价!$B$1</c:f>
              <c:strCache>
                <c:ptCount val="1"/>
                <c:pt idx="0">
                  <c:v>成交楼面均价（元/㎡）</c:v>
                </c:pt>
              </c:strCache>
            </c:strRef>
          </c:tx>
          <c:marker>
            <c:symbol val="none"/>
          </c:marker>
          <c:dLbls>
            <c:delete val="1"/>
          </c:dLbls>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c:formatCode="0">
                  <c:v>14667</c:v>
                </c:pt>
                <c:pt idx="6" c:formatCode="0">
                  <c:v>14986</c:v>
                </c:pt>
              </c:numCache>
            </c:numRef>
          </c:val>
          <c:smooth val="0"/>
        </c:ser>
        <c:dLbls>
          <c:showLegendKey val="0"/>
          <c:showVal val="0"/>
          <c:showCatName val="0"/>
          <c:showSerName val="0"/>
          <c:showPercent val="0"/>
          <c:showBubbleSize val="0"/>
        </c:dLbls>
        <c:marker val="0"/>
        <c:smooth val="0"/>
        <c:axId val="304357376"/>
        <c:axId val="304358912"/>
      </c:lineChart>
      <c:lineChart>
        <c:grouping val="standard"/>
        <c:varyColors val="0"/>
        <c:ser>
          <c:idx val="1"/>
          <c:order val="1"/>
          <c:tx>
            <c:strRef>
              <c:f>成交楼面单价!$C$1</c:f>
              <c:strCache>
                <c:ptCount val="1"/>
                <c:pt idx="0">
                  <c:v>溢价率</c:v>
                </c:pt>
              </c:strCache>
            </c:strRef>
          </c:tx>
          <c:spPr>
            <a:ln w="31750" cap="rnd" cmpd="sng" algn="ctr">
              <a:solidFill>
                <a:schemeClr val="accent1">
                  <a:tint val="76667"/>
                </a:schemeClr>
              </a:solidFill>
              <a:prstDash val="dash"/>
              <a:round/>
            </a:ln>
          </c:spPr>
          <c:marker>
            <c:symbol val="none"/>
          </c:marker>
          <c:dLbls>
            <c:delete val="1"/>
          </c:dLbls>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0.0033</c:v>
                </c:pt>
                <c:pt idx="1">
                  <c:v>0.0016</c:v>
                </c:pt>
                <c:pt idx="2">
                  <c:v>0</c:v>
                </c:pt>
                <c:pt idx="3">
                  <c:v>0</c:v>
                </c:pt>
                <c:pt idx="4">
                  <c:v>0</c:v>
                </c:pt>
                <c:pt idx="5">
                  <c:v>0</c:v>
                </c:pt>
                <c:pt idx="6">
                  <c:v>0</c:v>
                </c:pt>
              </c:numCache>
            </c:numRef>
          </c:val>
          <c:smooth val="0"/>
        </c:ser>
        <c:dLbls>
          <c:showLegendKey val="0"/>
          <c:showVal val="0"/>
          <c:showCatName val="0"/>
          <c:showSerName val="0"/>
          <c:showPercent val="0"/>
          <c:showBubbleSize val="0"/>
        </c:dLbls>
        <c:marker val="0"/>
        <c:smooth val="0"/>
        <c:axId val="304360448"/>
        <c:axId val="304366336"/>
      </c:lineChart>
      <c:catAx>
        <c:axId val="3043573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4358912"/>
        <c:crosses val="autoZero"/>
        <c:auto val="1"/>
        <c:lblAlgn val="ctr"/>
        <c:lblOffset val="100"/>
        <c:noMultiLvlLbl val="0"/>
      </c:catAx>
      <c:valAx>
        <c:axId val="3043589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4357376"/>
        <c:crosses val="autoZero"/>
        <c:crossBetween val="between"/>
      </c:valAx>
      <c:catAx>
        <c:axId val="3043604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4366336"/>
        <c:crosses val="autoZero"/>
        <c:auto val="1"/>
        <c:lblAlgn val="ctr"/>
        <c:lblOffset val="100"/>
        <c:noMultiLvlLbl val="0"/>
      </c:catAx>
      <c:valAx>
        <c:axId val="304366336"/>
        <c:scaling>
          <c:orientation val="minMax"/>
          <c:max val="0.005"/>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4360448"/>
        <c:crosses val="max"/>
        <c:crossBetween val="between"/>
        <c:majorUnit val="0.001"/>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0c3aa26-f885-4049-b7ba-e7381067caa1}"/>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charset="-122"/>
                <a:ea typeface="华文细黑" panose="02010600040101010101" charset="-122"/>
              </a:rPr>
              <a:t>北京</a:t>
            </a:r>
            <a:r>
              <a:rPr lang="zh-CN" altLang="en-US" sz="1100">
                <a:latin typeface="华文细黑" panose="02010600040101010101" charset="-122"/>
                <a:ea typeface="华文细黑" panose="02010600040101010101" charset="-122"/>
              </a:rPr>
              <a:t>地价增长率</a:t>
            </a:r>
            <a:endParaRPr lang="zh-CN" altLang="en-US" sz="1100">
              <a:latin typeface="华文细黑" panose="02010600040101010101" charset="-122"/>
              <a:ea typeface="华文细黑" panose="02010600040101010101"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'2025年地价监测结果'!$D$4</c:f>
              <c:strCache>
                <c:ptCount val="1"/>
                <c:pt idx="0">
                  <c:v>商业（中心城区）</c:v>
                </c:pt>
              </c:strCache>
            </c:strRef>
          </c:tx>
          <c:spPr>
            <a:ln w="19050" cap="rnd" cmpd="sng" algn="ctr">
              <a:solidFill>
                <a:schemeClr val="accent1"/>
              </a:solidFill>
              <a:prstDash val="dash"/>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0.005</c:v>
                </c:pt>
                <c:pt idx="1">
                  <c:v>0.0024</c:v>
                </c:pt>
                <c:pt idx="2">
                  <c:v>0.0046</c:v>
                </c:pt>
                <c:pt idx="3">
                  <c:v>-0.0021</c:v>
                </c:pt>
                <c:pt idx="4">
                  <c:v>-0.0047</c:v>
                </c:pt>
                <c:pt idx="5">
                  <c:v>-0.0048</c:v>
                </c:pt>
                <c:pt idx="6">
                  <c:v>-0.0057</c:v>
                </c:pt>
                <c:pt idx="7">
                  <c:v>-0.0062</c:v>
                </c:pt>
                <c:pt idx="8">
                  <c:v>-0.0022</c:v>
                </c:pt>
                <c:pt idx="9">
                  <c:v>-0.009</c:v>
                </c:pt>
              </c:numCache>
            </c:numRef>
          </c:val>
          <c:smooth val="0"/>
        </c:ser>
        <c:ser>
          <c:idx val="2"/>
          <c:order val="1"/>
          <c:tx>
            <c:strRef>
              <c:f>'2025年地价监测结果'!$J$4</c:f>
              <c:strCache>
                <c:ptCount val="1"/>
                <c:pt idx="0">
                  <c:v>办公（中心城区）</c:v>
                </c:pt>
              </c:strCache>
            </c:strRef>
          </c:tx>
          <c:spPr>
            <a:ln w="22225" cap="rnd" cmpd="sng" algn="ctr">
              <a:solidFill>
                <a:schemeClr val="accent3"/>
              </a:solidFill>
              <a:prstDash val="solid"/>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0.0031</c:v>
                </c:pt>
                <c:pt idx="1">
                  <c:v>-0.0016</c:v>
                </c:pt>
                <c:pt idx="2">
                  <c:v>-0.0016</c:v>
                </c:pt>
                <c:pt idx="3">
                  <c:v>-0.0138</c:v>
                </c:pt>
                <c:pt idx="4">
                  <c:v>-0.0029</c:v>
                </c:pt>
                <c:pt idx="5">
                  <c:v>-0.0075</c:v>
                </c:pt>
                <c:pt idx="6">
                  <c:v>-0.009</c:v>
                </c:pt>
                <c:pt idx="7">
                  <c:v>-0.0105</c:v>
                </c:pt>
                <c:pt idx="8">
                  <c:v>-0.0082</c:v>
                </c:pt>
                <c:pt idx="9">
                  <c:v>-0.0047</c:v>
                </c:pt>
              </c:numCache>
            </c:numRef>
          </c:val>
          <c:smooth val="0"/>
        </c:ser>
        <c:dLbls>
          <c:showLegendKey val="0"/>
          <c:showVal val="0"/>
          <c:showCatName val="0"/>
          <c:showSerName val="0"/>
          <c:showPercent val="0"/>
          <c:showBubbleSize val="0"/>
        </c:dLbls>
        <c:marker val="0"/>
        <c:smooth val="0"/>
        <c:axId val="304850432"/>
        <c:axId val="304851968"/>
      </c:lineChart>
      <c:catAx>
        <c:axId val="30485043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4851968"/>
        <c:crosses val="autoZero"/>
        <c:auto val="1"/>
        <c:lblAlgn val="ctr"/>
        <c:lblOffset val="100"/>
        <c:noMultiLvlLbl val="0"/>
      </c:catAx>
      <c:valAx>
        <c:axId val="304851968"/>
        <c:scaling>
          <c:orientation val="minMax"/>
          <c:max val="0.01"/>
          <c:min val="-0.02"/>
        </c:scaling>
        <c:delete val="0"/>
        <c:axPos val="l"/>
        <c:majorGridlines>
          <c:spPr>
            <a:ln w="6350"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04850432"/>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dc9a34b-0c11-4eae-86c2-0af24f5f4a37}"/>
      </c:ext>
    </c:extLst>
  </c:chart>
  <c:spPr>
    <a:solidFill>
      <a:srgbClr val="FFFFFF"/>
    </a:solidFill>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charset="-122"/>
                <a:ea typeface="华文细黑" panose="02010600040101010101" charset="-122"/>
              </a:rPr>
              <a:t>北京</a:t>
            </a:r>
            <a:r>
              <a:rPr lang="zh-CN" altLang="en-US" sz="1100">
                <a:latin typeface="华文细黑" panose="02010600040101010101" charset="-122"/>
                <a:ea typeface="华文细黑" panose="02010600040101010101" charset="-122"/>
              </a:rPr>
              <a:t>地价增长率</a:t>
            </a:r>
            <a:endParaRPr lang="zh-CN" altLang="en-US" sz="1100">
              <a:latin typeface="华文细黑" panose="02010600040101010101" charset="-122"/>
              <a:ea typeface="华文细黑" panose="02010600040101010101"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'2025年地价监测结果'!$G$4</c:f>
              <c:strCache>
                <c:ptCount val="1"/>
                <c:pt idx="0">
                  <c:v>商业（规划新城）</c:v>
                </c:pt>
              </c:strCache>
            </c:strRef>
          </c:tx>
          <c:spPr>
            <a:ln w="19050" cap="rnd" cmpd="sng" algn="ctr">
              <a:solidFill>
                <a:schemeClr val="accent1"/>
              </a:solidFill>
              <a:prstDash val="dash"/>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0.0035</c:v>
                </c:pt>
                <c:pt idx="1">
                  <c:v>0.0007</c:v>
                </c:pt>
                <c:pt idx="2">
                  <c:v>0.0025</c:v>
                </c:pt>
                <c:pt idx="3">
                  <c:v>-0.0031</c:v>
                </c:pt>
                <c:pt idx="4">
                  <c:v>-0.0066</c:v>
                </c:pt>
                <c:pt idx="5">
                  <c:v>-0.0061</c:v>
                </c:pt>
                <c:pt idx="6">
                  <c:v>-0.0147</c:v>
                </c:pt>
                <c:pt idx="7">
                  <c:v>-0.0031</c:v>
                </c:pt>
                <c:pt idx="8">
                  <c:v>-0.008</c:v>
                </c:pt>
                <c:pt idx="9">
                  <c:v>-0.0205</c:v>
                </c:pt>
              </c:numCache>
            </c:numRef>
          </c:val>
          <c:smooth val="0"/>
        </c:ser>
        <c:ser>
          <c:idx val="3"/>
          <c:order val="1"/>
          <c:tx>
            <c:strRef>
              <c:f>'2025年地价监测结果'!$I$4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0.0017</c:v>
                </c:pt>
                <c:pt idx="1">
                  <c:v>0.0009</c:v>
                </c:pt>
                <c:pt idx="2">
                  <c:v>0.004</c:v>
                </c:pt>
                <c:pt idx="3">
                  <c:v>-0.0039</c:v>
                </c:pt>
                <c:pt idx="4">
                  <c:v>-0.0052</c:v>
                </c:pt>
                <c:pt idx="5">
                  <c:v>-0.0071</c:v>
                </c:pt>
                <c:pt idx="6">
                  <c:v>-0.0098</c:v>
                </c:pt>
                <c:pt idx="7">
                  <c:v>-0.0103</c:v>
                </c:pt>
                <c:pt idx="8">
                  <c:v>-0.0145</c:v>
                </c:pt>
                <c:pt idx="9">
                  <c:v>-0.0368</c:v>
                </c:pt>
              </c:numCache>
            </c:numRef>
          </c:val>
          <c:smooth val="0"/>
        </c:ser>
        <c:dLbls>
          <c:showLegendKey val="0"/>
          <c:showVal val="0"/>
          <c:showCatName val="0"/>
          <c:showSerName val="0"/>
          <c:showPercent val="0"/>
          <c:showBubbleSize val="0"/>
        </c:dLbls>
        <c:marker val="0"/>
        <c:smooth val="0"/>
        <c:axId val="305435008"/>
        <c:axId val="305436544"/>
      </c:lineChart>
      <c:catAx>
        <c:axId val="30543500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5436544"/>
        <c:crosses val="autoZero"/>
        <c:auto val="1"/>
        <c:lblAlgn val="ctr"/>
        <c:lblOffset val="100"/>
        <c:noMultiLvlLbl val="0"/>
      </c:catAx>
      <c:valAx>
        <c:axId val="305436544"/>
        <c:scaling>
          <c:orientation val="minMax"/>
          <c:max val="0.01"/>
          <c:min val="-0.04"/>
        </c:scaling>
        <c:delete val="0"/>
        <c:axPos val="l"/>
        <c:majorGridlines>
          <c:spPr>
            <a:ln w="6350"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05435008"/>
        <c:crosses val="autoZero"/>
        <c:crossBetween val="midCat"/>
        <c:majorUnit val="0.00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4ef8eb2a-1609-47aa-b4f8-b859c9275de5}"/>
      </c:ext>
    </c:extLst>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57</Pages>
  <Words>8538</Words>
  <Characters>9741</Characters>
  <Lines>284</Lines>
  <Paragraphs>80</Paragraphs>
  <TotalTime>1</TotalTime>
  <ScaleCrop>false</ScaleCrop>
  <LinksUpToDate>false</LinksUpToDate>
  <CharactersWithSpaces>9872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2026-01-27T06:12:00Z</dcterms:created>
  <dc:creator>djg</dc:creator>
  <cp:lastModifiedBy>诗霖</cp:lastModifiedBy>
  <cp:lastPrinted>2019-04-08T03:25:00Z</cp:lastPrinted>
  <dcterms:modified xsi:type="dcterms:W3CDTF">2026-01-27T09:21:42Z</dcterms:modified>
  <dc:title>电 话：82253558  传真：82253565</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2052-12.1.0.24657</vt:lpwstr>
  </property>
  <property fmtid="{D5CDD505-2E9C-101B-9397-08002B2CF9AE}" pid="4" name="ICV">
    <vt:lpwstr>41BF4D40FBA245F9B56003C4131AF19F_13</vt:lpwstr>
  </property>
</Properties>
</file>