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AB016" w14:textId="2106EE24" w:rsidR="00000000" w:rsidRDefault="00690E7D">
      <w:pPr>
        <w:spacing w:line="300" w:lineRule="exact"/>
        <w:rPr>
          <w:rFonts w:ascii="Arial" w:eastAsia="方正黑体简体" w:hAnsi="Arial" w:cs="Arial" w:hint="eastAsia"/>
          <w:sz w:val="21"/>
          <w:szCs w:val="21"/>
        </w:rPr>
        <w:sectPr w:rsidR="00000000">
          <w:headerReference w:type="default" r:id="rId7"/>
          <w:footerReference w:type="even" r:id="rId8"/>
          <w:footerReference w:type="default" r:id="rId9"/>
          <w:headerReference w:type="first" r:id="rId10"/>
          <w:type w:val="continuous"/>
          <w:pgSz w:w="11907" w:h="16840"/>
          <w:pgMar w:top="1843" w:right="1304" w:bottom="1134" w:left="1304" w:header="1134" w:footer="907" w:gutter="0"/>
          <w:cols w:space="720"/>
          <w:titlePg/>
          <w:docGrid w:linePitch="326"/>
        </w:sectPr>
      </w:pPr>
      <w:r>
        <w:rPr>
          <w:noProof/>
          <w:lang w:val="en-US" w:eastAsia="zh-CN"/>
        </w:rPr>
        <mc:AlternateContent>
          <mc:Choice Requires="wps">
            <w:drawing>
              <wp:anchor distT="0" distB="0" distL="114300" distR="114300" simplePos="0" relativeHeight="251654656" behindDoc="0" locked="0" layoutInCell="1" allowOverlap="1" wp14:anchorId="6D13A469" wp14:editId="71C4ABFD">
                <wp:simplePos x="0" y="0"/>
                <wp:positionH relativeFrom="margin">
                  <wp:posOffset>-7620</wp:posOffset>
                </wp:positionH>
                <wp:positionV relativeFrom="margin">
                  <wp:posOffset>5313045</wp:posOffset>
                </wp:positionV>
                <wp:extent cx="5904230" cy="3505200"/>
                <wp:effectExtent l="1270" t="0" r="0" b="3175"/>
                <wp:wrapNone/>
                <wp:docPr id="203768987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C0857D4" w14:textId="77777777" w:rsidR="00000000" w:rsidRDefault="00000000">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估价报告编号：</w:t>
                            </w:r>
                          </w:p>
                          <w:p w14:paraId="471E4B8A" w14:textId="77777777" w:rsidR="00000000" w:rsidRDefault="00000000">
                            <w:pPr>
                              <w:pStyle w:val="afa"/>
                              <w:spacing w:line="320" w:lineRule="exact"/>
                              <w:ind w:left="360" w:firstLineChars="0" w:firstLine="0"/>
                              <w:textAlignment w:val="bottom"/>
                              <w:rPr>
                                <w:rFonts w:ascii="Arial" w:eastAsia="方正黑体简体" w:hAnsi="Arial" w:cs="Arial"/>
                                <w:sz w:val="21"/>
                                <w:szCs w:val="21"/>
                              </w:rPr>
                            </w:pPr>
                            <w:proofErr w:type="gramStart"/>
                            <w:r>
                              <w:rPr>
                                <w:rFonts w:ascii="Arial" w:eastAsia="方正黑体简体" w:hAnsi="Arial" w:cs="Arial"/>
                                <w:sz w:val="21"/>
                                <w:szCs w:val="21"/>
                              </w:rPr>
                              <w:t>康正评</w:t>
                            </w:r>
                            <w:proofErr w:type="gramEnd"/>
                            <w:r>
                              <w:rPr>
                                <w:rFonts w:ascii="Arial" w:eastAsia="方正黑体简体" w:hAnsi="Arial" w:cs="Arial"/>
                                <w:sz w:val="21"/>
                                <w:szCs w:val="21"/>
                              </w:rPr>
                              <w:t>字</w:t>
                            </w:r>
                            <w:r>
                              <w:rPr>
                                <w:rFonts w:ascii="Arial" w:eastAsia="方正黑体简体" w:hAnsi="Arial" w:cs="Arial"/>
                                <w:sz w:val="21"/>
                                <w:szCs w:val="21"/>
                              </w:rPr>
                              <w:t>2026-1-0005-F01ZLGJ6</w:t>
                            </w:r>
                            <w:r>
                              <w:rPr>
                                <w:rFonts w:ascii="Arial" w:eastAsia="方正黑体简体" w:hAnsi="Arial" w:cs="Arial"/>
                                <w:sz w:val="21"/>
                                <w:szCs w:val="21"/>
                              </w:rPr>
                              <w:t>号</w:t>
                            </w:r>
                          </w:p>
                          <w:p w14:paraId="7044B9B5" w14:textId="77777777" w:rsidR="00000000" w:rsidRDefault="00000000">
                            <w:pPr>
                              <w:textAlignment w:val="bottom"/>
                              <w:rPr>
                                <w:rFonts w:ascii="Arial" w:hAnsi="Arial"/>
                              </w:rPr>
                            </w:pPr>
                          </w:p>
                          <w:p w14:paraId="17954706" w14:textId="77777777" w:rsidR="00000000" w:rsidRDefault="00000000">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估价项目名称：</w:t>
                            </w:r>
                          </w:p>
                          <w:p w14:paraId="54D264CE" w14:textId="77777777" w:rsidR="00000000" w:rsidRDefault="00000000">
                            <w:pPr>
                              <w:pStyle w:val="afa"/>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sz w:val="21"/>
                                <w:szCs w:val="21"/>
                              </w:rPr>
                              <w:t>北京市房山区阜盛西街</w:t>
                            </w:r>
                            <w:r>
                              <w:rPr>
                                <w:rFonts w:ascii="Arial" w:eastAsia="方正黑体简体" w:hAnsi="Arial" w:cs="Arial"/>
                                <w:sz w:val="21"/>
                                <w:szCs w:val="21"/>
                              </w:rPr>
                              <w:t>11</w:t>
                            </w:r>
                            <w:r>
                              <w:rPr>
                                <w:rFonts w:ascii="Arial" w:eastAsia="方正黑体简体" w:hAnsi="Arial" w:cs="Arial"/>
                                <w:sz w:val="21"/>
                                <w:szCs w:val="21"/>
                              </w:rPr>
                              <w:t>号院</w:t>
                            </w:r>
                            <w:r>
                              <w:rPr>
                                <w:rFonts w:ascii="Arial" w:eastAsia="方正黑体简体" w:hAnsi="Arial" w:cs="Arial"/>
                                <w:sz w:val="21"/>
                                <w:szCs w:val="21"/>
                              </w:rPr>
                              <w:t>3</w:t>
                            </w:r>
                            <w:r>
                              <w:rPr>
                                <w:rFonts w:ascii="Arial" w:eastAsia="方正黑体简体" w:hAnsi="Arial" w:cs="Arial"/>
                                <w:sz w:val="21"/>
                                <w:szCs w:val="21"/>
                              </w:rPr>
                              <w:t>号楼地上</w:t>
                            </w:r>
                            <w:r>
                              <w:rPr>
                                <w:rFonts w:ascii="Arial" w:eastAsia="方正黑体简体" w:hAnsi="Arial" w:cs="Arial"/>
                                <w:sz w:val="21"/>
                                <w:szCs w:val="21"/>
                              </w:rPr>
                              <w:t>1</w:t>
                            </w:r>
                            <w:r>
                              <w:rPr>
                                <w:rFonts w:ascii="Arial" w:eastAsia="方正黑体简体" w:hAnsi="Arial" w:cs="Arial"/>
                                <w:sz w:val="21"/>
                                <w:szCs w:val="21"/>
                              </w:rPr>
                              <w:t>层</w:t>
                            </w:r>
                            <w:r>
                              <w:rPr>
                                <w:rFonts w:ascii="Arial" w:eastAsia="方正黑体简体" w:hAnsi="Arial" w:cs="Arial"/>
                                <w:sz w:val="21"/>
                                <w:szCs w:val="21"/>
                              </w:rPr>
                              <w:t>101</w:t>
                            </w:r>
                            <w:r>
                              <w:rPr>
                                <w:rFonts w:ascii="Arial" w:eastAsia="方正黑体简体" w:hAnsi="Arial" w:cs="Arial"/>
                                <w:sz w:val="21"/>
                                <w:szCs w:val="21"/>
                              </w:rPr>
                              <w:t>号等</w:t>
                            </w:r>
                            <w:r>
                              <w:rPr>
                                <w:rFonts w:ascii="Arial" w:eastAsia="方正黑体简体" w:hAnsi="Arial" w:cs="Arial"/>
                                <w:sz w:val="21"/>
                                <w:szCs w:val="21"/>
                              </w:rPr>
                              <w:t>29</w:t>
                            </w:r>
                            <w:r>
                              <w:rPr>
                                <w:rFonts w:ascii="Arial" w:eastAsia="方正黑体简体" w:hAnsi="Arial" w:cs="Arial"/>
                                <w:sz w:val="21"/>
                                <w:szCs w:val="21"/>
                              </w:rPr>
                              <w:t>套商业用房房地产市场租金水平评估</w:t>
                            </w:r>
                          </w:p>
                          <w:p w14:paraId="26721272" w14:textId="77777777" w:rsidR="00000000" w:rsidRDefault="00000000">
                            <w:pPr>
                              <w:textAlignment w:val="bottom"/>
                              <w:rPr>
                                <w:rFonts w:ascii="Arial" w:eastAsia="方正黑体简体" w:hAnsi="Arial"/>
                              </w:rPr>
                            </w:pPr>
                          </w:p>
                          <w:p w14:paraId="013A7091" w14:textId="77777777" w:rsidR="00000000" w:rsidRDefault="00000000">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估价委托人：</w:t>
                            </w:r>
                          </w:p>
                          <w:p w14:paraId="39FD134A" w14:textId="77777777" w:rsidR="00000000" w:rsidRDefault="00000000">
                            <w:pPr>
                              <w:pStyle w:val="afa"/>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sz w:val="21"/>
                                <w:szCs w:val="21"/>
                              </w:rPr>
                              <w:t>北京首开龙湖盈泰置业有限公司</w:t>
                            </w:r>
                          </w:p>
                          <w:p w14:paraId="3CD9C298" w14:textId="77777777" w:rsidR="00000000" w:rsidRDefault="00000000">
                            <w:pPr>
                              <w:spacing w:line="320" w:lineRule="exact"/>
                              <w:textAlignment w:val="bottom"/>
                              <w:rPr>
                                <w:rFonts w:ascii="Arial" w:eastAsia="方正黑体简体" w:hAnsi="Arial"/>
                                <w:b/>
                                <w:sz w:val="21"/>
                                <w:szCs w:val="21"/>
                              </w:rPr>
                            </w:pPr>
                          </w:p>
                          <w:p w14:paraId="090B15D1" w14:textId="77777777" w:rsidR="00000000" w:rsidRDefault="00000000">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房地产估价机构：</w:t>
                            </w:r>
                          </w:p>
                          <w:p w14:paraId="0950A92D" w14:textId="77777777" w:rsidR="00000000" w:rsidRDefault="00000000">
                            <w:pPr>
                              <w:pStyle w:val="afa"/>
                              <w:spacing w:line="320" w:lineRule="exact"/>
                              <w:ind w:left="360" w:firstLineChars="0" w:firstLine="0"/>
                              <w:textAlignment w:val="bottom"/>
                              <w:rPr>
                                <w:rFonts w:ascii="Arial" w:eastAsia="方正黑体简体" w:hAnsi="Arial"/>
                                <w:sz w:val="21"/>
                                <w:szCs w:val="21"/>
                              </w:rPr>
                            </w:pPr>
                            <w:proofErr w:type="gramStart"/>
                            <w:r>
                              <w:rPr>
                                <w:rFonts w:ascii="Arial" w:eastAsia="方正黑体简体" w:hAnsi="Arial"/>
                                <w:sz w:val="21"/>
                                <w:szCs w:val="21"/>
                              </w:rPr>
                              <w:t>北京康正宏</w:t>
                            </w:r>
                            <w:proofErr w:type="gramEnd"/>
                            <w:r>
                              <w:rPr>
                                <w:rFonts w:ascii="Arial" w:eastAsia="方正黑体简体" w:hAnsi="Arial"/>
                                <w:sz w:val="21"/>
                                <w:szCs w:val="21"/>
                              </w:rPr>
                              <w:t>基房地产评估有限公司</w:t>
                            </w:r>
                          </w:p>
                          <w:p w14:paraId="7676EA4D" w14:textId="77777777" w:rsidR="00000000" w:rsidRDefault="00000000">
                            <w:pPr>
                              <w:spacing w:line="320" w:lineRule="exact"/>
                              <w:textAlignment w:val="bottom"/>
                              <w:rPr>
                                <w:rFonts w:ascii="Arial" w:eastAsia="方正黑体简体" w:hAnsi="Arial"/>
                                <w:b/>
                                <w:sz w:val="21"/>
                                <w:szCs w:val="21"/>
                              </w:rPr>
                            </w:pPr>
                          </w:p>
                          <w:p w14:paraId="4B078CB3" w14:textId="77777777" w:rsidR="00000000" w:rsidRDefault="00000000">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注册房地产估价师：</w:t>
                            </w:r>
                          </w:p>
                          <w:p w14:paraId="7BAD8B43" w14:textId="77777777" w:rsidR="00000000" w:rsidRDefault="00000000">
                            <w:pPr>
                              <w:pStyle w:val="afa"/>
                              <w:spacing w:line="320" w:lineRule="exact"/>
                              <w:ind w:left="360" w:firstLineChars="0" w:firstLine="0"/>
                              <w:textAlignment w:val="bottom"/>
                              <w:rPr>
                                <w:rFonts w:ascii="Arial" w:eastAsia="方正黑体简体" w:hAnsi="Arial"/>
                                <w:color w:val="E36C0A"/>
                                <w:sz w:val="21"/>
                                <w:szCs w:val="21"/>
                              </w:rPr>
                            </w:pPr>
                            <w:r>
                              <w:rPr>
                                <w:rFonts w:ascii="Arial" w:eastAsia="方正黑体简体" w:hAnsi="Arial"/>
                                <w:sz w:val="21"/>
                                <w:szCs w:val="21"/>
                              </w:rPr>
                              <w:t>常</w:t>
                            </w:r>
                            <w:r>
                              <w:rPr>
                                <w:rFonts w:ascii="Arial" w:eastAsia="方正黑体简体" w:hAnsi="Arial"/>
                                <w:sz w:val="21"/>
                                <w:szCs w:val="21"/>
                              </w:rPr>
                              <w:t xml:space="preserve">  </w:t>
                            </w:r>
                            <w:r>
                              <w:rPr>
                                <w:rFonts w:ascii="Arial" w:eastAsia="方正黑体简体" w:hAnsi="Arial"/>
                                <w:sz w:val="21"/>
                                <w:szCs w:val="21"/>
                              </w:rPr>
                              <w:t>畅（注册号：</w:t>
                            </w:r>
                            <w:r>
                              <w:rPr>
                                <w:rFonts w:ascii="Arial" w:eastAsia="方正黑体简体" w:hAnsi="Arial"/>
                                <w:sz w:val="21"/>
                                <w:szCs w:val="21"/>
                              </w:rPr>
                              <w:t>1120250061</w:t>
                            </w:r>
                            <w:r>
                              <w:rPr>
                                <w:rFonts w:ascii="Arial" w:eastAsia="方正黑体简体" w:hAnsi="Arial"/>
                                <w:sz w:val="21"/>
                                <w:szCs w:val="21"/>
                              </w:rPr>
                              <w:t>）、许皓源（注册号：</w:t>
                            </w:r>
                            <w:r>
                              <w:rPr>
                                <w:rFonts w:ascii="Arial" w:eastAsia="方正黑体简体" w:hAnsi="Arial"/>
                                <w:sz w:val="21"/>
                                <w:szCs w:val="21"/>
                              </w:rPr>
                              <w:t>1119980019</w:t>
                            </w:r>
                            <w:r>
                              <w:rPr>
                                <w:rFonts w:ascii="Arial" w:eastAsia="方正黑体简体" w:hAnsi="Arial"/>
                                <w:sz w:val="21"/>
                                <w:szCs w:val="21"/>
                              </w:rPr>
                              <w:t>）</w:t>
                            </w:r>
                          </w:p>
                          <w:p w14:paraId="4BC47A2E" w14:textId="77777777" w:rsidR="00000000" w:rsidRDefault="00000000">
                            <w:pPr>
                              <w:spacing w:line="320" w:lineRule="exact"/>
                              <w:textAlignment w:val="bottom"/>
                              <w:rPr>
                                <w:rFonts w:ascii="Arial" w:eastAsia="方正黑体简体" w:hAnsi="Arial"/>
                                <w:b/>
                                <w:sz w:val="21"/>
                                <w:szCs w:val="21"/>
                              </w:rPr>
                            </w:pPr>
                          </w:p>
                          <w:p w14:paraId="4B9025D4" w14:textId="77777777" w:rsidR="00000000" w:rsidRDefault="00000000">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估价报告出具日期：</w:t>
                            </w:r>
                          </w:p>
                          <w:p w14:paraId="74081E2A" w14:textId="77777777" w:rsidR="00000000" w:rsidRDefault="00000000">
                            <w:pPr>
                              <w:pStyle w:val="afa"/>
                              <w:spacing w:line="320" w:lineRule="exact"/>
                              <w:ind w:left="360" w:firstLineChars="0" w:firstLine="0"/>
                              <w:textAlignment w:val="bottom"/>
                            </w:pPr>
                            <w:r>
                              <w:rPr>
                                <w:rFonts w:ascii="Arial" w:eastAsia="方正黑体简体" w:hAnsi="Arial"/>
                                <w:sz w:val="21"/>
                                <w:szCs w:val="21"/>
                              </w:rPr>
                              <w:t>2026</w:t>
                            </w:r>
                            <w:r>
                              <w:rPr>
                                <w:rFonts w:ascii="Arial" w:eastAsia="方正黑体简体" w:hAnsi="Arial"/>
                                <w:sz w:val="21"/>
                                <w:szCs w:val="21"/>
                              </w:rPr>
                              <w:t>年</w:t>
                            </w:r>
                            <w:r>
                              <w:rPr>
                                <w:rFonts w:ascii="Arial" w:eastAsia="方正黑体简体" w:hAnsi="Arial"/>
                                <w:sz w:val="21"/>
                                <w:szCs w:val="21"/>
                              </w:rPr>
                              <w:t>1</w:t>
                            </w:r>
                            <w:r>
                              <w:rPr>
                                <w:rFonts w:ascii="Arial" w:eastAsia="方正黑体简体" w:hAnsi="Arial"/>
                                <w:sz w:val="21"/>
                                <w:szCs w:val="21"/>
                              </w:rPr>
                              <w:t>月</w:t>
                            </w:r>
                            <w:r>
                              <w:rPr>
                                <w:rFonts w:ascii="Arial" w:eastAsia="方正黑体简体" w:hAnsi="Arial" w:hint="eastAsia"/>
                                <w:sz w:val="21"/>
                                <w:szCs w:val="21"/>
                              </w:rPr>
                              <w:t>30</w:t>
                            </w:r>
                            <w:r>
                              <w:rPr>
                                <w:rFonts w:ascii="Arial" w:eastAsia="方正黑体简体" w:hAnsi="Arial"/>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D13A469" id="_x0000_t202" coordsize="21600,21600" o:spt="202" path="m,l,21600r21600,l21600,xe">
                <v:stroke joinstyle="miter"/>
                <v:path gradientshapeok="t" o:connecttype="rect"/>
              </v:shapetype>
              <v:shape id="文本框 2" o:spid="_x0000_s1026" type="#_x0000_t202" style="position:absolute;margin-left:-.6pt;margin-top:418.35pt;width:464.9pt;height:27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" filled="f" stroked="f">
                <v:textbox style="mso-fit-shape-to-text:t" inset="0,0,0,0">
                  <w:txbxContent>
                    <w:p w14:paraId="5C0857D4" w14:textId="77777777" w:rsidR="00000000" w:rsidRDefault="00000000">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估价报告编号：</w:t>
                      </w:r>
                    </w:p>
                    <w:p w14:paraId="471E4B8A" w14:textId="77777777" w:rsidR="00000000" w:rsidRDefault="00000000">
                      <w:pPr>
                        <w:pStyle w:val="afa"/>
                        <w:spacing w:line="320" w:lineRule="exact"/>
                        <w:ind w:left="360" w:firstLineChars="0" w:firstLine="0"/>
                        <w:textAlignment w:val="bottom"/>
                        <w:rPr>
                          <w:rFonts w:ascii="Arial" w:eastAsia="方正黑体简体" w:hAnsi="Arial" w:cs="Arial"/>
                          <w:sz w:val="21"/>
                          <w:szCs w:val="21"/>
                        </w:rPr>
                      </w:pPr>
                      <w:proofErr w:type="gramStart"/>
                      <w:r>
                        <w:rPr>
                          <w:rFonts w:ascii="Arial" w:eastAsia="方正黑体简体" w:hAnsi="Arial" w:cs="Arial"/>
                          <w:sz w:val="21"/>
                          <w:szCs w:val="21"/>
                        </w:rPr>
                        <w:t>康正评</w:t>
                      </w:r>
                      <w:proofErr w:type="gramEnd"/>
                      <w:r>
                        <w:rPr>
                          <w:rFonts w:ascii="Arial" w:eastAsia="方正黑体简体" w:hAnsi="Arial" w:cs="Arial"/>
                          <w:sz w:val="21"/>
                          <w:szCs w:val="21"/>
                        </w:rPr>
                        <w:t>字</w:t>
                      </w:r>
                      <w:r>
                        <w:rPr>
                          <w:rFonts w:ascii="Arial" w:eastAsia="方正黑体简体" w:hAnsi="Arial" w:cs="Arial"/>
                          <w:sz w:val="21"/>
                          <w:szCs w:val="21"/>
                        </w:rPr>
                        <w:t>2026-1-0005-F01ZLGJ6</w:t>
                      </w:r>
                      <w:r>
                        <w:rPr>
                          <w:rFonts w:ascii="Arial" w:eastAsia="方正黑体简体" w:hAnsi="Arial" w:cs="Arial"/>
                          <w:sz w:val="21"/>
                          <w:szCs w:val="21"/>
                        </w:rPr>
                        <w:t>号</w:t>
                      </w:r>
                    </w:p>
                    <w:p w14:paraId="7044B9B5" w14:textId="77777777" w:rsidR="00000000" w:rsidRDefault="00000000">
                      <w:pPr>
                        <w:textAlignment w:val="bottom"/>
                        <w:rPr>
                          <w:rFonts w:ascii="Arial" w:hAnsi="Arial"/>
                        </w:rPr>
                      </w:pPr>
                    </w:p>
                    <w:p w14:paraId="17954706" w14:textId="77777777" w:rsidR="00000000" w:rsidRDefault="00000000">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估价项目名称：</w:t>
                      </w:r>
                    </w:p>
                    <w:p w14:paraId="54D264CE" w14:textId="77777777" w:rsidR="00000000" w:rsidRDefault="00000000">
                      <w:pPr>
                        <w:pStyle w:val="afa"/>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sz w:val="21"/>
                          <w:szCs w:val="21"/>
                        </w:rPr>
                        <w:t>北京市房山区阜盛西街</w:t>
                      </w:r>
                      <w:r>
                        <w:rPr>
                          <w:rFonts w:ascii="Arial" w:eastAsia="方正黑体简体" w:hAnsi="Arial" w:cs="Arial"/>
                          <w:sz w:val="21"/>
                          <w:szCs w:val="21"/>
                        </w:rPr>
                        <w:t>11</w:t>
                      </w:r>
                      <w:r>
                        <w:rPr>
                          <w:rFonts w:ascii="Arial" w:eastAsia="方正黑体简体" w:hAnsi="Arial" w:cs="Arial"/>
                          <w:sz w:val="21"/>
                          <w:szCs w:val="21"/>
                        </w:rPr>
                        <w:t>号院</w:t>
                      </w:r>
                      <w:r>
                        <w:rPr>
                          <w:rFonts w:ascii="Arial" w:eastAsia="方正黑体简体" w:hAnsi="Arial" w:cs="Arial"/>
                          <w:sz w:val="21"/>
                          <w:szCs w:val="21"/>
                        </w:rPr>
                        <w:t>3</w:t>
                      </w:r>
                      <w:r>
                        <w:rPr>
                          <w:rFonts w:ascii="Arial" w:eastAsia="方正黑体简体" w:hAnsi="Arial" w:cs="Arial"/>
                          <w:sz w:val="21"/>
                          <w:szCs w:val="21"/>
                        </w:rPr>
                        <w:t>号楼地上</w:t>
                      </w:r>
                      <w:r>
                        <w:rPr>
                          <w:rFonts w:ascii="Arial" w:eastAsia="方正黑体简体" w:hAnsi="Arial" w:cs="Arial"/>
                          <w:sz w:val="21"/>
                          <w:szCs w:val="21"/>
                        </w:rPr>
                        <w:t>1</w:t>
                      </w:r>
                      <w:r>
                        <w:rPr>
                          <w:rFonts w:ascii="Arial" w:eastAsia="方正黑体简体" w:hAnsi="Arial" w:cs="Arial"/>
                          <w:sz w:val="21"/>
                          <w:szCs w:val="21"/>
                        </w:rPr>
                        <w:t>层</w:t>
                      </w:r>
                      <w:r>
                        <w:rPr>
                          <w:rFonts w:ascii="Arial" w:eastAsia="方正黑体简体" w:hAnsi="Arial" w:cs="Arial"/>
                          <w:sz w:val="21"/>
                          <w:szCs w:val="21"/>
                        </w:rPr>
                        <w:t>101</w:t>
                      </w:r>
                      <w:r>
                        <w:rPr>
                          <w:rFonts w:ascii="Arial" w:eastAsia="方正黑体简体" w:hAnsi="Arial" w:cs="Arial"/>
                          <w:sz w:val="21"/>
                          <w:szCs w:val="21"/>
                        </w:rPr>
                        <w:t>号等</w:t>
                      </w:r>
                      <w:r>
                        <w:rPr>
                          <w:rFonts w:ascii="Arial" w:eastAsia="方正黑体简体" w:hAnsi="Arial" w:cs="Arial"/>
                          <w:sz w:val="21"/>
                          <w:szCs w:val="21"/>
                        </w:rPr>
                        <w:t>29</w:t>
                      </w:r>
                      <w:r>
                        <w:rPr>
                          <w:rFonts w:ascii="Arial" w:eastAsia="方正黑体简体" w:hAnsi="Arial" w:cs="Arial"/>
                          <w:sz w:val="21"/>
                          <w:szCs w:val="21"/>
                        </w:rPr>
                        <w:t>套商业用房房地产市场租金水平评估</w:t>
                      </w:r>
                    </w:p>
                    <w:p w14:paraId="26721272" w14:textId="77777777" w:rsidR="00000000" w:rsidRDefault="00000000">
                      <w:pPr>
                        <w:textAlignment w:val="bottom"/>
                        <w:rPr>
                          <w:rFonts w:ascii="Arial" w:eastAsia="方正黑体简体" w:hAnsi="Arial"/>
                        </w:rPr>
                      </w:pPr>
                    </w:p>
                    <w:p w14:paraId="013A7091" w14:textId="77777777" w:rsidR="00000000" w:rsidRDefault="00000000">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估价委托人：</w:t>
                      </w:r>
                    </w:p>
                    <w:p w14:paraId="39FD134A" w14:textId="77777777" w:rsidR="00000000" w:rsidRDefault="00000000">
                      <w:pPr>
                        <w:pStyle w:val="afa"/>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sz w:val="21"/>
                          <w:szCs w:val="21"/>
                        </w:rPr>
                        <w:t>北京首开龙湖盈泰置业有限公司</w:t>
                      </w:r>
                    </w:p>
                    <w:p w14:paraId="3CD9C298" w14:textId="77777777" w:rsidR="00000000" w:rsidRDefault="00000000">
                      <w:pPr>
                        <w:spacing w:line="320" w:lineRule="exact"/>
                        <w:textAlignment w:val="bottom"/>
                        <w:rPr>
                          <w:rFonts w:ascii="Arial" w:eastAsia="方正黑体简体" w:hAnsi="Arial"/>
                          <w:b/>
                          <w:sz w:val="21"/>
                          <w:szCs w:val="21"/>
                        </w:rPr>
                      </w:pPr>
                    </w:p>
                    <w:p w14:paraId="090B15D1" w14:textId="77777777" w:rsidR="00000000" w:rsidRDefault="00000000">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房地产估价机构：</w:t>
                      </w:r>
                    </w:p>
                    <w:p w14:paraId="0950A92D" w14:textId="77777777" w:rsidR="00000000" w:rsidRDefault="00000000">
                      <w:pPr>
                        <w:pStyle w:val="afa"/>
                        <w:spacing w:line="320" w:lineRule="exact"/>
                        <w:ind w:left="360" w:firstLineChars="0" w:firstLine="0"/>
                        <w:textAlignment w:val="bottom"/>
                        <w:rPr>
                          <w:rFonts w:ascii="Arial" w:eastAsia="方正黑体简体" w:hAnsi="Arial"/>
                          <w:sz w:val="21"/>
                          <w:szCs w:val="21"/>
                        </w:rPr>
                      </w:pPr>
                      <w:proofErr w:type="gramStart"/>
                      <w:r>
                        <w:rPr>
                          <w:rFonts w:ascii="Arial" w:eastAsia="方正黑体简体" w:hAnsi="Arial"/>
                          <w:sz w:val="21"/>
                          <w:szCs w:val="21"/>
                        </w:rPr>
                        <w:t>北京康正宏</w:t>
                      </w:r>
                      <w:proofErr w:type="gramEnd"/>
                      <w:r>
                        <w:rPr>
                          <w:rFonts w:ascii="Arial" w:eastAsia="方正黑体简体" w:hAnsi="Arial"/>
                          <w:sz w:val="21"/>
                          <w:szCs w:val="21"/>
                        </w:rPr>
                        <w:t>基房地产评估有限公司</w:t>
                      </w:r>
                    </w:p>
                    <w:p w14:paraId="7676EA4D" w14:textId="77777777" w:rsidR="00000000" w:rsidRDefault="00000000">
                      <w:pPr>
                        <w:spacing w:line="320" w:lineRule="exact"/>
                        <w:textAlignment w:val="bottom"/>
                        <w:rPr>
                          <w:rFonts w:ascii="Arial" w:eastAsia="方正黑体简体" w:hAnsi="Arial"/>
                          <w:b/>
                          <w:sz w:val="21"/>
                          <w:szCs w:val="21"/>
                        </w:rPr>
                      </w:pPr>
                    </w:p>
                    <w:p w14:paraId="4B078CB3" w14:textId="77777777" w:rsidR="00000000" w:rsidRDefault="00000000">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注册房地产估价师：</w:t>
                      </w:r>
                    </w:p>
                    <w:p w14:paraId="7BAD8B43" w14:textId="77777777" w:rsidR="00000000" w:rsidRDefault="00000000">
                      <w:pPr>
                        <w:pStyle w:val="afa"/>
                        <w:spacing w:line="320" w:lineRule="exact"/>
                        <w:ind w:left="360" w:firstLineChars="0" w:firstLine="0"/>
                        <w:textAlignment w:val="bottom"/>
                        <w:rPr>
                          <w:rFonts w:ascii="Arial" w:eastAsia="方正黑体简体" w:hAnsi="Arial"/>
                          <w:color w:val="E36C0A"/>
                          <w:sz w:val="21"/>
                          <w:szCs w:val="21"/>
                        </w:rPr>
                      </w:pPr>
                      <w:r>
                        <w:rPr>
                          <w:rFonts w:ascii="Arial" w:eastAsia="方正黑体简体" w:hAnsi="Arial"/>
                          <w:sz w:val="21"/>
                          <w:szCs w:val="21"/>
                        </w:rPr>
                        <w:t>常</w:t>
                      </w:r>
                      <w:r>
                        <w:rPr>
                          <w:rFonts w:ascii="Arial" w:eastAsia="方正黑体简体" w:hAnsi="Arial"/>
                          <w:sz w:val="21"/>
                          <w:szCs w:val="21"/>
                        </w:rPr>
                        <w:t xml:space="preserve">  </w:t>
                      </w:r>
                      <w:r>
                        <w:rPr>
                          <w:rFonts w:ascii="Arial" w:eastAsia="方正黑体简体" w:hAnsi="Arial"/>
                          <w:sz w:val="21"/>
                          <w:szCs w:val="21"/>
                        </w:rPr>
                        <w:t>畅（注册号：</w:t>
                      </w:r>
                      <w:r>
                        <w:rPr>
                          <w:rFonts w:ascii="Arial" w:eastAsia="方正黑体简体" w:hAnsi="Arial"/>
                          <w:sz w:val="21"/>
                          <w:szCs w:val="21"/>
                        </w:rPr>
                        <w:t>1120250061</w:t>
                      </w:r>
                      <w:r>
                        <w:rPr>
                          <w:rFonts w:ascii="Arial" w:eastAsia="方正黑体简体" w:hAnsi="Arial"/>
                          <w:sz w:val="21"/>
                          <w:szCs w:val="21"/>
                        </w:rPr>
                        <w:t>）、许皓源（注册号：</w:t>
                      </w:r>
                      <w:r>
                        <w:rPr>
                          <w:rFonts w:ascii="Arial" w:eastAsia="方正黑体简体" w:hAnsi="Arial"/>
                          <w:sz w:val="21"/>
                          <w:szCs w:val="21"/>
                        </w:rPr>
                        <w:t>1119980019</w:t>
                      </w:r>
                      <w:r>
                        <w:rPr>
                          <w:rFonts w:ascii="Arial" w:eastAsia="方正黑体简体" w:hAnsi="Arial"/>
                          <w:sz w:val="21"/>
                          <w:szCs w:val="21"/>
                        </w:rPr>
                        <w:t>）</w:t>
                      </w:r>
                    </w:p>
                    <w:p w14:paraId="4BC47A2E" w14:textId="77777777" w:rsidR="00000000" w:rsidRDefault="00000000">
                      <w:pPr>
                        <w:spacing w:line="320" w:lineRule="exact"/>
                        <w:textAlignment w:val="bottom"/>
                        <w:rPr>
                          <w:rFonts w:ascii="Arial" w:eastAsia="方正黑体简体" w:hAnsi="Arial"/>
                          <w:b/>
                          <w:sz w:val="21"/>
                          <w:szCs w:val="21"/>
                        </w:rPr>
                      </w:pPr>
                    </w:p>
                    <w:p w14:paraId="4B9025D4" w14:textId="77777777" w:rsidR="00000000" w:rsidRDefault="00000000">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估价报告出具日期：</w:t>
                      </w:r>
                    </w:p>
                    <w:p w14:paraId="74081E2A" w14:textId="77777777" w:rsidR="00000000" w:rsidRDefault="00000000">
                      <w:pPr>
                        <w:pStyle w:val="afa"/>
                        <w:spacing w:line="320" w:lineRule="exact"/>
                        <w:ind w:left="360" w:firstLineChars="0" w:firstLine="0"/>
                        <w:textAlignment w:val="bottom"/>
                      </w:pPr>
                      <w:r>
                        <w:rPr>
                          <w:rFonts w:ascii="Arial" w:eastAsia="方正黑体简体" w:hAnsi="Arial"/>
                          <w:sz w:val="21"/>
                          <w:szCs w:val="21"/>
                        </w:rPr>
                        <w:t>2026</w:t>
                      </w:r>
                      <w:r>
                        <w:rPr>
                          <w:rFonts w:ascii="Arial" w:eastAsia="方正黑体简体" w:hAnsi="Arial"/>
                          <w:sz w:val="21"/>
                          <w:szCs w:val="21"/>
                        </w:rPr>
                        <w:t>年</w:t>
                      </w:r>
                      <w:r>
                        <w:rPr>
                          <w:rFonts w:ascii="Arial" w:eastAsia="方正黑体简体" w:hAnsi="Arial"/>
                          <w:sz w:val="21"/>
                          <w:szCs w:val="21"/>
                        </w:rPr>
                        <w:t>1</w:t>
                      </w:r>
                      <w:r>
                        <w:rPr>
                          <w:rFonts w:ascii="Arial" w:eastAsia="方正黑体简体" w:hAnsi="Arial"/>
                          <w:sz w:val="21"/>
                          <w:szCs w:val="21"/>
                        </w:rPr>
                        <w:t>月</w:t>
                      </w:r>
                      <w:r>
                        <w:rPr>
                          <w:rFonts w:ascii="Arial" w:eastAsia="方正黑体简体" w:hAnsi="Arial" w:hint="eastAsia"/>
                          <w:sz w:val="21"/>
                          <w:szCs w:val="21"/>
                        </w:rPr>
                        <w:t>30</w:t>
                      </w:r>
                      <w:r>
                        <w:rPr>
                          <w:rFonts w:ascii="Arial" w:eastAsia="方正黑体简体" w:hAnsi="Arial"/>
                          <w:sz w:val="21"/>
                          <w:szCs w:val="21"/>
                        </w:rPr>
                        <w:t>日</w:t>
                      </w:r>
                    </w:p>
                  </w:txbxContent>
                </v:textbox>
                <w10:wrap anchorx="margin" anchory="margin"/>
              </v:shape>
            </w:pict>
          </mc:Fallback>
        </mc:AlternateContent>
      </w:r>
      <w:r>
        <w:rPr>
          <w:noProof/>
          <w:lang w:val="en-US" w:eastAsia="zh-CN"/>
        </w:rPr>
        <mc:AlternateContent>
          <mc:Choice Requires="wps">
            <w:drawing>
              <wp:anchor distT="0" distB="0" distL="114300" distR="114300" simplePos="0" relativeHeight="251653632" behindDoc="0" locked="0" layoutInCell="0" allowOverlap="0" wp14:anchorId="25974DA7" wp14:editId="7C516EA7">
                <wp:simplePos x="0" y="0"/>
                <wp:positionH relativeFrom="margin">
                  <wp:align>center</wp:align>
                </wp:positionH>
                <wp:positionV relativeFrom="margin">
                  <wp:posOffset>1800225</wp:posOffset>
                </wp:positionV>
                <wp:extent cx="2503805" cy="514350"/>
                <wp:effectExtent l="4445" t="0" r="0" b="1270"/>
                <wp:wrapNone/>
                <wp:docPr id="14495557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45CBB004" w14:textId="77777777" w:rsidR="00000000" w:rsidRDefault="00000000">
                            <w:pPr>
                              <w:rPr>
                                <w:rFonts w:hint="eastAsia"/>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74DA7" id="_x0000_s1027" type="#_x0000_t202" style="position:absolute;margin-left:0;margin-top:141.75pt;width:197.15pt;height:40.5pt;z-index:251653632;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" o:allowincell="f" o:allowoverlap="f" filled="f" stroked="f">
                <v:textbox>
                  <w:txbxContent>
                    <w:p w14:paraId="45CBB004" w14:textId="77777777" w:rsidR="00000000" w:rsidRDefault="00000000">
                      <w:pPr>
                        <w:rPr>
                          <w:rFonts w:hint="eastAsia"/>
                          <w:b/>
                          <w:sz w:val="52"/>
                          <w:szCs w:val="52"/>
                        </w:rPr>
                      </w:pPr>
                      <w:r>
                        <w:rPr>
                          <w:rFonts w:hint="eastAsia"/>
                          <w:b/>
                          <w:sz w:val="52"/>
                          <w:szCs w:val="52"/>
                        </w:rPr>
                        <w:t>房地产估价报告</w:t>
                      </w:r>
                    </w:p>
                  </w:txbxContent>
                </v:textbox>
                <w10:wrap anchorx="margin" anchory="margin"/>
              </v:shape>
            </w:pict>
          </mc:Fallback>
        </mc:AlternateContent>
      </w:r>
      <w:r>
        <w:rPr>
          <w:noProof/>
          <w:lang w:val="en-US" w:eastAsia="zh-CN"/>
        </w:rPr>
        <mc:AlternateContent>
          <mc:Choice Requires="wps">
            <w:drawing>
              <wp:anchor distT="0" distB="0" distL="114300" distR="114300" simplePos="0" relativeHeight="251652608" behindDoc="0" locked="0" layoutInCell="1" allowOverlap="1" wp14:anchorId="388ABCBC" wp14:editId="6827CA84">
                <wp:simplePos x="0" y="0"/>
                <wp:positionH relativeFrom="margin">
                  <wp:align>center</wp:align>
                </wp:positionH>
                <wp:positionV relativeFrom="margin">
                  <wp:align>bottom</wp:align>
                </wp:positionV>
                <wp:extent cx="5904230" cy="203200"/>
                <wp:effectExtent l="0" t="0" r="0" b="0"/>
                <wp:wrapNone/>
                <wp:docPr id="2028807110"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456BA" w14:textId="77777777" w:rsidR="00000000" w:rsidRDefault="00000000">
                            <w:pPr>
                              <w:pStyle w:val="afa"/>
                              <w:spacing w:line="320" w:lineRule="exact"/>
                              <w:ind w:left="360" w:firstLineChars="0" w:firstLine="0"/>
                              <w:textAlignment w:val="bottom"/>
                              <w:rPr>
                                <w:rFonts w:hint="eastAsia"/>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88ABCBC" id="文本框 3" o:spid="_x0000_s1028" type="#_x0000_t202" style="position:absolute;margin-left:0;margin-top:0;width:464.9pt;height:16pt;z-index:25165260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" filled="f" stroked="f">
                <v:textbox style="mso-fit-shape-to-text:t" inset="0,0,0,0">
                  <w:txbxContent>
                    <w:p w14:paraId="6A7456BA" w14:textId="77777777" w:rsidR="00000000" w:rsidRDefault="00000000">
                      <w:pPr>
                        <w:pStyle w:val="afa"/>
                        <w:spacing w:line="320" w:lineRule="exact"/>
                        <w:ind w:left="360" w:firstLineChars="0" w:firstLine="0"/>
                        <w:textAlignment w:val="bottom"/>
                        <w:rPr>
                          <w:rFonts w:hint="eastAsia"/>
                        </w:rPr>
                      </w:pPr>
                    </w:p>
                  </w:txbxContent>
                </v:textbox>
                <w10:wrap anchorx="margin" anchory="margin"/>
              </v:shape>
            </w:pict>
          </mc:Fallback>
        </mc:AlternateContent>
      </w:r>
      <w:r>
        <w:rPr>
          <w:rFonts w:ascii="宋体" w:hAnsi="宋体" w:cs="宋体"/>
          <w:noProof/>
          <w:szCs w:val="24"/>
        </w:rPr>
        <mc:AlternateContent>
          <mc:Choice Requires="wps">
            <w:drawing>
              <wp:anchor distT="0" distB="0" distL="114300" distR="114300" simplePos="0" relativeHeight="251651584" behindDoc="0" locked="0" layoutInCell="0" allowOverlap="0" wp14:anchorId="3D77538F" wp14:editId="18849564">
                <wp:simplePos x="0" y="0"/>
                <wp:positionH relativeFrom="margin">
                  <wp:align>center</wp:align>
                </wp:positionH>
                <wp:positionV relativeFrom="margin">
                  <wp:posOffset>2160270</wp:posOffset>
                </wp:positionV>
                <wp:extent cx="297815" cy="514350"/>
                <wp:effectExtent l="2540" t="0" r="4445" b="3175"/>
                <wp:wrapNone/>
                <wp:docPr id="162316685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2CAE09B5" w14:textId="77777777" w:rsidR="00000000" w:rsidRDefault="00000000">
                            <w:pPr>
                              <w:rPr>
                                <w:b/>
                                <w:sz w:val="52"/>
                                <w:szCs w:val="52"/>
                              </w:rPr>
                            </w:pP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7538F" id="_x0000_s1029" type="#_x0000_t202" style="position:absolute;margin-left:0;margin-top:170.1pt;width:23.45pt;height:40.5pt;z-index:251651584;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" o:allowincell="f" o:allowoverlap="f" filled="f" stroked="f">
                <v:textbox>
                  <w:txbxContent>
                    <w:p w14:paraId="2CAE09B5" w14:textId="77777777" w:rsidR="00000000" w:rsidRDefault="00000000">
                      <w:pPr>
                        <w:rPr>
                          <w:b/>
                          <w:sz w:val="52"/>
                          <w:szCs w:val="52"/>
                        </w:rPr>
                      </w:pPr>
                    </w:p>
                  </w:txbxContent>
                </v:textbox>
                <w10:wrap anchorx="margin" anchory="margin"/>
              </v:shape>
            </w:pict>
          </mc:Fallback>
        </mc:AlternateContent>
      </w:r>
    </w:p>
    <w:p w14:paraId="37F1F16B" w14:textId="77777777" w:rsidR="00000000" w:rsidRDefault="00000000">
      <w:pPr>
        <w:pStyle w:val="1"/>
        <w:spacing w:line="480" w:lineRule="auto"/>
        <w:jc w:val="center"/>
        <w:rPr>
          <w:rFonts w:eastAsia="方正黑体简体"/>
          <w:b w:val="0"/>
          <w:color w:val="000000"/>
          <w:kern w:val="2"/>
          <w:sz w:val="32"/>
          <w:szCs w:val="32"/>
        </w:rPr>
      </w:pPr>
      <w:bookmarkStart w:id="0" w:name="_Toc379795040"/>
      <w:bookmarkStart w:id="1" w:name="_Toc477252437"/>
      <w:r>
        <w:rPr>
          <w:rFonts w:eastAsia="方正黑体简体"/>
          <w:b w:val="0"/>
          <w:color w:val="000000"/>
          <w:kern w:val="2"/>
          <w:sz w:val="32"/>
          <w:szCs w:val="32"/>
        </w:rPr>
        <w:lastRenderedPageBreak/>
        <w:t>致估价委托人函</w:t>
      </w:r>
      <w:bookmarkEnd w:id="0"/>
      <w:bookmarkEnd w:id="1"/>
    </w:p>
    <w:p w14:paraId="57C75CE7" w14:textId="77777777" w:rsidR="00000000" w:rsidRDefault="00000000">
      <w:pPr>
        <w:spacing w:line="480" w:lineRule="auto"/>
        <w:rPr>
          <w:rFonts w:ascii="Arial" w:hAnsi="Arial" w:cs="Arial" w:hint="eastAsia"/>
          <w:b/>
          <w:kern w:val="2"/>
          <w:sz w:val="21"/>
          <w:szCs w:val="21"/>
        </w:rPr>
      </w:pPr>
      <w:r>
        <w:rPr>
          <w:rFonts w:ascii="Arial" w:hAnsi="Arial" w:cs="Arial" w:hint="eastAsia"/>
          <w:b/>
          <w:kern w:val="2"/>
          <w:sz w:val="21"/>
          <w:szCs w:val="21"/>
        </w:rPr>
        <w:t>北京首开龙湖盈泰置业有限公司：</w:t>
      </w:r>
    </w:p>
    <w:p w14:paraId="1643EB41" w14:textId="77777777" w:rsidR="00000000" w:rsidRDefault="00000000">
      <w:pPr>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kern w:val="2"/>
          <w:sz w:val="21"/>
          <w:szCs w:val="21"/>
        </w:rPr>
        <w:t>受贵公司委托，我公司对</w:t>
      </w:r>
      <w:r>
        <w:rPr>
          <w:rFonts w:ascii="Arial" w:hAnsi="Arial" w:cs="Arial" w:hint="eastAsia"/>
          <w:kern w:val="2"/>
          <w:sz w:val="21"/>
          <w:szCs w:val="21"/>
        </w:rPr>
        <w:t>北京市房山区阜盛西街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号楼地上</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29</w:t>
      </w:r>
      <w:r>
        <w:rPr>
          <w:rFonts w:ascii="Arial" w:hAnsi="Arial" w:cs="Arial" w:hint="eastAsia"/>
          <w:kern w:val="2"/>
          <w:sz w:val="21"/>
          <w:szCs w:val="21"/>
        </w:rPr>
        <w:t>套商业用房房地产市场租金水平进行了评估。</w:t>
      </w:r>
    </w:p>
    <w:p w14:paraId="46A4CE37" w14:textId="77777777" w:rsidR="00000000" w:rsidRDefault="00000000">
      <w:pPr>
        <w:overflowPunct w:val="0"/>
        <w:spacing w:line="480" w:lineRule="auto"/>
        <w:ind w:firstLineChars="200" w:firstLine="422"/>
        <w:jc w:val="both"/>
        <w:textAlignment w:val="auto"/>
        <w:rPr>
          <w:rFonts w:ascii="Arial" w:hAnsi="Arial" w:hint="eastAsia"/>
          <w:b/>
          <w:sz w:val="21"/>
          <w:szCs w:val="21"/>
        </w:rPr>
      </w:pPr>
      <w:r>
        <w:rPr>
          <w:rFonts w:ascii="Arial" w:hAnsi="Arial" w:cs="Arial"/>
          <w:b/>
          <w:bCs/>
          <w:sz w:val="21"/>
          <w:szCs w:val="21"/>
        </w:rPr>
        <w:t>估价对象：</w:t>
      </w:r>
      <w:r>
        <w:rPr>
          <w:rFonts w:ascii="Arial" w:hAnsi="Arial" w:hint="eastAsia"/>
          <w:bCs/>
          <w:sz w:val="21"/>
        </w:rPr>
        <w:t>根据估价委托人提供的《不动产权证书》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w:t>
      </w:r>
      <w:commentRangeStart w:id="2"/>
      <w:r>
        <w:rPr>
          <w:rFonts w:ascii="Arial" w:hAnsi="Arial" w:hint="eastAsia"/>
          <w:bCs/>
          <w:sz w:val="21"/>
        </w:rPr>
        <w:t>《房屋面积测算技术报告书（商品房类使用）》</w:t>
      </w:r>
      <w:commentRangeEnd w:id="2"/>
      <w:r w:rsidR="00D52899">
        <w:rPr>
          <w:rStyle w:val="af9"/>
        </w:rPr>
        <w:commentReference w:id="2"/>
      </w:r>
      <w:r>
        <w:rPr>
          <w:rFonts w:ascii="Arial" w:hAnsi="Arial" w:hint="eastAsia"/>
          <w:bCs/>
          <w:sz w:val="21"/>
        </w:rPr>
        <w:t>及《估价委托书》，估价对象为北京市房山区阜盛西街</w:t>
      </w:r>
      <w:r>
        <w:rPr>
          <w:rFonts w:ascii="Arial" w:hAnsi="Arial" w:hint="eastAsia"/>
          <w:bCs/>
          <w:sz w:val="21"/>
        </w:rPr>
        <w:t>11</w:t>
      </w:r>
      <w:r>
        <w:rPr>
          <w:rFonts w:ascii="Arial" w:hAnsi="Arial" w:hint="eastAsia"/>
          <w:bCs/>
          <w:sz w:val="21"/>
        </w:rPr>
        <w:t>号院</w:t>
      </w:r>
      <w:r>
        <w:rPr>
          <w:rFonts w:ascii="Arial" w:hAnsi="Arial" w:hint="eastAsia"/>
          <w:bCs/>
          <w:sz w:val="21"/>
        </w:rPr>
        <w:t>3</w:t>
      </w:r>
      <w:r>
        <w:rPr>
          <w:rFonts w:ascii="Arial" w:hAnsi="Arial" w:hint="eastAsia"/>
          <w:bCs/>
          <w:sz w:val="21"/>
        </w:rPr>
        <w:t>号楼地上</w:t>
      </w:r>
      <w:r>
        <w:rPr>
          <w:rFonts w:ascii="Arial" w:hAnsi="Arial" w:hint="eastAsia"/>
          <w:bCs/>
          <w:sz w:val="21"/>
        </w:rPr>
        <w:t>1</w:t>
      </w:r>
      <w:r>
        <w:rPr>
          <w:rFonts w:ascii="Arial" w:hAnsi="Arial" w:hint="eastAsia"/>
          <w:bCs/>
          <w:sz w:val="21"/>
        </w:rPr>
        <w:t>层</w:t>
      </w:r>
      <w:r>
        <w:rPr>
          <w:rFonts w:ascii="Arial" w:hAnsi="Arial" w:hint="eastAsia"/>
          <w:bCs/>
          <w:sz w:val="21"/>
        </w:rPr>
        <w:t>101</w:t>
      </w:r>
      <w:r>
        <w:rPr>
          <w:rFonts w:ascii="Arial" w:hAnsi="Arial" w:hint="eastAsia"/>
          <w:bCs/>
          <w:sz w:val="21"/>
        </w:rPr>
        <w:t>号等</w:t>
      </w:r>
      <w:r>
        <w:rPr>
          <w:rFonts w:ascii="Arial" w:hAnsi="Arial" w:hint="eastAsia"/>
          <w:bCs/>
          <w:sz w:val="21"/>
        </w:rPr>
        <w:t>29</w:t>
      </w:r>
      <w:r>
        <w:rPr>
          <w:rFonts w:ascii="Arial" w:hAnsi="Arial" w:hint="eastAsia"/>
          <w:bCs/>
          <w:sz w:val="21"/>
        </w:rPr>
        <w:t>套商业用房房地产，</w:t>
      </w:r>
      <w:r>
        <w:rPr>
          <w:rFonts w:ascii="Arial" w:hAnsi="Arial" w:cs="Arial" w:hint="eastAsia"/>
          <w:sz w:val="21"/>
          <w:szCs w:val="21"/>
        </w:rPr>
        <w:t>不动产权利人为</w:t>
      </w:r>
      <w:r>
        <w:rPr>
          <w:rFonts w:ascii="Arial" w:hAnsi="Arial" w:hint="eastAsia"/>
          <w:bCs/>
          <w:sz w:val="21"/>
        </w:rPr>
        <w:t>北京首开龙湖盈泰置业有限公司</w:t>
      </w:r>
      <w:r>
        <w:rPr>
          <w:rFonts w:ascii="Arial" w:hAnsi="Arial" w:cs="Arial" w:hint="eastAsia"/>
          <w:bCs/>
          <w:sz w:val="21"/>
          <w:szCs w:val="21"/>
        </w:rPr>
        <w:t>，</w:t>
      </w:r>
      <w:r>
        <w:rPr>
          <w:rFonts w:ascii="Arial" w:hAnsi="Arial" w:cs="Arial" w:hint="eastAsia"/>
          <w:sz w:val="21"/>
          <w:szCs w:val="21"/>
        </w:rPr>
        <w:t>权利性质为出让</w:t>
      </w:r>
      <w:r>
        <w:rPr>
          <w:rFonts w:ascii="Arial" w:hAnsi="Arial" w:cs="Arial" w:hint="eastAsia"/>
          <w:sz w:val="21"/>
          <w:szCs w:val="21"/>
        </w:rPr>
        <w:t>/</w:t>
      </w:r>
      <w:r>
        <w:rPr>
          <w:rFonts w:ascii="Arial" w:hAnsi="Arial" w:cs="Arial" w:hint="eastAsia"/>
          <w:sz w:val="21"/>
          <w:szCs w:val="21"/>
        </w:rPr>
        <w:t>商品房，</w:t>
      </w:r>
      <w:r>
        <w:rPr>
          <w:rFonts w:ascii="Arial" w:hAnsi="Arial" w:hint="eastAsia"/>
          <w:bCs/>
          <w:sz w:val="21"/>
        </w:rPr>
        <w:t>总建筑面积为</w:t>
      </w:r>
      <w:r>
        <w:rPr>
          <w:rFonts w:ascii="Arial" w:hAnsi="Arial" w:hint="eastAsia"/>
          <w:bCs/>
          <w:sz w:val="21"/>
        </w:rPr>
        <w:t>24871.67</w:t>
      </w:r>
      <w:r>
        <w:rPr>
          <w:rFonts w:ascii="Arial" w:hAnsi="Arial" w:hint="eastAsia"/>
          <w:bCs/>
          <w:sz w:val="21"/>
        </w:rPr>
        <w:t>平方米，套内建筑面积为</w:t>
      </w:r>
      <w:r>
        <w:rPr>
          <w:rFonts w:ascii="Arial" w:hAnsi="Arial" w:hint="eastAsia"/>
          <w:bCs/>
          <w:sz w:val="21"/>
        </w:rPr>
        <w:t>17190.47</w:t>
      </w:r>
      <w:r>
        <w:rPr>
          <w:rFonts w:ascii="Arial" w:hAnsi="Arial" w:hint="eastAsia"/>
          <w:bCs/>
          <w:sz w:val="21"/>
        </w:rPr>
        <w:t>平方米</w:t>
      </w:r>
      <w:r>
        <w:rPr>
          <w:rFonts w:ascii="Arial" w:hAnsi="Arial" w:cs="Arial"/>
          <w:sz w:val="21"/>
          <w:szCs w:val="21"/>
        </w:rPr>
        <w:t>，</w:t>
      </w:r>
      <w:r>
        <w:rPr>
          <w:rFonts w:ascii="Arial" w:hAnsi="Arial" w:cs="Arial" w:hint="eastAsia"/>
          <w:sz w:val="21"/>
          <w:szCs w:val="21"/>
        </w:rPr>
        <w:t>规划用途为商业。</w:t>
      </w:r>
      <w:r>
        <w:rPr>
          <w:rFonts w:ascii="Arial" w:hAnsi="Arial" w:hint="eastAsia"/>
          <w:bCs/>
          <w:sz w:val="21"/>
        </w:rPr>
        <w:t>详见下表：</w:t>
      </w:r>
    </w:p>
    <w:p w14:paraId="3B87F743" w14:textId="77777777" w:rsidR="00000000" w:rsidRDefault="00000000">
      <w:pPr>
        <w:spacing w:afterLines="50" w:after="120" w:line="240" w:lineRule="auto"/>
        <w:ind w:firstLineChars="196" w:firstLine="413"/>
        <w:jc w:val="center"/>
        <w:rPr>
          <w:rFonts w:ascii="Arial" w:hAnsi="Arial" w:hint="eastAsia"/>
          <w:b/>
          <w:sz w:val="21"/>
          <w:szCs w:val="21"/>
        </w:rPr>
      </w:pPr>
      <w:r>
        <w:rPr>
          <w:rFonts w:ascii="Arial" w:hAnsi="Arial" w:hint="eastAsia"/>
          <w:b/>
          <w:sz w:val="21"/>
          <w:szCs w:val="21"/>
        </w:rPr>
        <w:t>估价对象面积明细表</w:t>
      </w:r>
    </w:p>
    <w:tbl>
      <w:tblPr>
        <w:tblW w:w="4761" w:type="pct"/>
        <w:jc w:val="center"/>
        <w:tblInd w:w="0" w:type="dxa"/>
        <w:tblLayout w:type="fixed"/>
        <w:tblLook w:val="0000" w:firstRow="0" w:lastRow="0" w:firstColumn="0" w:lastColumn="0" w:noHBand="0" w:noVBand="0"/>
      </w:tblPr>
      <w:tblGrid>
        <w:gridCol w:w="512"/>
        <w:gridCol w:w="947"/>
        <w:gridCol w:w="567"/>
        <w:gridCol w:w="585"/>
        <w:gridCol w:w="1106"/>
        <w:gridCol w:w="1198"/>
        <w:gridCol w:w="1661"/>
        <w:gridCol w:w="532"/>
        <w:gridCol w:w="715"/>
        <w:gridCol w:w="1022"/>
      </w:tblGrid>
      <w:tr w:rsidR="00000000" w14:paraId="651BE622" w14:textId="77777777">
        <w:trPr>
          <w:trHeight w:val="20"/>
          <w:tblHeader/>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2592AA"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地块</w:t>
            </w:r>
          </w:p>
        </w:tc>
        <w:tc>
          <w:tcPr>
            <w:tcW w:w="535" w:type="pct"/>
            <w:tcBorders>
              <w:top w:val="single" w:sz="4" w:space="0" w:color="auto"/>
              <w:left w:val="nil"/>
              <w:bottom w:val="single" w:sz="4" w:space="0" w:color="auto"/>
              <w:right w:val="single" w:sz="4" w:space="0" w:color="auto"/>
            </w:tcBorders>
            <w:shd w:val="clear" w:color="000000" w:fill="FFFFFF"/>
            <w:noWrap/>
            <w:vAlign w:val="center"/>
          </w:tcPr>
          <w:p w14:paraId="3E786EFB"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登记/测绘坐落</w:t>
            </w:r>
          </w:p>
        </w:tc>
        <w:tc>
          <w:tcPr>
            <w:tcW w:w="320" w:type="pct"/>
            <w:tcBorders>
              <w:top w:val="single" w:sz="4" w:space="0" w:color="auto"/>
              <w:left w:val="nil"/>
              <w:bottom w:val="single" w:sz="4" w:space="0" w:color="auto"/>
              <w:right w:val="single" w:sz="4" w:space="0" w:color="auto"/>
            </w:tcBorders>
            <w:shd w:val="clear" w:color="000000" w:fill="FFFFFF"/>
            <w:noWrap/>
            <w:vAlign w:val="center"/>
          </w:tcPr>
          <w:p w14:paraId="2D466A4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序号</w:t>
            </w:r>
          </w:p>
        </w:tc>
        <w:tc>
          <w:tcPr>
            <w:tcW w:w="330" w:type="pct"/>
            <w:tcBorders>
              <w:top w:val="single" w:sz="4" w:space="0" w:color="auto"/>
              <w:left w:val="nil"/>
              <w:bottom w:val="single" w:sz="4" w:space="0" w:color="auto"/>
              <w:right w:val="single" w:sz="4" w:space="0" w:color="auto"/>
            </w:tcBorders>
            <w:shd w:val="clear" w:color="000000" w:fill="FFFFFF"/>
            <w:noWrap/>
            <w:vAlign w:val="center"/>
          </w:tcPr>
          <w:p w14:paraId="0166F5A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楼号/地块</w:t>
            </w:r>
          </w:p>
        </w:tc>
        <w:tc>
          <w:tcPr>
            <w:tcW w:w="625" w:type="pct"/>
            <w:tcBorders>
              <w:top w:val="single" w:sz="4" w:space="0" w:color="auto"/>
              <w:left w:val="nil"/>
              <w:bottom w:val="single" w:sz="4" w:space="0" w:color="auto"/>
              <w:right w:val="single" w:sz="4" w:space="0" w:color="auto"/>
            </w:tcBorders>
            <w:shd w:val="clear" w:color="000000" w:fill="FFFFFF"/>
            <w:noWrap/>
            <w:vAlign w:val="center"/>
          </w:tcPr>
          <w:p w14:paraId="65EA46A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部位及房号</w:t>
            </w:r>
          </w:p>
        </w:tc>
        <w:tc>
          <w:tcPr>
            <w:tcW w:w="677" w:type="pct"/>
            <w:tcBorders>
              <w:top w:val="single" w:sz="4" w:space="0" w:color="auto"/>
              <w:left w:val="nil"/>
              <w:bottom w:val="single" w:sz="4" w:space="0" w:color="auto"/>
              <w:right w:val="single" w:sz="4" w:space="0" w:color="auto"/>
            </w:tcBorders>
            <w:shd w:val="clear" w:color="000000" w:fill="FFFFFF"/>
            <w:noWrap/>
            <w:vAlign w:val="center"/>
          </w:tcPr>
          <w:p w14:paraId="67A4753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建筑面积（㎡）</w:t>
            </w:r>
          </w:p>
        </w:tc>
        <w:tc>
          <w:tcPr>
            <w:tcW w:w="938" w:type="pct"/>
            <w:tcBorders>
              <w:top w:val="single" w:sz="4" w:space="0" w:color="auto"/>
              <w:left w:val="nil"/>
              <w:bottom w:val="single" w:sz="4" w:space="0" w:color="auto"/>
              <w:right w:val="single" w:sz="4" w:space="0" w:color="auto"/>
            </w:tcBorders>
            <w:shd w:val="clear" w:color="000000" w:fill="FFFFFF"/>
            <w:noWrap/>
            <w:vAlign w:val="center"/>
          </w:tcPr>
          <w:p w14:paraId="2B31A56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套内建筑面积（㎡）</w:t>
            </w:r>
          </w:p>
        </w:tc>
        <w:tc>
          <w:tcPr>
            <w:tcW w:w="301" w:type="pct"/>
            <w:tcBorders>
              <w:top w:val="single" w:sz="4" w:space="0" w:color="auto"/>
              <w:left w:val="nil"/>
              <w:bottom w:val="single" w:sz="4" w:space="0" w:color="auto"/>
              <w:right w:val="single" w:sz="4" w:space="0" w:color="auto"/>
            </w:tcBorders>
            <w:shd w:val="clear" w:color="000000" w:fill="FFFFFF"/>
            <w:noWrap/>
            <w:vAlign w:val="center"/>
          </w:tcPr>
          <w:p w14:paraId="2AA36C3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用途</w:t>
            </w:r>
          </w:p>
        </w:tc>
        <w:tc>
          <w:tcPr>
            <w:tcW w:w="404" w:type="pct"/>
            <w:tcBorders>
              <w:top w:val="single" w:sz="4" w:space="0" w:color="auto"/>
              <w:left w:val="nil"/>
              <w:bottom w:val="single" w:sz="4" w:space="0" w:color="auto"/>
              <w:right w:val="single" w:sz="4" w:space="0" w:color="auto"/>
            </w:tcBorders>
            <w:shd w:val="clear" w:color="000000" w:fill="FFFFFF"/>
            <w:noWrap/>
            <w:vAlign w:val="center"/>
          </w:tcPr>
          <w:p w14:paraId="5A7C116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地上/地下</w:t>
            </w:r>
          </w:p>
        </w:tc>
        <w:tc>
          <w:tcPr>
            <w:tcW w:w="578" w:type="pct"/>
            <w:tcBorders>
              <w:top w:val="single" w:sz="4" w:space="0" w:color="auto"/>
              <w:left w:val="nil"/>
              <w:bottom w:val="single" w:sz="4" w:space="0" w:color="auto"/>
              <w:right w:val="single" w:sz="4" w:space="0" w:color="auto"/>
            </w:tcBorders>
            <w:shd w:val="clear" w:color="000000" w:fill="FFFFFF"/>
            <w:noWrap/>
            <w:vAlign w:val="center"/>
          </w:tcPr>
          <w:p w14:paraId="64B3E9C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是否取得不动产权证书</w:t>
            </w:r>
          </w:p>
        </w:tc>
      </w:tr>
      <w:tr w:rsidR="00000000" w14:paraId="5182C280" w14:textId="77777777">
        <w:trPr>
          <w:trHeight w:val="20"/>
          <w:jc w:val="center"/>
        </w:trPr>
        <w:tc>
          <w:tcPr>
            <w:tcW w:w="289" w:type="pct"/>
            <w:vMerge w:val="restart"/>
            <w:tcBorders>
              <w:top w:val="nil"/>
              <w:left w:val="single" w:sz="4" w:space="0" w:color="auto"/>
              <w:right w:val="single" w:sz="4" w:space="0" w:color="auto"/>
            </w:tcBorders>
            <w:vAlign w:val="center"/>
          </w:tcPr>
          <w:p w14:paraId="7A588FB3"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042地块</w:t>
            </w:r>
          </w:p>
        </w:tc>
        <w:tc>
          <w:tcPr>
            <w:tcW w:w="535" w:type="pct"/>
            <w:vMerge w:val="restart"/>
            <w:tcBorders>
              <w:top w:val="nil"/>
              <w:left w:val="nil"/>
              <w:right w:val="single" w:sz="4" w:space="0" w:color="auto"/>
            </w:tcBorders>
            <w:shd w:val="clear" w:color="000000" w:fill="FFFFFF"/>
            <w:noWrap/>
            <w:vAlign w:val="center"/>
          </w:tcPr>
          <w:p w14:paraId="328DAEB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房山区阜盛西街11号院3号楼</w:t>
            </w:r>
          </w:p>
        </w:tc>
        <w:tc>
          <w:tcPr>
            <w:tcW w:w="320" w:type="pct"/>
            <w:tcBorders>
              <w:top w:val="nil"/>
              <w:left w:val="nil"/>
              <w:bottom w:val="single" w:sz="4" w:space="0" w:color="auto"/>
              <w:right w:val="single" w:sz="4" w:space="0" w:color="auto"/>
            </w:tcBorders>
            <w:shd w:val="clear" w:color="000000" w:fill="FFFFFF"/>
            <w:noWrap/>
            <w:vAlign w:val="center"/>
          </w:tcPr>
          <w:p w14:paraId="0073FFC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1</w:t>
            </w:r>
          </w:p>
        </w:tc>
        <w:tc>
          <w:tcPr>
            <w:tcW w:w="330" w:type="pct"/>
            <w:tcBorders>
              <w:top w:val="nil"/>
              <w:left w:val="nil"/>
              <w:bottom w:val="single" w:sz="4" w:space="0" w:color="auto"/>
              <w:right w:val="single" w:sz="4" w:space="0" w:color="auto"/>
            </w:tcBorders>
            <w:shd w:val="clear" w:color="000000" w:fill="FFFFFF"/>
            <w:noWrap/>
            <w:vAlign w:val="bottom"/>
          </w:tcPr>
          <w:p w14:paraId="7D28BE6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14:paraId="1F1D3CF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101</w:t>
            </w:r>
          </w:p>
        </w:tc>
        <w:tc>
          <w:tcPr>
            <w:tcW w:w="677" w:type="pct"/>
            <w:tcBorders>
              <w:top w:val="nil"/>
              <w:left w:val="nil"/>
              <w:bottom w:val="single" w:sz="4" w:space="0" w:color="auto"/>
              <w:right w:val="single" w:sz="4" w:space="0" w:color="auto"/>
            </w:tcBorders>
            <w:shd w:val="clear" w:color="000000" w:fill="FFFFFF"/>
            <w:noWrap/>
            <w:vAlign w:val="center"/>
          </w:tcPr>
          <w:p w14:paraId="3FB913D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647.17</w:t>
            </w:r>
          </w:p>
        </w:tc>
        <w:tc>
          <w:tcPr>
            <w:tcW w:w="938" w:type="pct"/>
            <w:tcBorders>
              <w:top w:val="nil"/>
              <w:left w:val="nil"/>
              <w:bottom w:val="single" w:sz="4" w:space="0" w:color="auto"/>
              <w:right w:val="single" w:sz="4" w:space="0" w:color="auto"/>
            </w:tcBorders>
            <w:shd w:val="clear" w:color="000000" w:fill="FFFFFF"/>
            <w:noWrap/>
            <w:vAlign w:val="center"/>
          </w:tcPr>
          <w:p w14:paraId="3A3A205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517.82</w:t>
            </w:r>
          </w:p>
        </w:tc>
        <w:tc>
          <w:tcPr>
            <w:tcW w:w="301" w:type="pct"/>
            <w:tcBorders>
              <w:top w:val="nil"/>
              <w:left w:val="nil"/>
              <w:bottom w:val="single" w:sz="4" w:space="0" w:color="auto"/>
              <w:right w:val="single" w:sz="4" w:space="0" w:color="auto"/>
            </w:tcBorders>
            <w:shd w:val="clear" w:color="000000" w:fill="FFFFFF"/>
            <w:noWrap/>
            <w:vAlign w:val="center"/>
          </w:tcPr>
          <w:p w14:paraId="62F7037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394CDAF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地上</w:t>
            </w:r>
          </w:p>
        </w:tc>
        <w:tc>
          <w:tcPr>
            <w:tcW w:w="578" w:type="pct"/>
            <w:tcBorders>
              <w:top w:val="nil"/>
              <w:left w:val="nil"/>
              <w:bottom w:val="single" w:sz="4" w:space="0" w:color="auto"/>
              <w:right w:val="single" w:sz="4" w:space="0" w:color="auto"/>
            </w:tcBorders>
            <w:shd w:val="clear" w:color="000000" w:fill="FFFFFF"/>
            <w:noWrap/>
            <w:vAlign w:val="center"/>
          </w:tcPr>
          <w:p w14:paraId="54796E2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是</w:t>
            </w:r>
          </w:p>
        </w:tc>
      </w:tr>
      <w:tr w:rsidR="00000000" w14:paraId="2DAA3B3E"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206C9287"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003DF959"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6493769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2</w:t>
            </w:r>
          </w:p>
        </w:tc>
        <w:tc>
          <w:tcPr>
            <w:tcW w:w="330" w:type="pct"/>
            <w:tcBorders>
              <w:top w:val="nil"/>
              <w:left w:val="nil"/>
              <w:bottom w:val="single" w:sz="4" w:space="0" w:color="auto"/>
              <w:right w:val="single" w:sz="4" w:space="0" w:color="auto"/>
            </w:tcBorders>
            <w:shd w:val="clear" w:color="000000" w:fill="FFFFFF"/>
            <w:noWrap/>
            <w:vAlign w:val="bottom"/>
          </w:tcPr>
          <w:p w14:paraId="08386B1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14:paraId="77717ED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102</w:t>
            </w:r>
          </w:p>
        </w:tc>
        <w:tc>
          <w:tcPr>
            <w:tcW w:w="677" w:type="pct"/>
            <w:tcBorders>
              <w:top w:val="nil"/>
              <w:left w:val="nil"/>
              <w:bottom w:val="single" w:sz="4" w:space="0" w:color="auto"/>
              <w:right w:val="single" w:sz="4" w:space="0" w:color="auto"/>
            </w:tcBorders>
            <w:shd w:val="clear" w:color="000000" w:fill="FFFFFF"/>
            <w:noWrap/>
            <w:vAlign w:val="center"/>
          </w:tcPr>
          <w:p w14:paraId="581ADE8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645.08</w:t>
            </w:r>
          </w:p>
        </w:tc>
        <w:tc>
          <w:tcPr>
            <w:tcW w:w="938" w:type="pct"/>
            <w:tcBorders>
              <w:top w:val="nil"/>
              <w:left w:val="nil"/>
              <w:bottom w:val="single" w:sz="4" w:space="0" w:color="auto"/>
              <w:right w:val="single" w:sz="4" w:space="0" w:color="auto"/>
            </w:tcBorders>
            <w:shd w:val="clear" w:color="000000" w:fill="FFFFFF"/>
            <w:noWrap/>
            <w:vAlign w:val="center"/>
          </w:tcPr>
          <w:p w14:paraId="19D6FF4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516.15</w:t>
            </w:r>
          </w:p>
        </w:tc>
        <w:tc>
          <w:tcPr>
            <w:tcW w:w="301" w:type="pct"/>
            <w:tcBorders>
              <w:top w:val="nil"/>
              <w:left w:val="nil"/>
              <w:bottom w:val="single" w:sz="4" w:space="0" w:color="auto"/>
              <w:right w:val="single" w:sz="4" w:space="0" w:color="auto"/>
            </w:tcBorders>
            <w:shd w:val="clear" w:color="000000" w:fill="FFFFFF"/>
            <w:noWrap/>
            <w:vAlign w:val="center"/>
          </w:tcPr>
          <w:p w14:paraId="680B859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1D11641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地上</w:t>
            </w:r>
          </w:p>
        </w:tc>
        <w:tc>
          <w:tcPr>
            <w:tcW w:w="578" w:type="pct"/>
            <w:tcBorders>
              <w:top w:val="nil"/>
              <w:left w:val="nil"/>
              <w:bottom w:val="single" w:sz="4" w:space="0" w:color="auto"/>
              <w:right w:val="single" w:sz="4" w:space="0" w:color="auto"/>
            </w:tcBorders>
            <w:shd w:val="clear" w:color="000000" w:fill="FFFFFF"/>
            <w:noWrap/>
            <w:vAlign w:val="center"/>
          </w:tcPr>
          <w:p w14:paraId="3F39F64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是</w:t>
            </w:r>
          </w:p>
        </w:tc>
      </w:tr>
      <w:tr w:rsidR="00000000" w14:paraId="51FBAE65"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76AF8280"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462E658E"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7CFAD89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3</w:t>
            </w:r>
          </w:p>
        </w:tc>
        <w:tc>
          <w:tcPr>
            <w:tcW w:w="330" w:type="pct"/>
            <w:tcBorders>
              <w:top w:val="nil"/>
              <w:left w:val="nil"/>
              <w:bottom w:val="single" w:sz="4" w:space="0" w:color="auto"/>
              <w:right w:val="single" w:sz="4" w:space="0" w:color="auto"/>
            </w:tcBorders>
            <w:shd w:val="clear" w:color="000000" w:fill="FFFFFF"/>
            <w:noWrap/>
            <w:vAlign w:val="bottom"/>
          </w:tcPr>
          <w:p w14:paraId="3E5326A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14:paraId="16FF287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103</w:t>
            </w:r>
          </w:p>
        </w:tc>
        <w:tc>
          <w:tcPr>
            <w:tcW w:w="677" w:type="pct"/>
            <w:tcBorders>
              <w:top w:val="nil"/>
              <w:left w:val="nil"/>
              <w:bottom w:val="single" w:sz="4" w:space="0" w:color="auto"/>
              <w:right w:val="single" w:sz="4" w:space="0" w:color="auto"/>
            </w:tcBorders>
            <w:shd w:val="clear" w:color="000000" w:fill="FFFFFF"/>
            <w:noWrap/>
            <w:vAlign w:val="center"/>
          </w:tcPr>
          <w:p w14:paraId="55C1305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645.10</w:t>
            </w:r>
          </w:p>
        </w:tc>
        <w:tc>
          <w:tcPr>
            <w:tcW w:w="938" w:type="pct"/>
            <w:tcBorders>
              <w:top w:val="nil"/>
              <w:left w:val="nil"/>
              <w:bottom w:val="single" w:sz="4" w:space="0" w:color="auto"/>
              <w:right w:val="single" w:sz="4" w:space="0" w:color="auto"/>
            </w:tcBorders>
            <w:shd w:val="clear" w:color="000000" w:fill="FFFFFF"/>
            <w:noWrap/>
            <w:vAlign w:val="center"/>
          </w:tcPr>
          <w:p w14:paraId="6F68F0F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516.16</w:t>
            </w:r>
          </w:p>
        </w:tc>
        <w:tc>
          <w:tcPr>
            <w:tcW w:w="301" w:type="pct"/>
            <w:tcBorders>
              <w:top w:val="nil"/>
              <w:left w:val="nil"/>
              <w:bottom w:val="single" w:sz="4" w:space="0" w:color="auto"/>
              <w:right w:val="single" w:sz="4" w:space="0" w:color="auto"/>
            </w:tcBorders>
            <w:shd w:val="clear" w:color="000000" w:fill="FFFFFF"/>
            <w:noWrap/>
            <w:vAlign w:val="center"/>
          </w:tcPr>
          <w:p w14:paraId="27F03E3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4690B18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地上</w:t>
            </w:r>
          </w:p>
        </w:tc>
        <w:tc>
          <w:tcPr>
            <w:tcW w:w="578" w:type="pct"/>
            <w:tcBorders>
              <w:top w:val="nil"/>
              <w:left w:val="nil"/>
              <w:bottom w:val="single" w:sz="4" w:space="0" w:color="auto"/>
              <w:right w:val="single" w:sz="4" w:space="0" w:color="auto"/>
            </w:tcBorders>
            <w:shd w:val="clear" w:color="000000" w:fill="FFFFFF"/>
            <w:noWrap/>
            <w:vAlign w:val="center"/>
          </w:tcPr>
          <w:p w14:paraId="37F8770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是</w:t>
            </w:r>
          </w:p>
        </w:tc>
      </w:tr>
      <w:tr w:rsidR="00000000" w14:paraId="30C60A05"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3F5E4AE2"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1F6B930D"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7CF5101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4</w:t>
            </w:r>
          </w:p>
        </w:tc>
        <w:tc>
          <w:tcPr>
            <w:tcW w:w="330" w:type="pct"/>
            <w:tcBorders>
              <w:top w:val="nil"/>
              <w:left w:val="nil"/>
              <w:bottom w:val="single" w:sz="4" w:space="0" w:color="auto"/>
              <w:right w:val="single" w:sz="4" w:space="0" w:color="auto"/>
            </w:tcBorders>
            <w:shd w:val="clear" w:color="000000" w:fill="FFFFFF"/>
            <w:noWrap/>
            <w:vAlign w:val="bottom"/>
          </w:tcPr>
          <w:p w14:paraId="60784A2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14:paraId="01C1B2B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104</w:t>
            </w:r>
          </w:p>
        </w:tc>
        <w:tc>
          <w:tcPr>
            <w:tcW w:w="677" w:type="pct"/>
            <w:tcBorders>
              <w:top w:val="nil"/>
              <w:left w:val="nil"/>
              <w:bottom w:val="single" w:sz="4" w:space="0" w:color="auto"/>
              <w:right w:val="single" w:sz="4" w:space="0" w:color="auto"/>
            </w:tcBorders>
            <w:shd w:val="clear" w:color="000000" w:fill="FFFFFF"/>
            <w:noWrap/>
            <w:vAlign w:val="center"/>
          </w:tcPr>
          <w:p w14:paraId="7EF26D5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654.08</w:t>
            </w:r>
          </w:p>
        </w:tc>
        <w:tc>
          <w:tcPr>
            <w:tcW w:w="938" w:type="pct"/>
            <w:tcBorders>
              <w:top w:val="nil"/>
              <w:left w:val="nil"/>
              <w:bottom w:val="single" w:sz="4" w:space="0" w:color="auto"/>
              <w:right w:val="single" w:sz="4" w:space="0" w:color="auto"/>
            </w:tcBorders>
            <w:shd w:val="clear" w:color="000000" w:fill="FFFFFF"/>
            <w:noWrap/>
            <w:vAlign w:val="center"/>
          </w:tcPr>
          <w:p w14:paraId="355AD39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523.35</w:t>
            </w:r>
          </w:p>
        </w:tc>
        <w:tc>
          <w:tcPr>
            <w:tcW w:w="301" w:type="pct"/>
            <w:tcBorders>
              <w:top w:val="nil"/>
              <w:left w:val="nil"/>
              <w:bottom w:val="single" w:sz="4" w:space="0" w:color="auto"/>
              <w:right w:val="single" w:sz="4" w:space="0" w:color="auto"/>
            </w:tcBorders>
            <w:shd w:val="clear" w:color="000000" w:fill="FFFFFF"/>
            <w:noWrap/>
            <w:vAlign w:val="center"/>
          </w:tcPr>
          <w:p w14:paraId="787539C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443657E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地上</w:t>
            </w:r>
          </w:p>
        </w:tc>
        <w:tc>
          <w:tcPr>
            <w:tcW w:w="578" w:type="pct"/>
            <w:tcBorders>
              <w:top w:val="nil"/>
              <w:left w:val="nil"/>
              <w:bottom w:val="single" w:sz="4" w:space="0" w:color="auto"/>
              <w:right w:val="single" w:sz="4" w:space="0" w:color="auto"/>
            </w:tcBorders>
            <w:shd w:val="clear" w:color="000000" w:fill="FFFFFF"/>
            <w:noWrap/>
            <w:vAlign w:val="center"/>
          </w:tcPr>
          <w:p w14:paraId="73D796E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是</w:t>
            </w:r>
          </w:p>
        </w:tc>
      </w:tr>
      <w:tr w:rsidR="00000000" w14:paraId="20351C7C"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387B2879"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67CC8ECF"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2D8F87C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5</w:t>
            </w:r>
          </w:p>
        </w:tc>
        <w:tc>
          <w:tcPr>
            <w:tcW w:w="330" w:type="pct"/>
            <w:tcBorders>
              <w:top w:val="nil"/>
              <w:left w:val="nil"/>
              <w:bottom w:val="single" w:sz="4" w:space="0" w:color="auto"/>
              <w:right w:val="single" w:sz="4" w:space="0" w:color="auto"/>
            </w:tcBorders>
            <w:shd w:val="clear" w:color="000000" w:fill="FFFFFF"/>
            <w:noWrap/>
            <w:vAlign w:val="bottom"/>
          </w:tcPr>
          <w:p w14:paraId="765871F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14:paraId="3A193C6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201</w:t>
            </w:r>
          </w:p>
        </w:tc>
        <w:tc>
          <w:tcPr>
            <w:tcW w:w="677" w:type="pct"/>
            <w:tcBorders>
              <w:top w:val="nil"/>
              <w:left w:val="nil"/>
              <w:bottom w:val="single" w:sz="4" w:space="0" w:color="auto"/>
              <w:right w:val="single" w:sz="4" w:space="0" w:color="auto"/>
            </w:tcBorders>
            <w:shd w:val="clear" w:color="000000" w:fill="FFFFFF"/>
            <w:noWrap/>
            <w:vAlign w:val="center"/>
          </w:tcPr>
          <w:p w14:paraId="752EA78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882.82</w:t>
            </w:r>
          </w:p>
        </w:tc>
        <w:tc>
          <w:tcPr>
            <w:tcW w:w="938" w:type="pct"/>
            <w:tcBorders>
              <w:top w:val="nil"/>
              <w:left w:val="nil"/>
              <w:bottom w:val="single" w:sz="4" w:space="0" w:color="auto"/>
              <w:right w:val="single" w:sz="4" w:space="0" w:color="auto"/>
            </w:tcBorders>
            <w:shd w:val="clear" w:color="000000" w:fill="FFFFFF"/>
            <w:noWrap/>
            <w:vAlign w:val="center"/>
          </w:tcPr>
          <w:p w14:paraId="19DF13F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648.1</w:t>
            </w:r>
          </w:p>
        </w:tc>
        <w:tc>
          <w:tcPr>
            <w:tcW w:w="301" w:type="pct"/>
            <w:tcBorders>
              <w:top w:val="nil"/>
              <w:left w:val="nil"/>
              <w:bottom w:val="single" w:sz="4" w:space="0" w:color="auto"/>
              <w:right w:val="single" w:sz="4" w:space="0" w:color="auto"/>
            </w:tcBorders>
            <w:shd w:val="clear" w:color="000000" w:fill="FFFFFF"/>
            <w:noWrap/>
            <w:vAlign w:val="center"/>
          </w:tcPr>
          <w:p w14:paraId="1E0E67E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29B54CC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地上</w:t>
            </w:r>
          </w:p>
        </w:tc>
        <w:tc>
          <w:tcPr>
            <w:tcW w:w="578" w:type="pct"/>
            <w:tcBorders>
              <w:top w:val="nil"/>
              <w:left w:val="nil"/>
              <w:bottom w:val="single" w:sz="4" w:space="0" w:color="auto"/>
              <w:right w:val="single" w:sz="4" w:space="0" w:color="auto"/>
            </w:tcBorders>
            <w:shd w:val="clear" w:color="000000" w:fill="FFFFFF"/>
            <w:noWrap/>
            <w:vAlign w:val="center"/>
          </w:tcPr>
          <w:p w14:paraId="2B4F672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是</w:t>
            </w:r>
          </w:p>
        </w:tc>
      </w:tr>
      <w:tr w:rsidR="00000000" w14:paraId="49DBC06B"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3092884E"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0083E837"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5F702B3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330" w:type="pct"/>
            <w:tcBorders>
              <w:top w:val="nil"/>
              <w:left w:val="nil"/>
              <w:bottom w:val="single" w:sz="4" w:space="0" w:color="auto"/>
              <w:right w:val="single" w:sz="4" w:space="0" w:color="auto"/>
            </w:tcBorders>
            <w:shd w:val="clear" w:color="000000" w:fill="FFFFFF"/>
            <w:noWrap/>
            <w:vAlign w:val="bottom"/>
          </w:tcPr>
          <w:p w14:paraId="6D36E7B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14:paraId="6E657EF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202</w:t>
            </w:r>
          </w:p>
        </w:tc>
        <w:tc>
          <w:tcPr>
            <w:tcW w:w="677" w:type="pct"/>
            <w:tcBorders>
              <w:top w:val="nil"/>
              <w:left w:val="nil"/>
              <w:bottom w:val="single" w:sz="4" w:space="0" w:color="auto"/>
              <w:right w:val="single" w:sz="4" w:space="0" w:color="auto"/>
            </w:tcBorders>
            <w:shd w:val="clear" w:color="000000" w:fill="FFFFFF"/>
            <w:noWrap/>
            <w:vAlign w:val="center"/>
          </w:tcPr>
          <w:p w14:paraId="46C5089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1063.95</w:t>
            </w:r>
          </w:p>
        </w:tc>
        <w:tc>
          <w:tcPr>
            <w:tcW w:w="938" w:type="pct"/>
            <w:tcBorders>
              <w:top w:val="nil"/>
              <w:left w:val="nil"/>
              <w:bottom w:val="single" w:sz="4" w:space="0" w:color="auto"/>
              <w:right w:val="single" w:sz="4" w:space="0" w:color="auto"/>
            </w:tcBorders>
            <w:shd w:val="clear" w:color="000000" w:fill="FFFFFF"/>
            <w:noWrap/>
            <w:vAlign w:val="center"/>
          </w:tcPr>
          <w:p w14:paraId="0FE6BB7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781.07</w:t>
            </w:r>
          </w:p>
        </w:tc>
        <w:tc>
          <w:tcPr>
            <w:tcW w:w="301" w:type="pct"/>
            <w:tcBorders>
              <w:top w:val="nil"/>
              <w:left w:val="nil"/>
              <w:bottom w:val="single" w:sz="4" w:space="0" w:color="auto"/>
              <w:right w:val="single" w:sz="4" w:space="0" w:color="auto"/>
            </w:tcBorders>
            <w:shd w:val="clear" w:color="000000" w:fill="FFFFFF"/>
            <w:noWrap/>
            <w:vAlign w:val="center"/>
          </w:tcPr>
          <w:p w14:paraId="21B238F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4D4138A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地上</w:t>
            </w:r>
          </w:p>
        </w:tc>
        <w:tc>
          <w:tcPr>
            <w:tcW w:w="578" w:type="pct"/>
            <w:tcBorders>
              <w:top w:val="nil"/>
              <w:left w:val="nil"/>
              <w:bottom w:val="single" w:sz="4" w:space="0" w:color="auto"/>
              <w:right w:val="single" w:sz="4" w:space="0" w:color="auto"/>
            </w:tcBorders>
            <w:shd w:val="clear" w:color="000000" w:fill="FFFFFF"/>
            <w:noWrap/>
            <w:vAlign w:val="center"/>
          </w:tcPr>
          <w:p w14:paraId="5A27F48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是</w:t>
            </w:r>
          </w:p>
        </w:tc>
      </w:tr>
      <w:tr w:rsidR="00000000" w14:paraId="70C6A21B"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0E71B49F"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3B2AF2E1"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79B487A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7</w:t>
            </w:r>
          </w:p>
        </w:tc>
        <w:tc>
          <w:tcPr>
            <w:tcW w:w="330" w:type="pct"/>
            <w:tcBorders>
              <w:top w:val="nil"/>
              <w:left w:val="nil"/>
              <w:bottom w:val="single" w:sz="4" w:space="0" w:color="auto"/>
              <w:right w:val="single" w:sz="4" w:space="0" w:color="auto"/>
            </w:tcBorders>
            <w:shd w:val="clear" w:color="000000" w:fill="FFFFFF"/>
            <w:noWrap/>
            <w:vAlign w:val="bottom"/>
          </w:tcPr>
          <w:p w14:paraId="1DC4799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14:paraId="157A708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203</w:t>
            </w:r>
          </w:p>
        </w:tc>
        <w:tc>
          <w:tcPr>
            <w:tcW w:w="677" w:type="pct"/>
            <w:tcBorders>
              <w:top w:val="nil"/>
              <w:left w:val="nil"/>
              <w:bottom w:val="single" w:sz="4" w:space="0" w:color="auto"/>
              <w:right w:val="single" w:sz="4" w:space="0" w:color="auto"/>
            </w:tcBorders>
            <w:shd w:val="clear" w:color="000000" w:fill="FFFFFF"/>
            <w:noWrap/>
            <w:vAlign w:val="center"/>
          </w:tcPr>
          <w:p w14:paraId="153C960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749.63</w:t>
            </w:r>
          </w:p>
        </w:tc>
        <w:tc>
          <w:tcPr>
            <w:tcW w:w="938" w:type="pct"/>
            <w:tcBorders>
              <w:top w:val="nil"/>
              <w:left w:val="nil"/>
              <w:bottom w:val="single" w:sz="4" w:space="0" w:color="auto"/>
              <w:right w:val="single" w:sz="4" w:space="0" w:color="auto"/>
            </w:tcBorders>
            <w:shd w:val="clear" w:color="000000" w:fill="FFFFFF"/>
            <w:noWrap/>
            <w:vAlign w:val="center"/>
          </w:tcPr>
          <w:p w14:paraId="50539AD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550.32</w:t>
            </w:r>
          </w:p>
        </w:tc>
        <w:tc>
          <w:tcPr>
            <w:tcW w:w="301" w:type="pct"/>
            <w:tcBorders>
              <w:top w:val="nil"/>
              <w:left w:val="nil"/>
              <w:bottom w:val="single" w:sz="4" w:space="0" w:color="auto"/>
              <w:right w:val="single" w:sz="4" w:space="0" w:color="auto"/>
            </w:tcBorders>
            <w:shd w:val="clear" w:color="000000" w:fill="FFFFFF"/>
            <w:noWrap/>
            <w:vAlign w:val="center"/>
          </w:tcPr>
          <w:p w14:paraId="3267712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456D09E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地上</w:t>
            </w:r>
          </w:p>
        </w:tc>
        <w:tc>
          <w:tcPr>
            <w:tcW w:w="578" w:type="pct"/>
            <w:tcBorders>
              <w:top w:val="nil"/>
              <w:left w:val="nil"/>
              <w:bottom w:val="single" w:sz="4" w:space="0" w:color="auto"/>
              <w:right w:val="single" w:sz="4" w:space="0" w:color="auto"/>
            </w:tcBorders>
            <w:shd w:val="clear" w:color="000000" w:fill="FFFFFF"/>
            <w:noWrap/>
            <w:vAlign w:val="center"/>
          </w:tcPr>
          <w:p w14:paraId="0323001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是</w:t>
            </w:r>
          </w:p>
        </w:tc>
      </w:tr>
      <w:tr w:rsidR="00000000" w14:paraId="38B4E0E1"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0F45D169"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bottom w:val="single" w:sz="4" w:space="0" w:color="auto"/>
              <w:right w:val="single" w:sz="4" w:space="0" w:color="auto"/>
            </w:tcBorders>
            <w:shd w:val="clear" w:color="000000" w:fill="FFFFFF"/>
            <w:noWrap/>
            <w:vAlign w:val="center"/>
          </w:tcPr>
          <w:p w14:paraId="047F6D68"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2794F47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330" w:type="pct"/>
            <w:tcBorders>
              <w:top w:val="nil"/>
              <w:left w:val="nil"/>
              <w:bottom w:val="single" w:sz="4" w:space="0" w:color="auto"/>
              <w:right w:val="single" w:sz="4" w:space="0" w:color="auto"/>
            </w:tcBorders>
            <w:shd w:val="clear" w:color="000000" w:fill="FFFFFF"/>
            <w:noWrap/>
            <w:vAlign w:val="bottom"/>
          </w:tcPr>
          <w:p w14:paraId="1873503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小计</w:t>
            </w:r>
          </w:p>
        </w:tc>
        <w:tc>
          <w:tcPr>
            <w:tcW w:w="625" w:type="pct"/>
            <w:tcBorders>
              <w:top w:val="nil"/>
              <w:left w:val="nil"/>
              <w:bottom w:val="single" w:sz="4" w:space="0" w:color="auto"/>
              <w:right w:val="single" w:sz="4" w:space="0" w:color="auto"/>
            </w:tcBorders>
            <w:shd w:val="clear" w:color="000000" w:fill="FFFFFF"/>
            <w:noWrap/>
            <w:vAlign w:val="center"/>
          </w:tcPr>
          <w:p w14:paraId="1AD9702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14:paraId="22AF582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5287.83</w:t>
            </w:r>
          </w:p>
        </w:tc>
        <w:tc>
          <w:tcPr>
            <w:tcW w:w="938" w:type="pct"/>
            <w:tcBorders>
              <w:top w:val="nil"/>
              <w:left w:val="nil"/>
              <w:bottom w:val="single" w:sz="4" w:space="0" w:color="auto"/>
              <w:right w:val="single" w:sz="4" w:space="0" w:color="auto"/>
            </w:tcBorders>
            <w:shd w:val="clear" w:color="000000" w:fill="FFFFFF"/>
            <w:noWrap/>
            <w:vAlign w:val="center"/>
          </w:tcPr>
          <w:p w14:paraId="3BD6033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4052.97</w:t>
            </w:r>
          </w:p>
        </w:tc>
        <w:tc>
          <w:tcPr>
            <w:tcW w:w="301" w:type="pct"/>
            <w:tcBorders>
              <w:top w:val="nil"/>
              <w:left w:val="nil"/>
              <w:bottom w:val="single" w:sz="4" w:space="0" w:color="auto"/>
              <w:right w:val="single" w:sz="4" w:space="0" w:color="auto"/>
            </w:tcBorders>
            <w:shd w:val="clear" w:color="000000" w:fill="FFFFFF"/>
            <w:noWrap/>
            <w:vAlign w:val="center"/>
          </w:tcPr>
          <w:p w14:paraId="1C47666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14:paraId="7A2F263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578" w:type="pct"/>
            <w:tcBorders>
              <w:top w:val="nil"/>
              <w:left w:val="nil"/>
              <w:bottom w:val="single" w:sz="4" w:space="0" w:color="auto"/>
              <w:right w:val="single" w:sz="4" w:space="0" w:color="auto"/>
            </w:tcBorders>
            <w:shd w:val="clear" w:color="000000" w:fill="FFFFFF"/>
            <w:noWrap/>
            <w:vAlign w:val="center"/>
          </w:tcPr>
          <w:p w14:paraId="7DDA3F2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r>
      <w:tr w:rsidR="00000000" w14:paraId="50671CEF"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0E23F660"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val="restart"/>
            <w:tcBorders>
              <w:top w:val="nil"/>
              <w:left w:val="nil"/>
              <w:right w:val="single" w:sz="4" w:space="0" w:color="auto"/>
            </w:tcBorders>
            <w:shd w:val="clear" w:color="000000" w:fill="FFFFFF"/>
            <w:noWrap/>
            <w:vAlign w:val="center"/>
          </w:tcPr>
          <w:p w14:paraId="14AF842A"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房山区阜盛西街11号院6号楼</w:t>
            </w:r>
          </w:p>
        </w:tc>
        <w:tc>
          <w:tcPr>
            <w:tcW w:w="320" w:type="pct"/>
            <w:tcBorders>
              <w:top w:val="nil"/>
              <w:left w:val="nil"/>
              <w:bottom w:val="single" w:sz="4" w:space="0" w:color="auto"/>
              <w:right w:val="single" w:sz="4" w:space="0" w:color="auto"/>
            </w:tcBorders>
            <w:shd w:val="clear" w:color="000000" w:fill="FFFFFF"/>
            <w:noWrap/>
            <w:vAlign w:val="center"/>
          </w:tcPr>
          <w:p w14:paraId="2C6DF71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8</w:t>
            </w:r>
          </w:p>
        </w:tc>
        <w:tc>
          <w:tcPr>
            <w:tcW w:w="330" w:type="pct"/>
            <w:tcBorders>
              <w:top w:val="nil"/>
              <w:left w:val="nil"/>
              <w:bottom w:val="single" w:sz="4" w:space="0" w:color="auto"/>
              <w:right w:val="single" w:sz="4" w:space="0" w:color="auto"/>
            </w:tcBorders>
            <w:shd w:val="clear" w:color="000000" w:fill="FFFFFF"/>
            <w:noWrap/>
            <w:vAlign w:val="bottom"/>
          </w:tcPr>
          <w:p w14:paraId="11ACA07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14:paraId="2694EC2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-101</w:t>
            </w:r>
          </w:p>
        </w:tc>
        <w:tc>
          <w:tcPr>
            <w:tcW w:w="677" w:type="pct"/>
            <w:tcBorders>
              <w:top w:val="nil"/>
              <w:left w:val="nil"/>
              <w:bottom w:val="single" w:sz="4" w:space="0" w:color="auto"/>
              <w:right w:val="single" w:sz="4" w:space="0" w:color="auto"/>
            </w:tcBorders>
            <w:shd w:val="clear" w:color="000000" w:fill="FFFFFF"/>
            <w:noWrap/>
            <w:vAlign w:val="center"/>
          </w:tcPr>
          <w:p w14:paraId="3A34050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969.55</w:t>
            </w:r>
          </w:p>
        </w:tc>
        <w:tc>
          <w:tcPr>
            <w:tcW w:w="938" w:type="pct"/>
            <w:tcBorders>
              <w:top w:val="nil"/>
              <w:left w:val="nil"/>
              <w:bottom w:val="single" w:sz="4" w:space="0" w:color="auto"/>
              <w:right w:val="single" w:sz="4" w:space="0" w:color="auto"/>
            </w:tcBorders>
            <w:shd w:val="clear" w:color="000000" w:fill="FFFFFF"/>
            <w:noWrap/>
            <w:vAlign w:val="center"/>
          </w:tcPr>
          <w:p w14:paraId="78B1E99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577.33</w:t>
            </w:r>
          </w:p>
        </w:tc>
        <w:tc>
          <w:tcPr>
            <w:tcW w:w="301" w:type="pct"/>
            <w:tcBorders>
              <w:top w:val="nil"/>
              <w:left w:val="nil"/>
              <w:bottom w:val="single" w:sz="4" w:space="0" w:color="auto"/>
              <w:right w:val="single" w:sz="4" w:space="0" w:color="auto"/>
            </w:tcBorders>
            <w:shd w:val="clear" w:color="000000" w:fill="FFFFFF"/>
            <w:noWrap/>
            <w:vAlign w:val="center"/>
          </w:tcPr>
          <w:p w14:paraId="5C5AE5A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2628059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c>
          <w:tcPr>
            <w:tcW w:w="578" w:type="pct"/>
            <w:tcBorders>
              <w:top w:val="nil"/>
              <w:left w:val="nil"/>
              <w:bottom w:val="single" w:sz="4" w:space="0" w:color="auto"/>
              <w:right w:val="single" w:sz="4" w:space="0" w:color="auto"/>
            </w:tcBorders>
            <w:shd w:val="clear" w:color="000000" w:fill="FFFFFF"/>
            <w:noWrap/>
            <w:vAlign w:val="center"/>
          </w:tcPr>
          <w:p w14:paraId="686A485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是</w:t>
            </w:r>
          </w:p>
        </w:tc>
      </w:tr>
      <w:tr w:rsidR="00000000" w14:paraId="3BC77903" w14:textId="77777777">
        <w:trPr>
          <w:trHeight w:val="90"/>
          <w:jc w:val="center"/>
        </w:trPr>
        <w:tc>
          <w:tcPr>
            <w:tcW w:w="289" w:type="pct"/>
            <w:vMerge/>
            <w:tcBorders>
              <w:top w:val="nil"/>
              <w:left w:val="single" w:sz="4" w:space="0" w:color="auto"/>
              <w:bottom w:val="single" w:sz="4" w:space="0" w:color="000000"/>
              <w:right w:val="single" w:sz="4" w:space="0" w:color="auto"/>
            </w:tcBorders>
            <w:vAlign w:val="center"/>
          </w:tcPr>
          <w:p w14:paraId="1ECDCE0D"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5866784D"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6E2208E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9</w:t>
            </w:r>
          </w:p>
        </w:tc>
        <w:tc>
          <w:tcPr>
            <w:tcW w:w="330" w:type="pct"/>
            <w:tcBorders>
              <w:top w:val="nil"/>
              <w:left w:val="nil"/>
              <w:bottom w:val="single" w:sz="4" w:space="0" w:color="auto"/>
              <w:right w:val="single" w:sz="4" w:space="0" w:color="auto"/>
            </w:tcBorders>
            <w:shd w:val="clear" w:color="000000" w:fill="FFFFFF"/>
            <w:noWrap/>
            <w:vAlign w:val="bottom"/>
          </w:tcPr>
          <w:p w14:paraId="2ABD359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14:paraId="37BE362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-102</w:t>
            </w:r>
          </w:p>
        </w:tc>
        <w:tc>
          <w:tcPr>
            <w:tcW w:w="677" w:type="pct"/>
            <w:tcBorders>
              <w:top w:val="nil"/>
              <w:left w:val="nil"/>
              <w:bottom w:val="single" w:sz="4" w:space="0" w:color="auto"/>
              <w:right w:val="single" w:sz="4" w:space="0" w:color="auto"/>
            </w:tcBorders>
            <w:shd w:val="clear" w:color="000000" w:fill="FFFFFF"/>
            <w:noWrap/>
            <w:vAlign w:val="center"/>
          </w:tcPr>
          <w:p w14:paraId="172F5A0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1449.79</w:t>
            </w:r>
          </w:p>
        </w:tc>
        <w:tc>
          <w:tcPr>
            <w:tcW w:w="938" w:type="pct"/>
            <w:tcBorders>
              <w:top w:val="nil"/>
              <w:left w:val="nil"/>
              <w:bottom w:val="single" w:sz="4" w:space="0" w:color="auto"/>
              <w:right w:val="single" w:sz="4" w:space="0" w:color="auto"/>
            </w:tcBorders>
            <w:shd w:val="clear" w:color="000000" w:fill="FFFFFF"/>
            <w:noWrap/>
            <w:vAlign w:val="center"/>
          </w:tcPr>
          <w:p w14:paraId="0E9D36F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863.29</w:t>
            </w:r>
          </w:p>
        </w:tc>
        <w:tc>
          <w:tcPr>
            <w:tcW w:w="301" w:type="pct"/>
            <w:tcBorders>
              <w:top w:val="nil"/>
              <w:left w:val="nil"/>
              <w:bottom w:val="single" w:sz="4" w:space="0" w:color="auto"/>
              <w:right w:val="single" w:sz="4" w:space="0" w:color="auto"/>
            </w:tcBorders>
            <w:shd w:val="clear" w:color="000000" w:fill="FFFFFF"/>
            <w:noWrap/>
            <w:vAlign w:val="center"/>
          </w:tcPr>
          <w:p w14:paraId="4052E16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469DD1F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c>
          <w:tcPr>
            <w:tcW w:w="578" w:type="pct"/>
            <w:tcBorders>
              <w:top w:val="nil"/>
              <w:left w:val="nil"/>
              <w:bottom w:val="single" w:sz="4" w:space="0" w:color="auto"/>
              <w:right w:val="single" w:sz="4" w:space="0" w:color="auto"/>
            </w:tcBorders>
            <w:shd w:val="clear" w:color="000000" w:fill="FFFFFF"/>
            <w:noWrap/>
            <w:vAlign w:val="center"/>
          </w:tcPr>
          <w:p w14:paraId="2F8C7DE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是</w:t>
            </w:r>
          </w:p>
        </w:tc>
      </w:tr>
      <w:tr w:rsidR="00000000" w14:paraId="451A4028"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6E7A3D5B"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6290C105"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6649CB7C"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10</w:t>
            </w:r>
          </w:p>
        </w:tc>
        <w:tc>
          <w:tcPr>
            <w:tcW w:w="330" w:type="pct"/>
            <w:tcBorders>
              <w:top w:val="nil"/>
              <w:left w:val="nil"/>
              <w:bottom w:val="single" w:sz="4" w:space="0" w:color="auto"/>
              <w:right w:val="single" w:sz="4" w:space="0" w:color="auto"/>
            </w:tcBorders>
            <w:shd w:val="clear" w:color="000000" w:fill="FFFFFF"/>
            <w:noWrap/>
            <w:vAlign w:val="bottom"/>
          </w:tcPr>
          <w:p w14:paraId="381038C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14:paraId="615DFC6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-103</w:t>
            </w:r>
          </w:p>
        </w:tc>
        <w:tc>
          <w:tcPr>
            <w:tcW w:w="677" w:type="pct"/>
            <w:tcBorders>
              <w:top w:val="nil"/>
              <w:left w:val="nil"/>
              <w:bottom w:val="single" w:sz="4" w:space="0" w:color="auto"/>
              <w:right w:val="single" w:sz="4" w:space="0" w:color="auto"/>
            </w:tcBorders>
            <w:shd w:val="clear" w:color="000000" w:fill="FFFFFF"/>
            <w:noWrap/>
            <w:vAlign w:val="center"/>
          </w:tcPr>
          <w:p w14:paraId="6DA8253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1041.56</w:t>
            </w:r>
          </w:p>
        </w:tc>
        <w:tc>
          <w:tcPr>
            <w:tcW w:w="938" w:type="pct"/>
            <w:tcBorders>
              <w:top w:val="nil"/>
              <w:left w:val="nil"/>
              <w:bottom w:val="single" w:sz="4" w:space="0" w:color="auto"/>
              <w:right w:val="single" w:sz="4" w:space="0" w:color="auto"/>
            </w:tcBorders>
            <w:shd w:val="clear" w:color="000000" w:fill="FFFFFF"/>
            <w:noWrap/>
            <w:vAlign w:val="center"/>
          </w:tcPr>
          <w:p w14:paraId="66A9E66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620.21</w:t>
            </w:r>
          </w:p>
        </w:tc>
        <w:tc>
          <w:tcPr>
            <w:tcW w:w="301" w:type="pct"/>
            <w:tcBorders>
              <w:top w:val="nil"/>
              <w:left w:val="nil"/>
              <w:bottom w:val="single" w:sz="4" w:space="0" w:color="auto"/>
              <w:right w:val="single" w:sz="4" w:space="0" w:color="auto"/>
            </w:tcBorders>
            <w:shd w:val="clear" w:color="000000" w:fill="FFFFFF"/>
            <w:noWrap/>
            <w:vAlign w:val="center"/>
          </w:tcPr>
          <w:p w14:paraId="1EFA169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7B41E97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c>
          <w:tcPr>
            <w:tcW w:w="578" w:type="pct"/>
            <w:tcBorders>
              <w:top w:val="nil"/>
              <w:left w:val="nil"/>
              <w:bottom w:val="single" w:sz="4" w:space="0" w:color="auto"/>
              <w:right w:val="single" w:sz="4" w:space="0" w:color="auto"/>
            </w:tcBorders>
            <w:shd w:val="clear" w:color="000000" w:fill="FFFFFF"/>
            <w:noWrap/>
            <w:vAlign w:val="center"/>
          </w:tcPr>
          <w:p w14:paraId="2AA633B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是</w:t>
            </w:r>
          </w:p>
        </w:tc>
      </w:tr>
      <w:tr w:rsidR="00000000" w14:paraId="4841C49F"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1B1C081D"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1D700240"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6D131030"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11</w:t>
            </w:r>
          </w:p>
        </w:tc>
        <w:tc>
          <w:tcPr>
            <w:tcW w:w="330" w:type="pct"/>
            <w:tcBorders>
              <w:top w:val="nil"/>
              <w:left w:val="nil"/>
              <w:bottom w:val="single" w:sz="4" w:space="0" w:color="auto"/>
              <w:right w:val="single" w:sz="4" w:space="0" w:color="auto"/>
            </w:tcBorders>
            <w:shd w:val="clear" w:color="000000" w:fill="FFFFFF"/>
            <w:noWrap/>
            <w:vAlign w:val="bottom"/>
          </w:tcPr>
          <w:p w14:paraId="0F60F17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14:paraId="151BDE4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-104</w:t>
            </w:r>
          </w:p>
        </w:tc>
        <w:tc>
          <w:tcPr>
            <w:tcW w:w="677" w:type="pct"/>
            <w:tcBorders>
              <w:top w:val="nil"/>
              <w:left w:val="nil"/>
              <w:bottom w:val="single" w:sz="4" w:space="0" w:color="auto"/>
              <w:right w:val="single" w:sz="4" w:space="0" w:color="auto"/>
            </w:tcBorders>
            <w:shd w:val="clear" w:color="000000" w:fill="FFFFFF"/>
            <w:noWrap/>
            <w:vAlign w:val="center"/>
          </w:tcPr>
          <w:p w14:paraId="692A722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883.94</w:t>
            </w:r>
          </w:p>
        </w:tc>
        <w:tc>
          <w:tcPr>
            <w:tcW w:w="938" w:type="pct"/>
            <w:tcBorders>
              <w:top w:val="nil"/>
              <w:left w:val="nil"/>
              <w:bottom w:val="single" w:sz="4" w:space="0" w:color="auto"/>
              <w:right w:val="single" w:sz="4" w:space="0" w:color="auto"/>
            </w:tcBorders>
            <w:shd w:val="clear" w:color="000000" w:fill="FFFFFF"/>
            <w:noWrap/>
            <w:vAlign w:val="center"/>
          </w:tcPr>
          <w:p w14:paraId="1C6921E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526.35</w:t>
            </w:r>
          </w:p>
        </w:tc>
        <w:tc>
          <w:tcPr>
            <w:tcW w:w="301" w:type="pct"/>
            <w:tcBorders>
              <w:top w:val="nil"/>
              <w:left w:val="nil"/>
              <w:bottom w:val="single" w:sz="4" w:space="0" w:color="auto"/>
              <w:right w:val="single" w:sz="4" w:space="0" w:color="auto"/>
            </w:tcBorders>
            <w:shd w:val="clear" w:color="000000" w:fill="FFFFFF"/>
            <w:noWrap/>
            <w:vAlign w:val="center"/>
          </w:tcPr>
          <w:p w14:paraId="08463A1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092F4D6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c>
          <w:tcPr>
            <w:tcW w:w="578" w:type="pct"/>
            <w:tcBorders>
              <w:top w:val="nil"/>
              <w:left w:val="nil"/>
              <w:bottom w:val="single" w:sz="4" w:space="0" w:color="auto"/>
              <w:right w:val="single" w:sz="4" w:space="0" w:color="auto"/>
            </w:tcBorders>
            <w:shd w:val="clear" w:color="000000" w:fill="FFFFFF"/>
            <w:noWrap/>
            <w:vAlign w:val="center"/>
          </w:tcPr>
          <w:p w14:paraId="76B992C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是</w:t>
            </w:r>
          </w:p>
        </w:tc>
      </w:tr>
      <w:tr w:rsidR="00000000" w14:paraId="5C6685D6"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1E20F53C"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716CC0BB"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742AC024"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12</w:t>
            </w:r>
          </w:p>
        </w:tc>
        <w:tc>
          <w:tcPr>
            <w:tcW w:w="330" w:type="pct"/>
            <w:tcBorders>
              <w:top w:val="nil"/>
              <w:left w:val="nil"/>
              <w:bottom w:val="single" w:sz="4" w:space="0" w:color="auto"/>
              <w:right w:val="single" w:sz="4" w:space="0" w:color="auto"/>
            </w:tcBorders>
            <w:shd w:val="clear" w:color="000000" w:fill="FFFFFF"/>
            <w:noWrap/>
            <w:vAlign w:val="bottom"/>
          </w:tcPr>
          <w:p w14:paraId="271A08C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14:paraId="2CD0BE0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-105</w:t>
            </w:r>
          </w:p>
        </w:tc>
        <w:tc>
          <w:tcPr>
            <w:tcW w:w="677" w:type="pct"/>
            <w:tcBorders>
              <w:top w:val="nil"/>
              <w:left w:val="nil"/>
              <w:bottom w:val="single" w:sz="4" w:space="0" w:color="auto"/>
              <w:right w:val="single" w:sz="4" w:space="0" w:color="auto"/>
            </w:tcBorders>
            <w:shd w:val="clear" w:color="000000" w:fill="FFFFFF"/>
            <w:noWrap/>
            <w:vAlign w:val="center"/>
          </w:tcPr>
          <w:p w14:paraId="5F17ABD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863.40</w:t>
            </w:r>
          </w:p>
        </w:tc>
        <w:tc>
          <w:tcPr>
            <w:tcW w:w="938" w:type="pct"/>
            <w:tcBorders>
              <w:top w:val="nil"/>
              <w:left w:val="nil"/>
              <w:bottom w:val="single" w:sz="4" w:space="0" w:color="auto"/>
              <w:right w:val="single" w:sz="4" w:space="0" w:color="auto"/>
            </w:tcBorders>
            <w:shd w:val="clear" w:color="000000" w:fill="FFFFFF"/>
            <w:noWrap/>
            <w:vAlign w:val="center"/>
          </w:tcPr>
          <w:p w14:paraId="2A2792D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514.12</w:t>
            </w:r>
          </w:p>
        </w:tc>
        <w:tc>
          <w:tcPr>
            <w:tcW w:w="301" w:type="pct"/>
            <w:tcBorders>
              <w:top w:val="nil"/>
              <w:left w:val="nil"/>
              <w:bottom w:val="single" w:sz="4" w:space="0" w:color="auto"/>
              <w:right w:val="single" w:sz="4" w:space="0" w:color="auto"/>
            </w:tcBorders>
            <w:shd w:val="clear" w:color="000000" w:fill="FFFFFF"/>
            <w:noWrap/>
            <w:vAlign w:val="center"/>
          </w:tcPr>
          <w:p w14:paraId="4B39567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71B6DF9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c>
          <w:tcPr>
            <w:tcW w:w="578" w:type="pct"/>
            <w:tcBorders>
              <w:top w:val="nil"/>
              <w:left w:val="nil"/>
              <w:bottom w:val="single" w:sz="4" w:space="0" w:color="auto"/>
              <w:right w:val="single" w:sz="4" w:space="0" w:color="auto"/>
            </w:tcBorders>
            <w:shd w:val="clear" w:color="000000" w:fill="FFFFFF"/>
            <w:noWrap/>
            <w:vAlign w:val="center"/>
          </w:tcPr>
          <w:p w14:paraId="0FAC347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是</w:t>
            </w:r>
          </w:p>
        </w:tc>
      </w:tr>
      <w:tr w:rsidR="00000000" w14:paraId="5E69FCB7" w14:textId="77777777">
        <w:trPr>
          <w:trHeight w:val="90"/>
          <w:jc w:val="center"/>
        </w:trPr>
        <w:tc>
          <w:tcPr>
            <w:tcW w:w="289" w:type="pct"/>
            <w:vMerge/>
            <w:tcBorders>
              <w:top w:val="nil"/>
              <w:left w:val="single" w:sz="4" w:space="0" w:color="auto"/>
              <w:bottom w:val="single" w:sz="4" w:space="0" w:color="000000"/>
              <w:right w:val="single" w:sz="4" w:space="0" w:color="auto"/>
            </w:tcBorders>
            <w:vAlign w:val="center"/>
          </w:tcPr>
          <w:p w14:paraId="64294831"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1EC37DC2"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4CBC3BEA"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13</w:t>
            </w:r>
          </w:p>
        </w:tc>
        <w:tc>
          <w:tcPr>
            <w:tcW w:w="330" w:type="pct"/>
            <w:tcBorders>
              <w:top w:val="nil"/>
              <w:left w:val="nil"/>
              <w:bottom w:val="single" w:sz="4" w:space="0" w:color="auto"/>
              <w:right w:val="single" w:sz="4" w:space="0" w:color="auto"/>
            </w:tcBorders>
            <w:shd w:val="clear" w:color="000000" w:fill="FFFFFF"/>
            <w:noWrap/>
            <w:vAlign w:val="bottom"/>
          </w:tcPr>
          <w:p w14:paraId="6C5361F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14:paraId="55E11D8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-106</w:t>
            </w:r>
          </w:p>
        </w:tc>
        <w:tc>
          <w:tcPr>
            <w:tcW w:w="677" w:type="pct"/>
            <w:tcBorders>
              <w:top w:val="nil"/>
              <w:left w:val="nil"/>
              <w:bottom w:val="single" w:sz="4" w:space="0" w:color="auto"/>
              <w:right w:val="single" w:sz="4" w:space="0" w:color="auto"/>
            </w:tcBorders>
            <w:shd w:val="clear" w:color="000000" w:fill="FFFFFF"/>
            <w:noWrap/>
            <w:vAlign w:val="center"/>
          </w:tcPr>
          <w:p w14:paraId="3836F99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903.32</w:t>
            </w:r>
          </w:p>
        </w:tc>
        <w:tc>
          <w:tcPr>
            <w:tcW w:w="938" w:type="pct"/>
            <w:tcBorders>
              <w:top w:val="nil"/>
              <w:left w:val="nil"/>
              <w:bottom w:val="single" w:sz="4" w:space="0" w:color="auto"/>
              <w:right w:val="single" w:sz="4" w:space="0" w:color="auto"/>
            </w:tcBorders>
            <w:shd w:val="clear" w:color="000000" w:fill="FFFFFF"/>
            <w:noWrap/>
            <w:vAlign w:val="center"/>
          </w:tcPr>
          <w:p w14:paraId="30121A7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537.89</w:t>
            </w:r>
          </w:p>
        </w:tc>
        <w:tc>
          <w:tcPr>
            <w:tcW w:w="301" w:type="pct"/>
            <w:tcBorders>
              <w:top w:val="nil"/>
              <w:left w:val="nil"/>
              <w:bottom w:val="single" w:sz="4" w:space="0" w:color="auto"/>
              <w:right w:val="single" w:sz="4" w:space="0" w:color="auto"/>
            </w:tcBorders>
            <w:shd w:val="clear" w:color="000000" w:fill="FFFFFF"/>
            <w:noWrap/>
            <w:vAlign w:val="center"/>
          </w:tcPr>
          <w:p w14:paraId="418EA77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18BC593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c>
          <w:tcPr>
            <w:tcW w:w="578" w:type="pct"/>
            <w:tcBorders>
              <w:top w:val="nil"/>
              <w:left w:val="nil"/>
              <w:bottom w:val="single" w:sz="4" w:space="0" w:color="auto"/>
              <w:right w:val="single" w:sz="4" w:space="0" w:color="auto"/>
            </w:tcBorders>
            <w:shd w:val="clear" w:color="000000" w:fill="FFFFFF"/>
            <w:noWrap/>
            <w:vAlign w:val="center"/>
          </w:tcPr>
          <w:p w14:paraId="0CB6DDD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是</w:t>
            </w:r>
          </w:p>
        </w:tc>
      </w:tr>
      <w:tr w:rsidR="00000000" w14:paraId="39A65A4F"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2310D060"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5716A8D3"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1B57781A"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14</w:t>
            </w:r>
          </w:p>
        </w:tc>
        <w:tc>
          <w:tcPr>
            <w:tcW w:w="330" w:type="pct"/>
            <w:tcBorders>
              <w:top w:val="nil"/>
              <w:left w:val="nil"/>
              <w:bottom w:val="single" w:sz="4" w:space="0" w:color="auto"/>
              <w:right w:val="single" w:sz="4" w:space="0" w:color="auto"/>
            </w:tcBorders>
            <w:shd w:val="clear" w:color="000000" w:fill="FFFFFF"/>
            <w:noWrap/>
            <w:vAlign w:val="bottom"/>
          </w:tcPr>
          <w:p w14:paraId="05A741E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14:paraId="7C99220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-107</w:t>
            </w:r>
          </w:p>
        </w:tc>
        <w:tc>
          <w:tcPr>
            <w:tcW w:w="677" w:type="pct"/>
            <w:tcBorders>
              <w:top w:val="nil"/>
              <w:left w:val="nil"/>
              <w:bottom w:val="single" w:sz="4" w:space="0" w:color="auto"/>
              <w:right w:val="single" w:sz="4" w:space="0" w:color="auto"/>
            </w:tcBorders>
            <w:shd w:val="clear" w:color="000000" w:fill="FFFFFF"/>
            <w:noWrap/>
            <w:vAlign w:val="center"/>
          </w:tcPr>
          <w:p w14:paraId="19BC175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892.55</w:t>
            </w:r>
          </w:p>
        </w:tc>
        <w:tc>
          <w:tcPr>
            <w:tcW w:w="938" w:type="pct"/>
            <w:tcBorders>
              <w:top w:val="nil"/>
              <w:left w:val="nil"/>
              <w:bottom w:val="single" w:sz="4" w:space="0" w:color="auto"/>
              <w:right w:val="single" w:sz="4" w:space="0" w:color="auto"/>
            </w:tcBorders>
            <w:shd w:val="clear" w:color="000000" w:fill="FFFFFF"/>
            <w:noWrap/>
            <w:vAlign w:val="center"/>
          </w:tcPr>
          <w:p w14:paraId="5FD8AE3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531.48</w:t>
            </w:r>
          </w:p>
        </w:tc>
        <w:tc>
          <w:tcPr>
            <w:tcW w:w="301" w:type="pct"/>
            <w:tcBorders>
              <w:top w:val="nil"/>
              <w:left w:val="nil"/>
              <w:bottom w:val="single" w:sz="4" w:space="0" w:color="auto"/>
              <w:right w:val="single" w:sz="4" w:space="0" w:color="auto"/>
            </w:tcBorders>
            <w:shd w:val="clear" w:color="000000" w:fill="FFFFFF"/>
            <w:noWrap/>
            <w:vAlign w:val="center"/>
          </w:tcPr>
          <w:p w14:paraId="16A12C2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4026E34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c>
          <w:tcPr>
            <w:tcW w:w="578" w:type="pct"/>
            <w:tcBorders>
              <w:top w:val="nil"/>
              <w:left w:val="nil"/>
              <w:bottom w:val="single" w:sz="4" w:space="0" w:color="auto"/>
              <w:right w:val="single" w:sz="4" w:space="0" w:color="auto"/>
            </w:tcBorders>
            <w:shd w:val="clear" w:color="000000" w:fill="FFFFFF"/>
            <w:noWrap/>
            <w:vAlign w:val="center"/>
          </w:tcPr>
          <w:p w14:paraId="2EE8F25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是</w:t>
            </w:r>
          </w:p>
        </w:tc>
      </w:tr>
      <w:tr w:rsidR="00000000" w14:paraId="7487712E"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3DE36CF4"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58D7A7D4"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644E4C07"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15</w:t>
            </w:r>
          </w:p>
        </w:tc>
        <w:tc>
          <w:tcPr>
            <w:tcW w:w="330" w:type="pct"/>
            <w:tcBorders>
              <w:top w:val="nil"/>
              <w:left w:val="nil"/>
              <w:bottom w:val="single" w:sz="4" w:space="0" w:color="auto"/>
              <w:right w:val="single" w:sz="4" w:space="0" w:color="auto"/>
            </w:tcBorders>
            <w:shd w:val="clear" w:color="000000" w:fill="FFFFFF"/>
            <w:noWrap/>
            <w:vAlign w:val="bottom"/>
          </w:tcPr>
          <w:p w14:paraId="2AC7847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14:paraId="433237A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-108</w:t>
            </w:r>
          </w:p>
        </w:tc>
        <w:tc>
          <w:tcPr>
            <w:tcW w:w="677" w:type="pct"/>
            <w:tcBorders>
              <w:top w:val="nil"/>
              <w:left w:val="nil"/>
              <w:bottom w:val="single" w:sz="4" w:space="0" w:color="auto"/>
              <w:right w:val="single" w:sz="4" w:space="0" w:color="auto"/>
            </w:tcBorders>
            <w:shd w:val="clear" w:color="000000" w:fill="FFFFFF"/>
            <w:noWrap/>
            <w:vAlign w:val="center"/>
          </w:tcPr>
          <w:p w14:paraId="788DDAC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883.60</w:t>
            </w:r>
          </w:p>
        </w:tc>
        <w:tc>
          <w:tcPr>
            <w:tcW w:w="938" w:type="pct"/>
            <w:tcBorders>
              <w:top w:val="nil"/>
              <w:left w:val="nil"/>
              <w:bottom w:val="single" w:sz="4" w:space="0" w:color="auto"/>
              <w:right w:val="single" w:sz="4" w:space="0" w:color="auto"/>
            </w:tcBorders>
            <w:shd w:val="clear" w:color="000000" w:fill="FFFFFF"/>
            <w:noWrap/>
            <w:vAlign w:val="center"/>
          </w:tcPr>
          <w:p w14:paraId="750E1D3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526.15</w:t>
            </w:r>
          </w:p>
        </w:tc>
        <w:tc>
          <w:tcPr>
            <w:tcW w:w="301" w:type="pct"/>
            <w:tcBorders>
              <w:top w:val="nil"/>
              <w:left w:val="nil"/>
              <w:bottom w:val="single" w:sz="4" w:space="0" w:color="auto"/>
              <w:right w:val="single" w:sz="4" w:space="0" w:color="auto"/>
            </w:tcBorders>
            <w:shd w:val="clear" w:color="000000" w:fill="FFFFFF"/>
            <w:noWrap/>
            <w:vAlign w:val="center"/>
          </w:tcPr>
          <w:p w14:paraId="3982BD0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679AF32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c>
          <w:tcPr>
            <w:tcW w:w="578" w:type="pct"/>
            <w:tcBorders>
              <w:top w:val="nil"/>
              <w:left w:val="nil"/>
              <w:bottom w:val="single" w:sz="4" w:space="0" w:color="auto"/>
              <w:right w:val="single" w:sz="4" w:space="0" w:color="auto"/>
            </w:tcBorders>
            <w:shd w:val="clear" w:color="000000" w:fill="FFFFFF"/>
            <w:noWrap/>
            <w:vAlign w:val="center"/>
          </w:tcPr>
          <w:p w14:paraId="3E70480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是</w:t>
            </w:r>
          </w:p>
        </w:tc>
      </w:tr>
      <w:tr w:rsidR="00000000" w14:paraId="75904974"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0B0DE69A"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2F546336"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536ECA1C"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16</w:t>
            </w:r>
          </w:p>
        </w:tc>
        <w:tc>
          <w:tcPr>
            <w:tcW w:w="330" w:type="pct"/>
            <w:tcBorders>
              <w:top w:val="nil"/>
              <w:left w:val="nil"/>
              <w:bottom w:val="single" w:sz="4" w:space="0" w:color="auto"/>
              <w:right w:val="single" w:sz="4" w:space="0" w:color="auto"/>
            </w:tcBorders>
            <w:shd w:val="clear" w:color="000000" w:fill="FFFFFF"/>
            <w:noWrap/>
            <w:vAlign w:val="bottom"/>
          </w:tcPr>
          <w:p w14:paraId="5C4C768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14:paraId="7C6CEC0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-109</w:t>
            </w:r>
          </w:p>
        </w:tc>
        <w:tc>
          <w:tcPr>
            <w:tcW w:w="677" w:type="pct"/>
            <w:tcBorders>
              <w:top w:val="nil"/>
              <w:left w:val="nil"/>
              <w:bottom w:val="single" w:sz="4" w:space="0" w:color="auto"/>
              <w:right w:val="single" w:sz="4" w:space="0" w:color="auto"/>
            </w:tcBorders>
            <w:shd w:val="clear" w:color="000000" w:fill="FFFFFF"/>
            <w:noWrap/>
            <w:vAlign w:val="center"/>
          </w:tcPr>
          <w:p w14:paraId="79A74BC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934.77</w:t>
            </w:r>
          </w:p>
        </w:tc>
        <w:tc>
          <w:tcPr>
            <w:tcW w:w="938" w:type="pct"/>
            <w:tcBorders>
              <w:top w:val="nil"/>
              <w:left w:val="nil"/>
              <w:bottom w:val="single" w:sz="4" w:space="0" w:color="auto"/>
              <w:right w:val="single" w:sz="4" w:space="0" w:color="auto"/>
            </w:tcBorders>
            <w:shd w:val="clear" w:color="000000" w:fill="FFFFFF"/>
            <w:noWrap/>
            <w:vAlign w:val="center"/>
          </w:tcPr>
          <w:p w14:paraId="221270D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556.62</w:t>
            </w:r>
          </w:p>
        </w:tc>
        <w:tc>
          <w:tcPr>
            <w:tcW w:w="301" w:type="pct"/>
            <w:tcBorders>
              <w:top w:val="nil"/>
              <w:left w:val="nil"/>
              <w:bottom w:val="single" w:sz="4" w:space="0" w:color="auto"/>
              <w:right w:val="single" w:sz="4" w:space="0" w:color="auto"/>
            </w:tcBorders>
            <w:shd w:val="clear" w:color="000000" w:fill="FFFFFF"/>
            <w:noWrap/>
            <w:vAlign w:val="center"/>
          </w:tcPr>
          <w:p w14:paraId="38801C2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25C516E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c>
          <w:tcPr>
            <w:tcW w:w="578" w:type="pct"/>
            <w:tcBorders>
              <w:top w:val="nil"/>
              <w:left w:val="nil"/>
              <w:bottom w:val="single" w:sz="4" w:space="0" w:color="auto"/>
              <w:right w:val="single" w:sz="4" w:space="0" w:color="auto"/>
            </w:tcBorders>
            <w:shd w:val="clear" w:color="000000" w:fill="FFFFFF"/>
            <w:noWrap/>
            <w:vAlign w:val="center"/>
          </w:tcPr>
          <w:p w14:paraId="150B823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是</w:t>
            </w:r>
          </w:p>
        </w:tc>
      </w:tr>
      <w:tr w:rsidR="00000000" w14:paraId="45E10B1B"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3B5EEB8A"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437EE579"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763632B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330" w:type="pct"/>
            <w:tcBorders>
              <w:top w:val="nil"/>
              <w:left w:val="nil"/>
              <w:bottom w:val="single" w:sz="4" w:space="0" w:color="auto"/>
              <w:right w:val="single" w:sz="4" w:space="0" w:color="auto"/>
            </w:tcBorders>
            <w:shd w:val="clear" w:color="000000" w:fill="FFFFFF"/>
            <w:noWrap/>
            <w:vAlign w:val="bottom"/>
          </w:tcPr>
          <w:p w14:paraId="1844759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小计</w:t>
            </w:r>
          </w:p>
        </w:tc>
        <w:tc>
          <w:tcPr>
            <w:tcW w:w="625" w:type="pct"/>
            <w:tcBorders>
              <w:top w:val="nil"/>
              <w:left w:val="nil"/>
              <w:bottom w:val="single" w:sz="4" w:space="0" w:color="auto"/>
              <w:right w:val="single" w:sz="4" w:space="0" w:color="auto"/>
            </w:tcBorders>
            <w:shd w:val="clear" w:color="000000" w:fill="FFFFFF"/>
            <w:noWrap/>
            <w:vAlign w:val="center"/>
          </w:tcPr>
          <w:p w14:paraId="155F027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14:paraId="78EF1B7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8822.48 </w:t>
            </w:r>
          </w:p>
        </w:tc>
        <w:tc>
          <w:tcPr>
            <w:tcW w:w="938" w:type="pct"/>
            <w:tcBorders>
              <w:top w:val="nil"/>
              <w:left w:val="nil"/>
              <w:bottom w:val="single" w:sz="4" w:space="0" w:color="auto"/>
              <w:right w:val="single" w:sz="4" w:space="0" w:color="auto"/>
            </w:tcBorders>
            <w:shd w:val="clear" w:color="000000" w:fill="FFFFFF"/>
            <w:noWrap/>
            <w:vAlign w:val="center"/>
          </w:tcPr>
          <w:p w14:paraId="07FDD54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5253.44 </w:t>
            </w:r>
          </w:p>
        </w:tc>
        <w:tc>
          <w:tcPr>
            <w:tcW w:w="301" w:type="pct"/>
            <w:tcBorders>
              <w:top w:val="nil"/>
              <w:left w:val="nil"/>
              <w:bottom w:val="single" w:sz="4" w:space="0" w:color="auto"/>
              <w:right w:val="single" w:sz="4" w:space="0" w:color="auto"/>
            </w:tcBorders>
            <w:shd w:val="clear" w:color="000000" w:fill="FFFFFF"/>
            <w:noWrap/>
            <w:vAlign w:val="center"/>
          </w:tcPr>
          <w:p w14:paraId="2FEC33C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14:paraId="138A2B9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578" w:type="pct"/>
            <w:tcBorders>
              <w:top w:val="nil"/>
              <w:left w:val="nil"/>
              <w:bottom w:val="single" w:sz="4" w:space="0" w:color="auto"/>
              <w:right w:val="single" w:sz="4" w:space="0" w:color="auto"/>
            </w:tcBorders>
            <w:shd w:val="clear" w:color="000000" w:fill="FFFFFF"/>
            <w:noWrap/>
            <w:vAlign w:val="center"/>
          </w:tcPr>
          <w:p w14:paraId="36B7D7D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r>
      <w:tr w:rsidR="00000000" w14:paraId="77E03A06" w14:textId="77777777">
        <w:trPr>
          <w:trHeight w:val="266"/>
          <w:jc w:val="center"/>
        </w:trPr>
        <w:tc>
          <w:tcPr>
            <w:tcW w:w="289" w:type="pct"/>
            <w:vMerge/>
            <w:tcBorders>
              <w:top w:val="nil"/>
              <w:left w:val="single" w:sz="4" w:space="0" w:color="auto"/>
              <w:bottom w:val="single" w:sz="4" w:space="0" w:color="000000"/>
              <w:right w:val="single" w:sz="4" w:space="0" w:color="auto"/>
            </w:tcBorders>
            <w:vAlign w:val="center"/>
          </w:tcPr>
          <w:p w14:paraId="6573F222"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bottom w:val="single" w:sz="4" w:space="0" w:color="auto"/>
              <w:right w:val="single" w:sz="4" w:space="0" w:color="auto"/>
            </w:tcBorders>
            <w:shd w:val="clear" w:color="000000" w:fill="FFFFFF"/>
            <w:noWrap/>
            <w:vAlign w:val="center"/>
          </w:tcPr>
          <w:p w14:paraId="2C1CEEB3"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6CFE158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330" w:type="pct"/>
            <w:tcBorders>
              <w:top w:val="nil"/>
              <w:left w:val="nil"/>
              <w:bottom w:val="single" w:sz="4" w:space="0" w:color="auto"/>
              <w:right w:val="single" w:sz="4" w:space="0" w:color="auto"/>
            </w:tcBorders>
            <w:shd w:val="clear" w:color="000000" w:fill="FFFFFF"/>
            <w:noWrap/>
            <w:vAlign w:val="bottom"/>
          </w:tcPr>
          <w:p w14:paraId="6A8CC75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commentRangeStart w:id="3"/>
            <w:r>
              <w:rPr>
                <w:rFonts w:ascii="Arial Unicode MS" w:eastAsia="Arial Unicode MS" w:hAnsi="Arial Unicode MS" w:cs="Arial Unicode MS" w:hint="eastAsia"/>
                <w:color w:val="000000"/>
                <w:sz w:val="16"/>
                <w:szCs w:val="16"/>
              </w:rPr>
              <w:t>合计</w:t>
            </w:r>
            <w:commentRangeEnd w:id="3"/>
            <w:r w:rsidR="00D52899">
              <w:rPr>
                <w:rStyle w:val="af9"/>
              </w:rPr>
              <w:commentReference w:id="3"/>
            </w:r>
          </w:p>
        </w:tc>
        <w:tc>
          <w:tcPr>
            <w:tcW w:w="625" w:type="pct"/>
            <w:tcBorders>
              <w:top w:val="nil"/>
              <w:left w:val="nil"/>
              <w:bottom w:val="single" w:sz="4" w:space="0" w:color="auto"/>
              <w:right w:val="single" w:sz="4" w:space="0" w:color="auto"/>
            </w:tcBorders>
            <w:shd w:val="clear" w:color="000000" w:fill="FFFFFF"/>
            <w:noWrap/>
            <w:vAlign w:val="center"/>
          </w:tcPr>
          <w:p w14:paraId="35C832A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14:paraId="5C4B95D8" w14:textId="77777777" w:rsidR="00000000" w:rsidRDefault="00000000">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14110.31</w:t>
            </w:r>
          </w:p>
        </w:tc>
        <w:tc>
          <w:tcPr>
            <w:tcW w:w="938" w:type="pct"/>
            <w:tcBorders>
              <w:top w:val="nil"/>
              <w:left w:val="nil"/>
              <w:bottom w:val="single" w:sz="4" w:space="0" w:color="auto"/>
              <w:right w:val="single" w:sz="4" w:space="0" w:color="auto"/>
            </w:tcBorders>
            <w:shd w:val="clear" w:color="000000" w:fill="FFFFFF"/>
            <w:noWrap/>
            <w:vAlign w:val="center"/>
          </w:tcPr>
          <w:p w14:paraId="5AC05842" w14:textId="77777777" w:rsidR="00000000" w:rsidRDefault="00000000">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9306.41</w:t>
            </w:r>
          </w:p>
        </w:tc>
        <w:tc>
          <w:tcPr>
            <w:tcW w:w="301" w:type="pct"/>
            <w:tcBorders>
              <w:top w:val="nil"/>
              <w:left w:val="nil"/>
              <w:bottom w:val="single" w:sz="4" w:space="0" w:color="auto"/>
              <w:right w:val="single" w:sz="4" w:space="0" w:color="auto"/>
            </w:tcBorders>
            <w:shd w:val="clear" w:color="000000" w:fill="FFFFFF"/>
            <w:noWrap/>
            <w:vAlign w:val="center"/>
          </w:tcPr>
          <w:p w14:paraId="2006BF2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14:paraId="3DE1346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578" w:type="pct"/>
            <w:tcBorders>
              <w:top w:val="nil"/>
              <w:left w:val="nil"/>
              <w:bottom w:val="single" w:sz="4" w:space="0" w:color="auto"/>
              <w:right w:val="single" w:sz="4" w:space="0" w:color="auto"/>
            </w:tcBorders>
            <w:shd w:val="clear" w:color="000000" w:fill="FFFFFF"/>
            <w:noWrap/>
            <w:vAlign w:val="center"/>
          </w:tcPr>
          <w:p w14:paraId="03A54F4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r>
      <w:tr w:rsidR="00000000" w14:paraId="11F7ED41" w14:textId="77777777">
        <w:trPr>
          <w:trHeight w:val="20"/>
          <w:jc w:val="center"/>
        </w:trPr>
        <w:tc>
          <w:tcPr>
            <w:tcW w:w="289" w:type="pct"/>
            <w:vMerge w:val="restart"/>
            <w:tcBorders>
              <w:top w:val="nil"/>
              <w:left w:val="single" w:sz="4" w:space="0" w:color="auto"/>
              <w:bottom w:val="single" w:sz="4" w:space="0" w:color="000000"/>
              <w:right w:val="single" w:sz="4" w:space="0" w:color="auto"/>
            </w:tcBorders>
            <w:shd w:val="clear" w:color="000000" w:fill="FFFFFF"/>
            <w:noWrap/>
            <w:vAlign w:val="center"/>
          </w:tcPr>
          <w:p w14:paraId="701EFE7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lastRenderedPageBreak/>
              <w:t>044地块</w:t>
            </w:r>
          </w:p>
        </w:tc>
        <w:tc>
          <w:tcPr>
            <w:tcW w:w="535" w:type="pct"/>
            <w:vMerge w:val="restart"/>
            <w:tcBorders>
              <w:top w:val="nil"/>
              <w:left w:val="nil"/>
              <w:right w:val="single" w:sz="4" w:space="0" w:color="auto"/>
            </w:tcBorders>
            <w:shd w:val="clear" w:color="000000" w:fill="FFFFFF"/>
            <w:noWrap/>
            <w:vAlign w:val="center"/>
          </w:tcPr>
          <w:p w14:paraId="70146ECC"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房山区长阳镇FS00-LX10-0044地块6#商业楼</w:t>
            </w:r>
          </w:p>
        </w:tc>
        <w:tc>
          <w:tcPr>
            <w:tcW w:w="320" w:type="pct"/>
            <w:tcBorders>
              <w:top w:val="nil"/>
              <w:left w:val="nil"/>
              <w:bottom w:val="single" w:sz="4" w:space="0" w:color="auto"/>
              <w:right w:val="single" w:sz="4" w:space="0" w:color="auto"/>
            </w:tcBorders>
            <w:shd w:val="clear" w:color="000000" w:fill="FFFFFF"/>
            <w:noWrap/>
            <w:vAlign w:val="center"/>
          </w:tcPr>
          <w:p w14:paraId="5AEB6D09"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17</w:t>
            </w:r>
          </w:p>
        </w:tc>
        <w:tc>
          <w:tcPr>
            <w:tcW w:w="330" w:type="pct"/>
            <w:tcBorders>
              <w:top w:val="nil"/>
              <w:left w:val="nil"/>
              <w:bottom w:val="single" w:sz="4" w:space="0" w:color="auto"/>
              <w:right w:val="single" w:sz="4" w:space="0" w:color="auto"/>
            </w:tcBorders>
            <w:shd w:val="clear" w:color="000000" w:fill="FFFFFF"/>
            <w:noWrap/>
            <w:vAlign w:val="bottom"/>
          </w:tcPr>
          <w:p w14:paraId="14C2E5E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14:paraId="13F9F35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101</w:t>
            </w:r>
          </w:p>
        </w:tc>
        <w:tc>
          <w:tcPr>
            <w:tcW w:w="677" w:type="pct"/>
            <w:tcBorders>
              <w:top w:val="nil"/>
              <w:left w:val="nil"/>
              <w:bottom w:val="single" w:sz="4" w:space="0" w:color="auto"/>
              <w:right w:val="single" w:sz="4" w:space="0" w:color="auto"/>
            </w:tcBorders>
            <w:shd w:val="clear" w:color="000000" w:fill="FFFFFF"/>
            <w:noWrap/>
            <w:vAlign w:val="center"/>
          </w:tcPr>
          <w:p w14:paraId="76F9C53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867.37</w:t>
            </w:r>
          </w:p>
        </w:tc>
        <w:tc>
          <w:tcPr>
            <w:tcW w:w="938" w:type="pct"/>
            <w:tcBorders>
              <w:top w:val="nil"/>
              <w:left w:val="nil"/>
              <w:bottom w:val="single" w:sz="4" w:space="0" w:color="auto"/>
              <w:right w:val="single" w:sz="4" w:space="0" w:color="auto"/>
            </w:tcBorders>
            <w:shd w:val="clear" w:color="000000" w:fill="FFFFFF"/>
            <w:noWrap/>
            <w:vAlign w:val="center"/>
          </w:tcPr>
          <w:p w14:paraId="6710DDE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734.86 </w:t>
            </w:r>
          </w:p>
        </w:tc>
        <w:tc>
          <w:tcPr>
            <w:tcW w:w="301" w:type="pct"/>
            <w:tcBorders>
              <w:top w:val="nil"/>
              <w:left w:val="nil"/>
              <w:bottom w:val="single" w:sz="4" w:space="0" w:color="auto"/>
              <w:right w:val="single" w:sz="4" w:space="0" w:color="auto"/>
            </w:tcBorders>
            <w:shd w:val="clear" w:color="000000" w:fill="FFFFFF"/>
            <w:noWrap/>
            <w:vAlign w:val="center"/>
          </w:tcPr>
          <w:p w14:paraId="0D1D9C7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440962B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地上</w:t>
            </w:r>
          </w:p>
        </w:tc>
        <w:tc>
          <w:tcPr>
            <w:tcW w:w="578" w:type="pct"/>
            <w:tcBorders>
              <w:top w:val="nil"/>
              <w:left w:val="nil"/>
              <w:bottom w:val="single" w:sz="4" w:space="0" w:color="auto"/>
              <w:right w:val="single" w:sz="4" w:space="0" w:color="auto"/>
            </w:tcBorders>
            <w:shd w:val="clear" w:color="000000" w:fill="FFFFFF"/>
            <w:noWrap/>
            <w:vAlign w:val="center"/>
          </w:tcPr>
          <w:p w14:paraId="371DEC1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否</w:t>
            </w:r>
          </w:p>
        </w:tc>
      </w:tr>
      <w:tr w:rsidR="00000000" w14:paraId="3E99AF10"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6F558C7C"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3FFB61E4"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29E73096"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18</w:t>
            </w:r>
          </w:p>
        </w:tc>
        <w:tc>
          <w:tcPr>
            <w:tcW w:w="330" w:type="pct"/>
            <w:tcBorders>
              <w:top w:val="nil"/>
              <w:left w:val="nil"/>
              <w:bottom w:val="single" w:sz="4" w:space="0" w:color="auto"/>
              <w:right w:val="single" w:sz="4" w:space="0" w:color="auto"/>
            </w:tcBorders>
            <w:shd w:val="clear" w:color="000000" w:fill="FFFFFF"/>
            <w:noWrap/>
            <w:vAlign w:val="bottom"/>
          </w:tcPr>
          <w:p w14:paraId="253FAC4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14:paraId="16C10C1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102</w:t>
            </w:r>
          </w:p>
        </w:tc>
        <w:tc>
          <w:tcPr>
            <w:tcW w:w="677" w:type="pct"/>
            <w:tcBorders>
              <w:top w:val="nil"/>
              <w:left w:val="nil"/>
              <w:bottom w:val="single" w:sz="4" w:space="0" w:color="auto"/>
              <w:right w:val="single" w:sz="4" w:space="0" w:color="auto"/>
            </w:tcBorders>
            <w:shd w:val="clear" w:color="000000" w:fill="FFFFFF"/>
            <w:noWrap/>
            <w:vAlign w:val="center"/>
          </w:tcPr>
          <w:p w14:paraId="06F8ADB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771.32</w:t>
            </w:r>
          </w:p>
        </w:tc>
        <w:tc>
          <w:tcPr>
            <w:tcW w:w="938" w:type="pct"/>
            <w:tcBorders>
              <w:top w:val="nil"/>
              <w:left w:val="nil"/>
              <w:bottom w:val="single" w:sz="4" w:space="0" w:color="auto"/>
              <w:right w:val="single" w:sz="4" w:space="0" w:color="auto"/>
            </w:tcBorders>
            <w:shd w:val="clear" w:color="000000" w:fill="FFFFFF"/>
            <w:noWrap/>
            <w:vAlign w:val="center"/>
          </w:tcPr>
          <w:p w14:paraId="0D2CE82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653.48 </w:t>
            </w:r>
          </w:p>
        </w:tc>
        <w:tc>
          <w:tcPr>
            <w:tcW w:w="301" w:type="pct"/>
            <w:tcBorders>
              <w:top w:val="nil"/>
              <w:left w:val="nil"/>
              <w:bottom w:val="single" w:sz="4" w:space="0" w:color="auto"/>
              <w:right w:val="single" w:sz="4" w:space="0" w:color="auto"/>
            </w:tcBorders>
            <w:shd w:val="clear" w:color="000000" w:fill="FFFFFF"/>
            <w:noWrap/>
            <w:vAlign w:val="center"/>
          </w:tcPr>
          <w:p w14:paraId="0ED3BDA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6C1F3EB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地上</w:t>
            </w:r>
          </w:p>
        </w:tc>
        <w:tc>
          <w:tcPr>
            <w:tcW w:w="578" w:type="pct"/>
            <w:tcBorders>
              <w:top w:val="nil"/>
              <w:left w:val="nil"/>
              <w:bottom w:val="single" w:sz="4" w:space="0" w:color="auto"/>
              <w:right w:val="single" w:sz="4" w:space="0" w:color="auto"/>
            </w:tcBorders>
            <w:shd w:val="clear" w:color="000000" w:fill="FFFFFF"/>
            <w:noWrap/>
            <w:vAlign w:val="center"/>
          </w:tcPr>
          <w:p w14:paraId="05B652F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否</w:t>
            </w:r>
          </w:p>
        </w:tc>
      </w:tr>
      <w:tr w:rsidR="00000000" w14:paraId="4EB7852E"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28DDD0C8"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609F4592"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593CE5BA"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19</w:t>
            </w:r>
          </w:p>
        </w:tc>
        <w:tc>
          <w:tcPr>
            <w:tcW w:w="330" w:type="pct"/>
            <w:tcBorders>
              <w:top w:val="nil"/>
              <w:left w:val="nil"/>
              <w:bottom w:val="single" w:sz="4" w:space="0" w:color="auto"/>
              <w:right w:val="single" w:sz="4" w:space="0" w:color="auto"/>
            </w:tcBorders>
            <w:shd w:val="clear" w:color="000000" w:fill="FFFFFF"/>
            <w:noWrap/>
            <w:vAlign w:val="bottom"/>
          </w:tcPr>
          <w:p w14:paraId="1045FBC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14:paraId="67D971D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103</w:t>
            </w:r>
          </w:p>
        </w:tc>
        <w:tc>
          <w:tcPr>
            <w:tcW w:w="677" w:type="pct"/>
            <w:tcBorders>
              <w:top w:val="nil"/>
              <w:left w:val="nil"/>
              <w:bottom w:val="single" w:sz="4" w:space="0" w:color="auto"/>
              <w:right w:val="single" w:sz="4" w:space="0" w:color="auto"/>
            </w:tcBorders>
            <w:shd w:val="clear" w:color="000000" w:fill="FFFFFF"/>
            <w:noWrap/>
            <w:vAlign w:val="center"/>
          </w:tcPr>
          <w:p w14:paraId="1BF014F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746.79</w:t>
            </w:r>
          </w:p>
        </w:tc>
        <w:tc>
          <w:tcPr>
            <w:tcW w:w="938" w:type="pct"/>
            <w:tcBorders>
              <w:top w:val="nil"/>
              <w:left w:val="nil"/>
              <w:bottom w:val="single" w:sz="4" w:space="0" w:color="auto"/>
              <w:right w:val="single" w:sz="4" w:space="0" w:color="auto"/>
            </w:tcBorders>
            <w:shd w:val="clear" w:color="000000" w:fill="FFFFFF"/>
            <w:noWrap/>
            <w:vAlign w:val="center"/>
          </w:tcPr>
          <w:p w14:paraId="646086B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632.70 </w:t>
            </w:r>
          </w:p>
        </w:tc>
        <w:tc>
          <w:tcPr>
            <w:tcW w:w="301" w:type="pct"/>
            <w:tcBorders>
              <w:top w:val="nil"/>
              <w:left w:val="nil"/>
              <w:bottom w:val="single" w:sz="4" w:space="0" w:color="auto"/>
              <w:right w:val="single" w:sz="4" w:space="0" w:color="auto"/>
            </w:tcBorders>
            <w:shd w:val="clear" w:color="000000" w:fill="FFFFFF"/>
            <w:noWrap/>
            <w:vAlign w:val="center"/>
          </w:tcPr>
          <w:p w14:paraId="661C1B0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5F45B68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地上</w:t>
            </w:r>
          </w:p>
        </w:tc>
        <w:tc>
          <w:tcPr>
            <w:tcW w:w="578" w:type="pct"/>
            <w:tcBorders>
              <w:top w:val="nil"/>
              <w:left w:val="nil"/>
              <w:bottom w:val="single" w:sz="4" w:space="0" w:color="auto"/>
              <w:right w:val="single" w:sz="4" w:space="0" w:color="auto"/>
            </w:tcBorders>
            <w:shd w:val="clear" w:color="000000" w:fill="FFFFFF"/>
            <w:noWrap/>
            <w:vAlign w:val="center"/>
          </w:tcPr>
          <w:p w14:paraId="1077605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否</w:t>
            </w:r>
          </w:p>
        </w:tc>
      </w:tr>
      <w:tr w:rsidR="00000000" w14:paraId="16177DC7"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717D098E"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64E4703D"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2AB2C47B"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20</w:t>
            </w:r>
          </w:p>
        </w:tc>
        <w:tc>
          <w:tcPr>
            <w:tcW w:w="330" w:type="pct"/>
            <w:tcBorders>
              <w:top w:val="nil"/>
              <w:left w:val="nil"/>
              <w:bottom w:val="single" w:sz="4" w:space="0" w:color="auto"/>
              <w:right w:val="single" w:sz="4" w:space="0" w:color="auto"/>
            </w:tcBorders>
            <w:shd w:val="clear" w:color="000000" w:fill="FFFFFF"/>
            <w:noWrap/>
            <w:vAlign w:val="bottom"/>
          </w:tcPr>
          <w:p w14:paraId="272860E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14:paraId="5319421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201</w:t>
            </w:r>
          </w:p>
        </w:tc>
        <w:tc>
          <w:tcPr>
            <w:tcW w:w="677" w:type="pct"/>
            <w:tcBorders>
              <w:top w:val="nil"/>
              <w:left w:val="nil"/>
              <w:bottom w:val="single" w:sz="4" w:space="0" w:color="auto"/>
              <w:right w:val="single" w:sz="4" w:space="0" w:color="auto"/>
            </w:tcBorders>
            <w:shd w:val="clear" w:color="000000" w:fill="FFFFFF"/>
            <w:noWrap/>
            <w:vAlign w:val="center"/>
          </w:tcPr>
          <w:p w14:paraId="0B089E6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762.37</w:t>
            </w:r>
          </w:p>
        </w:tc>
        <w:tc>
          <w:tcPr>
            <w:tcW w:w="938" w:type="pct"/>
            <w:tcBorders>
              <w:top w:val="nil"/>
              <w:left w:val="nil"/>
              <w:bottom w:val="single" w:sz="4" w:space="0" w:color="auto"/>
              <w:right w:val="single" w:sz="4" w:space="0" w:color="auto"/>
            </w:tcBorders>
            <w:shd w:val="clear" w:color="000000" w:fill="FFFFFF"/>
            <w:noWrap/>
            <w:vAlign w:val="center"/>
          </w:tcPr>
          <w:p w14:paraId="64B2BF6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645.90 </w:t>
            </w:r>
          </w:p>
        </w:tc>
        <w:tc>
          <w:tcPr>
            <w:tcW w:w="301" w:type="pct"/>
            <w:tcBorders>
              <w:top w:val="nil"/>
              <w:left w:val="nil"/>
              <w:bottom w:val="single" w:sz="4" w:space="0" w:color="auto"/>
              <w:right w:val="single" w:sz="4" w:space="0" w:color="auto"/>
            </w:tcBorders>
            <w:shd w:val="clear" w:color="000000" w:fill="FFFFFF"/>
            <w:noWrap/>
            <w:vAlign w:val="center"/>
          </w:tcPr>
          <w:p w14:paraId="386572F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26F7349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地上</w:t>
            </w:r>
          </w:p>
        </w:tc>
        <w:tc>
          <w:tcPr>
            <w:tcW w:w="578" w:type="pct"/>
            <w:tcBorders>
              <w:top w:val="nil"/>
              <w:left w:val="nil"/>
              <w:bottom w:val="single" w:sz="4" w:space="0" w:color="auto"/>
              <w:right w:val="single" w:sz="4" w:space="0" w:color="auto"/>
            </w:tcBorders>
            <w:shd w:val="clear" w:color="000000" w:fill="FFFFFF"/>
            <w:noWrap/>
            <w:vAlign w:val="center"/>
          </w:tcPr>
          <w:p w14:paraId="74A9185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否</w:t>
            </w:r>
          </w:p>
        </w:tc>
      </w:tr>
      <w:tr w:rsidR="00000000" w14:paraId="26A47627"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1E40E960"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3B45D68D"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0144AE6D"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21</w:t>
            </w:r>
          </w:p>
        </w:tc>
        <w:tc>
          <w:tcPr>
            <w:tcW w:w="330" w:type="pct"/>
            <w:tcBorders>
              <w:top w:val="nil"/>
              <w:left w:val="nil"/>
              <w:bottom w:val="single" w:sz="4" w:space="0" w:color="auto"/>
              <w:right w:val="single" w:sz="4" w:space="0" w:color="auto"/>
            </w:tcBorders>
            <w:shd w:val="clear" w:color="000000" w:fill="FFFFFF"/>
            <w:noWrap/>
            <w:vAlign w:val="bottom"/>
          </w:tcPr>
          <w:p w14:paraId="42E43ED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14:paraId="494BEDF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202</w:t>
            </w:r>
          </w:p>
        </w:tc>
        <w:tc>
          <w:tcPr>
            <w:tcW w:w="677" w:type="pct"/>
            <w:tcBorders>
              <w:top w:val="nil"/>
              <w:left w:val="nil"/>
              <w:bottom w:val="single" w:sz="4" w:space="0" w:color="auto"/>
              <w:right w:val="single" w:sz="4" w:space="0" w:color="auto"/>
            </w:tcBorders>
            <w:shd w:val="clear" w:color="000000" w:fill="FFFFFF"/>
            <w:noWrap/>
            <w:vAlign w:val="center"/>
          </w:tcPr>
          <w:p w14:paraId="00F4E79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762.21</w:t>
            </w:r>
          </w:p>
        </w:tc>
        <w:tc>
          <w:tcPr>
            <w:tcW w:w="938" w:type="pct"/>
            <w:tcBorders>
              <w:top w:val="nil"/>
              <w:left w:val="nil"/>
              <w:bottom w:val="single" w:sz="4" w:space="0" w:color="auto"/>
              <w:right w:val="single" w:sz="4" w:space="0" w:color="auto"/>
            </w:tcBorders>
            <w:shd w:val="clear" w:color="000000" w:fill="FFFFFF"/>
            <w:noWrap/>
            <w:vAlign w:val="center"/>
          </w:tcPr>
          <w:p w14:paraId="4E652A9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645.76 </w:t>
            </w:r>
          </w:p>
        </w:tc>
        <w:tc>
          <w:tcPr>
            <w:tcW w:w="301" w:type="pct"/>
            <w:tcBorders>
              <w:top w:val="nil"/>
              <w:left w:val="nil"/>
              <w:bottom w:val="single" w:sz="4" w:space="0" w:color="auto"/>
              <w:right w:val="single" w:sz="4" w:space="0" w:color="auto"/>
            </w:tcBorders>
            <w:shd w:val="clear" w:color="000000" w:fill="FFFFFF"/>
            <w:noWrap/>
            <w:vAlign w:val="center"/>
          </w:tcPr>
          <w:p w14:paraId="1A1F356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3A4F7F5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地上</w:t>
            </w:r>
          </w:p>
        </w:tc>
        <w:tc>
          <w:tcPr>
            <w:tcW w:w="578" w:type="pct"/>
            <w:tcBorders>
              <w:top w:val="nil"/>
              <w:left w:val="nil"/>
              <w:bottom w:val="single" w:sz="4" w:space="0" w:color="auto"/>
              <w:right w:val="single" w:sz="4" w:space="0" w:color="auto"/>
            </w:tcBorders>
            <w:shd w:val="clear" w:color="000000" w:fill="FFFFFF"/>
            <w:noWrap/>
            <w:vAlign w:val="center"/>
          </w:tcPr>
          <w:p w14:paraId="16D5E44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否</w:t>
            </w:r>
          </w:p>
        </w:tc>
      </w:tr>
      <w:tr w:rsidR="00000000" w14:paraId="1A790BCD"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0E558CA3"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03011439"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5B717B5D"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22</w:t>
            </w:r>
          </w:p>
        </w:tc>
        <w:tc>
          <w:tcPr>
            <w:tcW w:w="330" w:type="pct"/>
            <w:tcBorders>
              <w:top w:val="nil"/>
              <w:left w:val="nil"/>
              <w:bottom w:val="single" w:sz="4" w:space="0" w:color="auto"/>
              <w:right w:val="single" w:sz="4" w:space="0" w:color="auto"/>
            </w:tcBorders>
            <w:shd w:val="clear" w:color="000000" w:fill="FFFFFF"/>
            <w:noWrap/>
            <w:vAlign w:val="bottom"/>
          </w:tcPr>
          <w:p w14:paraId="2B96828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14:paraId="4819E9B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203</w:t>
            </w:r>
          </w:p>
        </w:tc>
        <w:tc>
          <w:tcPr>
            <w:tcW w:w="677" w:type="pct"/>
            <w:tcBorders>
              <w:top w:val="nil"/>
              <w:left w:val="nil"/>
              <w:bottom w:val="single" w:sz="4" w:space="0" w:color="auto"/>
              <w:right w:val="single" w:sz="4" w:space="0" w:color="auto"/>
            </w:tcBorders>
            <w:shd w:val="clear" w:color="000000" w:fill="FFFFFF"/>
            <w:noWrap/>
            <w:vAlign w:val="center"/>
          </w:tcPr>
          <w:p w14:paraId="2528745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875.03</w:t>
            </w:r>
          </w:p>
        </w:tc>
        <w:tc>
          <w:tcPr>
            <w:tcW w:w="938" w:type="pct"/>
            <w:tcBorders>
              <w:top w:val="nil"/>
              <w:left w:val="nil"/>
              <w:bottom w:val="single" w:sz="4" w:space="0" w:color="auto"/>
              <w:right w:val="single" w:sz="4" w:space="0" w:color="auto"/>
            </w:tcBorders>
            <w:shd w:val="clear" w:color="000000" w:fill="FFFFFF"/>
            <w:noWrap/>
            <w:vAlign w:val="center"/>
          </w:tcPr>
          <w:p w14:paraId="1C04EDE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741.35 </w:t>
            </w:r>
          </w:p>
        </w:tc>
        <w:tc>
          <w:tcPr>
            <w:tcW w:w="301" w:type="pct"/>
            <w:tcBorders>
              <w:top w:val="nil"/>
              <w:left w:val="nil"/>
              <w:bottom w:val="single" w:sz="4" w:space="0" w:color="auto"/>
              <w:right w:val="single" w:sz="4" w:space="0" w:color="auto"/>
            </w:tcBorders>
            <w:shd w:val="clear" w:color="000000" w:fill="FFFFFF"/>
            <w:noWrap/>
            <w:vAlign w:val="center"/>
          </w:tcPr>
          <w:p w14:paraId="0428644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1C9BE71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地上</w:t>
            </w:r>
          </w:p>
        </w:tc>
        <w:tc>
          <w:tcPr>
            <w:tcW w:w="578" w:type="pct"/>
            <w:tcBorders>
              <w:top w:val="nil"/>
              <w:left w:val="nil"/>
              <w:bottom w:val="single" w:sz="4" w:space="0" w:color="auto"/>
              <w:right w:val="single" w:sz="4" w:space="0" w:color="auto"/>
            </w:tcBorders>
            <w:shd w:val="clear" w:color="000000" w:fill="FFFFFF"/>
            <w:noWrap/>
            <w:vAlign w:val="center"/>
          </w:tcPr>
          <w:p w14:paraId="23FC208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否</w:t>
            </w:r>
          </w:p>
        </w:tc>
      </w:tr>
      <w:tr w:rsidR="00000000" w14:paraId="5A2A160B"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30C67DC2"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bottom w:val="single" w:sz="4" w:space="0" w:color="auto"/>
              <w:right w:val="single" w:sz="4" w:space="0" w:color="auto"/>
            </w:tcBorders>
            <w:shd w:val="clear" w:color="000000" w:fill="FFFFFF"/>
            <w:noWrap/>
            <w:vAlign w:val="center"/>
          </w:tcPr>
          <w:p w14:paraId="49D33D7D"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47EABF3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330" w:type="pct"/>
            <w:tcBorders>
              <w:top w:val="nil"/>
              <w:left w:val="nil"/>
              <w:bottom w:val="single" w:sz="4" w:space="0" w:color="auto"/>
              <w:right w:val="nil"/>
            </w:tcBorders>
            <w:shd w:val="clear" w:color="000000" w:fill="FFFFFF"/>
            <w:noWrap/>
            <w:vAlign w:val="bottom"/>
          </w:tcPr>
          <w:p w14:paraId="13B6CD3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小计</w:t>
            </w:r>
          </w:p>
        </w:tc>
        <w:tc>
          <w:tcPr>
            <w:tcW w:w="625" w:type="pct"/>
            <w:tcBorders>
              <w:top w:val="nil"/>
              <w:left w:val="single" w:sz="4" w:space="0" w:color="auto"/>
              <w:bottom w:val="single" w:sz="4" w:space="0" w:color="auto"/>
              <w:right w:val="single" w:sz="4" w:space="0" w:color="auto"/>
            </w:tcBorders>
            <w:shd w:val="clear" w:color="000000" w:fill="FFFFFF"/>
            <w:noWrap/>
            <w:vAlign w:val="bottom"/>
          </w:tcPr>
          <w:p w14:paraId="66EC8DB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14:paraId="1C05057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4785.09 </w:t>
            </w:r>
          </w:p>
        </w:tc>
        <w:tc>
          <w:tcPr>
            <w:tcW w:w="938" w:type="pct"/>
            <w:tcBorders>
              <w:top w:val="nil"/>
              <w:left w:val="nil"/>
              <w:bottom w:val="single" w:sz="4" w:space="0" w:color="auto"/>
              <w:right w:val="single" w:sz="4" w:space="0" w:color="auto"/>
            </w:tcBorders>
            <w:shd w:val="clear" w:color="000000" w:fill="FFFFFF"/>
            <w:noWrap/>
            <w:vAlign w:val="center"/>
          </w:tcPr>
          <w:p w14:paraId="07B050C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4054.05 </w:t>
            </w:r>
          </w:p>
        </w:tc>
        <w:tc>
          <w:tcPr>
            <w:tcW w:w="301" w:type="pct"/>
            <w:tcBorders>
              <w:top w:val="nil"/>
              <w:left w:val="nil"/>
              <w:bottom w:val="single" w:sz="4" w:space="0" w:color="auto"/>
              <w:right w:val="single" w:sz="4" w:space="0" w:color="auto"/>
            </w:tcBorders>
            <w:shd w:val="clear" w:color="000000" w:fill="FFFFFF"/>
            <w:noWrap/>
            <w:vAlign w:val="center"/>
          </w:tcPr>
          <w:p w14:paraId="12167C0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14:paraId="03A15E8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78" w:type="pct"/>
            <w:tcBorders>
              <w:top w:val="nil"/>
              <w:left w:val="nil"/>
              <w:bottom w:val="single" w:sz="4" w:space="0" w:color="auto"/>
              <w:right w:val="single" w:sz="4" w:space="0" w:color="auto"/>
            </w:tcBorders>
            <w:shd w:val="clear" w:color="000000" w:fill="FFFFFF"/>
            <w:noWrap/>
            <w:vAlign w:val="center"/>
          </w:tcPr>
          <w:p w14:paraId="60B350A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r>
      <w:tr w:rsidR="00000000" w14:paraId="4CA9D05E"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1B9C9C1C"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val="restart"/>
            <w:tcBorders>
              <w:top w:val="nil"/>
              <w:left w:val="nil"/>
              <w:right w:val="single" w:sz="4" w:space="0" w:color="auto"/>
            </w:tcBorders>
            <w:shd w:val="clear" w:color="000000" w:fill="FFFFFF"/>
            <w:noWrap/>
            <w:vAlign w:val="center"/>
          </w:tcPr>
          <w:p w14:paraId="621D982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房山区长于大街28号院100幢</w:t>
            </w:r>
          </w:p>
        </w:tc>
        <w:tc>
          <w:tcPr>
            <w:tcW w:w="320" w:type="pct"/>
            <w:tcBorders>
              <w:top w:val="nil"/>
              <w:left w:val="nil"/>
              <w:bottom w:val="single" w:sz="4" w:space="0" w:color="auto"/>
              <w:right w:val="single" w:sz="4" w:space="0" w:color="auto"/>
            </w:tcBorders>
            <w:shd w:val="clear" w:color="000000" w:fill="FFFFFF"/>
            <w:noWrap/>
            <w:vAlign w:val="center"/>
          </w:tcPr>
          <w:p w14:paraId="246373BA"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23</w:t>
            </w:r>
          </w:p>
        </w:tc>
        <w:tc>
          <w:tcPr>
            <w:tcW w:w="330" w:type="pct"/>
            <w:tcBorders>
              <w:top w:val="nil"/>
              <w:left w:val="nil"/>
              <w:bottom w:val="single" w:sz="4" w:space="0" w:color="auto"/>
              <w:right w:val="single" w:sz="4" w:space="0" w:color="auto"/>
            </w:tcBorders>
            <w:shd w:val="clear" w:color="000000" w:fill="FFFFFF"/>
            <w:noWrap/>
            <w:vAlign w:val="bottom"/>
          </w:tcPr>
          <w:p w14:paraId="165B72B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14:paraId="4D4C057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-102</w:t>
            </w:r>
          </w:p>
        </w:tc>
        <w:tc>
          <w:tcPr>
            <w:tcW w:w="677" w:type="pct"/>
            <w:tcBorders>
              <w:top w:val="nil"/>
              <w:left w:val="nil"/>
              <w:bottom w:val="single" w:sz="4" w:space="0" w:color="auto"/>
              <w:right w:val="single" w:sz="4" w:space="0" w:color="auto"/>
            </w:tcBorders>
            <w:shd w:val="clear" w:color="000000" w:fill="FFFFFF"/>
            <w:noWrap/>
            <w:vAlign w:val="center"/>
          </w:tcPr>
          <w:p w14:paraId="787B325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 850.52 </w:t>
            </w:r>
          </w:p>
        </w:tc>
        <w:tc>
          <w:tcPr>
            <w:tcW w:w="938" w:type="pct"/>
            <w:tcBorders>
              <w:top w:val="nil"/>
              <w:left w:val="nil"/>
              <w:bottom w:val="single" w:sz="4" w:space="0" w:color="auto"/>
              <w:right w:val="single" w:sz="4" w:space="0" w:color="auto"/>
            </w:tcBorders>
            <w:shd w:val="clear" w:color="000000" w:fill="FFFFFF"/>
            <w:noWrap/>
            <w:vAlign w:val="center"/>
          </w:tcPr>
          <w:p w14:paraId="2946708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545.07 </w:t>
            </w:r>
          </w:p>
        </w:tc>
        <w:tc>
          <w:tcPr>
            <w:tcW w:w="301" w:type="pct"/>
            <w:tcBorders>
              <w:top w:val="nil"/>
              <w:left w:val="nil"/>
              <w:bottom w:val="single" w:sz="4" w:space="0" w:color="auto"/>
              <w:right w:val="single" w:sz="4" w:space="0" w:color="auto"/>
            </w:tcBorders>
            <w:shd w:val="clear" w:color="000000" w:fill="FFFFFF"/>
            <w:noWrap/>
            <w:vAlign w:val="center"/>
          </w:tcPr>
          <w:p w14:paraId="0E586EF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71A5FE3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地下</w:t>
            </w:r>
          </w:p>
        </w:tc>
        <w:tc>
          <w:tcPr>
            <w:tcW w:w="578" w:type="pct"/>
            <w:tcBorders>
              <w:top w:val="nil"/>
              <w:left w:val="nil"/>
              <w:bottom w:val="single" w:sz="4" w:space="0" w:color="auto"/>
              <w:right w:val="single" w:sz="4" w:space="0" w:color="auto"/>
            </w:tcBorders>
            <w:shd w:val="clear" w:color="000000" w:fill="FFFFFF"/>
            <w:noWrap/>
            <w:vAlign w:val="center"/>
          </w:tcPr>
          <w:p w14:paraId="0815F02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sz w:val="16"/>
                <w:szCs w:val="16"/>
              </w:rPr>
              <w:t>是</w:t>
            </w:r>
          </w:p>
        </w:tc>
      </w:tr>
      <w:tr w:rsidR="00000000" w14:paraId="3D6A78FA"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29AB90B3"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35DAE1BE"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29131123"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24</w:t>
            </w:r>
          </w:p>
        </w:tc>
        <w:tc>
          <w:tcPr>
            <w:tcW w:w="330" w:type="pct"/>
            <w:tcBorders>
              <w:top w:val="nil"/>
              <w:left w:val="nil"/>
              <w:bottom w:val="single" w:sz="4" w:space="0" w:color="auto"/>
              <w:right w:val="single" w:sz="4" w:space="0" w:color="auto"/>
            </w:tcBorders>
            <w:shd w:val="clear" w:color="000000" w:fill="FFFFFF"/>
            <w:noWrap/>
            <w:vAlign w:val="bottom"/>
          </w:tcPr>
          <w:p w14:paraId="5B8540C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14:paraId="2212328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-103</w:t>
            </w:r>
          </w:p>
        </w:tc>
        <w:tc>
          <w:tcPr>
            <w:tcW w:w="677" w:type="pct"/>
            <w:tcBorders>
              <w:top w:val="nil"/>
              <w:left w:val="nil"/>
              <w:bottom w:val="single" w:sz="4" w:space="0" w:color="auto"/>
              <w:right w:val="single" w:sz="4" w:space="0" w:color="auto"/>
            </w:tcBorders>
            <w:shd w:val="clear" w:color="000000" w:fill="FFFFFF"/>
            <w:noWrap/>
            <w:vAlign w:val="center"/>
          </w:tcPr>
          <w:p w14:paraId="2F29865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 882.99 </w:t>
            </w:r>
          </w:p>
        </w:tc>
        <w:tc>
          <w:tcPr>
            <w:tcW w:w="938" w:type="pct"/>
            <w:tcBorders>
              <w:top w:val="nil"/>
              <w:left w:val="nil"/>
              <w:bottom w:val="single" w:sz="4" w:space="0" w:color="auto"/>
              <w:right w:val="single" w:sz="4" w:space="0" w:color="auto"/>
            </w:tcBorders>
            <w:shd w:val="clear" w:color="000000" w:fill="FFFFFF"/>
            <w:noWrap/>
            <w:vAlign w:val="center"/>
          </w:tcPr>
          <w:p w14:paraId="67147A6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565.88 </w:t>
            </w:r>
          </w:p>
        </w:tc>
        <w:tc>
          <w:tcPr>
            <w:tcW w:w="301" w:type="pct"/>
            <w:tcBorders>
              <w:top w:val="nil"/>
              <w:left w:val="nil"/>
              <w:bottom w:val="single" w:sz="4" w:space="0" w:color="auto"/>
              <w:right w:val="single" w:sz="4" w:space="0" w:color="auto"/>
            </w:tcBorders>
            <w:shd w:val="clear" w:color="000000" w:fill="FFFFFF"/>
            <w:noWrap/>
            <w:vAlign w:val="center"/>
          </w:tcPr>
          <w:p w14:paraId="17A8620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31C4E77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地下</w:t>
            </w:r>
          </w:p>
        </w:tc>
        <w:tc>
          <w:tcPr>
            <w:tcW w:w="578" w:type="pct"/>
            <w:tcBorders>
              <w:top w:val="nil"/>
              <w:left w:val="nil"/>
              <w:bottom w:val="single" w:sz="4" w:space="0" w:color="auto"/>
              <w:right w:val="single" w:sz="4" w:space="0" w:color="auto"/>
            </w:tcBorders>
            <w:shd w:val="clear" w:color="000000" w:fill="FFFFFF"/>
            <w:noWrap/>
            <w:vAlign w:val="center"/>
          </w:tcPr>
          <w:p w14:paraId="69F0293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sz w:val="16"/>
                <w:szCs w:val="16"/>
              </w:rPr>
              <w:t>是</w:t>
            </w:r>
          </w:p>
        </w:tc>
      </w:tr>
      <w:tr w:rsidR="00000000" w14:paraId="0B113198"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38AFDFAB"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4E247C96"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68CC5BAF"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25</w:t>
            </w:r>
          </w:p>
        </w:tc>
        <w:tc>
          <w:tcPr>
            <w:tcW w:w="330" w:type="pct"/>
            <w:tcBorders>
              <w:top w:val="nil"/>
              <w:left w:val="nil"/>
              <w:bottom w:val="single" w:sz="4" w:space="0" w:color="auto"/>
              <w:right w:val="single" w:sz="4" w:space="0" w:color="auto"/>
            </w:tcBorders>
            <w:shd w:val="clear" w:color="000000" w:fill="FFFFFF"/>
            <w:noWrap/>
            <w:vAlign w:val="bottom"/>
          </w:tcPr>
          <w:p w14:paraId="02E6369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14:paraId="54C84B6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-104</w:t>
            </w:r>
          </w:p>
        </w:tc>
        <w:tc>
          <w:tcPr>
            <w:tcW w:w="677" w:type="pct"/>
            <w:tcBorders>
              <w:top w:val="nil"/>
              <w:left w:val="nil"/>
              <w:bottom w:val="single" w:sz="4" w:space="0" w:color="auto"/>
              <w:right w:val="single" w:sz="4" w:space="0" w:color="auto"/>
            </w:tcBorders>
            <w:shd w:val="clear" w:color="000000" w:fill="FFFFFF"/>
            <w:noWrap/>
            <w:vAlign w:val="center"/>
          </w:tcPr>
          <w:p w14:paraId="230118B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 815.94 </w:t>
            </w:r>
          </w:p>
        </w:tc>
        <w:tc>
          <w:tcPr>
            <w:tcW w:w="938" w:type="pct"/>
            <w:tcBorders>
              <w:top w:val="nil"/>
              <w:left w:val="nil"/>
              <w:bottom w:val="single" w:sz="4" w:space="0" w:color="auto"/>
              <w:right w:val="single" w:sz="4" w:space="0" w:color="auto"/>
            </w:tcBorders>
            <w:shd w:val="clear" w:color="000000" w:fill="FFFFFF"/>
            <w:noWrap/>
            <w:vAlign w:val="center"/>
          </w:tcPr>
          <w:p w14:paraId="7C1D153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522.91 </w:t>
            </w:r>
          </w:p>
        </w:tc>
        <w:tc>
          <w:tcPr>
            <w:tcW w:w="301" w:type="pct"/>
            <w:tcBorders>
              <w:top w:val="nil"/>
              <w:left w:val="nil"/>
              <w:bottom w:val="single" w:sz="4" w:space="0" w:color="auto"/>
              <w:right w:val="single" w:sz="4" w:space="0" w:color="auto"/>
            </w:tcBorders>
            <w:shd w:val="clear" w:color="000000" w:fill="FFFFFF"/>
            <w:noWrap/>
            <w:vAlign w:val="center"/>
          </w:tcPr>
          <w:p w14:paraId="02C3D3C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2DA0F37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地下</w:t>
            </w:r>
          </w:p>
        </w:tc>
        <w:tc>
          <w:tcPr>
            <w:tcW w:w="578" w:type="pct"/>
            <w:tcBorders>
              <w:top w:val="nil"/>
              <w:left w:val="nil"/>
              <w:bottom w:val="single" w:sz="4" w:space="0" w:color="auto"/>
              <w:right w:val="single" w:sz="4" w:space="0" w:color="auto"/>
            </w:tcBorders>
            <w:shd w:val="clear" w:color="000000" w:fill="FFFFFF"/>
            <w:noWrap/>
            <w:vAlign w:val="center"/>
          </w:tcPr>
          <w:p w14:paraId="12A97C4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sz w:val="16"/>
                <w:szCs w:val="16"/>
              </w:rPr>
              <w:t>是</w:t>
            </w:r>
          </w:p>
        </w:tc>
      </w:tr>
      <w:tr w:rsidR="00000000" w14:paraId="456F596E"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2DA8557C"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2DE4318B"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264D5D84"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26</w:t>
            </w:r>
          </w:p>
        </w:tc>
        <w:tc>
          <w:tcPr>
            <w:tcW w:w="330" w:type="pct"/>
            <w:tcBorders>
              <w:top w:val="nil"/>
              <w:left w:val="nil"/>
              <w:bottom w:val="single" w:sz="4" w:space="0" w:color="auto"/>
              <w:right w:val="single" w:sz="4" w:space="0" w:color="auto"/>
            </w:tcBorders>
            <w:shd w:val="clear" w:color="000000" w:fill="FFFFFF"/>
            <w:noWrap/>
            <w:vAlign w:val="bottom"/>
          </w:tcPr>
          <w:p w14:paraId="0109576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14:paraId="5E6A40E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-105</w:t>
            </w:r>
          </w:p>
        </w:tc>
        <w:tc>
          <w:tcPr>
            <w:tcW w:w="677" w:type="pct"/>
            <w:tcBorders>
              <w:top w:val="nil"/>
              <w:left w:val="nil"/>
              <w:bottom w:val="single" w:sz="4" w:space="0" w:color="auto"/>
              <w:right w:val="single" w:sz="4" w:space="0" w:color="auto"/>
            </w:tcBorders>
            <w:shd w:val="clear" w:color="000000" w:fill="FFFFFF"/>
            <w:noWrap/>
            <w:vAlign w:val="center"/>
          </w:tcPr>
          <w:p w14:paraId="2D49239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 885.53 </w:t>
            </w:r>
          </w:p>
        </w:tc>
        <w:tc>
          <w:tcPr>
            <w:tcW w:w="938" w:type="pct"/>
            <w:tcBorders>
              <w:top w:val="nil"/>
              <w:left w:val="nil"/>
              <w:bottom w:val="single" w:sz="4" w:space="0" w:color="auto"/>
              <w:right w:val="single" w:sz="4" w:space="0" w:color="auto"/>
            </w:tcBorders>
            <w:shd w:val="clear" w:color="000000" w:fill="FFFFFF"/>
            <w:noWrap/>
            <w:vAlign w:val="center"/>
          </w:tcPr>
          <w:p w14:paraId="69E6D08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567.51 </w:t>
            </w:r>
          </w:p>
        </w:tc>
        <w:tc>
          <w:tcPr>
            <w:tcW w:w="301" w:type="pct"/>
            <w:tcBorders>
              <w:top w:val="nil"/>
              <w:left w:val="nil"/>
              <w:bottom w:val="single" w:sz="4" w:space="0" w:color="auto"/>
              <w:right w:val="single" w:sz="4" w:space="0" w:color="auto"/>
            </w:tcBorders>
            <w:shd w:val="clear" w:color="000000" w:fill="FFFFFF"/>
            <w:noWrap/>
            <w:vAlign w:val="center"/>
          </w:tcPr>
          <w:p w14:paraId="56DA131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071A7F7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地下</w:t>
            </w:r>
          </w:p>
        </w:tc>
        <w:tc>
          <w:tcPr>
            <w:tcW w:w="578" w:type="pct"/>
            <w:tcBorders>
              <w:top w:val="nil"/>
              <w:left w:val="nil"/>
              <w:bottom w:val="single" w:sz="4" w:space="0" w:color="auto"/>
              <w:right w:val="single" w:sz="4" w:space="0" w:color="auto"/>
            </w:tcBorders>
            <w:shd w:val="clear" w:color="000000" w:fill="FFFFFF"/>
            <w:noWrap/>
            <w:vAlign w:val="center"/>
          </w:tcPr>
          <w:p w14:paraId="1E97ED1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sz w:val="16"/>
                <w:szCs w:val="16"/>
              </w:rPr>
              <w:t>是</w:t>
            </w:r>
          </w:p>
        </w:tc>
      </w:tr>
      <w:tr w:rsidR="00000000" w14:paraId="2CE482F5"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5BC6B524"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711FFA4B"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72D215BD"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27</w:t>
            </w:r>
          </w:p>
        </w:tc>
        <w:tc>
          <w:tcPr>
            <w:tcW w:w="330" w:type="pct"/>
            <w:tcBorders>
              <w:top w:val="nil"/>
              <w:left w:val="nil"/>
              <w:bottom w:val="single" w:sz="4" w:space="0" w:color="auto"/>
              <w:right w:val="single" w:sz="4" w:space="0" w:color="auto"/>
            </w:tcBorders>
            <w:shd w:val="clear" w:color="000000" w:fill="FFFFFF"/>
            <w:noWrap/>
            <w:vAlign w:val="bottom"/>
          </w:tcPr>
          <w:p w14:paraId="0098F5A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14:paraId="071533E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-106</w:t>
            </w:r>
          </w:p>
        </w:tc>
        <w:tc>
          <w:tcPr>
            <w:tcW w:w="677" w:type="pct"/>
            <w:tcBorders>
              <w:top w:val="nil"/>
              <w:left w:val="nil"/>
              <w:bottom w:val="single" w:sz="4" w:space="0" w:color="auto"/>
              <w:right w:val="single" w:sz="4" w:space="0" w:color="auto"/>
            </w:tcBorders>
            <w:shd w:val="clear" w:color="000000" w:fill="FFFFFF"/>
            <w:noWrap/>
            <w:vAlign w:val="center"/>
          </w:tcPr>
          <w:p w14:paraId="5375FBA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 802.28 </w:t>
            </w:r>
          </w:p>
        </w:tc>
        <w:tc>
          <w:tcPr>
            <w:tcW w:w="938" w:type="pct"/>
            <w:tcBorders>
              <w:top w:val="nil"/>
              <w:left w:val="nil"/>
              <w:bottom w:val="single" w:sz="4" w:space="0" w:color="auto"/>
              <w:right w:val="single" w:sz="4" w:space="0" w:color="auto"/>
            </w:tcBorders>
            <w:shd w:val="clear" w:color="000000" w:fill="FFFFFF"/>
            <w:noWrap/>
            <w:vAlign w:val="center"/>
          </w:tcPr>
          <w:p w14:paraId="7043A12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514.16 </w:t>
            </w:r>
          </w:p>
        </w:tc>
        <w:tc>
          <w:tcPr>
            <w:tcW w:w="301" w:type="pct"/>
            <w:tcBorders>
              <w:top w:val="nil"/>
              <w:left w:val="nil"/>
              <w:bottom w:val="single" w:sz="4" w:space="0" w:color="auto"/>
              <w:right w:val="single" w:sz="4" w:space="0" w:color="auto"/>
            </w:tcBorders>
            <w:shd w:val="clear" w:color="000000" w:fill="FFFFFF"/>
            <w:noWrap/>
            <w:vAlign w:val="center"/>
          </w:tcPr>
          <w:p w14:paraId="6D8B0E5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0AB30FE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地下</w:t>
            </w:r>
          </w:p>
        </w:tc>
        <w:tc>
          <w:tcPr>
            <w:tcW w:w="578" w:type="pct"/>
            <w:tcBorders>
              <w:top w:val="nil"/>
              <w:left w:val="nil"/>
              <w:bottom w:val="single" w:sz="4" w:space="0" w:color="auto"/>
              <w:right w:val="single" w:sz="4" w:space="0" w:color="auto"/>
            </w:tcBorders>
            <w:shd w:val="clear" w:color="000000" w:fill="FFFFFF"/>
            <w:noWrap/>
            <w:vAlign w:val="center"/>
          </w:tcPr>
          <w:p w14:paraId="1274FB9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sz w:val="16"/>
                <w:szCs w:val="16"/>
              </w:rPr>
              <w:t>是</w:t>
            </w:r>
          </w:p>
        </w:tc>
      </w:tr>
      <w:tr w:rsidR="00000000" w14:paraId="08D4D6ED"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5580C632"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48405A29"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67CFA33F"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28</w:t>
            </w:r>
          </w:p>
        </w:tc>
        <w:tc>
          <w:tcPr>
            <w:tcW w:w="330" w:type="pct"/>
            <w:tcBorders>
              <w:top w:val="nil"/>
              <w:left w:val="nil"/>
              <w:bottom w:val="single" w:sz="4" w:space="0" w:color="auto"/>
              <w:right w:val="single" w:sz="4" w:space="0" w:color="auto"/>
            </w:tcBorders>
            <w:shd w:val="clear" w:color="000000" w:fill="FFFFFF"/>
            <w:noWrap/>
            <w:vAlign w:val="bottom"/>
          </w:tcPr>
          <w:p w14:paraId="23B6854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14:paraId="2C22A82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-107</w:t>
            </w:r>
          </w:p>
        </w:tc>
        <w:tc>
          <w:tcPr>
            <w:tcW w:w="677" w:type="pct"/>
            <w:tcBorders>
              <w:top w:val="nil"/>
              <w:left w:val="nil"/>
              <w:bottom w:val="single" w:sz="4" w:space="0" w:color="auto"/>
              <w:right w:val="single" w:sz="4" w:space="0" w:color="auto"/>
            </w:tcBorders>
            <w:shd w:val="clear" w:color="000000" w:fill="FFFFFF"/>
            <w:noWrap/>
            <w:vAlign w:val="center"/>
          </w:tcPr>
          <w:p w14:paraId="489A2AC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 841.70 </w:t>
            </w:r>
          </w:p>
        </w:tc>
        <w:tc>
          <w:tcPr>
            <w:tcW w:w="938" w:type="pct"/>
            <w:tcBorders>
              <w:top w:val="nil"/>
              <w:left w:val="nil"/>
              <w:bottom w:val="single" w:sz="4" w:space="0" w:color="auto"/>
              <w:right w:val="single" w:sz="4" w:space="0" w:color="auto"/>
            </w:tcBorders>
            <w:shd w:val="clear" w:color="000000" w:fill="FFFFFF"/>
            <w:noWrap/>
            <w:vAlign w:val="center"/>
          </w:tcPr>
          <w:p w14:paraId="5D67CDC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539.42 </w:t>
            </w:r>
          </w:p>
        </w:tc>
        <w:tc>
          <w:tcPr>
            <w:tcW w:w="301" w:type="pct"/>
            <w:tcBorders>
              <w:top w:val="nil"/>
              <w:left w:val="nil"/>
              <w:bottom w:val="single" w:sz="4" w:space="0" w:color="auto"/>
              <w:right w:val="single" w:sz="4" w:space="0" w:color="auto"/>
            </w:tcBorders>
            <w:shd w:val="clear" w:color="000000" w:fill="FFFFFF"/>
            <w:noWrap/>
            <w:vAlign w:val="center"/>
          </w:tcPr>
          <w:p w14:paraId="724D97E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25C8EEC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地下</w:t>
            </w:r>
          </w:p>
        </w:tc>
        <w:tc>
          <w:tcPr>
            <w:tcW w:w="578" w:type="pct"/>
            <w:tcBorders>
              <w:top w:val="nil"/>
              <w:left w:val="nil"/>
              <w:bottom w:val="single" w:sz="4" w:space="0" w:color="auto"/>
              <w:right w:val="single" w:sz="4" w:space="0" w:color="auto"/>
            </w:tcBorders>
            <w:shd w:val="clear" w:color="000000" w:fill="FFFFFF"/>
            <w:noWrap/>
            <w:vAlign w:val="center"/>
          </w:tcPr>
          <w:p w14:paraId="287E1AB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sz w:val="16"/>
                <w:szCs w:val="16"/>
              </w:rPr>
              <w:t>是</w:t>
            </w:r>
          </w:p>
        </w:tc>
      </w:tr>
      <w:tr w:rsidR="00000000" w14:paraId="692FEEA8"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6845E4CA"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5C66F70B"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75203CC8"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29</w:t>
            </w:r>
          </w:p>
        </w:tc>
        <w:tc>
          <w:tcPr>
            <w:tcW w:w="330" w:type="pct"/>
            <w:tcBorders>
              <w:top w:val="nil"/>
              <w:left w:val="nil"/>
              <w:bottom w:val="single" w:sz="4" w:space="0" w:color="auto"/>
              <w:right w:val="single" w:sz="4" w:space="0" w:color="auto"/>
            </w:tcBorders>
            <w:shd w:val="clear" w:color="000000" w:fill="FFFFFF"/>
            <w:noWrap/>
            <w:vAlign w:val="bottom"/>
          </w:tcPr>
          <w:p w14:paraId="70C8B20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14:paraId="5E637E0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-108</w:t>
            </w:r>
          </w:p>
        </w:tc>
        <w:tc>
          <w:tcPr>
            <w:tcW w:w="677" w:type="pct"/>
            <w:tcBorders>
              <w:top w:val="nil"/>
              <w:left w:val="nil"/>
              <w:bottom w:val="single" w:sz="4" w:space="0" w:color="auto"/>
              <w:right w:val="single" w:sz="4" w:space="0" w:color="auto"/>
            </w:tcBorders>
            <w:shd w:val="clear" w:color="000000" w:fill="FFFFFF"/>
            <w:noWrap/>
            <w:vAlign w:val="center"/>
          </w:tcPr>
          <w:p w14:paraId="29E7B72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 897.31 </w:t>
            </w:r>
          </w:p>
        </w:tc>
        <w:tc>
          <w:tcPr>
            <w:tcW w:w="938" w:type="pct"/>
            <w:tcBorders>
              <w:top w:val="nil"/>
              <w:left w:val="nil"/>
              <w:bottom w:val="single" w:sz="4" w:space="0" w:color="auto"/>
              <w:right w:val="single" w:sz="4" w:space="0" w:color="auto"/>
            </w:tcBorders>
            <w:shd w:val="clear" w:color="000000" w:fill="FFFFFF"/>
            <w:noWrap/>
            <w:vAlign w:val="center"/>
          </w:tcPr>
          <w:p w14:paraId="396930E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575.06 </w:t>
            </w:r>
          </w:p>
        </w:tc>
        <w:tc>
          <w:tcPr>
            <w:tcW w:w="301" w:type="pct"/>
            <w:tcBorders>
              <w:top w:val="nil"/>
              <w:left w:val="nil"/>
              <w:bottom w:val="single" w:sz="4" w:space="0" w:color="auto"/>
              <w:right w:val="single" w:sz="4" w:space="0" w:color="auto"/>
            </w:tcBorders>
            <w:shd w:val="clear" w:color="000000" w:fill="FFFFFF"/>
            <w:noWrap/>
            <w:vAlign w:val="center"/>
          </w:tcPr>
          <w:p w14:paraId="1384CA9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14:paraId="685C7B5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地下</w:t>
            </w:r>
          </w:p>
        </w:tc>
        <w:tc>
          <w:tcPr>
            <w:tcW w:w="578" w:type="pct"/>
            <w:tcBorders>
              <w:top w:val="nil"/>
              <w:left w:val="nil"/>
              <w:bottom w:val="single" w:sz="4" w:space="0" w:color="auto"/>
              <w:right w:val="single" w:sz="4" w:space="0" w:color="auto"/>
            </w:tcBorders>
            <w:shd w:val="clear" w:color="000000" w:fill="FFFFFF"/>
            <w:noWrap/>
            <w:vAlign w:val="center"/>
          </w:tcPr>
          <w:p w14:paraId="3EF5725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sz w:val="16"/>
                <w:szCs w:val="16"/>
              </w:rPr>
              <w:t>是</w:t>
            </w:r>
          </w:p>
        </w:tc>
      </w:tr>
      <w:tr w:rsidR="00000000" w14:paraId="5A2BAF0F" w14:textId="77777777">
        <w:trPr>
          <w:trHeight w:val="20"/>
          <w:jc w:val="center"/>
        </w:trPr>
        <w:tc>
          <w:tcPr>
            <w:tcW w:w="289" w:type="pct"/>
            <w:vMerge/>
            <w:tcBorders>
              <w:top w:val="nil"/>
              <w:left w:val="single" w:sz="4" w:space="0" w:color="auto"/>
              <w:bottom w:val="single" w:sz="4" w:space="0" w:color="000000"/>
              <w:right w:val="single" w:sz="4" w:space="0" w:color="auto"/>
            </w:tcBorders>
            <w:vAlign w:val="center"/>
          </w:tcPr>
          <w:p w14:paraId="6EE3A3AE"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14:paraId="2E0B45B2"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017D7E5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330" w:type="pct"/>
            <w:tcBorders>
              <w:top w:val="nil"/>
              <w:left w:val="nil"/>
              <w:bottom w:val="single" w:sz="4" w:space="0" w:color="auto"/>
              <w:right w:val="nil"/>
            </w:tcBorders>
            <w:shd w:val="clear" w:color="000000" w:fill="FFFFFF"/>
            <w:noWrap/>
            <w:vAlign w:val="bottom"/>
          </w:tcPr>
          <w:p w14:paraId="46642CF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小计</w:t>
            </w:r>
          </w:p>
        </w:tc>
        <w:tc>
          <w:tcPr>
            <w:tcW w:w="625" w:type="pct"/>
            <w:tcBorders>
              <w:top w:val="nil"/>
              <w:left w:val="single" w:sz="4" w:space="0" w:color="auto"/>
              <w:bottom w:val="single" w:sz="4" w:space="0" w:color="auto"/>
              <w:right w:val="single" w:sz="4" w:space="0" w:color="auto"/>
            </w:tcBorders>
            <w:shd w:val="clear" w:color="000000" w:fill="FFFFFF"/>
            <w:noWrap/>
            <w:vAlign w:val="center"/>
          </w:tcPr>
          <w:p w14:paraId="0C1EC2E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14:paraId="1327C075" w14:textId="77777777" w:rsidR="00000000" w:rsidRDefault="00000000">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5976.27</w:t>
            </w:r>
          </w:p>
        </w:tc>
        <w:tc>
          <w:tcPr>
            <w:tcW w:w="938" w:type="pct"/>
            <w:tcBorders>
              <w:top w:val="nil"/>
              <w:left w:val="nil"/>
              <w:bottom w:val="single" w:sz="4" w:space="0" w:color="auto"/>
              <w:right w:val="single" w:sz="4" w:space="0" w:color="auto"/>
            </w:tcBorders>
            <w:shd w:val="clear" w:color="000000" w:fill="FFFFFF"/>
            <w:noWrap/>
            <w:vAlign w:val="center"/>
          </w:tcPr>
          <w:p w14:paraId="770F063E" w14:textId="77777777" w:rsidR="00000000" w:rsidRDefault="00000000">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3830.01</w:t>
            </w:r>
          </w:p>
        </w:tc>
        <w:tc>
          <w:tcPr>
            <w:tcW w:w="301" w:type="pct"/>
            <w:tcBorders>
              <w:top w:val="nil"/>
              <w:left w:val="nil"/>
              <w:bottom w:val="single" w:sz="4" w:space="0" w:color="auto"/>
              <w:right w:val="single" w:sz="4" w:space="0" w:color="auto"/>
            </w:tcBorders>
            <w:shd w:val="clear" w:color="000000" w:fill="FFFFFF"/>
            <w:noWrap/>
            <w:vAlign w:val="center"/>
          </w:tcPr>
          <w:p w14:paraId="166F6C2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14:paraId="4B945F0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78" w:type="pct"/>
            <w:tcBorders>
              <w:top w:val="nil"/>
              <w:left w:val="nil"/>
              <w:bottom w:val="single" w:sz="4" w:space="0" w:color="auto"/>
              <w:right w:val="single" w:sz="4" w:space="0" w:color="auto"/>
            </w:tcBorders>
            <w:shd w:val="clear" w:color="000000" w:fill="FFFFFF"/>
            <w:noWrap/>
            <w:vAlign w:val="center"/>
          </w:tcPr>
          <w:p w14:paraId="160F0B2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r>
      <w:tr w:rsidR="00000000" w14:paraId="6A081647" w14:textId="77777777">
        <w:trPr>
          <w:trHeight w:val="20"/>
          <w:jc w:val="center"/>
        </w:trPr>
        <w:tc>
          <w:tcPr>
            <w:tcW w:w="289" w:type="pct"/>
            <w:vMerge/>
            <w:tcBorders>
              <w:top w:val="nil"/>
              <w:left w:val="single" w:sz="4" w:space="0" w:color="auto"/>
              <w:bottom w:val="single" w:sz="4" w:space="0" w:color="auto"/>
              <w:right w:val="single" w:sz="4" w:space="0" w:color="auto"/>
            </w:tcBorders>
            <w:vAlign w:val="center"/>
          </w:tcPr>
          <w:p w14:paraId="58E7AEC2"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bottom w:val="single" w:sz="4" w:space="0" w:color="auto"/>
              <w:right w:val="single" w:sz="4" w:space="0" w:color="auto"/>
            </w:tcBorders>
            <w:shd w:val="clear" w:color="000000" w:fill="FFFFFF"/>
            <w:noWrap/>
            <w:vAlign w:val="center"/>
          </w:tcPr>
          <w:p w14:paraId="4B284049"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62371B5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330" w:type="pct"/>
            <w:tcBorders>
              <w:top w:val="nil"/>
              <w:left w:val="nil"/>
              <w:bottom w:val="single" w:sz="4" w:space="0" w:color="auto"/>
              <w:right w:val="single" w:sz="4" w:space="0" w:color="auto"/>
            </w:tcBorders>
            <w:shd w:val="clear" w:color="000000" w:fill="FFFFFF"/>
            <w:noWrap/>
            <w:vAlign w:val="bottom"/>
          </w:tcPr>
          <w:p w14:paraId="7721BFB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commentRangeStart w:id="4"/>
            <w:r>
              <w:rPr>
                <w:rFonts w:ascii="Arial Unicode MS" w:eastAsia="Arial Unicode MS" w:hAnsi="Arial Unicode MS" w:cs="Arial Unicode MS" w:hint="eastAsia"/>
                <w:color w:val="000000"/>
                <w:sz w:val="16"/>
                <w:szCs w:val="16"/>
              </w:rPr>
              <w:t>合计</w:t>
            </w:r>
            <w:commentRangeEnd w:id="4"/>
            <w:r w:rsidR="00D52899">
              <w:rPr>
                <w:rStyle w:val="af9"/>
              </w:rPr>
              <w:commentReference w:id="4"/>
            </w:r>
          </w:p>
        </w:tc>
        <w:tc>
          <w:tcPr>
            <w:tcW w:w="625" w:type="pct"/>
            <w:tcBorders>
              <w:top w:val="nil"/>
              <w:left w:val="nil"/>
              <w:bottom w:val="single" w:sz="4" w:space="0" w:color="auto"/>
              <w:right w:val="single" w:sz="4" w:space="0" w:color="auto"/>
            </w:tcBorders>
            <w:shd w:val="clear" w:color="000000" w:fill="FFFFFF"/>
            <w:noWrap/>
            <w:vAlign w:val="center"/>
          </w:tcPr>
          <w:p w14:paraId="64C5804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14:paraId="07D76D6E" w14:textId="77777777" w:rsidR="00000000" w:rsidRDefault="00000000">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10761.36</w:t>
            </w:r>
          </w:p>
        </w:tc>
        <w:tc>
          <w:tcPr>
            <w:tcW w:w="938" w:type="pct"/>
            <w:tcBorders>
              <w:top w:val="nil"/>
              <w:left w:val="nil"/>
              <w:bottom w:val="single" w:sz="4" w:space="0" w:color="auto"/>
              <w:right w:val="single" w:sz="4" w:space="0" w:color="auto"/>
            </w:tcBorders>
            <w:shd w:val="clear" w:color="000000" w:fill="FFFFFF"/>
            <w:noWrap/>
            <w:vAlign w:val="center"/>
          </w:tcPr>
          <w:p w14:paraId="6E8DC091" w14:textId="77777777" w:rsidR="00000000" w:rsidRDefault="00000000">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7884.06</w:t>
            </w:r>
          </w:p>
        </w:tc>
        <w:tc>
          <w:tcPr>
            <w:tcW w:w="301" w:type="pct"/>
            <w:tcBorders>
              <w:top w:val="nil"/>
              <w:left w:val="nil"/>
              <w:bottom w:val="single" w:sz="4" w:space="0" w:color="auto"/>
              <w:right w:val="single" w:sz="4" w:space="0" w:color="auto"/>
            </w:tcBorders>
            <w:shd w:val="clear" w:color="000000" w:fill="FFFFFF"/>
            <w:noWrap/>
            <w:vAlign w:val="center"/>
          </w:tcPr>
          <w:p w14:paraId="4F216FF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14:paraId="50D02E5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78" w:type="pct"/>
            <w:tcBorders>
              <w:top w:val="nil"/>
              <w:left w:val="nil"/>
              <w:bottom w:val="single" w:sz="4" w:space="0" w:color="auto"/>
              <w:right w:val="single" w:sz="4" w:space="0" w:color="auto"/>
            </w:tcBorders>
            <w:shd w:val="clear" w:color="000000" w:fill="FFFFFF"/>
            <w:noWrap/>
            <w:vAlign w:val="center"/>
          </w:tcPr>
          <w:p w14:paraId="5D8FA05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r>
      <w:tr w:rsidR="00000000" w14:paraId="4F72C891" w14:textId="77777777">
        <w:trPr>
          <w:trHeight w:val="20"/>
          <w:jc w:val="center"/>
        </w:trPr>
        <w:tc>
          <w:tcPr>
            <w:tcW w:w="289" w:type="pct"/>
            <w:tcBorders>
              <w:top w:val="nil"/>
              <w:left w:val="single" w:sz="4" w:space="0" w:color="auto"/>
              <w:bottom w:val="single" w:sz="4" w:space="0" w:color="auto"/>
              <w:right w:val="single" w:sz="4" w:space="0" w:color="auto"/>
            </w:tcBorders>
            <w:shd w:val="clear" w:color="000000" w:fill="FFFFFF"/>
            <w:noWrap/>
            <w:vAlign w:val="center"/>
          </w:tcPr>
          <w:p w14:paraId="534BA3B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总计</w:t>
            </w:r>
          </w:p>
        </w:tc>
        <w:tc>
          <w:tcPr>
            <w:tcW w:w="535" w:type="pct"/>
            <w:tcBorders>
              <w:top w:val="nil"/>
              <w:left w:val="nil"/>
              <w:bottom w:val="single" w:sz="4" w:space="0" w:color="auto"/>
              <w:right w:val="single" w:sz="4" w:space="0" w:color="auto"/>
            </w:tcBorders>
            <w:shd w:val="clear" w:color="000000" w:fill="FFFFFF"/>
            <w:noWrap/>
            <w:vAlign w:val="center"/>
          </w:tcPr>
          <w:p w14:paraId="17D4A25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14:paraId="53648493"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29</w:t>
            </w:r>
          </w:p>
        </w:tc>
        <w:tc>
          <w:tcPr>
            <w:tcW w:w="330" w:type="pct"/>
            <w:tcBorders>
              <w:top w:val="nil"/>
              <w:left w:val="nil"/>
              <w:bottom w:val="single" w:sz="4" w:space="0" w:color="auto"/>
              <w:right w:val="single" w:sz="4" w:space="0" w:color="auto"/>
            </w:tcBorders>
            <w:shd w:val="clear" w:color="000000" w:fill="FFFFFF"/>
            <w:noWrap/>
            <w:vAlign w:val="center"/>
          </w:tcPr>
          <w:p w14:paraId="523ED23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14:paraId="4F14825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14:paraId="60DA34E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24871.67 </w:t>
            </w:r>
          </w:p>
        </w:tc>
        <w:tc>
          <w:tcPr>
            <w:tcW w:w="938" w:type="pct"/>
            <w:tcBorders>
              <w:top w:val="nil"/>
              <w:left w:val="nil"/>
              <w:bottom w:val="single" w:sz="4" w:space="0" w:color="auto"/>
              <w:right w:val="single" w:sz="4" w:space="0" w:color="auto"/>
            </w:tcBorders>
            <w:shd w:val="clear" w:color="000000" w:fill="FFFFFF"/>
            <w:noWrap/>
            <w:vAlign w:val="center"/>
          </w:tcPr>
          <w:p w14:paraId="2E2D4DB4"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17190.47</w:t>
            </w:r>
          </w:p>
        </w:tc>
        <w:tc>
          <w:tcPr>
            <w:tcW w:w="301" w:type="pct"/>
            <w:tcBorders>
              <w:top w:val="nil"/>
              <w:left w:val="nil"/>
              <w:bottom w:val="single" w:sz="4" w:space="0" w:color="auto"/>
              <w:right w:val="single" w:sz="4" w:space="0" w:color="auto"/>
            </w:tcBorders>
            <w:shd w:val="clear" w:color="000000" w:fill="FFFFFF"/>
            <w:noWrap/>
            <w:vAlign w:val="center"/>
          </w:tcPr>
          <w:p w14:paraId="1B0AB18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14:paraId="044A732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78" w:type="pct"/>
            <w:tcBorders>
              <w:top w:val="nil"/>
              <w:left w:val="nil"/>
              <w:bottom w:val="single" w:sz="4" w:space="0" w:color="auto"/>
              <w:right w:val="single" w:sz="4" w:space="0" w:color="auto"/>
            </w:tcBorders>
            <w:shd w:val="clear" w:color="000000" w:fill="FFFFFF"/>
            <w:noWrap/>
            <w:vAlign w:val="center"/>
          </w:tcPr>
          <w:p w14:paraId="3730351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r>
    </w:tbl>
    <w:p w14:paraId="01854882" w14:textId="77777777" w:rsidR="00000000" w:rsidRDefault="00000000">
      <w:pPr>
        <w:overflowPunct w:val="0"/>
        <w:spacing w:beforeLines="100" w:before="240" w:line="480" w:lineRule="auto"/>
        <w:ind w:firstLineChars="200" w:firstLine="422"/>
        <w:jc w:val="both"/>
        <w:textAlignment w:val="auto"/>
        <w:rPr>
          <w:rFonts w:ascii="Arial" w:hAnsi="Arial" w:cs="Arial"/>
          <w:sz w:val="21"/>
          <w:szCs w:val="21"/>
        </w:rPr>
      </w:pPr>
      <w:r>
        <w:rPr>
          <w:rFonts w:ascii="Arial" w:hAnsi="Arial" w:cs="Arial"/>
          <w:b/>
          <w:bCs/>
          <w:color w:val="000000"/>
          <w:sz w:val="21"/>
          <w:szCs w:val="21"/>
        </w:rPr>
        <w:t>估价目的：</w:t>
      </w:r>
      <w:r>
        <w:rPr>
          <w:rFonts w:ascii="Arial" w:hAnsi="Arial" w:hint="eastAsia"/>
          <w:kern w:val="2"/>
          <w:sz w:val="21"/>
        </w:rPr>
        <w:t>为估价委托人了解估价对象房地产市场租金水平提供参考依据</w:t>
      </w:r>
      <w:r>
        <w:rPr>
          <w:rFonts w:ascii="Arial" w:hAnsi="Arial" w:cs="Arial"/>
          <w:sz w:val="21"/>
          <w:szCs w:val="21"/>
        </w:rPr>
        <w:t>。</w:t>
      </w:r>
    </w:p>
    <w:p w14:paraId="713B50EE" w14:textId="77777777" w:rsidR="00000000" w:rsidRDefault="00000000">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日（评估专业人员实地查勘日）</w:t>
      </w:r>
    </w:p>
    <w:p w14:paraId="0B9CB306" w14:textId="77777777" w:rsidR="00000000" w:rsidRDefault="00000000">
      <w:pPr>
        <w:spacing w:line="480" w:lineRule="auto"/>
        <w:ind w:firstLineChars="196" w:firstLine="413"/>
        <w:jc w:val="both"/>
        <w:rPr>
          <w:rFonts w:eastAsia="楷体_GB2312" w:hint="eastAsia"/>
          <w:sz w:val="28"/>
          <w:szCs w:val="28"/>
        </w:rPr>
      </w:pPr>
      <w:r>
        <w:rPr>
          <w:rFonts w:ascii="Arial" w:hAnsi="Arial" w:cs="Arial"/>
          <w:b/>
          <w:bCs/>
          <w:sz w:val="21"/>
          <w:szCs w:val="21"/>
        </w:rPr>
        <w:t>价值类型：</w:t>
      </w:r>
      <w:r>
        <w:rPr>
          <w:rFonts w:ascii="Arial" w:hAnsi="Arial" w:hint="eastAsia"/>
          <w:bCs/>
          <w:sz w:val="21"/>
        </w:rPr>
        <w:t>根据房地产估价规范、国家现行有关标准规定和项目的具体要求，本次评估采用的是</w:t>
      </w:r>
      <w:r>
        <w:rPr>
          <w:rFonts w:ascii="Arial" w:hAnsi="Arial" w:cs="Arial" w:hint="eastAsia"/>
          <w:sz w:val="21"/>
          <w:szCs w:val="21"/>
        </w:rPr>
        <w:t>市场价值</w:t>
      </w:r>
      <w:r>
        <w:rPr>
          <w:rFonts w:ascii="Arial" w:hAnsi="Arial" w:hint="eastAsia"/>
          <w:bCs/>
          <w:sz w:val="21"/>
        </w:rPr>
        <w:t>标准。</w:t>
      </w:r>
      <w:r>
        <w:rPr>
          <w:rFonts w:ascii="Arial" w:hAnsi="Arial"/>
          <w:bCs/>
          <w:sz w:val="21"/>
        </w:rPr>
        <w:t>根据</w:t>
      </w:r>
      <w:r>
        <w:rPr>
          <w:rFonts w:ascii="Arial" w:hAnsi="Arial" w:hint="eastAsia"/>
          <w:bCs/>
          <w:sz w:val="21"/>
        </w:rPr>
        <w:t>《房地产估价基本术语标准》</w:t>
      </w:r>
      <w:r>
        <w:rPr>
          <w:rFonts w:ascii="Arial" w:hAnsi="Arial" w:hint="eastAsia"/>
          <w:bCs/>
          <w:sz w:val="21"/>
        </w:rPr>
        <w:t>[GB/T50899-2013]</w:t>
      </w:r>
      <w:r>
        <w:rPr>
          <w:rFonts w:ascii="Arial" w:hAnsi="Arial" w:hint="eastAsia"/>
          <w:bCs/>
          <w:sz w:val="21"/>
        </w:rPr>
        <w:t>，</w:t>
      </w:r>
      <w:r>
        <w:rPr>
          <w:rFonts w:ascii="Arial" w:hAnsi="Arial"/>
          <w:bCs/>
          <w:sz w:val="21"/>
        </w:rPr>
        <w:t>市场价值是经适当营销后，由熟悉情况、谨慎行事且不受强迫的交易双方，以公平交易方式在价值时点自愿进行交易的金额</w:t>
      </w:r>
      <w:r>
        <w:rPr>
          <w:rFonts w:ascii="Arial" w:hAnsi="Arial" w:hint="eastAsia"/>
          <w:bCs/>
          <w:sz w:val="21"/>
        </w:rPr>
        <w:t>。</w:t>
      </w:r>
    </w:p>
    <w:p w14:paraId="158CB63D" w14:textId="77777777" w:rsidR="00000000" w:rsidRDefault="00000000">
      <w:pPr>
        <w:tabs>
          <w:tab w:val="left" w:pos="7920"/>
        </w:tabs>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”是指在正常市场情况下，在价值时点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hint="eastAsia"/>
          <w:bCs/>
          <w:sz w:val="21"/>
        </w:rPr>
        <w:t>，估价对象规划用途为商业</w:t>
      </w:r>
      <w:r>
        <w:rPr>
          <w:rFonts w:ascii="Arial" w:hAnsi="Arial" w:cs="Arial" w:hint="eastAsia"/>
          <w:sz w:val="21"/>
          <w:szCs w:val="21"/>
        </w:rPr>
        <w:t>，</w:t>
      </w:r>
      <w:r>
        <w:rPr>
          <w:rFonts w:ascii="Arial" w:hAnsi="Arial"/>
          <w:bCs/>
          <w:sz w:val="21"/>
        </w:rPr>
        <w:t>土地取得方式</w:t>
      </w:r>
      <w:r>
        <w:rPr>
          <w:rFonts w:ascii="Arial" w:hAnsi="Arial" w:hint="eastAsia"/>
          <w:bCs/>
          <w:sz w:val="21"/>
        </w:rPr>
        <w:t>为出让的房地产租赁价格，不包含物业管理费、能源费、房地产经纪公司服务费等。</w:t>
      </w:r>
    </w:p>
    <w:p w14:paraId="5237F975" w14:textId="77777777" w:rsidR="00000000" w:rsidRDefault="00000000">
      <w:pPr>
        <w:overflowPunct w:val="0"/>
        <w:spacing w:line="480" w:lineRule="auto"/>
        <w:ind w:firstLineChars="200" w:firstLine="422"/>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w:t>
      </w:r>
      <w:r>
        <w:rPr>
          <w:rFonts w:ascii="Arial" w:hAnsi="Arial" w:cs="Arial" w:hint="eastAsia"/>
          <w:bCs/>
          <w:sz w:val="21"/>
          <w:szCs w:val="21"/>
        </w:rPr>
        <w:t>为</w:t>
      </w:r>
      <w:r>
        <w:rPr>
          <w:rFonts w:ascii="Arial" w:hAnsi="Arial" w:cs="宋体" w:hint="eastAsia"/>
          <w:sz w:val="21"/>
          <w:szCs w:val="21"/>
        </w:rPr>
        <w:t>比较法</w:t>
      </w:r>
      <w:r>
        <w:rPr>
          <w:rFonts w:ascii="Arial" w:hAnsi="Arial" w:cs="Arial"/>
          <w:sz w:val="21"/>
          <w:szCs w:val="21"/>
        </w:rPr>
        <w:t>。</w:t>
      </w:r>
    </w:p>
    <w:p w14:paraId="4869D94A" w14:textId="77777777" w:rsidR="00000000" w:rsidRDefault="00000000">
      <w:pPr>
        <w:overflowPunct w:val="0"/>
        <w:spacing w:line="480" w:lineRule="auto"/>
        <w:ind w:firstLineChars="200" w:firstLine="422"/>
        <w:jc w:val="both"/>
        <w:textAlignment w:val="auto"/>
        <w:rPr>
          <w:rFonts w:ascii="Arial" w:hAnsi="Arial" w:cs="Arial" w:hint="eastAsia"/>
          <w:sz w:val="21"/>
          <w:szCs w:val="21"/>
        </w:rPr>
      </w:pPr>
      <w:r>
        <w:rPr>
          <w:rFonts w:ascii="Arial" w:hAnsi="Arial" w:cs="Arial"/>
          <w:b/>
          <w:bCs/>
          <w:sz w:val="21"/>
          <w:szCs w:val="21"/>
        </w:rPr>
        <w:t>估价结果：</w:t>
      </w:r>
      <w:r>
        <w:rPr>
          <w:rFonts w:ascii="Arial" w:hAnsi="Arial" w:cs="Arial"/>
          <w:sz w:val="21"/>
          <w:szCs w:val="21"/>
        </w:rPr>
        <w:t>评估专业人员根据估价的目的，按照估价的程序，采用科学的估价方法，在认真分析现有资料的基础上，结合</w:t>
      </w:r>
      <w:r>
        <w:rPr>
          <w:rFonts w:ascii="Arial" w:hAnsi="Arial" w:cs="Arial"/>
          <w:sz w:val="21"/>
          <w:szCs w:val="28"/>
        </w:rPr>
        <w:t>本次评估的要求，通过仔细测算和认真分析各种影响房地产价格的因素，确定估价对象于价值时</w:t>
      </w:r>
      <w:r>
        <w:rPr>
          <w:rFonts w:ascii="Arial" w:hAnsi="Arial" w:cs="Arial"/>
          <w:sz w:val="21"/>
          <w:szCs w:val="21"/>
        </w:rPr>
        <w:t>点的房地产评估价格，详见估价结果一览表（币种：人民币）。</w:t>
      </w:r>
      <w:r>
        <w:rPr>
          <w:rFonts w:ascii="Arial" w:hAnsi="Arial" w:cs="Arial" w:hint="eastAsia"/>
          <w:sz w:val="21"/>
          <w:szCs w:val="21"/>
        </w:rPr>
        <w:t xml:space="preserve"> </w:t>
      </w:r>
    </w:p>
    <w:p w14:paraId="1FC1D948" w14:textId="77777777" w:rsidR="00000000" w:rsidRDefault="00000000">
      <w:pPr>
        <w:overflowPunct w:val="0"/>
        <w:spacing w:line="480" w:lineRule="auto"/>
        <w:jc w:val="both"/>
        <w:textAlignment w:val="auto"/>
        <w:rPr>
          <w:rFonts w:ascii="Arial" w:hAnsi="Arial" w:cs="Arial" w:hint="eastAsia"/>
          <w:sz w:val="21"/>
          <w:szCs w:val="21"/>
        </w:rPr>
      </w:pPr>
    </w:p>
    <w:p w14:paraId="6AB95A1F" w14:textId="77777777" w:rsidR="00000000" w:rsidRDefault="00000000">
      <w:pPr>
        <w:overflowPunct w:val="0"/>
        <w:spacing w:line="480" w:lineRule="auto"/>
        <w:jc w:val="both"/>
        <w:textAlignment w:val="auto"/>
        <w:rPr>
          <w:rFonts w:ascii="楷体_GB2312" w:eastAsia="楷体_GB2312" w:hAnsi="Arial" w:cs="Arial" w:hint="eastAsia"/>
          <w:sz w:val="21"/>
          <w:szCs w:val="21"/>
        </w:rPr>
      </w:pPr>
      <w:r>
        <w:rPr>
          <w:rFonts w:ascii="楷体_GB2312" w:eastAsia="楷体_GB2312" w:hAnsi="Arial" w:cs="Arial" w:hint="eastAsia"/>
          <w:sz w:val="21"/>
          <w:szCs w:val="21"/>
        </w:rPr>
        <w:t>（转下页）</w:t>
      </w:r>
    </w:p>
    <w:p w14:paraId="63C35597" w14:textId="77777777" w:rsidR="00000000" w:rsidRDefault="00000000">
      <w:pPr>
        <w:spacing w:line="240" w:lineRule="auto"/>
        <w:jc w:val="center"/>
        <w:rPr>
          <w:rFonts w:ascii="Arial" w:eastAsia="方正黑体简体" w:hAnsi="Arial" w:cs="Arial" w:hint="eastAsia"/>
          <w:szCs w:val="24"/>
        </w:rPr>
      </w:pPr>
      <w:r>
        <w:rPr>
          <w:rFonts w:ascii="Arial" w:eastAsia="方正黑体简体" w:hAnsi="Arial" w:hint="eastAsia"/>
          <w:szCs w:val="24"/>
        </w:rPr>
        <w:br w:type="page"/>
      </w:r>
      <w:r>
        <w:rPr>
          <w:rFonts w:ascii="Arial" w:eastAsia="方正黑体简体" w:hAnsi="Arial" w:cs="Arial" w:hint="eastAsia"/>
          <w:szCs w:val="24"/>
        </w:rPr>
        <w:lastRenderedPageBreak/>
        <w:t>估价结果一览表</w:t>
      </w:r>
    </w:p>
    <w:p w14:paraId="57B76522" w14:textId="77777777" w:rsidR="00000000" w:rsidRDefault="00000000">
      <w:pPr>
        <w:spacing w:line="240" w:lineRule="auto"/>
        <w:jc w:val="center"/>
        <w:rPr>
          <w:rFonts w:ascii="Arial" w:eastAsia="方正黑体简体" w:hAnsi="Arial" w:cs="Arial"/>
          <w:szCs w:val="24"/>
        </w:rPr>
      </w:pPr>
      <w:r>
        <w:rPr>
          <w:rFonts w:ascii="Arial" w:eastAsia="方正黑体简体" w:hAnsi="Arial" w:cs="Arial" w:hint="eastAsia"/>
          <w:szCs w:val="24"/>
        </w:rPr>
        <w:t>结果表</w:t>
      </w:r>
      <w:r>
        <w:rPr>
          <w:rFonts w:ascii="Arial" w:eastAsia="方正黑体简体" w:hAnsi="Arial" w:cs="Arial" w:hint="eastAsia"/>
          <w:szCs w:val="24"/>
        </w:rPr>
        <w:t>-1</w:t>
      </w:r>
    </w:p>
    <w:tbl>
      <w:tblPr>
        <w:tblW w:w="5000" w:type="pct"/>
        <w:jc w:val="center"/>
        <w:tblInd w:w="0" w:type="dxa"/>
        <w:tblCellMar>
          <w:top w:w="57" w:type="dxa"/>
          <w:left w:w="57" w:type="dxa"/>
          <w:bottom w:w="57" w:type="dxa"/>
          <w:right w:w="57" w:type="dxa"/>
        </w:tblCellMar>
        <w:tblLook w:val="0000" w:firstRow="0" w:lastRow="0" w:firstColumn="0" w:lastColumn="0" w:noHBand="0" w:noVBand="0"/>
      </w:tblPr>
      <w:tblGrid>
        <w:gridCol w:w="4554"/>
        <w:gridCol w:w="4739"/>
      </w:tblGrid>
      <w:tr w:rsidR="00000000" w14:paraId="60C37F01" w14:textId="77777777">
        <w:trPr>
          <w:cantSplit/>
          <w:trHeight w:val="567"/>
          <w:jc w:val="center"/>
        </w:trPr>
        <w:tc>
          <w:tcPr>
            <w:tcW w:w="2450" w:type="pct"/>
            <w:tcBorders>
              <w:top w:val="thinThickThinSmallGap" w:sz="12" w:space="0" w:color="auto"/>
              <w:left w:val="dotted" w:sz="2" w:space="0" w:color="auto"/>
              <w:bottom w:val="dotted" w:sz="2" w:space="0" w:color="auto"/>
              <w:right w:val="dotted" w:sz="2" w:space="0" w:color="auto"/>
              <w:tl2br w:val="single" w:sz="4" w:space="0" w:color="auto"/>
            </w:tcBorders>
            <w:vAlign w:val="center"/>
          </w:tcPr>
          <w:p w14:paraId="31AFBD0B" w14:textId="77777777" w:rsidR="00000000" w:rsidRDefault="00000000">
            <w:pPr>
              <w:widowControl/>
              <w:adjustRightInd/>
              <w:spacing w:line="240" w:lineRule="exact"/>
              <w:jc w:val="right"/>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租金水平</w:t>
            </w:r>
          </w:p>
          <w:p w14:paraId="3DF413DB" w14:textId="77777777" w:rsidR="00000000" w:rsidRDefault="00000000">
            <w:pPr>
              <w:widowControl/>
              <w:adjustRightInd/>
              <w:spacing w:line="240" w:lineRule="exact"/>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相关结果</w:t>
            </w:r>
          </w:p>
        </w:tc>
        <w:tc>
          <w:tcPr>
            <w:tcW w:w="2550" w:type="pct"/>
            <w:tcBorders>
              <w:top w:val="thinThickThinSmallGap" w:sz="12" w:space="0" w:color="auto"/>
              <w:left w:val="dotted" w:sz="2" w:space="0" w:color="auto"/>
              <w:bottom w:val="dotted" w:sz="2" w:space="0" w:color="auto"/>
              <w:right w:val="dotted" w:sz="2" w:space="0" w:color="auto"/>
            </w:tcBorders>
            <w:vAlign w:val="center"/>
          </w:tcPr>
          <w:p w14:paraId="57AA8FA0"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房山区阜盛西街</w:t>
            </w:r>
            <w:r>
              <w:rPr>
                <w:rFonts w:ascii="Arial" w:eastAsia="华文细黑" w:hAnsi="Arial" w:cs="Arial" w:hint="eastAsia"/>
                <w:color w:val="000000"/>
                <w:sz w:val="18"/>
                <w:szCs w:val="18"/>
              </w:rPr>
              <w:t>11</w:t>
            </w:r>
            <w:r>
              <w:rPr>
                <w:rFonts w:ascii="Arial" w:eastAsia="华文细黑" w:hAnsi="Arial" w:cs="Arial" w:hint="eastAsia"/>
                <w:color w:val="000000"/>
                <w:sz w:val="18"/>
                <w:szCs w:val="18"/>
              </w:rPr>
              <w:t>号院</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号楼</w:t>
            </w:r>
            <w:r>
              <w:rPr>
                <w:rFonts w:ascii="Arial" w:eastAsia="华文细黑" w:hAnsi="Arial" w:cs="Arial" w:hint="eastAsia"/>
                <w:color w:val="000000"/>
                <w:sz w:val="18"/>
                <w:szCs w:val="18"/>
              </w:rPr>
              <w:t>101</w:t>
            </w:r>
            <w:r>
              <w:rPr>
                <w:rFonts w:ascii="Arial" w:eastAsia="华文细黑" w:hAnsi="Arial" w:cs="Arial" w:hint="eastAsia"/>
                <w:color w:val="000000"/>
                <w:sz w:val="18"/>
                <w:szCs w:val="18"/>
              </w:rPr>
              <w:t>号</w:t>
            </w:r>
          </w:p>
          <w:p w14:paraId="4554C983"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商业用房市场租金水平</w:t>
            </w:r>
          </w:p>
        </w:tc>
      </w:tr>
      <w:tr w:rsidR="00000000" w14:paraId="3A54B9E6" w14:textId="77777777">
        <w:trPr>
          <w:cantSplit/>
          <w:trHeight w:val="567"/>
          <w:jc w:val="center"/>
        </w:trPr>
        <w:tc>
          <w:tcPr>
            <w:tcW w:w="2450" w:type="pct"/>
            <w:tcBorders>
              <w:top w:val="dotted" w:sz="2" w:space="0" w:color="auto"/>
              <w:left w:val="dotted" w:sz="2" w:space="0" w:color="auto"/>
              <w:bottom w:val="thinThickThinSmallGap" w:sz="12" w:space="0" w:color="auto"/>
              <w:right w:val="dotted" w:sz="2" w:space="0" w:color="auto"/>
            </w:tcBorders>
            <w:vAlign w:val="center"/>
          </w:tcPr>
          <w:p w14:paraId="46EC3017"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评估结果</w:t>
            </w:r>
          </w:p>
        </w:tc>
        <w:tc>
          <w:tcPr>
            <w:tcW w:w="2550" w:type="pct"/>
            <w:tcBorders>
              <w:top w:val="dotted" w:sz="2" w:space="0" w:color="auto"/>
              <w:left w:val="dotted" w:sz="2" w:space="0" w:color="auto"/>
              <w:bottom w:val="thinThickThinSmallGap" w:sz="12" w:space="0" w:color="auto"/>
              <w:right w:val="dotted" w:sz="2" w:space="0" w:color="auto"/>
            </w:tcBorders>
            <w:vAlign w:val="center"/>
          </w:tcPr>
          <w:p w14:paraId="6DFDBD51"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3.30</w:t>
            </w:r>
          </w:p>
        </w:tc>
      </w:tr>
    </w:tbl>
    <w:p w14:paraId="5F6C6E91" w14:textId="77777777" w:rsidR="00000000" w:rsidRDefault="00000000">
      <w:pPr>
        <w:widowControl/>
        <w:adjustRightInd/>
        <w:spacing w:line="240" w:lineRule="auto"/>
        <w:jc w:val="both"/>
        <w:textAlignment w:val="auto"/>
        <w:rPr>
          <w:rFonts w:ascii="Arial" w:eastAsia="华文细黑" w:hAnsi="Arial" w:cs="宋体" w:hint="eastAsia"/>
          <w:sz w:val="18"/>
          <w:szCs w:val="18"/>
        </w:rPr>
      </w:pPr>
      <w:r>
        <w:rPr>
          <w:rFonts w:ascii="Arial" w:eastAsia="华文细黑" w:hAnsi="Arial" w:cs="宋体" w:hint="eastAsia"/>
          <w:sz w:val="18"/>
          <w:szCs w:val="18"/>
        </w:rPr>
        <w:t>单位：元</w:t>
      </w:r>
      <w:r>
        <w:rPr>
          <w:rFonts w:ascii="Arial" w:eastAsia="华文细黑" w:hAnsi="Arial" w:cs="宋体" w:hint="eastAsia"/>
          <w:sz w:val="18"/>
          <w:szCs w:val="18"/>
        </w:rPr>
        <w:t>/</w:t>
      </w:r>
      <w:r>
        <w:rPr>
          <w:rFonts w:ascii="Arial" w:eastAsia="华文细黑" w:hAnsi="Arial" w:cs="宋体" w:hint="eastAsia"/>
          <w:sz w:val="18"/>
          <w:szCs w:val="18"/>
        </w:rPr>
        <w:t>建筑</w:t>
      </w:r>
      <w:r>
        <w:rPr>
          <w:rFonts w:ascii="Arial" w:eastAsia="华文细黑" w:hAnsi="Arial" w:cs="宋体"/>
          <w:sz w:val="18"/>
          <w:szCs w:val="18"/>
        </w:rPr>
        <w:t>面积</w:t>
      </w:r>
      <w:r>
        <w:rPr>
          <w:rFonts w:ascii="Arial" w:eastAsia="华文细黑" w:hAnsi="Arial" w:cs="宋体" w:hint="eastAsia"/>
          <w:sz w:val="18"/>
          <w:szCs w:val="18"/>
        </w:rPr>
        <w:t>平方米·天</w:t>
      </w:r>
    </w:p>
    <w:p w14:paraId="5DDA8B7D" w14:textId="77777777" w:rsidR="00000000" w:rsidRDefault="00000000">
      <w:pPr>
        <w:spacing w:line="240" w:lineRule="auto"/>
        <w:jc w:val="center"/>
        <w:outlineLvl w:val="0"/>
        <w:rPr>
          <w:rFonts w:ascii="Arial" w:eastAsia="方正黑体简体" w:hAnsi="Arial"/>
          <w:szCs w:val="24"/>
        </w:rPr>
      </w:pPr>
      <w:r>
        <w:rPr>
          <w:rFonts w:ascii="Arial" w:eastAsia="方正黑体简体" w:hAnsi="Arial" w:hint="eastAsia"/>
          <w:szCs w:val="24"/>
        </w:rPr>
        <w:t>结果表</w:t>
      </w:r>
      <w:r>
        <w:rPr>
          <w:rFonts w:ascii="Arial" w:eastAsia="方正黑体简体" w:hAnsi="Arial" w:hint="eastAsia"/>
          <w:szCs w:val="24"/>
        </w:rPr>
        <w:t>-2</w:t>
      </w:r>
    </w:p>
    <w:tbl>
      <w:tblPr>
        <w:tblW w:w="5000" w:type="pct"/>
        <w:jc w:val="center"/>
        <w:tblInd w:w="0" w:type="dxa"/>
        <w:tblCellMar>
          <w:top w:w="57" w:type="dxa"/>
          <w:left w:w="57" w:type="dxa"/>
          <w:bottom w:w="57" w:type="dxa"/>
          <w:right w:w="57" w:type="dxa"/>
        </w:tblCellMar>
        <w:tblLook w:val="0000" w:firstRow="0" w:lastRow="0" w:firstColumn="0" w:lastColumn="0" w:noHBand="0" w:noVBand="0"/>
      </w:tblPr>
      <w:tblGrid>
        <w:gridCol w:w="2716"/>
        <w:gridCol w:w="865"/>
        <w:gridCol w:w="1863"/>
        <w:gridCol w:w="2039"/>
        <w:gridCol w:w="1810"/>
      </w:tblGrid>
      <w:tr w:rsidR="00000000" w14:paraId="336AEE1B" w14:textId="77777777">
        <w:trPr>
          <w:cantSplit/>
          <w:trHeight w:val="567"/>
          <w:jc w:val="center"/>
        </w:trPr>
        <w:tc>
          <w:tcPr>
            <w:tcW w:w="1461" w:type="pct"/>
            <w:tcBorders>
              <w:top w:val="thinThickThinSmallGap" w:sz="12" w:space="0" w:color="auto"/>
              <w:left w:val="dotted" w:sz="2" w:space="0" w:color="auto"/>
              <w:bottom w:val="dotted" w:sz="2" w:space="0" w:color="auto"/>
              <w:right w:val="dotted" w:sz="2" w:space="0" w:color="auto"/>
              <w:tl2br w:val="single" w:sz="4" w:space="0" w:color="auto"/>
            </w:tcBorders>
            <w:vAlign w:val="center"/>
          </w:tcPr>
          <w:p w14:paraId="242619F2" w14:textId="77777777" w:rsidR="00000000" w:rsidRDefault="00000000">
            <w:pPr>
              <w:widowControl/>
              <w:adjustRightInd/>
              <w:spacing w:line="240" w:lineRule="exact"/>
              <w:jc w:val="right"/>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分层租金明细</w:t>
            </w:r>
          </w:p>
          <w:p w14:paraId="64BE2317" w14:textId="77777777" w:rsidR="00000000" w:rsidRDefault="00000000">
            <w:pPr>
              <w:widowControl/>
              <w:adjustRightInd/>
              <w:spacing w:line="240" w:lineRule="exact"/>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估价对象</w:t>
            </w:r>
          </w:p>
        </w:tc>
        <w:tc>
          <w:tcPr>
            <w:tcW w:w="465" w:type="pct"/>
            <w:tcBorders>
              <w:top w:val="thinThickThinSmallGap" w:sz="12" w:space="0" w:color="auto"/>
              <w:left w:val="dotted" w:sz="2" w:space="0" w:color="auto"/>
              <w:bottom w:val="dotted" w:sz="2" w:space="0" w:color="auto"/>
              <w:right w:val="dotted" w:sz="2" w:space="0" w:color="auto"/>
            </w:tcBorders>
            <w:vAlign w:val="center"/>
          </w:tcPr>
          <w:p w14:paraId="6D5522D0"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楼层</w:t>
            </w:r>
          </w:p>
        </w:tc>
        <w:tc>
          <w:tcPr>
            <w:tcW w:w="1000" w:type="pct"/>
            <w:tcBorders>
              <w:top w:val="thinThickThinSmallGap" w:sz="12" w:space="0" w:color="auto"/>
              <w:left w:val="dotted" w:sz="2" w:space="0" w:color="auto"/>
              <w:bottom w:val="dotted" w:sz="2" w:space="0" w:color="auto"/>
              <w:right w:val="dotted" w:sz="2" w:space="0" w:color="auto"/>
            </w:tcBorders>
            <w:vAlign w:val="center"/>
          </w:tcPr>
          <w:p w14:paraId="76257042"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楼号</w:t>
            </w:r>
            <w:r>
              <w:rPr>
                <w:rFonts w:ascii="Arial" w:eastAsia="华文细黑" w:hAnsi="Arial" w:cs="Arial" w:hint="eastAsia"/>
                <w:color w:val="000000"/>
                <w:sz w:val="18"/>
                <w:szCs w:val="18"/>
              </w:rPr>
              <w:t>/</w:t>
            </w:r>
            <w:r>
              <w:rPr>
                <w:rFonts w:ascii="Arial" w:eastAsia="华文细黑" w:hAnsi="Arial" w:cs="Arial" w:hint="eastAsia"/>
                <w:color w:val="000000"/>
                <w:sz w:val="18"/>
                <w:szCs w:val="18"/>
              </w:rPr>
              <w:t>地块</w:t>
            </w:r>
          </w:p>
        </w:tc>
        <w:tc>
          <w:tcPr>
            <w:tcW w:w="1097" w:type="pct"/>
            <w:tcBorders>
              <w:top w:val="thinThickThinSmallGap" w:sz="12" w:space="0" w:color="auto"/>
              <w:left w:val="dotted" w:sz="2" w:space="0" w:color="auto"/>
              <w:bottom w:val="dotted" w:sz="2" w:space="0" w:color="auto"/>
              <w:right w:val="dotted" w:sz="2" w:space="0" w:color="auto"/>
            </w:tcBorders>
            <w:vAlign w:val="center"/>
          </w:tcPr>
          <w:p w14:paraId="155086FF"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建筑面积</w:t>
            </w:r>
          </w:p>
        </w:tc>
        <w:tc>
          <w:tcPr>
            <w:tcW w:w="974" w:type="pct"/>
            <w:tcBorders>
              <w:top w:val="thinThickThinSmallGap" w:sz="12" w:space="0" w:color="auto"/>
              <w:left w:val="dotted" w:sz="2" w:space="0" w:color="auto"/>
              <w:bottom w:val="dotted" w:sz="2" w:space="0" w:color="auto"/>
              <w:right w:val="dotted" w:sz="2" w:space="0" w:color="auto"/>
            </w:tcBorders>
            <w:vAlign w:val="center"/>
          </w:tcPr>
          <w:p w14:paraId="4D579138"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平均租金单价</w:t>
            </w:r>
          </w:p>
        </w:tc>
      </w:tr>
      <w:tr w:rsidR="00000000" w14:paraId="73F43599" w14:textId="77777777">
        <w:trPr>
          <w:cantSplit/>
          <w:trHeight w:val="291"/>
          <w:jc w:val="center"/>
        </w:trPr>
        <w:tc>
          <w:tcPr>
            <w:tcW w:w="1461" w:type="pct"/>
            <w:vMerge w:val="restart"/>
            <w:tcBorders>
              <w:top w:val="dotted" w:sz="2" w:space="0" w:color="auto"/>
              <w:left w:val="dotted" w:sz="2" w:space="0" w:color="auto"/>
              <w:right w:val="dotted" w:sz="2" w:space="0" w:color="auto"/>
            </w:tcBorders>
            <w:vAlign w:val="center"/>
          </w:tcPr>
          <w:p w14:paraId="283D56B4"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北京市房山区阜盛西街</w:t>
            </w:r>
            <w:r>
              <w:rPr>
                <w:rFonts w:ascii="Arial" w:eastAsia="华文细黑" w:hAnsi="Arial" w:cs="Arial" w:hint="eastAsia"/>
                <w:color w:val="000000"/>
                <w:sz w:val="18"/>
                <w:szCs w:val="18"/>
              </w:rPr>
              <w:t>11</w:t>
            </w:r>
            <w:r>
              <w:rPr>
                <w:rFonts w:ascii="Arial" w:eastAsia="华文细黑" w:hAnsi="Arial" w:cs="Arial" w:hint="eastAsia"/>
                <w:color w:val="000000"/>
                <w:sz w:val="18"/>
                <w:szCs w:val="18"/>
              </w:rPr>
              <w:t>号院</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号楼地上</w:t>
            </w:r>
            <w:r>
              <w:rPr>
                <w:rFonts w:ascii="Arial" w:eastAsia="华文细黑" w:hAnsi="Arial" w:cs="Arial" w:hint="eastAsia"/>
                <w:color w:val="000000"/>
                <w:sz w:val="18"/>
                <w:szCs w:val="18"/>
              </w:rPr>
              <w:t>1</w:t>
            </w:r>
            <w:r>
              <w:rPr>
                <w:rFonts w:ascii="Arial" w:eastAsia="华文细黑" w:hAnsi="Arial" w:cs="Arial" w:hint="eastAsia"/>
                <w:color w:val="000000"/>
                <w:sz w:val="18"/>
                <w:szCs w:val="18"/>
              </w:rPr>
              <w:t>层</w:t>
            </w:r>
            <w:r>
              <w:rPr>
                <w:rFonts w:ascii="Arial" w:eastAsia="华文细黑" w:hAnsi="Arial" w:cs="Arial" w:hint="eastAsia"/>
                <w:color w:val="000000"/>
                <w:sz w:val="18"/>
                <w:szCs w:val="18"/>
              </w:rPr>
              <w:t>101</w:t>
            </w:r>
            <w:r>
              <w:rPr>
                <w:rFonts w:ascii="Arial" w:eastAsia="华文细黑" w:hAnsi="Arial" w:cs="Arial" w:hint="eastAsia"/>
                <w:color w:val="000000"/>
                <w:sz w:val="18"/>
                <w:szCs w:val="18"/>
              </w:rPr>
              <w:t>号等</w:t>
            </w:r>
            <w:r>
              <w:rPr>
                <w:rFonts w:ascii="Arial" w:eastAsia="华文细黑" w:hAnsi="Arial" w:cs="Arial" w:hint="eastAsia"/>
                <w:color w:val="000000"/>
                <w:sz w:val="18"/>
                <w:szCs w:val="18"/>
              </w:rPr>
              <w:t>29</w:t>
            </w:r>
            <w:r>
              <w:rPr>
                <w:rFonts w:ascii="Arial" w:eastAsia="华文细黑" w:hAnsi="Arial" w:cs="Arial" w:hint="eastAsia"/>
                <w:color w:val="000000"/>
                <w:sz w:val="18"/>
                <w:szCs w:val="18"/>
              </w:rPr>
              <w:t>套商业用房</w:t>
            </w:r>
          </w:p>
        </w:tc>
        <w:tc>
          <w:tcPr>
            <w:tcW w:w="465" w:type="pct"/>
            <w:vMerge w:val="restart"/>
            <w:tcBorders>
              <w:top w:val="dotted" w:sz="2" w:space="0" w:color="auto"/>
              <w:left w:val="dotted" w:sz="2" w:space="0" w:color="auto"/>
              <w:right w:val="dotted" w:sz="2" w:space="0" w:color="auto"/>
            </w:tcBorders>
            <w:vAlign w:val="center"/>
          </w:tcPr>
          <w:p w14:paraId="54340983"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1</w:t>
            </w:r>
          </w:p>
        </w:tc>
        <w:tc>
          <w:tcPr>
            <w:tcW w:w="1000" w:type="pct"/>
            <w:tcBorders>
              <w:top w:val="dotted" w:sz="2" w:space="0" w:color="auto"/>
              <w:left w:val="dotted" w:sz="2" w:space="0" w:color="auto"/>
              <w:bottom w:val="dotted" w:sz="2" w:space="0" w:color="auto"/>
              <w:right w:val="dotted" w:sz="2" w:space="0" w:color="auto"/>
            </w:tcBorders>
            <w:vAlign w:val="center"/>
          </w:tcPr>
          <w:p w14:paraId="6B5DC36C"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2066" w:type="dxa"/>
            <w:tcBorders>
              <w:top w:val="dotted" w:sz="2" w:space="0" w:color="auto"/>
              <w:left w:val="dotted" w:sz="2" w:space="0" w:color="auto"/>
              <w:bottom w:val="dotted" w:sz="2" w:space="0" w:color="auto"/>
              <w:right w:val="dotted" w:sz="2" w:space="0" w:color="auto"/>
            </w:tcBorders>
            <w:vAlign w:val="center"/>
          </w:tcPr>
          <w:p w14:paraId="071F0877"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2591.43 </w:t>
            </w:r>
          </w:p>
        </w:tc>
        <w:tc>
          <w:tcPr>
            <w:tcW w:w="1834" w:type="dxa"/>
            <w:tcBorders>
              <w:top w:val="dotted" w:sz="2" w:space="0" w:color="auto"/>
              <w:left w:val="dotted" w:sz="2" w:space="0" w:color="auto"/>
              <w:bottom w:val="dotted" w:sz="2" w:space="0" w:color="auto"/>
              <w:right w:val="dotted" w:sz="2" w:space="0" w:color="auto"/>
            </w:tcBorders>
            <w:vAlign w:val="center"/>
          </w:tcPr>
          <w:p w14:paraId="4C946504"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3.30</w:t>
            </w:r>
          </w:p>
        </w:tc>
      </w:tr>
      <w:tr w:rsidR="00000000" w14:paraId="14C50ED3" w14:textId="77777777">
        <w:trPr>
          <w:cantSplit/>
          <w:trHeight w:val="297"/>
          <w:jc w:val="center"/>
        </w:trPr>
        <w:tc>
          <w:tcPr>
            <w:tcW w:w="1461" w:type="pct"/>
            <w:vMerge/>
            <w:tcBorders>
              <w:left w:val="dotted" w:sz="2" w:space="0" w:color="auto"/>
              <w:right w:val="dotted" w:sz="2" w:space="0" w:color="auto"/>
            </w:tcBorders>
            <w:vAlign w:val="center"/>
          </w:tcPr>
          <w:p w14:paraId="7AB9250A"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465" w:type="pct"/>
            <w:vMerge/>
            <w:tcBorders>
              <w:left w:val="dotted" w:sz="2" w:space="0" w:color="auto"/>
              <w:bottom w:val="dotted" w:sz="2" w:space="0" w:color="auto"/>
              <w:right w:val="dotted" w:sz="2" w:space="0" w:color="auto"/>
            </w:tcBorders>
            <w:vAlign w:val="center"/>
          </w:tcPr>
          <w:p w14:paraId="2BCEF795"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1000" w:type="pct"/>
            <w:tcBorders>
              <w:top w:val="dotted" w:sz="2" w:space="0" w:color="auto"/>
              <w:left w:val="dotted" w:sz="2" w:space="0" w:color="auto"/>
              <w:bottom w:val="dotted" w:sz="2" w:space="0" w:color="auto"/>
              <w:right w:val="dotted" w:sz="2" w:space="0" w:color="auto"/>
            </w:tcBorders>
            <w:vAlign w:val="center"/>
          </w:tcPr>
          <w:p w14:paraId="3DFCC7DA"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2066" w:type="dxa"/>
            <w:tcBorders>
              <w:top w:val="dotted" w:sz="2" w:space="0" w:color="auto"/>
              <w:left w:val="dotted" w:sz="2" w:space="0" w:color="auto"/>
              <w:bottom w:val="dotted" w:sz="2" w:space="0" w:color="auto"/>
              <w:right w:val="dotted" w:sz="2" w:space="0" w:color="auto"/>
            </w:tcBorders>
            <w:vAlign w:val="center"/>
          </w:tcPr>
          <w:p w14:paraId="258BBCEE"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2385.48 </w:t>
            </w:r>
          </w:p>
        </w:tc>
        <w:tc>
          <w:tcPr>
            <w:tcW w:w="1834" w:type="dxa"/>
            <w:tcBorders>
              <w:top w:val="dotted" w:sz="2" w:space="0" w:color="auto"/>
              <w:left w:val="dotted" w:sz="2" w:space="0" w:color="auto"/>
              <w:bottom w:val="dotted" w:sz="2" w:space="0" w:color="auto"/>
              <w:right w:val="dotted" w:sz="2" w:space="0" w:color="auto"/>
            </w:tcBorders>
            <w:vAlign w:val="center"/>
          </w:tcPr>
          <w:p w14:paraId="7CDBBBEB"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3.14</w:t>
            </w:r>
          </w:p>
        </w:tc>
      </w:tr>
      <w:tr w:rsidR="00000000" w14:paraId="38E4D174" w14:textId="77777777">
        <w:trPr>
          <w:cantSplit/>
          <w:trHeight w:val="317"/>
          <w:jc w:val="center"/>
        </w:trPr>
        <w:tc>
          <w:tcPr>
            <w:tcW w:w="1461" w:type="pct"/>
            <w:vMerge/>
            <w:tcBorders>
              <w:left w:val="dotted" w:sz="2" w:space="0" w:color="auto"/>
              <w:right w:val="dotted" w:sz="2" w:space="0" w:color="auto"/>
            </w:tcBorders>
            <w:vAlign w:val="center"/>
          </w:tcPr>
          <w:p w14:paraId="66D67038"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465" w:type="pct"/>
            <w:vMerge w:val="restart"/>
            <w:tcBorders>
              <w:top w:val="dotted" w:sz="2" w:space="0" w:color="auto"/>
              <w:left w:val="dotted" w:sz="2" w:space="0" w:color="auto"/>
              <w:right w:val="dotted" w:sz="2" w:space="0" w:color="auto"/>
            </w:tcBorders>
            <w:vAlign w:val="center"/>
          </w:tcPr>
          <w:p w14:paraId="4B9BFDB1"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2</w:t>
            </w:r>
          </w:p>
        </w:tc>
        <w:tc>
          <w:tcPr>
            <w:tcW w:w="1000" w:type="pct"/>
            <w:tcBorders>
              <w:top w:val="dotted" w:sz="2" w:space="0" w:color="auto"/>
              <w:left w:val="dotted" w:sz="2" w:space="0" w:color="auto"/>
              <w:bottom w:val="dotted" w:sz="2" w:space="0" w:color="auto"/>
              <w:right w:val="dotted" w:sz="2" w:space="0" w:color="auto"/>
            </w:tcBorders>
            <w:vAlign w:val="center"/>
          </w:tcPr>
          <w:p w14:paraId="3A6057FA"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2066" w:type="dxa"/>
            <w:tcBorders>
              <w:top w:val="dotted" w:sz="2" w:space="0" w:color="auto"/>
              <w:left w:val="dotted" w:sz="2" w:space="0" w:color="auto"/>
              <w:bottom w:val="dotted" w:sz="2" w:space="0" w:color="auto"/>
              <w:right w:val="dotted" w:sz="2" w:space="0" w:color="auto"/>
            </w:tcBorders>
            <w:vAlign w:val="center"/>
          </w:tcPr>
          <w:p w14:paraId="1D1BE225"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2696.40 </w:t>
            </w:r>
          </w:p>
        </w:tc>
        <w:tc>
          <w:tcPr>
            <w:tcW w:w="1834" w:type="dxa"/>
            <w:tcBorders>
              <w:top w:val="dotted" w:sz="2" w:space="0" w:color="auto"/>
              <w:left w:val="dotted" w:sz="2" w:space="0" w:color="auto"/>
              <w:bottom w:val="dotted" w:sz="2" w:space="0" w:color="auto"/>
              <w:right w:val="dotted" w:sz="2" w:space="0" w:color="auto"/>
            </w:tcBorders>
            <w:vAlign w:val="center"/>
          </w:tcPr>
          <w:p w14:paraId="51BF747D"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2.15</w:t>
            </w:r>
          </w:p>
        </w:tc>
      </w:tr>
      <w:tr w:rsidR="00000000" w14:paraId="0864DB26" w14:textId="77777777">
        <w:trPr>
          <w:cantSplit/>
          <w:trHeight w:val="295"/>
          <w:jc w:val="center"/>
        </w:trPr>
        <w:tc>
          <w:tcPr>
            <w:tcW w:w="1461" w:type="pct"/>
            <w:vMerge/>
            <w:tcBorders>
              <w:left w:val="dotted" w:sz="2" w:space="0" w:color="auto"/>
              <w:right w:val="dotted" w:sz="2" w:space="0" w:color="auto"/>
            </w:tcBorders>
            <w:vAlign w:val="center"/>
          </w:tcPr>
          <w:p w14:paraId="3D441426"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465" w:type="pct"/>
            <w:vMerge/>
            <w:tcBorders>
              <w:left w:val="dotted" w:sz="2" w:space="0" w:color="auto"/>
              <w:bottom w:val="dotted" w:sz="2" w:space="0" w:color="auto"/>
              <w:right w:val="dotted" w:sz="2" w:space="0" w:color="auto"/>
            </w:tcBorders>
            <w:vAlign w:val="center"/>
          </w:tcPr>
          <w:p w14:paraId="77C5DACE"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1000" w:type="pct"/>
            <w:tcBorders>
              <w:top w:val="dotted" w:sz="2" w:space="0" w:color="auto"/>
              <w:left w:val="dotted" w:sz="2" w:space="0" w:color="auto"/>
              <w:bottom w:val="dotted" w:sz="2" w:space="0" w:color="auto"/>
              <w:right w:val="dotted" w:sz="2" w:space="0" w:color="auto"/>
            </w:tcBorders>
            <w:vAlign w:val="center"/>
          </w:tcPr>
          <w:p w14:paraId="7C680B57"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2066" w:type="dxa"/>
            <w:tcBorders>
              <w:top w:val="dotted" w:sz="2" w:space="0" w:color="auto"/>
              <w:left w:val="dotted" w:sz="2" w:space="0" w:color="auto"/>
              <w:bottom w:val="dotted" w:sz="2" w:space="0" w:color="auto"/>
              <w:right w:val="dotted" w:sz="2" w:space="0" w:color="auto"/>
            </w:tcBorders>
            <w:vAlign w:val="center"/>
          </w:tcPr>
          <w:p w14:paraId="3E880835"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2399.61 </w:t>
            </w:r>
          </w:p>
        </w:tc>
        <w:tc>
          <w:tcPr>
            <w:tcW w:w="1834" w:type="dxa"/>
            <w:tcBorders>
              <w:top w:val="dotted" w:sz="2" w:space="0" w:color="auto"/>
              <w:left w:val="dotted" w:sz="2" w:space="0" w:color="auto"/>
              <w:bottom w:val="dotted" w:sz="2" w:space="0" w:color="auto"/>
              <w:right w:val="dotted" w:sz="2" w:space="0" w:color="auto"/>
            </w:tcBorders>
            <w:vAlign w:val="center"/>
          </w:tcPr>
          <w:p w14:paraId="03AFBFFC"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2.04</w:t>
            </w:r>
          </w:p>
        </w:tc>
      </w:tr>
      <w:tr w:rsidR="00000000" w14:paraId="322C34E4" w14:textId="77777777">
        <w:trPr>
          <w:cantSplit/>
          <w:trHeight w:val="315"/>
          <w:jc w:val="center"/>
        </w:trPr>
        <w:tc>
          <w:tcPr>
            <w:tcW w:w="1461" w:type="pct"/>
            <w:vMerge/>
            <w:tcBorders>
              <w:left w:val="dotted" w:sz="2" w:space="0" w:color="auto"/>
              <w:bottom w:val="dotted" w:sz="2" w:space="0" w:color="auto"/>
              <w:right w:val="dotted" w:sz="2" w:space="0" w:color="auto"/>
            </w:tcBorders>
            <w:vAlign w:val="center"/>
          </w:tcPr>
          <w:p w14:paraId="203807EA"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465" w:type="pct"/>
            <w:vMerge w:val="restart"/>
            <w:tcBorders>
              <w:top w:val="dotted" w:sz="2" w:space="0" w:color="auto"/>
              <w:left w:val="dotted" w:sz="2" w:space="0" w:color="auto"/>
              <w:right w:val="dotted" w:sz="2" w:space="0" w:color="auto"/>
            </w:tcBorders>
            <w:vAlign w:val="center"/>
          </w:tcPr>
          <w:p w14:paraId="20945DF2"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-1</w:t>
            </w:r>
          </w:p>
        </w:tc>
        <w:tc>
          <w:tcPr>
            <w:tcW w:w="1000" w:type="pct"/>
            <w:tcBorders>
              <w:top w:val="dotted" w:sz="2" w:space="0" w:color="auto"/>
              <w:left w:val="dotted" w:sz="2" w:space="0" w:color="auto"/>
              <w:bottom w:val="dotted" w:sz="2" w:space="0" w:color="auto"/>
              <w:right w:val="dotted" w:sz="2" w:space="0" w:color="auto"/>
            </w:tcBorders>
            <w:vAlign w:val="center"/>
          </w:tcPr>
          <w:p w14:paraId="76E4E0C1"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p>
        </w:tc>
        <w:tc>
          <w:tcPr>
            <w:tcW w:w="2066" w:type="dxa"/>
            <w:tcBorders>
              <w:top w:val="dotted" w:sz="2" w:space="0" w:color="auto"/>
              <w:left w:val="dotted" w:sz="2" w:space="0" w:color="auto"/>
              <w:bottom w:val="dotted" w:sz="2" w:space="0" w:color="auto"/>
              <w:right w:val="dotted" w:sz="2" w:space="0" w:color="auto"/>
            </w:tcBorders>
            <w:vAlign w:val="center"/>
          </w:tcPr>
          <w:p w14:paraId="458F5622"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8822.48 </w:t>
            </w:r>
          </w:p>
        </w:tc>
        <w:tc>
          <w:tcPr>
            <w:tcW w:w="1834" w:type="dxa"/>
            <w:tcBorders>
              <w:top w:val="dotted" w:sz="2" w:space="0" w:color="auto"/>
              <w:left w:val="dotted" w:sz="2" w:space="0" w:color="auto"/>
              <w:bottom w:val="dotted" w:sz="2" w:space="0" w:color="auto"/>
              <w:right w:val="dotted" w:sz="2" w:space="0" w:color="auto"/>
            </w:tcBorders>
            <w:vAlign w:val="center"/>
          </w:tcPr>
          <w:p w14:paraId="26E8204F"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1.04</w:t>
            </w:r>
          </w:p>
        </w:tc>
      </w:tr>
      <w:tr w:rsidR="00000000" w14:paraId="7A600CB9" w14:textId="77777777">
        <w:trPr>
          <w:cantSplit/>
          <w:trHeight w:val="315"/>
          <w:jc w:val="center"/>
        </w:trPr>
        <w:tc>
          <w:tcPr>
            <w:tcW w:w="1461" w:type="pct"/>
            <w:vMerge/>
            <w:tcBorders>
              <w:left w:val="dotted" w:sz="2" w:space="0" w:color="auto"/>
              <w:bottom w:val="dotted" w:sz="2" w:space="0" w:color="auto"/>
              <w:right w:val="dotted" w:sz="2" w:space="0" w:color="auto"/>
            </w:tcBorders>
            <w:vAlign w:val="center"/>
          </w:tcPr>
          <w:p w14:paraId="64F5DF86"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465" w:type="pct"/>
            <w:vMerge/>
            <w:tcBorders>
              <w:left w:val="dotted" w:sz="2" w:space="0" w:color="auto"/>
              <w:bottom w:val="dotted" w:sz="2" w:space="0" w:color="auto"/>
              <w:right w:val="dotted" w:sz="2" w:space="0" w:color="auto"/>
            </w:tcBorders>
            <w:vAlign w:val="center"/>
          </w:tcPr>
          <w:p w14:paraId="478D0992"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1000" w:type="pct"/>
            <w:tcBorders>
              <w:top w:val="dotted" w:sz="2" w:space="0" w:color="auto"/>
              <w:left w:val="dotted" w:sz="2" w:space="0" w:color="auto"/>
              <w:bottom w:val="dotted" w:sz="2" w:space="0" w:color="auto"/>
              <w:right w:val="dotted" w:sz="2" w:space="0" w:color="auto"/>
            </w:tcBorders>
            <w:vAlign w:val="center"/>
          </w:tcPr>
          <w:p w14:paraId="08B5037A"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p>
        </w:tc>
        <w:tc>
          <w:tcPr>
            <w:tcW w:w="2066" w:type="dxa"/>
            <w:tcBorders>
              <w:top w:val="dotted" w:sz="2" w:space="0" w:color="auto"/>
              <w:left w:val="dotted" w:sz="2" w:space="0" w:color="auto"/>
              <w:bottom w:val="dotted" w:sz="2" w:space="0" w:color="auto"/>
              <w:right w:val="dotted" w:sz="2" w:space="0" w:color="auto"/>
            </w:tcBorders>
            <w:vAlign w:val="center"/>
          </w:tcPr>
          <w:p w14:paraId="23532634"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5976.27 </w:t>
            </w:r>
          </w:p>
        </w:tc>
        <w:tc>
          <w:tcPr>
            <w:tcW w:w="1834" w:type="dxa"/>
            <w:tcBorders>
              <w:top w:val="dotted" w:sz="2" w:space="0" w:color="auto"/>
              <w:left w:val="dotted" w:sz="2" w:space="0" w:color="auto"/>
              <w:bottom w:val="dotted" w:sz="2" w:space="0" w:color="auto"/>
              <w:right w:val="dotted" w:sz="2" w:space="0" w:color="auto"/>
            </w:tcBorders>
            <w:vAlign w:val="center"/>
          </w:tcPr>
          <w:p w14:paraId="47ED6C49"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1.17</w:t>
            </w:r>
          </w:p>
        </w:tc>
      </w:tr>
      <w:tr w:rsidR="00000000" w14:paraId="66767036" w14:textId="77777777">
        <w:trPr>
          <w:cantSplit/>
          <w:trHeight w:val="307"/>
          <w:jc w:val="center"/>
        </w:trPr>
        <w:tc>
          <w:tcPr>
            <w:tcW w:w="2928" w:type="pct"/>
            <w:gridSpan w:val="3"/>
            <w:tcBorders>
              <w:top w:val="dotted" w:sz="2" w:space="0" w:color="auto"/>
              <w:left w:val="dotted" w:sz="2" w:space="0" w:color="auto"/>
              <w:bottom w:val="thinThickThinSmallGap" w:sz="12" w:space="0" w:color="auto"/>
              <w:right w:val="dotted" w:sz="2" w:space="0" w:color="auto"/>
            </w:tcBorders>
            <w:vAlign w:val="center"/>
          </w:tcPr>
          <w:p w14:paraId="51D51E1A"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合计</w:t>
            </w:r>
          </w:p>
        </w:tc>
        <w:tc>
          <w:tcPr>
            <w:tcW w:w="2066" w:type="dxa"/>
            <w:tcBorders>
              <w:top w:val="dotted" w:sz="2" w:space="0" w:color="auto"/>
              <w:left w:val="dotted" w:sz="2" w:space="0" w:color="auto"/>
              <w:bottom w:val="thinThickThinSmallGap" w:sz="12" w:space="0" w:color="auto"/>
              <w:right w:val="dotted" w:sz="2" w:space="0" w:color="auto"/>
            </w:tcBorders>
            <w:vAlign w:val="center"/>
          </w:tcPr>
          <w:p w14:paraId="77F09FE3"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24871.67 </w:t>
            </w:r>
          </w:p>
        </w:tc>
        <w:tc>
          <w:tcPr>
            <w:tcW w:w="974" w:type="pct"/>
            <w:tcBorders>
              <w:top w:val="dotted" w:sz="2" w:space="0" w:color="auto"/>
              <w:left w:val="dotted" w:sz="2" w:space="0" w:color="auto"/>
              <w:bottom w:val="thinThickThinSmallGap" w:sz="12" w:space="0" w:color="auto"/>
              <w:right w:val="dotted" w:sz="2" w:space="0" w:color="auto"/>
            </w:tcBorders>
            <w:vAlign w:val="center"/>
          </w:tcPr>
          <w:p w14:paraId="6532BC80"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w:t>
            </w:r>
          </w:p>
        </w:tc>
      </w:tr>
    </w:tbl>
    <w:p w14:paraId="68BBAF2A" w14:textId="77777777" w:rsidR="00000000" w:rsidRDefault="00000000">
      <w:pPr>
        <w:widowControl/>
        <w:adjustRightInd/>
        <w:spacing w:line="240" w:lineRule="auto"/>
        <w:ind w:firstLineChars="100" w:firstLine="180"/>
        <w:jc w:val="both"/>
        <w:textAlignment w:val="auto"/>
        <w:rPr>
          <w:rFonts w:ascii="Arial" w:eastAsia="华文细黑" w:hAnsi="Arial" w:hint="eastAsia"/>
          <w:sz w:val="18"/>
        </w:rPr>
      </w:pPr>
      <w:r>
        <w:rPr>
          <w:rFonts w:ascii="Arial" w:eastAsia="华文细黑" w:hAnsi="Arial" w:hint="eastAsia"/>
          <w:sz w:val="18"/>
        </w:rPr>
        <w:t>单位：</w:t>
      </w:r>
      <w:r>
        <w:rPr>
          <w:rFonts w:ascii="Arial" w:eastAsia="华文细黑" w:hAnsi="Arial" w:cs="宋体" w:hint="eastAsia"/>
          <w:sz w:val="18"/>
          <w:szCs w:val="18"/>
        </w:rPr>
        <w:t>平方米、元</w:t>
      </w:r>
      <w:r>
        <w:rPr>
          <w:rFonts w:ascii="Arial" w:eastAsia="华文细黑" w:hAnsi="Arial" w:cs="宋体" w:hint="eastAsia"/>
          <w:sz w:val="18"/>
          <w:szCs w:val="18"/>
        </w:rPr>
        <w:t>/</w:t>
      </w:r>
      <w:r>
        <w:rPr>
          <w:rFonts w:ascii="Arial" w:eastAsia="华文细黑" w:hAnsi="Arial" w:cs="宋体" w:hint="eastAsia"/>
          <w:sz w:val="18"/>
          <w:szCs w:val="18"/>
        </w:rPr>
        <w:t>建筑</w:t>
      </w:r>
      <w:r>
        <w:rPr>
          <w:rFonts w:ascii="Arial" w:eastAsia="华文细黑" w:hAnsi="Arial" w:cs="宋体"/>
          <w:sz w:val="18"/>
          <w:szCs w:val="18"/>
        </w:rPr>
        <w:t>面积</w:t>
      </w:r>
      <w:r>
        <w:rPr>
          <w:rFonts w:ascii="Arial" w:eastAsia="华文细黑" w:hAnsi="Arial" w:cs="宋体" w:hint="eastAsia"/>
          <w:sz w:val="18"/>
          <w:szCs w:val="18"/>
        </w:rPr>
        <w:t>平方米·天</w:t>
      </w:r>
      <w:r>
        <w:rPr>
          <w:rFonts w:ascii="Arial" w:eastAsia="华文细黑" w:hAnsi="Arial" w:hint="eastAsia"/>
          <w:sz w:val="18"/>
        </w:rPr>
        <w:t>（币种：人民币）</w:t>
      </w:r>
    </w:p>
    <w:p w14:paraId="033BDF83" w14:textId="77777777" w:rsidR="00000000" w:rsidRDefault="00000000">
      <w:pPr>
        <w:widowControl/>
        <w:adjustRightInd/>
        <w:spacing w:line="240" w:lineRule="auto"/>
        <w:ind w:firstLineChars="100" w:firstLine="180"/>
        <w:jc w:val="both"/>
        <w:textAlignment w:val="auto"/>
        <w:rPr>
          <w:rFonts w:ascii="Arial" w:eastAsia="华文细黑" w:hAnsi="Arial" w:cs="宋体" w:hint="eastAsia"/>
          <w:sz w:val="18"/>
          <w:szCs w:val="18"/>
        </w:rPr>
      </w:pPr>
      <w:r>
        <w:rPr>
          <w:rFonts w:ascii="Arial" w:eastAsia="华文细黑" w:hAnsi="Arial" w:cs="宋体" w:hint="eastAsia"/>
          <w:sz w:val="18"/>
          <w:szCs w:val="18"/>
        </w:rPr>
        <w:t>备注：因市场情况复杂，实际签订价格将受交易双方对项目心理预期的影响，会在估价结果的基础上出现一定范围内的上下浮动。</w:t>
      </w:r>
    </w:p>
    <w:p w14:paraId="2AFA64BB" w14:textId="77777777" w:rsidR="00000000" w:rsidRDefault="00000000">
      <w:pPr>
        <w:widowControl/>
        <w:adjustRightInd/>
        <w:spacing w:line="240" w:lineRule="auto"/>
        <w:ind w:firstLineChars="100" w:firstLine="180"/>
        <w:jc w:val="both"/>
        <w:textAlignment w:val="auto"/>
        <w:rPr>
          <w:rFonts w:ascii="Arial" w:eastAsia="华文细黑" w:hAnsi="Arial" w:cs="宋体" w:hint="eastAsia"/>
          <w:sz w:val="18"/>
          <w:szCs w:val="18"/>
        </w:rPr>
      </w:pPr>
    </w:p>
    <w:p w14:paraId="62F71FFE" w14:textId="77777777" w:rsidR="00000000" w:rsidRDefault="00000000">
      <w:pPr>
        <w:widowControl/>
        <w:adjustRightInd/>
        <w:spacing w:line="240" w:lineRule="auto"/>
        <w:ind w:firstLineChars="100" w:firstLine="180"/>
        <w:jc w:val="both"/>
        <w:textAlignment w:val="auto"/>
        <w:rPr>
          <w:rFonts w:ascii="Arial" w:eastAsia="华文细黑" w:hAnsi="Arial" w:cs="宋体" w:hint="eastAsia"/>
          <w:sz w:val="18"/>
          <w:szCs w:val="18"/>
        </w:rPr>
      </w:pPr>
    </w:p>
    <w:p w14:paraId="3D933DBF" w14:textId="77777777" w:rsidR="00000000" w:rsidRDefault="00000000">
      <w:pPr>
        <w:widowControl/>
        <w:adjustRightInd/>
        <w:spacing w:line="240" w:lineRule="auto"/>
        <w:ind w:firstLineChars="100" w:firstLine="180"/>
        <w:jc w:val="both"/>
        <w:textAlignment w:val="auto"/>
        <w:rPr>
          <w:rFonts w:ascii="Arial" w:eastAsia="华文细黑" w:hAnsi="Arial" w:cs="宋体" w:hint="eastAsia"/>
          <w:sz w:val="18"/>
          <w:szCs w:val="18"/>
        </w:rPr>
      </w:pPr>
    </w:p>
    <w:p w14:paraId="54B4A67F" w14:textId="77777777" w:rsidR="00000000" w:rsidRDefault="00000000">
      <w:pPr>
        <w:spacing w:line="480" w:lineRule="auto"/>
        <w:jc w:val="both"/>
        <w:rPr>
          <w:rFonts w:ascii="Arial" w:hAnsi="Arial" w:cs="Arial"/>
          <w:b/>
          <w:bCs/>
          <w:sz w:val="21"/>
          <w:szCs w:val="21"/>
        </w:rPr>
      </w:pPr>
      <w:r>
        <w:rPr>
          <w:rFonts w:ascii="Arial" w:hAnsi="Arial" w:cs="Arial"/>
          <w:b/>
          <w:bCs/>
          <w:sz w:val="21"/>
          <w:szCs w:val="21"/>
        </w:rPr>
        <w:t>特别提示：</w:t>
      </w:r>
    </w:p>
    <w:p w14:paraId="3164355F" w14:textId="77777777" w:rsidR="00000000" w:rsidRDefault="00000000">
      <w:pPr>
        <w:spacing w:line="480" w:lineRule="auto"/>
        <w:jc w:val="both"/>
        <w:rPr>
          <w:rFonts w:ascii="Arial" w:hAnsi="Arial" w:cs="Arial"/>
          <w:color w:val="E36C0A"/>
          <w:sz w:val="21"/>
          <w:szCs w:val="21"/>
        </w:rPr>
      </w:pPr>
      <w:r>
        <w:rPr>
          <w:rFonts w:ascii="Arial" w:hAnsi="Arial" w:cs="Arial"/>
          <w:bCs/>
          <w:sz w:val="21"/>
          <w:szCs w:val="21"/>
        </w:rPr>
        <w:t>1.</w:t>
      </w:r>
      <w:r>
        <w:rPr>
          <w:rFonts w:ascii="Arial" w:hAnsi="Arial" w:hint="eastAsia"/>
          <w:bCs/>
          <w:sz w:val="21"/>
          <w:szCs w:val="21"/>
        </w:rPr>
        <w:t>本次评估设定估价对象权属清晰、合法、无争议，未被查封或者以其他形式限制其房地产权利，不涉及第三方权利义务。</w:t>
      </w:r>
    </w:p>
    <w:p w14:paraId="6C60522E" w14:textId="77777777" w:rsidR="00000000" w:rsidRDefault="00000000">
      <w:pPr>
        <w:spacing w:line="480" w:lineRule="auto"/>
        <w:jc w:val="both"/>
        <w:rPr>
          <w:rFonts w:ascii="Arial" w:hAnsi="Arial" w:cs="Arial"/>
          <w:bCs/>
          <w:sz w:val="21"/>
          <w:szCs w:val="21"/>
        </w:rPr>
      </w:pPr>
      <w:r>
        <w:rPr>
          <w:rFonts w:ascii="Arial" w:hAnsi="Arial" w:cs="Arial" w:hint="eastAsia"/>
          <w:bCs/>
          <w:sz w:val="21"/>
          <w:szCs w:val="21"/>
        </w:rPr>
        <w:t>2</w:t>
      </w:r>
      <w:r>
        <w:rPr>
          <w:rFonts w:ascii="Arial" w:hAnsi="Arial" w:cs="Arial"/>
          <w:bCs/>
          <w:sz w:val="21"/>
          <w:szCs w:val="21"/>
        </w:rPr>
        <w:t>.</w:t>
      </w:r>
      <w:r>
        <w:rPr>
          <w:rFonts w:ascii="Arial" w:hAnsi="Arial" w:cs="Arial"/>
          <w:sz w:val="21"/>
          <w:szCs w:val="21"/>
        </w:rPr>
        <w:t>本估价结果同时受本估价报告正文中</w:t>
      </w:r>
      <w:r>
        <w:rPr>
          <w:rFonts w:ascii="Arial" w:hAnsi="Arial" w:cs="Arial" w:hint="eastAsia"/>
          <w:bCs/>
          <w:sz w:val="21"/>
          <w:szCs w:val="21"/>
        </w:rPr>
        <w:t>“</w:t>
      </w:r>
      <w:r>
        <w:rPr>
          <w:rFonts w:ascii="Arial" w:hAnsi="Arial" w:cs="Arial"/>
          <w:bCs/>
          <w:sz w:val="21"/>
          <w:szCs w:val="21"/>
        </w:rPr>
        <w:t>估价的假设和限制条件</w:t>
      </w:r>
      <w:r>
        <w:rPr>
          <w:rFonts w:ascii="Arial" w:hAnsi="Arial" w:cs="Arial" w:hint="eastAsia"/>
          <w:bCs/>
          <w:sz w:val="21"/>
          <w:szCs w:val="21"/>
        </w:rPr>
        <w:t>”</w:t>
      </w:r>
      <w:r>
        <w:rPr>
          <w:rFonts w:ascii="Arial" w:hAnsi="Arial" w:cs="Arial"/>
          <w:bCs/>
          <w:sz w:val="21"/>
          <w:szCs w:val="21"/>
        </w:rPr>
        <w:t>限制。</w:t>
      </w:r>
    </w:p>
    <w:tbl>
      <w:tblPr>
        <w:tblW w:w="9299" w:type="dxa"/>
        <w:jc w:val="center"/>
        <w:tblInd w:w="0" w:type="dxa"/>
        <w:tblLayout w:type="fixed"/>
        <w:tblCellMar>
          <w:left w:w="0" w:type="dxa"/>
          <w:right w:w="0" w:type="dxa"/>
        </w:tblCellMar>
        <w:tblLook w:val="0000" w:firstRow="0" w:lastRow="0" w:firstColumn="0" w:lastColumn="0" w:noHBand="0" w:noVBand="0"/>
      </w:tblPr>
      <w:tblGrid>
        <w:gridCol w:w="6096"/>
        <w:gridCol w:w="3203"/>
      </w:tblGrid>
      <w:tr w:rsidR="00000000" w14:paraId="0BEC823E" w14:textId="77777777">
        <w:trPr>
          <w:cantSplit/>
          <w:trHeight w:hRule="exact" w:val="454"/>
          <w:jc w:val="center"/>
        </w:trPr>
        <w:tc>
          <w:tcPr>
            <w:tcW w:w="6096" w:type="dxa"/>
          </w:tcPr>
          <w:p w14:paraId="463D924A" w14:textId="77777777" w:rsidR="00000000" w:rsidRDefault="00000000">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43220A28" w14:textId="77777777" w:rsidR="00000000" w:rsidRDefault="00000000">
            <w:pPr>
              <w:spacing w:line="480" w:lineRule="auto"/>
              <w:jc w:val="right"/>
              <w:rPr>
                <w:rFonts w:ascii="Arial" w:hAnsi="Arial" w:cs="Arial"/>
                <w:sz w:val="21"/>
                <w:szCs w:val="21"/>
              </w:rPr>
            </w:pPr>
          </w:p>
        </w:tc>
      </w:tr>
      <w:tr w:rsidR="00000000" w14:paraId="7BFFBCBE" w14:textId="77777777">
        <w:trPr>
          <w:cantSplit/>
          <w:trHeight w:hRule="exact" w:val="454"/>
          <w:jc w:val="center"/>
        </w:trPr>
        <w:tc>
          <w:tcPr>
            <w:tcW w:w="6096" w:type="dxa"/>
          </w:tcPr>
          <w:p w14:paraId="0B4D329C" w14:textId="77777777" w:rsidR="00000000" w:rsidRDefault="00000000">
            <w:pPr>
              <w:spacing w:line="480" w:lineRule="auto"/>
              <w:rPr>
                <w:rFonts w:ascii="Arial" w:hAnsi="Arial" w:cs="Arial"/>
                <w:sz w:val="21"/>
                <w:szCs w:val="21"/>
              </w:rPr>
            </w:pPr>
            <w:r>
              <w:rPr>
                <w:rFonts w:ascii="Arial" w:hAnsi="Arial" w:cs="Arial"/>
                <w:sz w:val="21"/>
                <w:szCs w:val="21"/>
              </w:rPr>
              <w:t>商祺</w:t>
            </w:r>
          </w:p>
        </w:tc>
        <w:tc>
          <w:tcPr>
            <w:tcW w:w="3203" w:type="dxa"/>
          </w:tcPr>
          <w:p w14:paraId="2B9B32FC" w14:textId="77777777" w:rsidR="00000000" w:rsidRDefault="00000000">
            <w:pPr>
              <w:spacing w:line="480" w:lineRule="auto"/>
              <w:jc w:val="right"/>
              <w:rPr>
                <w:rFonts w:ascii="Arial" w:hAnsi="Arial" w:cs="Arial"/>
                <w:sz w:val="21"/>
                <w:szCs w:val="21"/>
              </w:rPr>
            </w:pPr>
          </w:p>
        </w:tc>
      </w:tr>
      <w:tr w:rsidR="00000000" w14:paraId="3C35FBBE" w14:textId="77777777">
        <w:trPr>
          <w:cantSplit/>
          <w:jc w:val="center"/>
        </w:trPr>
        <w:tc>
          <w:tcPr>
            <w:tcW w:w="6096" w:type="dxa"/>
          </w:tcPr>
          <w:p w14:paraId="1CF8C501" w14:textId="77777777" w:rsidR="00000000" w:rsidRDefault="00000000">
            <w:pPr>
              <w:spacing w:line="480" w:lineRule="auto"/>
              <w:jc w:val="right"/>
              <w:rPr>
                <w:rFonts w:ascii="Arial" w:hAnsi="Arial" w:cs="Arial"/>
                <w:sz w:val="21"/>
                <w:szCs w:val="21"/>
              </w:rPr>
            </w:pPr>
          </w:p>
        </w:tc>
        <w:tc>
          <w:tcPr>
            <w:tcW w:w="3203" w:type="dxa"/>
          </w:tcPr>
          <w:p w14:paraId="0EAA7422" w14:textId="77777777" w:rsidR="00000000" w:rsidRDefault="00000000">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000000" w14:paraId="4EBA5AFB" w14:textId="77777777">
        <w:trPr>
          <w:cantSplit/>
          <w:trHeight w:hRule="exact" w:val="1134"/>
          <w:jc w:val="center"/>
        </w:trPr>
        <w:tc>
          <w:tcPr>
            <w:tcW w:w="6096" w:type="dxa"/>
          </w:tcPr>
          <w:p w14:paraId="7E07751F" w14:textId="77777777" w:rsidR="00000000" w:rsidRDefault="00000000">
            <w:pPr>
              <w:spacing w:line="480" w:lineRule="auto"/>
              <w:jc w:val="right"/>
              <w:rPr>
                <w:rFonts w:ascii="Arial" w:hAnsi="Arial" w:cs="Arial"/>
                <w:sz w:val="21"/>
                <w:szCs w:val="21"/>
              </w:rPr>
            </w:pPr>
          </w:p>
        </w:tc>
        <w:tc>
          <w:tcPr>
            <w:tcW w:w="3203" w:type="dxa"/>
          </w:tcPr>
          <w:p w14:paraId="7F2522F0" w14:textId="77777777" w:rsidR="00000000" w:rsidRDefault="00000000">
            <w:pPr>
              <w:spacing w:line="480" w:lineRule="auto"/>
              <w:rPr>
                <w:rFonts w:ascii="Arial" w:hAnsi="Arial" w:cs="Arial"/>
                <w:sz w:val="21"/>
                <w:szCs w:val="21"/>
              </w:rPr>
            </w:pPr>
            <w:r>
              <w:rPr>
                <w:rFonts w:ascii="Arial" w:hAnsi="Arial" w:cs="Arial"/>
                <w:sz w:val="21"/>
                <w:szCs w:val="21"/>
              </w:rPr>
              <w:t>法定代表人：</w:t>
            </w:r>
          </w:p>
        </w:tc>
      </w:tr>
      <w:tr w:rsidR="00000000" w14:paraId="49417666" w14:textId="77777777">
        <w:trPr>
          <w:cantSplit/>
          <w:jc w:val="center"/>
        </w:trPr>
        <w:tc>
          <w:tcPr>
            <w:tcW w:w="6096" w:type="dxa"/>
          </w:tcPr>
          <w:p w14:paraId="5E412A85" w14:textId="77777777" w:rsidR="00000000" w:rsidRDefault="00000000">
            <w:pPr>
              <w:spacing w:line="480" w:lineRule="auto"/>
              <w:jc w:val="right"/>
              <w:rPr>
                <w:rFonts w:ascii="Arial" w:hAnsi="Arial" w:cs="Arial"/>
                <w:sz w:val="21"/>
                <w:szCs w:val="21"/>
              </w:rPr>
            </w:pPr>
          </w:p>
        </w:tc>
        <w:tc>
          <w:tcPr>
            <w:tcW w:w="3203" w:type="dxa"/>
          </w:tcPr>
          <w:p w14:paraId="05091A45" w14:textId="77777777" w:rsidR="00000000" w:rsidRDefault="00000000">
            <w:pPr>
              <w:spacing w:line="480" w:lineRule="auto"/>
              <w:jc w:val="right"/>
              <w:rPr>
                <w:rFonts w:ascii="Arial" w:hAnsi="Arial" w:cs="Arial"/>
                <w:sz w:val="21"/>
                <w:szCs w:val="21"/>
              </w:rPr>
            </w:pPr>
            <w:r>
              <w:rPr>
                <w:rFonts w:ascii="Arial" w:hAnsi="Arial" w:cs="Arial"/>
                <w:sz w:val="21"/>
                <w:szCs w:val="21"/>
              </w:rPr>
              <w:t>二</w:t>
            </w:r>
            <w:r>
              <w:rPr>
                <w:rFonts w:ascii="Arial" w:hAnsi="Arial" w:cs="Arial" w:hint="eastAsia"/>
                <w:sz w:val="21"/>
                <w:szCs w:val="21"/>
              </w:rPr>
              <w:t>○二六</w:t>
            </w:r>
            <w:r>
              <w:rPr>
                <w:rFonts w:ascii="Arial" w:hAnsi="Arial" w:cs="Arial"/>
                <w:sz w:val="21"/>
                <w:szCs w:val="21"/>
              </w:rPr>
              <w:t>年</w:t>
            </w:r>
            <w:r>
              <w:rPr>
                <w:rFonts w:ascii="Arial" w:hAnsi="Arial" w:cs="Arial" w:hint="eastAsia"/>
                <w:sz w:val="21"/>
                <w:szCs w:val="21"/>
              </w:rPr>
              <w:t>一月三十日</w:t>
            </w:r>
          </w:p>
        </w:tc>
      </w:tr>
    </w:tbl>
    <w:p w14:paraId="6F67FCC5" w14:textId="77777777" w:rsidR="00000000" w:rsidRDefault="00000000">
      <w:pPr>
        <w:spacing w:line="480" w:lineRule="auto"/>
        <w:jc w:val="right"/>
        <w:rPr>
          <w:rFonts w:ascii="Arial" w:hAnsi="Arial" w:cs="Arial"/>
          <w:sz w:val="21"/>
          <w:szCs w:val="21"/>
        </w:rPr>
      </w:pPr>
    </w:p>
    <w:p w14:paraId="035909FB" w14:textId="77777777" w:rsidR="00000000" w:rsidRDefault="00000000">
      <w:pPr>
        <w:spacing w:line="480" w:lineRule="auto"/>
        <w:rPr>
          <w:rFonts w:ascii="Arial" w:hAnsi="Arial" w:cs="Arial"/>
          <w:color w:val="E36C0A"/>
          <w:sz w:val="21"/>
          <w:szCs w:val="21"/>
        </w:rPr>
        <w:sectPr w:rsidR="00000000">
          <w:headerReference w:type="default" r:id="rId15"/>
          <w:footerReference w:type="default" r:id="rId16"/>
          <w:pgSz w:w="11907" w:h="16840"/>
          <w:pgMar w:top="1843" w:right="1304" w:bottom="1134" w:left="1304" w:header="1134" w:footer="907" w:gutter="0"/>
          <w:cols w:space="720"/>
          <w:docGrid w:linePitch="326"/>
        </w:sectPr>
      </w:pPr>
    </w:p>
    <w:p w14:paraId="09E091C4" w14:textId="77777777" w:rsidR="00000000" w:rsidRDefault="00000000">
      <w:pPr>
        <w:spacing w:line="480" w:lineRule="auto"/>
        <w:jc w:val="center"/>
        <w:outlineLvl w:val="0"/>
        <w:rPr>
          <w:rFonts w:ascii="Arial" w:eastAsia="方正黑体简体" w:hAnsi="Arial" w:cs="Arial" w:hint="eastAsia"/>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0744CCCC" w14:textId="77777777" w:rsidR="00000000" w:rsidRDefault="00000000">
      <w:pPr>
        <w:pStyle w:val="TOC1"/>
        <w:rPr>
          <w:rFonts w:ascii="Arial" w:hAnsi="Arial"/>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477252438" w:history="1">
        <w:r>
          <w:rPr>
            <w:rStyle w:val="af8"/>
            <w:rFonts w:ascii="Arial" w:eastAsia="宋体" w:hAnsi="Arial" w:hint="eastAsia"/>
            <w:color w:val="auto"/>
            <w:sz w:val="21"/>
            <w:szCs w:val="21"/>
          </w:rPr>
          <w:t>估价师声明</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_Toc477252438 \h </w:instrText>
        </w:r>
        <w:r>
          <w:rPr>
            <w:rFonts w:ascii="Arial" w:hAnsi="Arial"/>
            <w:sz w:val="21"/>
            <w:szCs w:val="21"/>
          </w:rPr>
          <w:fldChar w:fldCharType="separate"/>
        </w:r>
        <w:r>
          <w:rPr>
            <w:rFonts w:ascii="Arial" w:hAnsi="Arial"/>
            <w:sz w:val="21"/>
            <w:szCs w:val="21"/>
          </w:rPr>
          <w:t>7</w:t>
        </w:r>
        <w:r>
          <w:rPr>
            <w:rFonts w:ascii="Arial" w:hAnsi="Arial"/>
            <w:sz w:val="21"/>
            <w:szCs w:val="21"/>
          </w:rPr>
          <w:fldChar w:fldCharType="end"/>
        </w:r>
      </w:hyperlink>
    </w:p>
    <w:p w14:paraId="7571513F" w14:textId="77777777" w:rsidR="00000000" w:rsidRDefault="00000000">
      <w:pPr>
        <w:pStyle w:val="TOC1"/>
        <w:rPr>
          <w:rFonts w:ascii="Arial" w:hAnsi="Arial"/>
          <w:kern w:val="2"/>
          <w:sz w:val="21"/>
          <w:szCs w:val="21"/>
        </w:rPr>
      </w:pPr>
      <w:hyperlink w:anchor="_Toc477252439" w:history="1">
        <w:r>
          <w:rPr>
            <w:rStyle w:val="af8"/>
            <w:rFonts w:ascii="Arial" w:eastAsia="宋体" w:hAnsi="Arial" w:hint="eastAsia"/>
            <w:color w:val="auto"/>
            <w:sz w:val="21"/>
            <w:szCs w:val="21"/>
          </w:rPr>
          <w:t>估价假设和限制条件</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_Toc477252439 \h </w:instrText>
        </w:r>
        <w:r>
          <w:rPr>
            <w:rFonts w:ascii="Arial" w:hAnsi="Arial"/>
            <w:sz w:val="21"/>
            <w:szCs w:val="21"/>
          </w:rPr>
          <w:fldChar w:fldCharType="separate"/>
        </w:r>
        <w:r>
          <w:rPr>
            <w:rFonts w:ascii="Arial" w:hAnsi="Arial"/>
            <w:sz w:val="21"/>
            <w:szCs w:val="21"/>
          </w:rPr>
          <w:t>8</w:t>
        </w:r>
        <w:r>
          <w:rPr>
            <w:rFonts w:ascii="Arial" w:hAnsi="Arial"/>
            <w:sz w:val="21"/>
            <w:szCs w:val="21"/>
          </w:rPr>
          <w:fldChar w:fldCharType="end"/>
        </w:r>
      </w:hyperlink>
    </w:p>
    <w:p w14:paraId="1746E55C" w14:textId="77777777" w:rsidR="00000000" w:rsidRDefault="00000000">
      <w:pPr>
        <w:pStyle w:val="TOC1"/>
        <w:rPr>
          <w:rFonts w:ascii="Arial" w:hAnsi="Arial"/>
          <w:kern w:val="2"/>
          <w:sz w:val="21"/>
          <w:szCs w:val="21"/>
        </w:rPr>
      </w:pPr>
      <w:hyperlink w:anchor="_Toc477252440" w:history="1">
        <w:r>
          <w:rPr>
            <w:rStyle w:val="af8"/>
            <w:rFonts w:ascii="Arial" w:eastAsia="宋体" w:hAnsi="Arial" w:hint="eastAsia"/>
            <w:color w:val="auto"/>
            <w:sz w:val="21"/>
            <w:szCs w:val="21"/>
          </w:rPr>
          <w:t>估　价　结</w:t>
        </w:r>
        <w:r>
          <w:rPr>
            <w:rStyle w:val="af8"/>
            <w:rFonts w:ascii="Arial" w:eastAsia="宋体" w:hAnsi="Arial"/>
            <w:color w:val="auto"/>
            <w:sz w:val="21"/>
            <w:szCs w:val="21"/>
          </w:rPr>
          <w:t xml:space="preserve">  </w:t>
        </w:r>
        <w:r>
          <w:rPr>
            <w:rStyle w:val="af8"/>
            <w:rFonts w:ascii="Arial" w:eastAsia="宋体" w:hAnsi="Arial" w:hint="eastAsia"/>
            <w:color w:val="auto"/>
            <w:sz w:val="21"/>
            <w:szCs w:val="21"/>
          </w:rPr>
          <w:t>果</w:t>
        </w:r>
        <w:r>
          <w:rPr>
            <w:rStyle w:val="af8"/>
            <w:rFonts w:ascii="Arial" w:eastAsia="宋体" w:hAnsi="Arial"/>
            <w:color w:val="auto"/>
            <w:sz w:val="21"/>
            <w:szCs w:val="21"/>
          </w:rPr>
          <w:t xml:space="preserve">  </w:t>
        </w:r>
        <w:r>
          <w:rPr>
            <w:rStyle w:val="af8"/>
            <w:rFonts w:ascii="Arial" w:eastAsia="宋体" w:hAnsi="Arial" w:hint="eastAsia"/>
            <w:color w:val="auto"/>
            <w:sz w:val="21"/>
            <w:szCs w:val="21"/>
          </w:rPr>
          <w:t>报　告</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_Toc477252440 \h </w:instrText>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hyperlink>
    </w:p>
    <w:p w14:paraId="15D9BD7C" w14:textId="77777777" w:rsidR="00000000" w:rsidRDefault="00000000">
      <w:pPr>
        <w:pStyle w:val="TOC2"/>
        <w:rPr>
          <w:rFonts w:ascii="Arial" w:hAnsi="Arial"/>
          <w:kern w:val="2"/>
          <w:sz w:val="21"/>
          <w:szCs w:val="21"/>
        </w:rPr>
      </w:pPr>
      <w:hyperlink w:anchor="_Toc477252441" w:history="1">
        <w:r>
          <w:rPr>
            <w:rStyle w:val="af8"/>
            <w:rFonts w:ascii="Arial" w:eastAsia="宋体" w:hAnsi="Arial" w:hint="eastAsia"/>
            <w:color w:val="auto"/>
            <w:sz w:val="21"/>
            <w:szCs w:val="21"/>
          </w:rPr>
          <w:t>一、估价委托人</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_Toc477252441 \h </w:instrText>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hyperlink>
    </w:p>
    <w:p w14:paraId="5D470753" w14:textId="77777777" w:rsidR="00000000" w:rsidRDefault="00000000">
      <w:pPr>
        <w:pStyle w:val="TOC2"/>
        <w:rPr>
          <w:rFonts w:ascii="Arial" w:hAnsi="Arial"/>
          <w:kern w:val="2"/>
          <w:sz w:val="21"/>
          <w:szCs w:val="21"/>
        </w:rPr>
      </w:pPr>
      <w:hyperlink w:anchor="_Toc477252442" w:history="1">
        <w:r>
          <w:rPr>
            <w:rStyle w:val="af8"/>
            <w:rFonts w:ascii="Arial" w:eastAsia="宋体" w:hAnsi="Arial" w:hint="eastAsia"/>
            <w:color w:val="auto"/>
            <w:sz w:val="21"/>
            <w:szCs w:val="21"/>
          </w:rPr>
          <w:t>二、房地产估价机构</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_Toc477252442 \h </w:instrText>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hyperlink>
    </w:p>
    <w:p w14:paraId="08F0EDB9" w14:textId="77777777" w:rsidR="00000000" w:rsidRDefault="00000000">
      <w:pPr>
        <w:pStyle w:val="TOC2"/>
        <w:rPr>
          <w:rFonts w:ascii="Arial" w:hAnsi="Arial"/>
          <w:kern w:val="2"/>
          <w:sz w:val="21"/>
          <w:szCs w:val="21"/>
        </w:rPr>
      </w:pPr>
      <w:hyperlink w:anchor="_Toc477252443" w:history="1">
        <w:r>
          <w:rPr>
            <w:rStyle w:val="af8"/>
            <w:rFonts w:ascii="Arial" w:eastAsia="宋体" w:hAnsi="Arial" w:hint="eastAsia"/>
            <w:color w:val="auto"/>
            <w:sz w:val="21"/>
            <w:szCs w:val="21"/>
          </w:rPr>
          <w:t>三、估价目的</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_Toc477252443 \h </w:instrText>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hyperlink>
    </w:p>
    <w:p w14:paraId="1DDC7B45" w14:textId="77777777" w:rsidR="00000000" w:rsidRDefault="00000000">
      <w:pPr>
        <w:pStyle w:val="TOC2"/>
        <w:rPr>
          <w:rFonts w:ascii="Arial" w:hAnsi="Arial"/>
          <w:kern w:val="2"/>
          <w:sz w:val="21"/>
          <w:szCs w:val="21"/>
        </w:rPr>
      </w:pPr>
      <w:hyperlink w:anchor="_Toc477252444" w:history="1">
        <w:r>
          <w:rPr>
            <w:rStyle w:val="af8"/>
            <w:rFonts w:ascii="Arial" w:eastAsia="宋体" w:hAnsi="Arial" w:hint="eastAsia"/>
            <w:color w:val="auto"/>
            <w:sz w:val="21"/>
            <w:szCs w:val="21"/>
          </w:rPr>
          <w:t>四、估价对象</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_Toc477252444 \h </w:instrText>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hyperlink>
    </w:p>
    <w:p w14:paraId="2E71CE39" w14:textId="77777777" w:rsidR="00000000" w:rsidRDefault="00000000">
      <w:pPr>
        <w:pStyle w:val="TOC2"/>
        <w:rPr>
          <w:rFonts w:ascii="Arial" w:hAnsi="Arial"/>
          <w:kern w:val="2"/>
          <w:sz w:val="21"/>
          <w:szCs w:val="21"/>
        </w:rPr>
      </w:pPr>
      <w:hyperlink w:anchor="_Toc477252445" w:history="1">
        <w:r>
          <w:rPr>
            <w:rStyle w:val="af8"/>
            <w:rFonts w:ascii="Arial" w:eastAsia="宋体" w:hAnsi="Arial" w:hint="eastAsia"/>
            <w:color w:val="auto"/>
            <w:sz w:val="21"/>
            <w:szCs w:val="21"/>
          </w:rPr>
          <w:t>五、价值时点</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_Toc477252445 \h </w:instrText>
        </w:r>
        <w:r>
          <w:rPr>
            <w:rFonts w:ascii="Arial" w:hAnsi="Arial"/>
            <w:sz w:val="21"/>
            <w:szCs w:val="21"/>
          </w:rPr>
          <w:fldChar w:fldCharType="separate"/>
        </w:r>
        <w:r>
          <w:rPr>
            <w:rFonts w:ascii="Arial" w:hAnsi="Arial"/>
            <w:sz w:val="21"/>
            <w:szCs w:val="21"/>
          </w:rPr>
          <w:t>15</w:t>
        </w:r>
        <w:r>
          <w:rPr>
            <w:rFonts w:ascii="Arial" w:hAnsi="Arial"/>
            <w:sz w:val="21"/>
            <w:szCs w:val="21"/>
          </w:rPr>
          <w:fldChar w:fldCharType="end"/>
        </w:r>
      </w:hyperlink>
    </w:p>
    <w:p w14:paraId="5F013779" w14:textId="77777777" w:rsidR="00000000" w:rsidRDefault="00000000">
      <w:pPr>
        <w:pStyle w:val="TOC2"/>
        <w:rPr>
          <w:rFonts w:ascii="Arial" w:hAnsi="Arial"/>
          <w:kern w:val="2"/>
          <w:sz w:val="21"/>
          <w:szCs w:val="21"/>
        </w:rPr>
      </w:pPr>
      <w:hyperlink w:anchor="_Toc477252446" w:history="1">
        <w:r>
          <w:rPr>
            <w:rStyle w:val="af8"/>
            <w:rFonts w:ascii="Arial" w:eastAsia="宋体" w:hAnsi="Arial" w:hint="eastAsia"/>
            <w:color w:val="auto"/>
            <w:sz w:val="21"/>
            <w:szCs w:val="21"/>
          </w:rPr>
          <w:t>六、价值类型</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_Toc477252446 \h </w:instrText>
        </w:r>
        <w:r>
          <w:rPr>
            <w:rFonts w:ascii="Arial" w:hAnsi="Arial"/>
            <w:sz w:val="21"/>
            <w:szCs w:val="21"/>
          </w:rPr>
          <w:fldChar w:fldCharType="separate"/>
        </w:r>
        <w:r>
          <w:rPr>
            <w:rFonts w:ascii="Arial" w:hAnsi="Arial"/>
            <w:sz w:val="21"/>
            <w:szCs w:val="21"/>
          </w:rPr>
          <w:t>15</w:t>
        </w:r>
        <w:r>
          <w:rPr>
            <w:rFonts w:ascii="Arial" w:hAnsi="Arial"/>
            <w:sz w:val="21"/>
            <w:szCs w:val="21"/>
          </w:rPr>
          <w:fldChar w:fldCharType="end"/>
        </w:r>
      </w:hyperlink>
    </w:p>
    <w:p w14:paraId="4CBA03D5" w14:textId="77777777" w:rsidR="00000000" w:rsidRDefault="00000000">
      <w:pPr>
        <w:pStyle w:val="TOC2"/>
        <w:rPr>
          <w:rFonts w:ascii="Arial" w:hAnsi="Arial"/>
          <w:kern w:val="2"/>
          <w:sz w:val="21"/>
          <w:szCs w:val="21"/>
        </w:rPr>
      </w:pPr>
      <w:hyperlink w:anchor="_Toc477252447" w:history="1">
        <w:r>
          <w:rPr>
            <w:rStyle w:val="af8"/>
            <w:rFonts w:ascii="Arial" w:eastAsia="宋体" w:hAnsi="Arial" w:hint="eastAsia"/>
            <w:color w:val="auto"/>
            <w:sz w:val="21"/>
            <w:szCs w:val="21"/>
          </w:rPr>
          <w:t>七、估价原则</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_Toc477252447 \h </w:instrText>
        </w:r>
        <w:r>
          <w:rPr>
            <w:rFonts w:ascii="Arial" w:hAnsi="Arial"/>
            <w:sz w:val="21"/>
            <w:szCs w:val="21"/>
          </w:rPr>
          <w:fldChar w:fldCharType="separate"/>
        </w:r>
        <w:r>
          <w:rPr>
            <w:rFonts w:ascii="Arial" w:hAnsi="Arial"/>
            <w:sz w:val="21"/>
            <w:szCs w:val="21"/>
          </w:rPr>
          <w:t>16</w:t>
        </w:r>
        <w:r>
          <w:rPr>
            <w:rFonts w:ascii="Arial" w:hAnsi="Arial"/>
            <w:sz w:val="21"/>
            <w:szCs w:val="21"/>
          </w:rPr>
          <w:fldChar w:fldCharType="end"/>
        </w:r>
      </w:hyperlink>
    </w:p>
    <w:p w14:paraId="1731EB48" w14:textId="77777777" w:rsidR="00000000" w:rsidRDefault="00000000">
      <w:pPr>
        <w:pStyle w:val="TOC2"/>
        <w:rPr>
          <w:rFonts w:ascii="Arial" w:hAnsi="Arial"/>
          <w:kern w:val="2"/>
          <w:sz w:val="21"/>
          <w:szCs w:val="21"/>
        </w:rPr>
      </w:pPr>
      <w:hyperlink w:anchor="_Toc477252448" w:history="1">
        <w:r>
          <w:rPr>
            <w:rStyle w:val="af8"/>
            <w:rFonts w:ascii="Arial" w:eastAsia="宋体" w:hAnsi="Arial" w:hint="eastAsia"/>
            <w:color w:val="auto"/>
            <w:sz w:val="21"/>
            <w:szCs w:val="21"/>
          </w:rPr>
          <w:t>八、估价</w:t>
        </w:r>
        <w:bookmarkStart w:id="5" w:name="_Hlt218580884"/>
        <w:r>
          <w:rPr>
            <w:rStyle w:val="af8"/>
            <w:rFonts w:ascii="Arial" w:eastAsia="宋体" w:hAnsi="Arial" w:hint="eastAsia"/>
            <w:color w:val="auto"/>
            <w:sz w:val="21"/>
            <w:szCs w:val="21"/>
          </w:rPr>
          <w:t>依</w:t>
        </w:r>
        <w:bookmarkEnd w:id="5"/>
        <w:r>
          <w:rPr>
            <w:rStyle w:val="af8"/>
            <w:rFonts w:ascii="Arial" w:eastAsia="宋体" w:hAnsi="Arial" w:hint="eastAsia"/>
            <w:color w:val="auto"/>
            <w:sz w:val="21"/>
            <w:szCs w:val="21"/>
          </w:rPr>
          <w:t>据</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_Toc477252448 \h </w:instrText>
        </w:r>
        <w:r>
          <w:rPr>
            <w:rFonts w:ascii="Arial" w:hAnsi="Arial"/>
            <w:sz w:val="21"/>
            <w:szCs w:val="21"/>
          </w:rPr>
          <w:fldChar w:fldCharType="separate"/>
        </w:r>
        <w:r>
          <w:rPr>
            <w:rFonts w:ascii="Arial" w:hAnsi="Arial"/>
            <w:sz w:val="21"/>
            <w:szCs w:val="21"/>
          </w:rPr>
          <w:t>17</w:t>
        </w:r>
        <w:r>
          <w:rPr>
            <w:rFonts w:ascii="Arial" w:hAnsi="Arial"/>
            <w:sz w:val="21"/>
            <w:szCs w:val="21"/>
          </w:rPr>
          <w:fldChar w:fldCharType="end"/>
        </w:r>
      </w:hyperlink>
    </w:p>
    <w:p w14:paraId="711BE805" w14:textId="77777777" w:rsidR="00000000" w:rsidRDefault="00000000">
      <w:pPr>
        <w:pStyle w:val="TOC2"/>
        <w:rPr>
          <w:rFonts w:ascii="Arial" w:hAnsi="Arial"/>
          <w:kern w:val="2"/>
          <w:sz w:val="21"/>
          <w:szCs w:val="21"/>
        </w:rPr>
      </w:pPr>
      <w:hyperlink w:anchor="_Toc477252449" w:history="1">
        <w:r>
          <w:rPr>
            <w:rStyle w:val="af8"/>
            <w:rFonts w:ascii="Arial" w:eastAsia="宋体" w:hAnsi="Arial" w:hint="eastAsia"/>
            <w:color w:val="auto"/>
            <w:sz w:val="21"/>
            <w:szCs w:val="21"/>
          </w:rPr>
          <w:t>九、估价方</w:t>
        </w:r>
        <w:bookmarkStart w:id="6" w:name="_Hlt146637667"/>
        <w:r>
          <w:rPr>
            <w:rStyle w:val="af8"/>
            <w:rFonts w:ascii="Arial" w:eastAsia="宋体" w:hAnsi="Arial" w:hint="eastAsia"/>
            <w:color w:val="auto"/>
            <w:sz w:val="21"/>
            <w:szCs w:val="21"/>
          </w:rPr>
          <w:t>法</w:t>
        </w:r>
        <w:bookmarkStart w:id="7" w:name="_Hlt146790062"/>
        <w:bookmarkStart w:id="8" w:name="_Hlt146790063"/>
        <w:bookmarkEnd w:id="6"/>
        <w:r>
          <w:rPr>
            <w:rFonts w:ascii="Arial" w:hAnsi="Arial"/>
            <w:sz w:val="21"/>
            <w:szCs w:val="21"/>
          </w:rPr>
          <w:tab/>
        </w:r>
        <w:bookmarkEnd w:id="7"/>
        <w:bookmarkEnd w:id="8"/>
        <w:r>
          <w:rPr>
            <w:rFonts w:ascii="Arial" w:hAnsi="Arial"/>
            <w:sz w:val="21"/>
            <w:szCs w:val="21"/>
          </w:rPr>
          <w:fldChar w:fldCharType="begin"/>
        </w:r>
        <w:r>
          <w:rPr>
            <w:rFonts w:ascii="Arial" w:hAnsi="Arial"/>
            <w:sz w:val="21"/>
            <w:szCs w:val="21"/>
          </w:rPr>
          <w:instrText xml:space="preserve"> PAGEREF _Toc477252449 \h </w:instrText>
        </w:r>
        <w:r>
          <w:rPr>
            <w:rFonts w:ascii="Arial" w:hAnsi="Arial"/>
            <w:sz w:val="21"/>
            <w:szCs w:val="21"/>
          </w:rPr>
          <w:fldChar w:fldCharType="separate"/>
        </w:r>
        <w:r>
          <w:rPr>
            <w:rFonts w:ascii="Arial" w:hAnsi="Arial"/>
            <w:sz w:val="21"/>
            <w:szCs w:val="21"/>
          </w:rPr>
          <w:t>20</w:t>
        </w:r>
        <w:r>
          <w:rPr>
            <w:rFonts w:ascii="Arial" w:hAnsi="Arial"/>
            <w:sz w:val="21"/>
            <w:szCs w:val="21"/>
          </w:rPr>
          <w:fldChar w:fldCharType="end"/>
        </w:r>
      </w:hyperlink>
    </w:p>
    <w:p w14:paraId="56A0F0DD" w14:textId="77777777" w:rsidR="00000000" w:rsidRDefault="00000000">
      <w:pPr>
        <w:pStyle w:val="TOC2"/>
        <w:rPr>
          <w:rFonts w:ascii="Arial" w:hAnsi="Arial"/>
          <w:kern w:val="2"/>
          <w:sz w:val="21"/>
          <w:szCs w:val="21"/>
        </w:rPr>
      </w:pPr>
      <w:hyperlink w:anchor="_Toc477252450" w:history="1">
        <w:r>
          <w:rPr>
            <w:rStyle w:val="af8"/>
            <w:rFonts w:ascii="Arial" w:eastAsia="宋体" w:hAnsi="Arial" w:hint="eastAsia"/>
            <w:color w:val="auto"/>
            <w:sz w:val="21"/>
            <w:szCs w:val="21"/>
          </w:rPr>
          <w:t>十、估价结果</w:t>
        </w:r>
        <w:bookmarkStart w:id="9" w:name="_Hlt151644349"/>
        <w:bookmarkStart w:id="10" w:name="_Hlt151644350"/>
        <w:r>
          <w:rPr>
            <w:rFonts w:ascii="Arial" w:hAnsi="Arial"/>
            <w:sz w:val="21"/>
            <w:szCs w:val="21"/>
          </w:rPr>
          <w:tab/>
        </w:r>
        <w:bookmarkEnd w:id="9"/>
        <w:bookmarkEnd w:id="10"/>
        <w:r>
          <w:rPr>
            <w:rFonts w:ascii="Arial" w:hAnsi="Arial"/>
            <w:sz w:val="21"/>
            <w:szCs w:val="21"/>
          </w:rPr>
          <w:fldChar w:fldCharType="begin"/>
        </w:r>
        <w:r>
          <w:rPr>
            <w:rFonts w:ascii="Arial" w:hAnsi="Arial"/>
            <w:sz w:val="21"/>
            <w:szCs w:val="21"/>
          </w:rPr>
          <w:instrText xml:space="preserve"> PAGEREF _Toc477252450 \h </w:instrText>
        </w:r>
        <w:r>
          <w:rPr>
            <w:rFonts w:ascii="Arial" w:hAnsi="Arial"/>
            <w:sz w:val="21"/>
            <w:szCs w:val="21"/>
          </w:rPr>
          <w:fldChar w:fldCharType="separate"/>
        </w:r>
        <w:r>
          <w:rPr>
            <w:rFonts w:ascii="Arial" w:hAnsi="Arial"/>
            <w:sz w:val="21"/>
            <w:szCs w:val="21"/>
          </w:rPr>
          <w:t>21</w:t>
        </w:r>
        <w:r>
          <w:rPr>
            <w:rFonts w:ascii="Arial" w:hAnsi="Arial"/>
            <w:sz w:val="21"/>
            <w:szCs w:val="21"/>
          </w:rPr>
          <w:fldChar w:fldCharType="end"/>
        </w:r>
      </w:hyperlink>
    </w:p>
    <w:p w14:paraId="77454199" w14:textId="77777777" w:rsidR="00000000" w:rsidRDefault="00000000">
      <w:pPr>
        <w:pStyle w:val="TOC2"/>
        <w:rPr>
          <w:rFonts w:ascii="Arial" w:hAnsi="Arial"/>
          <w:kern w:val="2"/>
          <w:sz w:val="21"/>
          <w:szCs w:val="21"/>
        </w:rPr>
      </w:pPr>
      <w:hyperlink w:anchor="_Toc477252451" w:history="1">
        <w:r>
          <w:rPr>
            <w:rStyle w:val="af8"/>
            <w:rFonts w:ascii="Arial" w:eastAsia="宋体" w:hAnsi="Arial" w:hint="eastAsia"/>
            <w:color w:val="auto"/>
            <w:sz w:val="21"/>
            <w:szCs w:val="21"/>
            <w:highlight w:val="lightGray"/>
          </w:rPr>
          <w:t>十一、评估专业人员</w:t>
        </w:r>
        <w:r>
          <w:rPr>
            <w:rFonts w:ascii="Arial" w:hAnsi="Arial"/>
            <w:sz w:val="21"/>
            <w:szCs w:val="21"/>
            <w:highlight w:val="lightGray"/>
          </w:rPr>
          <w:tab/>
        </w:r>
        <w:r>
          <w:rPr>
            <w:rFonts w:ascii="Arial" w:hAnsi="Arial"/>
            <w:sz w:val="21"/>
            <w:szCs w:val="21"/>
            <w:highlight w:val="lightGray"/>
          </w:rPr>
          <w:fldChar w:fldCharType="begin"/>
        </w:r>
        <w:r>
          <w:rPr>
            <w:rFonts w:ascii="Arial" w:hAnsi="Arial"/>
            <w:sz w:val="21"/>
            <w:szCs w:val="21"/>
            <w:highlight w:val="lightGray"/>
          </w:rPr>
          <w:instrText xml:space="preserve"> PAGEREF _Toc477252451 \h </w:instrText>
        </w:r>
        <w:r>
          <w:rPr>
            <w:rFonts w:ascii="Arial" w:hAnsi="Arial"/>
            <w:sz w:val="21"/>
            <w:szCs w:val="21"/>
            <w:highlight w:val="lightGray"/>
          </w:rPr>
          <w:fldChar w:fldCharType="separate"/>
        </w:r>
        <w:r>
          <w:rPr>
            <w:rFonts w:ascii="Arial" w:hAnsi="Arial"/>
            <w:sz w:val="21"/>
            <w:szCs w:val="21"/>
            <w:highlight w:val="lightGray"/>
          </w:rPr>
          <w:t>22</w:t>
        </w:r>
        <w:r>
          <w:rPr>
            <w:rFonts w:ascii="Arial" w:hAnsi="Arial"/>
            <w:sz w:val="21"/>
            <w:szCs w:val="21"/>
            <w:highlight w:val="lightGray"/>
          </w:rPr>
          <w:fldChar w:fldCharType="end"/>
        </w:r>
      </w:hyperlink>
    </w:p>
    <w:p w14:paraId="36F27954" w14:textId="77777777" w:rsidR="00000000" w:rsidRDefault="00000000">
      <w:pPr>
        <w:pStyle w:val="TOC2"/>
        <w:rPr>
          <w:rFonts w:ascii="Arial" w:hAnsi="Arial"/>
          <w:kern w:val="2"/>
          <w:sz w:val="21"/>
          <w:szCs w:val="21"/>
        </w:rPr>
      </w:pPr>
      <w:hyperlink w:anchor="_Toc477252452" w:history="1">
        <w:r>
          <w:rPr>
            <w:rStyle w:val="af8"/>
            <w:rFonts w:ascii="Arial" w:eastAsia="宋体" w:hAnsi="Arial" w:hint="eastAsia"/>
            <w:color w:val="auto"/>
            <w:sz w:val="21"/>
            <w:szCs w:val="21"/>
          </w:rPr>
          <w:t>十二、实地查勘期</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_Toc477252452 \h </w:instrText>
        </w:r>
        <w:r>
          <w:rPr>
            <w:rFonts w:ascii="Arial" w:hAnsi="Arial"/>
            <w:sz w:val="21"/>
            <w:szCs w:val="21"/>
          </w:rPr>
          <w:fldChar w:fldCharType="separate"/>
        </w:r>
        <w:r>
          <w:rPr>
            <w:rFonts w:ascii="Arial" w:hAnsi="Arial"/>
            <w:sz w:val="21"/>
            <w:szCs w:val="21"/>
          </w:rPr>
          <w:t>22</w:t>
        </w:r>
        <w:r>
          <w:rPr>
            <w:rFonts w:ascii="Arial" w:hAnsi="Arial"/>
            <w:sz w:val="21"/>
            <w:szCs w:val="21"/>
          </w:rPr>
          <w:fldChar w:fldCharType="end"/>
        </w:r>
      </w:hyperlink>
    </w:p>
    <w:p w14:paraId="0F2550FA" w14:textId="77777777" w:rsidR="00000000" w:rsidRDefault="00000000">
      <w:pPr>
        <w:pStyle w:val="TOC2"/>
        <w:rPr>
          <w:rFonts w:ascii="Arial" w:hAnsi="Arial"/>
          <w:kern w:val="2"/>
          <w:sz w:val="21"/>
          <w:szCs w:val="21"/>
        </w:rPr>
      </w:pPr>
      <w:hyperlink w:anchor="_Toc477252453" w:history="1">
        <w:r>
          <w:rPr>
            <w:rStyle w:val="af8"/>
            <w:rFonts w:ascii="Arial" w:eastAsia="宋体" w:hAnsi="Arial" w:hint="eastAsia"/>
            <w:color w:val="auto"/>
            <w:sz w:val="21"/>
            <w:szCs w:val="21"/>
          </w:rPr>
          <w:t>十三、估价作业期</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_Toc477252453 \h </w:instrText>
        </w:r>
        <w:r>
          <w:rPr>
            <w:rFonts w:ascii="Arial" w:hAnsi="Arial"/>
            <w:sz w:val="21"/>
            <w:szCs w:val="21"/>
          </w:rPr>
          <w:fldChar w:fldCharType="separate"/>
        </w:r>
        <w:r>
          <w:rPr>
            <w:rFonts w:ascii="Arial" w:hAnsi="Arial"/>
            <w:sz w:val="21"/>
            <w:szCs w:val="21"/>
          </w:rPr>
          <w:t>22</w:t>
        </w:r>
        <w:r>
          <w:rPr>
            <w:rFonts w:ascii="Arial" w:hAnsi="Arial"/>
            <w:sz w:val="21"/>
            <w:szCs w:val="21"/>
          </w:rPr>
          <w:fldChar w:fldCharType="end"/>
        </w:r>
      </w:hyperlink>
    </w:p>
    <w:p w14:paraId="25A048E9" w14:textId="77777777" w:rsidR="00000000" w:rsidRDefault="00000000">
      <w:pPr>
        <w:pStyle w:val="TOC1"/>
        <w:rPr>
          <w:rFonts w:ascii="Arial" w:hAnsi="Arial"/>
          <w:kern w:val="2"/>
          <w:sz w:val="21"/>
          <w:szCs w:val="21"/>
        </w:rPr>
      </w:pPr>
      <w:hyperlink w:anchor="_Toc477252454" w:history="1">
        <w:r>
          <w:rPr>
            <w:rStyle w:val="af8"/>
            <w:rFonts w:ascii="Arial" w:eastAsia="宋体" w:hAnsi="Arial" w:hint="eastAsia"/>
            <w:color w:val="auto"/>
            <w:sz w:val="21"/>
            <w:szCs w:val="21"/>
          </w:rPr>
          <w:t>估</w:t>
        </w:r>
        <w:r>
          <w:rPr>
            <w:rStyle w:val="af8"/>
            <w:rFonts w:ascii="Arial" w:eastAsia="宋体" w:hAnsi="Arial"/>
            <w:color w:val="auto"/>
            <w:sz w:val="21"/>
            <w:szCs w:val="21"/>
          </w:rPr>
          <w:t xml:space="preserve">  </w:t>
        </w:r>
        <w:r>
          <w:rPr>
            <w:rStyle w:val="af8"/>
            <w:rFonts w:ascii="Arial" w:eastAsia="宋体" w:hAnsi="Arial" w:hint="eastAsia"/>
            <w:color w:val="auto"/>
            <w:sz w:val="21"/>
            <w:szCs w:val="21"/>
          </w:rPr>
          <w:t>价</w:t>
        </w:r>
        <w:r>
          <w:rPr>
            <w:rStyle w:val="af8"/>
            <w:rFonts w:ascii="Arial" w:eastAsia="宋体" w:hAnsi="Arial"/>
            <w:color w:val="auto"/>
            <w:sz w:val="21"/>
            <w:szCs w:val="21"/>
          </w:rPr>
          <w:t xml:space="preserve">  </w:t>
        </w:r>
        <w:r>
          <w:rPr>
            <w:rStyle w:val="af8"/>
            <w:rFonts w:ascii="Arial" w:eastAsia="宋体" w:hAnsi="Arial" w:hint="eastAsia"/>
            <w:color w:val="auto"/>
            <w:sz w:val="21"/>
            <w:szCs w:val="21"/>
          </w:rPr>
          <w:t>技</w:t>
        </w:r>
        <w:r>
          <w:rPr>
            <w:rStyle w:val="af8"/>
            <w:rFonts w:ascii="Arial" w:eastAsia="宋体" w:hAnsi="Arial"/>
            <w:color w:val="auto"/>
            <w:sz w:val="21"/>
            <w:szCs w:val="21"/>
          </w:rPr>
          <w:t xml:space="preserve">  </w:t>
        </w:r>
        <w:r>
          <w:rPr>
            <w:rStyle w:val="af8"/>
            <w:rFonts w:ascii="Arial" w:eastAsia="宋体" w:hAnsi="Arial" w:hint="eastAsia"/>
            <w:color w:val="auto"/>
            <w:sz w:val="21"/>
            <w:szCs w:val="21"/>
          </w:rPr>
          <w:t>术</w:t>
        </w:r>
        <w:r>
          <w:rPr>
            <w:rStyle w:val="af8"/>
            <w:rFonts w:ascii="Arial" w:eastAsia="宋体" w:hAnsi="Arial"/>
            <w:color w:val="auto"/>
            <w:sz w:val="21"/>
            <w:szCs w:val="21"/>
          </w:rPr>
          <w:t xml:space="preserve">  </w:t>
        </w:r>
        <w:r>
          <w:rPr>
            <w:rStyle w:val="af8"/>
            <w:rFonts w:ascii="Arial" w:eastAsia="宋体" w:hAnsi="Arial" w:hint="eastAsia"/>
            <w:color w:val="auto"/>
            <w:sz w:val="21"/>
            <w:szCs w:val="21"/>
          </w:rPr>
          <w:t>报</w:t>
        </w:r>
        <w:r>
          <w:rPr>
            <w:rStyle w:val="af8"/>
            <w:rFonts w:ascii="Arial" w:eastAsia="宋体" w:hAnsi="Arial"/>
            <w:color w:val="auto"/>
            <w:sz w:val="21"/>
            <w:szCs w:val="21"/>
          </w:rPr>
          <w:t xml:space="preserve">  </w:t>
        </w:r>
        <w:r>
          <w:rPr>
            <w:rStyle w:val="af8"/>
            <w:rFonts w:ascii="Arial" w:eastAsia="宋体" w:hAnsi="Arial" w:hint="eastAsia"/>
            <w:color w:val="auto"/>
            <w:sz w:val="21"/>
            <w:szCs w:val="21"/>
          </w:rPr>
          <w:t>告</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_Toc477252454 \h </w:instrText>
        </w:r>
        <w:r>
          <w:rPr>
            <w:rFonts w:ascii="Arial" w:hAnsi="Arial"/>
            <w:sz w:val="21"/>
            <w:szCs w:val="21"/>
          </w:rPr>
          <w:fldChar w:fldCharType="separate"/>
        </w:r>
        <w:r>
          <w:rPr>
            <w:rFonts w:ascii="Arial" w:hAnsi="Arial"/>
            <w:sz w:val="21"/>
            <w:szCs w:val="21"/>
          </w:rPr>
          <w:t>23</w:t>
        </w:r>
        <w:r>
          <w:rPr>
            <w:rFonts w:ascii="Arial" w:hAnsi="Arial"/>
            <w:sz w:val="21"/>
            <w:szCs w:val="21"/>
          </w:rPr>
          <w:fldChar w:fldCharType="end"/>
        </w:r>
      </w:hyperlink>
    </w:p>
    <w:p w14:paraId="1119CE11" w14:textId="77777777" w:rsidR="00000000" w:rsidRDefault="00000000">
      <w:pPr>
        <w:pStyle w:val="TOC2"/>
        <w:rPr>
          <w:rFonts w:ascii="Arial" w:hAnsi="Arial"/>
          <w:kern w:val="2"/>
          <w:sz w:val="21"/>
          <w:szCs w:val="21"/>
        </w:rPr>
      </w:pPr>
      <w:hyperlink w:anchor="_Toc477252455" w:history="1">
        <w:r>
          <w:rPr>
            <w:rStyle w:val="af8"/>
            <w:rFonts w:ascii="Arial" w:eastAsia="宋体" w:hAnsi="Arial" w:hint="eastAsia"/>
            <w:color w:val="auto"/>
            <w:sz w:val="21"/>
            <w:szCs w:val="21"/>
          </w:rPr>
          <w:t>一、估价对象描述与分析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_Toc477252455 \h </w:instrText>
        </w:r>
        <w:r>
          <w:rPr>
            <w:rFonts w:ascii="Arial" w:hAnsi="Arial"/>
            <w:sz w:val="21"/>
            <w:szCs w:val="21"/>
          </w:rPr>
          <w:fldChar w:fldCharType="separate"/>
        </w:r>
        <w:r>
          <w:rPr>
            <w:rFonts w:ascii="Arial" w:hAnsi="Arial"/>
            <w:sz w:val="21"/>
            <w:szCs w:val="21"/>
          </w:rPr>
          <w:t>23</w:t>
        </w:r>
        <w:r>
          <w:rPr>
            <w:rFonts w:ascii="Arial" w:hAnsi="Arial"/>
            <w:sz w:val="21"/>
            <w:szCs w:val="21"/>
          </w:rPr>
          <w:fldChar w:fldCharType="end"/>
        </w:r>
      </w:hyperlink>
    </w:p>
    <w:p w14:paraId="2603173A" w14:textId="77777777" w:rsidR="00000000" w:rsidRDefault="00000000">
      <w:pPr>
        <w:pStyle w:val="TOC2"/>
        <w:rPr>
          <w:rFonts w:ascii="Arial" w:hAnsi="Arial"/>
          <w:kern w:val="2"/>
          <w:sz w:val="21"/>
          <w:szCs w:val="21"/>
        </w:rPr>
      </w:pPr>
      <w:hyperlink w:anchor="_Toc477252456" w:history="1">
        <w:r>
          <w:rPr>
            <w:rStyle w:val="af8"/>
            <w:rFonts w:ascii="Arial" w:eastAsia="宋体" w:hAnsi="Arial" w:hint="eastAsia"/>
            <w:color w:val="auto"/>
            <w:sz w:val="21"/>
            <w:szCs w:val="21"/>
          </w:rPr>
          <w:t>（一）实物状况分析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_Toc477252456 \h </w:instrText>
        </w:r>
        <w:r>
          <w:rPr>
            <w:rFonts w:ascii="Arial" w:hAnsi="Arial"/>
            <w:sz w:val="21"/>
            <w:szCs w:val="21"/>
          </w:rPr>
          <w:fldChar w:fldCharType="separate"/>
        </w:r>
        <w:r>
          <w:rPr>
            <w:rFonts w:ascii="Arial" w:hAnsi="Arial"/>
            <w:sz w:val="21"/>
            <w:szCs w:val="21"/>
          </w:rPr>
          <w:t>23</w:t>
        </w:r>
        <w:r>
          <w:rPr>
            <w:rFonts w:ascii="Arial" w:hAnsi="Arial"/>
            <w:sz w:val="21"/>
            <w:szCs w:val="21"/>
          </w:rPr>
          <w:fldChar w:fldCharType="end"/>
        </w:r>
      </w:hyperlink>
    </w:p>
    <w:p w14:paraId="5F9ED69F" w14:textId="77777777" w:rsidR="00000000" w:rsidRDefault="00000000">
      <w:pPr>
        <w:pStyle w:val="TOC2"/>
        <w:rPr>
          <w:rFonts w:ascii="Arial" w:hAnsi="Arial"/>
          <w:kern w:val="2"/>
          <w:sz w:val="21"/>
          <w:szCs w:val="21"/>
        </w:rPr>
      </w:pPr>
      <w:hyperlink w:anchor="_Toc477252457" w:history="1">
        <w:r>
          <w:rPr>
            <w:rStyle w:val="af8"/>
            <w:rFonts w:ascii="Arial" w:eastAsia="宋体" w:hAnsi="Arial" w:hint="eastAsia"/>
            <w:color w:val="auto"/>
            <w:sz w:val="21"/>
            <w:szCs w:val="21"/>
          </w:rPr>
          <w:t>（二）权益状况分析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_Toc477252457 \h </w:instrText>
        </w:r>
        <w:r>
          <w:rPr>
            <w:rFonts w:ascii="Arial" w:hAnsi="Arial"/>
            <w:sz w:val="21"/>
            <w:szCs w:val="21"/>
          </w:rPr>
          <w:fldChar w:fldCharType="separate"/>
        </w:r>
        <w:r>
          <w:rPr>
            <w:rFonts w:ascii="Arial" w:hAnsi="Arial"/>
            <w:sz w:val="21"/>
            <w:szCs w:val="21"/>
          </w:rPr>
          <w:t>25</w:t>
        </w:r>
        <w:r>
          <w:rPr>
            <w:rFonts w:ascii="Arial" w:hAnsi="Arial"/>
            <w:sz w:val="21"/>
            <w:szCs w:val="21"/>
          </w:rPr>
          <w:fldChar w:fldCharType="end"/>
        </w:r>
      </w:hyperlink>
    </w:p>
    <w:p w14:paraId="6B9C87B2" w14:textId="77777777" w:rsidR="00000000" w:rsidRDefault="00000000">
      <w:pPr>
        <w:pStyle w:val="TOC2"/>
        <w:rPr>
          <w:rFonts w:ascii="Arial" w:hAnsi="Arial"/>
          <w:kern w:val="2"/>
          <w:sz w:val="21"/>
          <w:szCs w:val="21"/>
        </w:rPr>
      </w:pPr>
      <w:hyperlink w:anchor="_Toc477252458" w:history="1">
        <w:r>
          <w:rPr>
            <w:rStyle w:val="af8"/>
            <w:rFonts w:ascii="Arial" w:eastAsia="宋体" w:hAnsi="Arial" w:hint="eastAsia"/>
            <w:color w:val="auto"/>
            <w:sz w:val="21"/>
            <w:szCs w:val="21"/>
          </w:rPr>
          <w:t>（三）区位状况分析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_Toc477252458 \h </w:instrText>
        </w:r>
        <w:r>
          <w:rPr>
            <w:rFonts w:ascii="Arial" w:hAnsi="Arial"/>
            <w:sz w:val="21"/>
            <w:szCs w:val="21"/>
          </w:rPr>
          <w:fldChar w:fldCharType="separate"/>
        </w:r>
        <w:r>
          <w:rPr>
            <w:rFonts w:ascii="Arial" w:hAnsi="Arial"/>
            <w:sz w:val="21"/>
            <w:szCs w:val="21"/>
          </w:rPr>
          <w:t>26</w:t>
        </w:r>
        <w:r>
          <w:rPr>
            <w:rFonts w:ascii="Arial" w:hAnsi="Arial"/>
            <w:sz w:val="21"/>
            <w:szCs w:val="21"/>
          </w:rPr>
          <w:fldChar w:fldCharType="end"/>
        </w:r>
      </w:hyperlink>
    </w:p>
    <w:p w14:paraId="6F0EB41E" w14:textId="77777777" w:rsidR="00000000" w:rsidRDefault="00000000">
      <w:pPr>
        <w:pStyle w:val="TOC2"/>
        <w:rPr>
          <w:rFonts w:ascii="Arial" w:hAnsi="Arial"/>
          <w:kern w:val="2"/>
          <w:sz w:val="21"/>
          <w:szCs w:val="21"/>
        </w:rPr>
      </w:pPr>
      <w:hyperlink w:anchor="_Toc477252459" w:history="1">
        <w:r>
          <w:rPr>
            <w:rStyle w:val="af8"/>
            <w:rFonts w:ascii="Arial" w:eastAsia="宋体" w:hAnsi="Arial" w:hint="eastAsia"/>
            <w:color w:val="auto"/>
            <w:sz w:val="21"/>
            <w:szCs w:val="21"/>
          </w:rPr>
          <w:t>二、市场背景描述与分析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_Toc477252459 \h </w:instrText>
        </w:r>
        <w:r>
          <w:rPr>
            <w:rFonts w:ascii="Arial" w:hAnsi="Arial"/>
            <w:sz w:val="21"/>
            <w:szCs w:val="21"/>
          </w:rPr>
          <w:fldChar w:fldCharType="separate"/>
        </w:r>
        <w:r>
          <w:rPr>
            <w:rFonts w:ascii="Arial" w:hAnsi="Arial"/>
            <w:sz w:val="21"/>
            <w:szCs w:val="21"/>
          </w:rPr>
          <w:t>27</w:t>
        </w:r>
        <w:r>
          <w:rPr>
            <w:rFonts w:ascii="Arial" w:hAnsi="Arial"/>
            <w:sz w:val="21"/>
            <w:szCs w:val="21"/>
          </w:rPr>
          <w:fldChar w:fldCharType="end"/>
        </w:r>
      </w:hyperlink>
    </w:p>
    <w:p w14:paraId="2220D7DD" w14:textId="77777777" w:rsidR="00000000" w:rsidRDefault="00000000">
      <w:pPr>
        <w:pStyle w:val="TOC2"/>
        <w:rPr>
          <w:rFonts w:ascii="Arial" w:hAnsi="Arial"/>
          <w:kern w:val="2"/>
          <w:sz w:val="21"/>
          <w:szCs w:val="21"/>
        </w:rPr>
      </w:pPr>
      <w:hyperlink w:anchor="_Toc477252460" w:history="1">
        <w:r>
          <w:rPr>
            <w:rStyle w:val="af8"/>
            <w:rFonts w:ascii="Arial" w:eastAsia="宋体" w:hAnsi="Arial" w:hint="eastAsia"/>
            <w:color w:val="auto"/>
            <w:sz w:val="21"/>
            <w:szCs w:val="21"/>
            <w:highlight w:val="lightGray"/>
          </w:rPr>
          <w:t>三、估价对象</w:t>
        </w:r>
        <w:bookmarkStart w:id="11" w:name="_Hlt218580770"/>
        <w:r>
          <w:rPr>
            <w:rStyle w:val="af8"/>
            <w:rFonts w:ascii="Arial" w:eastAsia="宋体" w:hAnsi="Arial" w:hint="eastAsia"/>
            <w:color w:val="auto"/>
            <w:sz w:val="21"/>
            <w:szCs w:val="21"/>
            <w:highlight w:val="lightGray"/>
          </w:rPr>
          <w:t>最</w:t>
        </w:r>
        <w:bookmarkEnd w:id="11"/>
        <w:r>
          <w:rPr>
            <w:rStyle w:val="af8"/>
            <w:rFonts w:ascii="Arial" w:eastAsia="宋体" w:hAnsi="Arial" w:hint="eastAsia"/>
            <w:color w:val="auto"/>
            <w:sz w:val="21"/>
            <w:szCs w:val="21"/>
            <w:highlight w:val="lightGray"/>
          </w:rPr>
          <w:t>高最佳利用分析</w:t>
        </w:r>
        <w:r>
          <w:rPr>
            <w:rFonts w:ascii="Arial" w:hAnsi="Arial"/>
            <w:sz w:val="21"/>
            <w:szCs w:val="21"/>
            <w:highlight w:val="lightGray"/>
          </w:rPr>
          <w:tab/>
        </w:r>
        <w:r>
          <w:rPr>
            <w:rFonts w:ascii="Arial" w:hAnsi="Arial"/>
            <w:sz w:val="21"/>
            <w:szCs w:val="21"/>
            <w:highlight w:val="lightGray"/>
          </w:rPr>
          <w:fldChar w:fldCharType="begin"/>
        </w:r>
        <w:r>
          <w:rPr>
            <w:rFonts w:ascii="Arial" w:hAnsi="Arial"/>
            <w:sz w:val="21"/>
            <w:szCs w:val="21"/>
            <w:highlight w:val="lightGray"/>
          </w:rPr>
          <w:instrText xml:space="preserve"> PAGEREF _Toc477252460 \h </w:instrText>
        </w:r>
        <w:r>
          <w:rPr>
            <w:rFonts w:ascii="Arial" w:hAnsi="Arial"/>
            <w:sz w:val="21"/>
            <w:szCs w:val="21"/>
            <w:highlight w:val="lightGray"/>
          </w:rPr>
          <w:fldChar w:fldCharType="separate"/>
        </w:r>
        <w:r>
          <w:rPr>
            <w:rFonts w:ascii="Arial" w:hAnsi="Arial"/>
            <w:sz w:val="21"/>
            <w:szCs w:val="21"/>
            <w:highlight w:val="lightGray"/>
          </w:rPr>
          <w:t>39</w:t>
        </w:r>
        <w:r>
          <w:rPr>
            <w:rFonts w:ascii="Arial" w:hAnsi="Arial"/>
            <w:sz w:val="21"/>
            <w:szCs w:val="21"/>
            <w:highlight w:val="lightGray"/>
          </w:rPr>
          <w:fldChar w:fldCharType="end"/>
        </w:r>
      </w:hyperlink>
    </w:p>
    <w:p w14:paraId="61060197" w14:textId="77777777" w:rsidR="00000000" w:rsidRDefault="00000000">
      <w:pPr>
        <w:pStyle w:val="TOC2"/>
        <w:rPr>
          <w:rFonts w:ascii="Arial" w:hAnsi="Arial"/>
          <w:kern w:val="2"/>
          <w:sz w:val="21"/>
          <w:szCs w:val="21"/>
        </w:rPr>
      </w:pPr>
      <w:hyperlink w:anchor="_Toc477252461" w:history="1">
        <w:r>
          <w:rPr>
            <w:rStyle w:val="af8"/>
            <w:rFonts w:ascii="Arial" w:eastAsia="宋体" w:hAnsi="Arial" w:hint="eastAsia"/>
            <w:color w:val="auto"/>
            <w:sz w:val="21"/>
            <w:szCs w:val="21"/>
          </w:rPr>
          <w:t>四、估价</w:t>
        </w:r>
        <w:bookmarkStart w:id="12" w:name="_Hlt146790104"/>
        <w:r>
          <w:rPr>
            <w:rStyle w:val="af8"/>
            <w:rFonts w:ascii="Arial" w:eastAsia="宋体" w:hAnsi="Arial" w:hint="eastAsia"/>
            <w:color w:val="auto"/>
            <w:sz w:val="21"/>
            <w:szCs w:val="21"/>
          </w:rPr>
          <w:t>方</w:t>
        </w:r>
        <w:bookmarkEnd w:id="12"/>
        <w:r>
          <w:rPr>
            <w:rStyle w:val="af8"/>
            <w:rFonts w:ascii="Arial" w:eastAsia="宋体" w:hAnsi="Arial" w:hint="eastAsia"/>
            <w:color w:val="auto"/>
            <w:sz w:val="21"/>
            <w:szCs w:val="21"/>
          </w:rPr>
          <w:t>法适用性分析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_Toc477252461 \h </w:instrText>
        </w:r>
        <w:r>
          <w:rPr>
            <w:rFonts w:ascii="Arial" w:hAnsi="Arial"/>
            <w:sz w:val="21"/>
            <w:szCs w:val="21"/>
          </w:rPr>
          <w:fldChar w:fldCharType="separate"/>
        </w:r>
        <w:r>
          <w:rPr>
            <w:rFonts w:ascii="Arial" w:hAnsi="Arial"/>
            <w:sz w:val="21"/>
            <w:szCs w:val="21"/>
          </w:rPr>
          <w:t>41</w:t>
        </w:r>
        <w:r>
          <w:rPr>
            <w:rFonts w:ascii="Arial" w:hAnsi="Arial"/>
            <w:sz w:val="21"/>
            <w:szCs w:val="21"/>
          </w:rPr>
          <w:fldChar w:fldCharType="end"/>
        </w:r>
      </w:hyperlink>
    </w:p>
    <w:p w14:paraId="3E77E28F" w14:textId="77777777" w:rsidR="00000000" w:rsidRDefault="00000000">
      <w:pPr>
        <w:pStyle w:val="TOC2"/>
        <w:rPr>
          <w:rFonts w:ascii="Arial" w:hAnsi="Arial"/>
          <w:kern w:val="2"/>
          <w:sz w:val="21"/>
          <w:szCs w:val="21"/>
        </w:rPr>
      </w:pPr>
      <w:hyperlink w:anchor="_Toc477252462" w:history="1">
        <w:r>
          <w:rPr>
            <w:rStyle w:val="af8"/>
            <w:rFonts w:ascii="Arial" w:eastAsia="宋体" w:hAnsi="Arial" w:hint="eastAsia"/>
            <w:color w:val="auto"/>
            <w:sz w:val="21"/>
            <w:szCs w:val="21"/>
          </w:rPr>
          <w:t>五、估价测算过程</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_Toc477252462 \h </w:instrText>
        </w:r>
        <w:r>
          <w:rPr>
            <w:rFonts w:ascii="Arial" w:hAnsi="Arial"/>
            <w:sz w:val="21"/>
            <w:szCs w:val="21"/>
          </w:rPr>
          <w:fldChar w:fldCharType="separate"/>
        </w:r>
        <w:r>
          <w:rPr>
            <w:rFonts w:ascii="Arial" w:hAnsi="Arial"/>
            <w:sz w:val="21"/>
            <w:szCs w:val="21"/>
          </w:rPr>
          <w:t>44</w:t>
        </w:r>
        <w:r>
          <w:rPr>
            <w:rFonts w:ascii="Arial" w:hAnsi="Arial"/>
            <w:sz w:val="21"/>
            <w:szCs w:val="21"/>
          </w:rPr>
          <w:fldChar w:fldCharType="end"/>
        </w:r>
      </w:hyperlink>
    </w:p>
    <w:p w14:paraId="183B6696" w14:textId="77777777" w:rsidR="00000000" w:rsidRDefault="00000000">
      <w:pPr>
        <w:pStyle w:val="TOC2"/>
        <w:rPr>
          <w:rFonts w:ascii="Arial" w:hAnsi="Arial"/>
          <w:kern w:val="2"/>
          <w:sz w:val="21"/>
          <w:szCs w:val="21"/>
        </w:rPr>
      </w:pPr>
      <w:hyperlink w:anchor="_Toc477252463" w:history="1">
        <w:r>
          <w:rPr>
            <w:rStyle w:val="af8"/>
            <w:rFonts w:ascii="Arial" w:eastAsia="宋体" w:hAnsi="Arial" w:hint="eastAsia"/>
            <w:color w:val="auto"/>
            <w:sz w:val="21"/>
            <w:szCs w:val="21"/>
          </w:rPr>
          <w:t>六、估价结果确定</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_Toc477252463 \h </w:instrText>
        </w:r>
        <w:r>
          <w:rPr>
            <w:rFonts w:ascii="Arial" w:hAnsi="Arial"/>
            <w:sz w:val="21"/>
            <w:szCs w:val="21"/>
          </w:rPr>
          <w:fldChar w:fldCharType="separate"/>
        </w:r>
        <w:r>
          <w:rPr>
            <w:rFonts w:ascii="Arial" w:hAnsi="Arial"/>
            <w:sz w:val="21"/>
            <w:szCs w:val="21"/>
          </w:rPr>
          <w:t>53</w:t>
        </w:r>
        <w:r>
          <w:rPr>
            <w:rFonts w:ascii="Arial" w:hAnsi="Arial"/>
            <w:sz w:val="21"/>
            <w:szCs w:val="21"/>
          </w:rPr>
          <w:fldChar w:fldCharType="end"/>
        </w:r>
      </w:hyperlink>
    </w:p>
    <w:p w14:paraId="39DB4BC7" w14:textId="77777777" w:rsidR="00000000" w:rsidRDefault="00000000">
      <w:pPr>
        <w:pStyle w:val="TOC1"/>
        <w:rPr>
          <w:rFonts w:ascii="Arial" w:hAnsi="Arial"/>
          <w:kern w:val="2"/>
          <w:sz w:val="21"/>
          <w:szCs w:val="21"/>
        </w:rPr>
      </w:pPr>
      <w:hyperlink w:anchor="_Toc477252467" w:history="1">
        <w:r>
          <w:rPr>
            <w:rStyle w:val="af8"/>
            <w:rFonts w:ascii="Arial" w:eastAsia="宋体" w:hAnsi="Arial" w:hint="eastAsia"/>
            <w:color w:val="auto"/>
            <w:sz w:val="21"/>
            <w:szCs w:val="21"/>
          </w:rPr>
          <w:t>附</w:t>
        </w:r>
        <w:r>
          <w:rPr>
            <w:rStyle w:val="af8"/>
            <w:rFonts w:ascii="Arial" w:eastAsia="宋体" w:hAnsi="Arial"/>
            <w:color w:val="auto"/>
            <w:sz w:val="21"/>
            <w:szCs w:val="21"/>
          </w:rPr>
          <w:t xml:space="preserve">       </w:t>
        </w:r>
        <w:r>
          <w:rPr>
            <w:rStyle w:val="af8"/>
            <w:rFonts w:ascii="Arial" w:eastAsia="宋体" w:hAnsi="Arial" w:hint="eastAsia"/>
            <w:color w:val="auto"/>
            <w:sz w:val="21"/>
            <w:szCs w:val="21"/>
          </w:rPr>
          <w:t>件</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_Toc477252467 \h </w:instrText>
        </w:r>
        <w:r>
          <w:rPr>
            <w:rFonts w:ascii="Arial" w:hAnsi="Arial"/>
            <w:sz w:val="21"/>
            <w:szCs w:val="21"/>
          </w:rPr>
          <w:fldChar w:fldCharType="separate"/>
        </w:r>
        <w:r>
          <w:rPr>
            <w:rFonts w:ascii="Arial" w:hAnsi="Arial"/>
            <w:sz w:val="21"/>
            <w:szCs w:val="21"/>
          </w:rPr>
          <w:t>54</w:t>
        </w:r>
        <w:r>
          <w:rPr>
            <w:rFonts w:ascii="Arial" w:hAnsi="Arial"/>
            <w:sz w:val="21"/>
            <w:szCs w:val="21"/>
          </w:rPr>
          <w:fldChar w:fldCharType="end"/>
        </w:r>
      </w:hyperlink>
    </w:p>
    <w:p w14:paraId="2CF6EF7B" w14:textId="77777777" w:rsidR="00000000" w:rsidRDefault="00000000">
      <w:pPr>
        <w:numPr>
          <w:ilvl w:val="0"/>
          <w:numId w:val="5"/>
        </w:numPr>
        <w:spacing w:line="360" w:lineRule="auto"/>
        <w:jc w:val="both"/>
        <w:rPr>
          <w:rFonts w:ascii="Arial" w:hAnsi="Arial" w:cs="Arial"/>
          <w:sz w:val="21"/>
          <w:szCs w:val="21"/>
        </w:rPr>
      </w:pPr>
      <w:r>
        <w:rPr>
          <w:rFonts w:ascii="Arial" w:hAnsi="Arial" w:cs="Arial"/>
          <w:sz w:val="21"/>
          <w:szCs w:val="21"/>
        </w:rPr>
        <w:fldChar w:fldCharType="end"/>
      </w:r>
      <w:r>
        <w:rPr>
          <w:rFonts w:ascii="Arial" w:hAnsi="Arial" w:cs="Arial"/>
          <w:sz w:val="21"/>
          <w:szCs w:val="21"/>
        </w:rPr>
        <w:t>《估价委托书》复印件</w:t>
      </w:r>
    </w:p>
    <w:p w14:paraId="184E0186" w14:textId="77777777" w:rsidR="00000000" w:rsidRDefault="00000000">
      <w:pPr>
        <w:numPr>
          <w:ilvl w:val="0"/>
          <w:numId w:val="5"/>
        </w:numPr>
        <w:spacing w:line="360" w:lineRule="auto"/>
        <w:jc w:val="both"/>
        <w:rPr>
          <w:rFonts w:ascii="Arial" w:hAnsi="Arial" w:cs="Arial"/>
          <w:sz w:val="21"/>
          <w:szCs w:val="21"/>
        </w:rPr>
      </w:pPr>
      <w:r>
        <w:rPr>
          <w:rFonts w:ascii="Arial" w:hAnsi="Arial" w:cs="Arial"/>
          <w:sz w:val="21"/>
          <w:szCs w:val="21"/>
        </w:rPr>
        <w:t>估价对象所在位置示意图</w:t>
      </w:r>
    </w:p>
    <w:p w14:paraId="039D423B" w14:textId="77777777" w:rsidR="00000000" w:rsidRDefault="00000000">
      <w:pPr>
        <w:numPr>
          <w:ilvl w:val="0"/>
          <w:numId w:val="5"/>
        </w:numPr>
        <w:spacing w:line="360" w:lineRule="auto"/>
        <w:jc w:val="both"/>
        <w:rPr>
          <w:rFonts w:ascii="Arial" w:hAnsi="Arial" w:cs="Arial"/>
          <w:sz w:val="21"/>
          <w:szCs w:val="21"/>
        </w:rPr>
      </w:pPr>
      <w:r>
        <w:rPr>
          <w:rFonts w:ascii="Arial" w:hAnsi="Arial" w:cs="Arial"/>
          <w:sz w:val="21"/>
          <w:szCs w:val="21"/>
        </w:rPr>
        <w:t>估价对象实地查勘情况和相关照片</w:t>
      </w:r>
    </w:p>
    <w:p w14:paraId="43028F06" w14:textId="77777777" w:rsidR="00000000" w:rsidRDefault="00000000">
      <w:pPr>
        <w:numPr>
          <w:ilvl w:val="0"/>
          <w:numId w:val="5"/>
        </w:numPr>
        <w:spacing w:line="360" w:lineRule="auto"/>
        <w:jc w:val="both"/>
        <w:rPr>
          <w:rFonts w:ascii="Arial" w:hAnsi="Arial" w:cs="Arial"/>
          <w:sz w:val="21"/>
          <w:szCs w:val="21"/>
        </w:rPr>
      </w:pP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w:t>
      </w:r>
      <w:r>
        <w:rPr>
          <w:rFonts w:ascii="Arial" w:hAnsi="Arial" w:hint="eastAsia"/>
          <w:bCs/>
          <w:sz w:val="21"/>
        </w:rPr>
        <w:t>]</w:t>
      </w:r>
      <w:r>
        <w:rPr>
          <w:rFonts w:ascii="Arial" w:hAnsi="Arial" w:cs="Arial"/>
          <w:sz w:val="21"/>
          <w:szCs w:val="21"/>
        </w:rPr>
        <w:t>复印件</w:t>
      </w:r>
    </w:p>
    <w:p w14:paraId="5435BEDB" w14:textId="77777777" w:rsidR="00000000" w:rsidRDefault="00000000">
      <w:pPr>
        <w:numPr>
          <w:ilvl w:val="0"/>
          <w:numId w:val="5"/>
        </w:numPr>
        <w:spacing w:line="360" w:lineRule="auto"/>
        <w:jc w:val="both"/>
        <w:rPr>
          <w:rFonts w:ascii="Arial" w:hAnsi="Arial" w:cs="Arial"/>
          <w:sz w:val="21"/>
          <w:szCs w:val="21"/>
        </w:rPr>
      </w:pPr>
      <w:r>
        <w:rPr>
          <w:rFonts w:ascii="Arial" w:hAnsi="Arial" w:hint="eastAsia"/>
          <w:bCs/>
          <w:sz w:val="21"/>
        </w:rPr>
        <w:lastRenderedPageBreak/>
        <w:t>《不动产权证书》</w:t>
      </w:r>
      <w:r>
        <w:rPr>
          <w:rFonts w:ascii="Arial" w:hAnsi="Arial" w:hint="eastAsia"/>
          <w:bCs/>
          <w:sz w:val="21"/>
        </w:rPr>
        <w:t>[</w:t>
      </w:r>
      <w:r>
        <w:rPr>
          <w:rFonts w:ascii="Arial" w:hAnsi="Arial" w:hint="eastAsia"/>
          <w:bCs/>
          <w:sz w:val="21"/>
        </w:rPr>
        <w:t>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cs="Arial"/>
          <w:sz w:val="21"/>
          <w:szCs w:val="21"/>
        </w:rPr>
        <w:t>复印件</w:t>
      </w:r>
    </w:p>
    <w:p w14:paraId="2CE7C40E" w14:textId="77777777" w:rsidR="00000000" w:rsidRDefault="00000000">
      <w:pPr>
        <w:numPr>
          <w:ilvl w:val="0"/>
          <w:numId w:val="5"/>
        </w:numPr>
        <w:spacing w:line="360" w:lineRule="auto"/>
        <w:jc w:val="both"/>
        <w:rPr>
          <w:rFonts w:ascii="Arial" w:hAnsi="Arial" w:cs="Arial"/>
          <w:sz w:val="21"/>
          <w:szCs w:val="21"/>
        </w:rPr>
      </w:pPr>
      <w:r>
        <w:rPr>
          <w:rFonts w:ascii="Arial" w:hAnsi="Arial" w:hint="eastAsia"/>
          <w:bCs/>
          <w:sz w:val="21"/>
        </w:rPr>
        <w:t>《房屋面积测算技术报告书（商品房类使用）》</w:t>
      </w:r>
    </w:p>
    <w:p w14:paraId="52592786" w14:textId="77777777" w:rsidR="00000000" w:rsidRDefault="00000000">
      <w:pPr>
        <w:numPr>
          <w:ilvl w:val="0"/>
          <w:numId w:val="5"/>
        </w:numPr>
        <w:spacing w:line="360" w:lineRule="auto"/>
        <w:jc w:val="both"/>
        <w:rPr>
          <w:rFonts w:ascii="Arial" w:hAnsi="Arial" w:cs="Arial" w:hint="eastAsia"/>
          <w:sz w:val="21"/>
          <w:szCs w:val="21"/>
        </w:rPr>
      </w:pPr>
      <w:r>
        <w:rPr>
          <w:rFonts w:ascii="Arial" w:hAnsi="Arial" w:cs="Arial"/>
          <w:sz w:val="21"/>
          <w:szCs w:val="21"/>
        </w:rPr>
        <w:t>可比实例位置图及外观照片</w:t>
      </w:r>
    </w:p>
    <w:p w14:paraId="414E22BC" w14:textId="77777777" w:rsidR="00000000" w:rsidRDefault="00000000">
      <w:pPr>
        <w:numPr>
          <w:ilvl w:val="0"/>
          <w:numId w:val="5"/>
        </w:numPr>
        <w:spacing w:line="360" w:lineRule="auto"/>
        <w:jc w:val="both"/>
        <w:rPr>
          <w:rFonts w:ascii="Arial" w:hAnsi="Arial" w:cs="Arial"/>
          <w:sz w:val="21"/>
          <w:szCs w:val="21"/>
        </w:rPr>
      </w:pPr>
      <w:r>
        <w:rPr>
          <w:rFonts w:ascii="Arial" w:hAnsi="Arial" w:cs="Arial"/>
          <w:sz w:val="21"/>
          <w:szCs w:val="21"/>
        </w:rPr>
        <w:t>估价委托人《营业执照（副本）》复印件</w:t>
      </w:r>
    </w:p>
    <w:p w14:paraId="6D976514" w14:textId="77777777" w:rsidR="00000000" w:rsidRDefault="00000000">
      <w:pPr>
        <w:numPr>
          <w:ilvl w:val="0"/>
          <w:numId w:val="5"/>
        </w:numPr>
        <w:spacing w:line="360" w:lineRule="auto"/>
        <w:jc w:val="both"/>
        <w:rPr>
          <w:rFonts w:ascii="Arial" w:hAnsi="Arial" w:cs="Arial"/>
          <w:sz w:val="21"/>
          <w:szCs w:val="21"/>
        </w:rPr>
      </w:pPr>
      <w:r>
        <w:rPr>
          <w:rFonts w:ascii="Arial" w:hAnsi="Arial" w:cs="Arial"/>
          <w:color w:val="000000"/>
          <w:sz w:val="21"/>
          <w:szCs w:val="21"/>
        </w:rPr>
        <w:t>房地产估价机构《营业执照（副本）》</w:t>
      </w:r>
      <w:r>
        <w:rPr>
          <w:rFonts w:ascii="Arial" w:hAnsi="Arial" w:cs="Arial"/>
          <w:sz w:val="21"/>
          <w:szCs w:val="21"/>
        </w:rPr>
        <w:t>复印件</w:t>
      </w:r>
    </w:p>
    <w:p w14:paraId="640DA7D9" w14:textId="77777777" w:rsidR="00000000" w:rsidRDefault="00000000">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证书复印件</w:t>
      </w:r>
    </w:p>
    <w:p w14:paraId="7AED2C23" w14:textId="77777777" w:rsidR="00000000" w:rsidRDefault="00000000">
      <w:pPr>
        <w:numPr>
          <w:ilvl w:val="0"/>
          <w:numId w:val="5"/>
        </w:numPr>
        <w:spacing w:line="360" w:lineRule="auto"/>
        <w:jc w:val="both"/>
        <w:rPr>
          <w:rFonts w:ascii="Arial" w:hAnsi="Arial" w:cs="Arial"/>
          <w:sz w:val="21"/>
          <w:szCs w:val="21"/>
        </w:rPr>
      </w:pPr>
      <w:r>
        <w:rPr>
          <w:rFonts w:ascii="Arial" w:hAnsi="Arial" w:cs="Arial" w:hint="eastAsia"/>
          <w:sz w:val="21"/>
          <w:szCs w:val="21"/>
        </w:rPr>
        <w:t>评估专业人员</w:t>
      </w:r>
      <w:r>
        <w:rPr>
          <w:rFonts w:ascii="Arial" w:hAnsi="Arial" w:cs="Arial"/>
          <w:sz w:val="21"/>
          <w:szCs w:val="21"/>
        </w:rPr>
        <w:t>执业证书复印件</w:t>
      </w:r>
    </w:p>
    <w:p w14:paraId="77C321AA" w14:textId="77777777" w:rsidR="00000000" w:rsidRDefault="00000000">
      <w:pPr>
        <w:spacing w:line="240" w:lineRule="auto"/>
        <w:jc w:val="both"/>
        <w:outlineLvl w:val="0"/>
        <w:rPr>
          <w:rFonts w:ascii="Arial" w:eastAsia="楷体_GB2312" w:hAnsi="Arial" w:cs="Arial"/>
          <w:i/>
          <w:color w:val="548DD4"/>
          <w:kern w:val="2"/>
          <w:sz w:val="28"/>
          <w:szCs w:val="28"/>
        </w:rPr>
        <w:sectPr w:rsidR="00000000">
          <w:headerReference w:type="even" r:id="rId17"/>
          <w:headerReference w:type="default" r:id="rId18"/>
          <w:footerReference w:type="even" r:id="rId19"/>
          <w:footerReference w:type="default" r:id="rId20"/>
          <w:headerReference w:type="first" r:id="rId21"/>
          <w:footerReference w:type="first" r:id="rId22"/>
          <w:pgSz w:w="11907" w:h="16840"/>
          <w:pgMar w:top="1843" w:right="1304" w:bottom="1134" w:left="1304" w:header="1134" w:footer="907" w:gutter="0"/>
          <w:cols w:space="720"/>
          <w:docGrid w:linePitch="326"/>
        </w:sectPr>
      </w:pPr>
    </w:p>
    <w:p w14:paraId="13EF66C7" w14:textId="77777777" w:rsidR="00000000" w:rsidRDefault="00000000">
      <w:pPr>
        <w:pStyle w:val="1"/>
        <w:spacing w:line="480" w:lineRule="auto"/>
        <w:jc w:val="center"/>
        <w:rPr>
          <w:rFonts w:eastAsia="方正黑体简体" w:hint="eastAsia"/>
          <w:b w:val="0"/>
          <w:kern w:val="2"/>
          <w:sz w:val="32"/>
          <w:szCs w:val="32"/>
        </w:rPr>
      </w:pPr>
      <w:bookmarkStart w:id="13" w:name="_Toc477252438"/>
      <w:bookmarkStart w:id="14" w:name="_Toc379795041"/>
      <w:r>
        <w:rPr>
          <w:rFonts w:eastAsia="方正黑体简体" w:hint="eastAsia"/>
          <w:b w:val="0"/>
          <w:kern w:val="2"/>
          <w:sz w:val="32"/>
          <w:szCs w:val="32"/>
        </w:rPr>
        <w:lastRenderedPageBreak/>
        <w:t>估价师声明</w:t>
      </w:r>
      <w:bookmarkEnd w:id="13"/>
      <w:bookmarkEnd w:id="14"/>
    </w:p>
    <w:p w14:paraId="6246A90C" w14:textId="77777777" w:rsidR="00000000" w:rsidRDefault="00000000">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BD01982" w14:textId="77777777" w:rsidR="00000000" w:rsidRDefault="00000000">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注册房地产估价师在本估价报告中对事实的说明是真实的和准确的，没有虚假记载、误导性陈述和重大遗漏。</w:t>
      </w:r>
    </w:p>
    <w:p w14:paraId="096F7C80" w14:textId="77777777" w:rsidR="00000000" w:rsidRDefault="00000000">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15080009" w14:textId="77777777" w:rsidR="00000000" w:rsidRDefault="00000000">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注册房地产估价师与估价报告中的估价对象没有现实或潜在的利益，与估价委托人及估价利害关系人没有利害关系，也对本估价报告中的估价对象、估价委托人及估价利害关系人没有偏见。</w:t>
      </w:r>
    </w:p>
    <w:p w14:paraId="6EF62252" w14:textId="77777777" w:rsidR="00000000" w:rsidRDefault="00000000">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，由中华人民共和国建设部、中国人民银行、中国银行业监督管理委员会联合颁布的</w:t>
      </w:r>
      <w:r>
        <w:rPr>
          <w:rFonts w:ascii="Arial" w:hAnsi="Arial" w:cs="Arial"/>
          <w:color w:val="000000"/>
          <w:kern w:val="2"/>
          <w:sz w:val="21"/>
          <w:szCs w:val="21"/>
        </w:rPr>
        <w:t>《房地产抵押估价指导意见》</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以及相关房地产估价专项标准进行估价工作，撰写本估价报告。</w:t>
      </w:r>
    </w:p>
    <w:p w14:paraId="738FA7CF" w14:textId="77777777" w:rsidR="00000000" w:rsidRDefault="00000000">
      <w:pPr>
        <w:spacing w:line="480" w:lineRule="auto"/>
        <w:jc w:val="both"/>
        <w:outlineLvl w:val="0"/>
        <w:rPr>
          <w:rFonts w:ascii="Arial" w:eastAsia="楷体_GB2312" w:hAnsi="Arial" w:cs="Arial"/>
          <w:kern w:val="2"/>
          <w:sz w:val="28"/>
        </w:rPr>
      </w:pPr>
      <w:bookmarkStart w:id="15" w:name="_Toc168225811"/>
    </w:p>
    <w:p w14:paraId="6925B27F" w14:textId="77777777" w:rsidR="00000000" w:rsidRDefault="00000000">
      <w:pPr>
        <w:rPr>
          <w:rFonts w:ascii="Arial" w:eastAsia="楷体_GB2312" w:hAnsi="Arial" w:cs="Arial"/>
          <w:kern w:val="2"/>
          <w:sz w:val="28"/>
        </w:rPr>
        <w:sectPr w:rsidR="00000000">
          <w:headerReference w:type="even" r:id="rId23"/>
          <w:headerReference w:type="default" r:id="rId24"/>
          <w:headerReference w:type="first" r:id="rId25"/>
          <w:footerReference w:type="first" r:id="rId26"/>
          <w:pgSz w:w="11907" w:h="16840"/>
          <w:pgMar w:top="1843" w:right="1304" w:bottom="1134" w:left="1304" w:header="1134" w:footer="907" w:gutter="0"/>
          <w:cols w:space="720"/>
          <w:docGrid w:linePitch="326"/>
        </w:sectPr>
      </w:pPr>
    </w:p>
    <w:p w14:paraId="663DAD8B" w14:textId="77777777" w:rsidR="00000000" w:rsidRDefault="00000000">
      <w:pPr>
        <w:pStyle w:val="1"/>
        <w:spacing w:line="480" w:lineRule="auto"/>
        <w:jc w:val="center"/>
        <w:rPr>
          <w:rFonts w:eastAsia="方正黑体简体" w:hint="eastAsia"/>
          <w:b w:val="0"/>
          <w:kern w:val="2"/>
          <w:sz w:val="32"/>
          <w:szCs w:val="32"/>
        </w:rPr>
      </w:pPr>
      <w:bookmarkStart w:id="16" w:name="_Toc477252439"/>
      <w:bookmarkStart w:id="17" w:name="_Toc379795042"/>
      <w:r>
        <w:rPr>
          <w:rFonts w:eastAsia="方正黑体简体" w:hint="eastAsia"/>
          <w:b w:val="0"/>
          <w:kern w:val="2"/>
          <w:sz w:val="32"/>
          <w:szCs w:val="32"/>
        </w:rPr>
        <w:lastRenderedPageBreak/>
        <w:t>估价假设和限制条件</w:t>
      </w:r>
      <w:bookmarkEnd w:id="16"/>
      <w:bookmarkEnd w:id="17"/>
    </w:p>
    <w:p w14:paraId="67378D8D" w14:textId="77777777" w:rsidR="00000000"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593E552E" w14:textId="77777777" w:rsidR="00000000" w:rsidRDefault="00000000">
      <w:pPr>
        <w:numPr>
          <w:ilvl w:val="0"/>
          <w:numId w:val="6"/>
        </w:numPr>
        <w:overflowPunct w:val="0"/>
        <w:spacing w:line="480" w:lineRule="auto"/>
        <w:ind w:left="0" w:firstLineChars="200" w:firstLine="420"/>
        <w:jc w:val="both"/>
        <w:rPr>
          <w:rFonts w:ascii="Arial" w:hAnsi="Arial" w:cs="Arial"/>
          <w:kern w:val="2"/>
          <w:sz w:val="21"/>
          <w:szCs w:val="21"/>
        </w:rPr>
      </w:pPr>
      <w:r>
        <w:rPr>
          <w:rFonts w:ascii="Arial" w:hAnsi="Arial" w:cs="Arial"/>
          <w:kern w:val="2"/>
          <w:sz w:val="21"/>
          <w:szCs w:val="21"/>
        </w:rPr>
        <w:t>在价值时点的房地产市场为公开、平等、自愿的交易市场。</w:t>
      </w:r>
    </w:p>
    <w:p w14:paraId="4756A252" w14:textId="77777777" w:rsidR="00000000" w:rsidRDefault="00000000">
      <w:pPr>
        <w:numPr>
          <w:ilvl w:val="0"/>
          <w:numId w:val="6"/>
        </w:numPr>
        <w:overflowPunct w:val="0"/>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本估价报告的估价结果是以正常条件下的公开市场价值为基础，并遵循谨慎原则评估出的价值。正常条件下的公开市场价值是指</w:t>
      </w:r>
      <w:r>
        <w:rPr>
          <w:rFonts w:ascii="Arial" w:hAnsi="Arial" w:cs="Arial"/>
          <w:kern w:val="2"/>
          <w:sz w:val="21"/>
          <w:szCs w:val="21"/>
        </w:rPr>
        <w:t>房地产交易需要买卖双方在了解足够的市场信息，拥有足够的谈判时间，经过谨慎的考虑和对房地产市场进行合理预期，并具体考虑买卖双方的偏好等条件下方能实现。对于房地产市场的波动及快速变现等特殊交易因素可能导致房地产价格有较大幅度的变化，本估价报告未考虑这种变化对估价对象</w:t>
      </w:r>
      <w:r>
        <w:rPr>
          <w:rFonts w:ascii="Arial" w:hAnsi="Arial" w:cs="Arial" w:hint="eastAsia"/>
          <w:kern w:val="2"/>
          <w:sz w:val="21"/>
          <w:szCs w:val="21"/>
        </w:rPr>
        <w:t>市场</w:t>
      </w:r>
      <w:r>
        <w:rPr>
          <w:rFonts w:ascii="Arial" w:hAnsi="Arial" w:cs="Arial"/>
          <w:kern w:val="2"/>
          <w:sz w:val="21"/>
          <w:szCs w:val="21"/>
        </w:rPr>
        <w:t>价值产生的影响</w:t>
      </w:r>
      <w:r>
        <w:rPr>
          <w:rFonts w:ascii="Arial" w:hAnsi="Arial" w:cs="Arial" w:hint="eastAsia"/>
          <w:kern w:val="2"/>
          <w:sz w:val="21"/>
          <w:szCs w:val="21"/>
        </w:rPr>
        <w:t>。</w:t>
      </w:r>
    </w:p>
    <w:p w14:paraId="619E111C" w14:textId="77777777" w:rsidR="00000000" w:rsidRDefault="00000000">
      <w:pPr>
        <w:numPr>
          <w:ilvl w:val="0"/>
          <w:numId w:val="6"/>
        </w:numPr>
        <w:overflowPunct w:val="0"/>
        <w:spacing w:line="480" w:lineRule="auto"/>
        <w:ind w:left="0" w:firstLineChars="200" w:firstLine="420"/>
        <w:jc w:val="both"/>
        <w:rPr>
          <w:rFonts w:ascii="Arial" w:hAnsi="Arial" w:cs="Arial"/>
          <w:kern w:val="2"/>
          <w:sz w:val="21"/>
          <w:szCs w:val="21"/>
        </w:rPr>
      </w:pPr>
      <w:r>
        <w:rPr>
          <w:rFonts w:ascii="Arial" w:hAnsi="Arial" w:cs="Arial"/>
          <w:kern w:val="2"/>
          <w:sz w:val="21"/>
          <w:szCs w:val="21"/>
        </w:rPr>
        <w:t>估价对象的出让国有建设用地使用权和建筑物所有权均为合法方式取得，并支付相关税费，估价对象能够正常上市交易。</w:t>
      </w:r>
    </w:p>
    <w:p w14:paraId="0803398A" w14:textId="77777777" w:rsidR="00000000" w:rsidRDefault="00000000">
      <w:pPr>
        <w:numPr>
          <w:ilvl w:val="0"/>
          <w:numId w:val="6"/>
        </w:numPr>
        <w:overflowPunct w:val="0"/>
        <w:spacing w:line="480" w:lineRule="auto"/>
        <w:ind w:left="0" w:firstLineChars="200" w:firstLine="420"/>
        <w:jc w:val="both"/>
        <w:rPr>
          <w:rFonts w:ascii="Arial" w:hAnsi="Arial" w:cs="Arial"/>
          <w:kern w:val="2"/>
          <w:sz w:val="21"/>
          <w:szCs w:val="21"/>
        </w:rPr>
      </w:pPr>
      <w:r>
        <w:rPr>
          <w:rFonts w:ascii="Arial" w:hAnsi="Arial" w:cs="Arial"/>
          <w:kern w:val="2"/>
          <w:sz w:val="21"/>
          <w:szCs w:val="21"/>
        </w:rPr>
        <w:t>评估专业人员已对估价委托人所提供</w:t>
      </w:r>
      <w:r>
        <w:rPr>
          <w:rFonts w:ascii="Arial" w:hAnsi="Arial" w:cs="Arial"/>
          <w:color w:val="000000"/>
          <w:kern w:val="2"/>
          <w:sz w:val="21"/>
          <w:szCs w:val="21"/>
        </w:rPr>
        <w:t>的、本估价报告所依据的估价对象的权属以及其他相关资料进行了检查</w:t>
      </w:r>
      <w:r>
        <w:rPr>
          <w:rFonts w:ascii="Arial" w:hAnsi="Arial" w:cs="Arial" w:hint="eastAsia"/>
          <w:color w:val="000000"/>
          <w:kern w:val="2"/>
          <w:sz w:val="21"/>
          <w:szCs w:val="21"/>
        </w:rPr>
        <w:t>，并通过</w:t>
      </w:r>
      <w:r>
        <w:rPr>
          <w:rFonts w:ascii="Arial" w:hAnsi="Arial" w:cs="Arial" w:hint="eastAsia"/>
          <w:kern w:val="2"/>
          <w:sz w:val="21"/>
          <w:szCs w:val="21"/>
        </w:rPr>
        <w:t>北京市不动产登记信息网上查询获取估价对象《不动产登记信息查询结果告知单》，对其不动产登记信息进行了核对</w:t>
      </w:r>
      <w:r>
        <w:rPr>
          <w:rFonts w:ascii="Arial" w:hAnsi="Arial" w:cs="Arial"/>
          <w:kern w:val="2"/>
          <w:sz w:val="21"/>
          <w:szCs w:val="21"/>
        </w:rPr>
        <w:t>，无理由怀疑其合法性、真实性、准确性和完整性。本次评估设定估价委托人提供的资料合法</w:t>
      </w:r>
      <w:r>
        <w:rPr>
          <w:rFonts w:ascii="Arial" w:hAnsi="Arial" w:cs="Arial"/>
          <w:color w:val="000000"/>
          <w:kern w:val="2"/>
          <w:sz w:val="21"/>
          <w:szCs w:val="21"/>
        </w:rPr>
        <w:t>、属实，并且提供了与本次评估有关的所有资料，没有保留及隐瞒</w:t>
      </w:r>
      <w:r>
        <w:rPr>
          <w:rFonts w:ascii="Arial" w:hAnsi="Arial" w:cs="Arial"/>
          <w:kern w:val="2"/>
          <w:sz w:val="21"/>
          <w:szCs w:val="21"/>
        </w:rPr>
        <w:t>。</w:t>
      </w:r>
    </w:p>
    <w:p w14:paraId="7EC318DA" w14:textId="77777777" w:rsidR="00000000" w:rsidRDefault="00000000">
      <w:pPr>
        <w:numPr>
          <w:ilvl w:val="0"/>
          <w:numId w:val="6"/>
        </w:numPr>
        <w:overflowPunct w:val="0"/>
        <w:spacing w:line="480" w:lineRule="auto"/>
        <w:ind w:left="0" w:firstLineChars="200" w:firstLine="420"/>
        <w:jc w:val="both"/>
        <w:rPr>
          <w:rFonts w:ascii="Arial" w:hAnsi="Arial" w:cs="Arial" w:hint="eastAsia"/>
          <w:color w:val="000000"/>
          <w:kern w:val="2"/>
          <w:sz w:val="21"/>
          <w:szCs w:val="21"/>
        </w:rPr>
      </w:pPr>
      <w:r>
        <w:rPr>
          <w:rFonts w:ascii="Arial" w:hAnsi="Arial" w:cs="Arial"/>
          <w:sz w:val="21"/>
          <w:szCs w:val="21"/>
        </w:rPr>
        <w:t>估价对象建筑面积以</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w:t>
      </w:r>
      <w:commentRangeStart w:id="18"/>
      <w:r>
        <w:rPr>
          <w:rFonts w:ascii="Arial" w:hAnsi="Arial" w:hint="eastAsia"/>
          <w:bCs/>
          <w:sz w:val="21"/>
        </w:rPr>
        <w:t>《房屋面积测算技术报告书（商品房类使用）》</w:t>
      </w:r>
      <w:commentRangeEnd w:id="18"/>
      <w:r w:rsidR="0060539C">
        <w:rPr>
          <w:rStyle w:val="af9"/>
        </w:rPr>
        <w:commentReference w:id="18"/>
      </w:r>
      <w:r>
        <w:rPr>
          <w:rFonts w:ascii="Arial" w:hAnsi="Arial" w:hint="eastAsia"/>
          <w:bCs/>
          <w:sz w:val="21"/>
        </w:rPr>
        <w:t>、《估价委托书》</w:t>
      </w:r>
      <w:r>
        <w:rPr>
          <w:rFonts w:ascii="Arial" w:hAnsi="Arial" w:cs="Arial"/>
          <w:sz w:val="21"/>
          <w:szCs w:val="21"/>
        </w:rPr>
        <w:t>上载明的为依据。</w:t>
      </w:r>
      <w:r>
        <w:rPr>
          <w:rFonts w:ascii="Arial" w:hAnsi="Arial" w:cs="Arial"/>
          <w:kern w:val="2"/>
          <w:sz w:val="21"/>
          <w:szCs w:val="21"/>
        </w:rPr>
        <w:t>评估专业人员对估价对象及</w:t>
      </w:r>
      <w:r>
        <w:rPr>
          <w:rFonts w:ascii="Arial" w:hAnsi="Arial" w:cs="Arial"/>
          <w:color w:val="000000"/>
          <w:kern w:val="2"/>
          <w:sz w:val="21"/>
          <w:szCs w:val="21"/>
        </w:rPr>
        <w:t>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1D9D6C77" w14:textId="77777777" w:rsidR="00000000" w:rsidRDefault="00000000">
      <w:pPr>
        <w:numPr>
          <w:ilvl w:val="0"/>
          <w:numId w:val="6"/>
        </w:numPr>
        <w:overflowPunct w:val="0"/>
        <w:spacing w:line="480" w:lineRule="auto"/>
        <w:ind w:left="0" w:firstLine="426"/>
        <w:jc w:val="both"/>
        <w:rPr>
          <w:rFonts w:ascii="Arial" w:hAnsi="Arial" w:cs="Arial"/>
          <w:color w:val="000000"/>
          <w:kern w:val="2"/>
          <w:sz w:val="21"/>
          <w:szCs w:val="21"/>
        </w:rPr>
      </w:pPr>
      <w:r>
        <w:rPr>
          <w:rFonts w:ascii="Arial" w:hAnsi="Arial" w:cs="Arial" w:hint="eastAsia"/>
          <w:color w:val="000000"/>
          <w:kern w:val="2"/>
          <w:sz w:val="21"/>
          <w:szCs w:val="21"/>
        </w:rPr>
        <w:t>基于《增值税法》颁布实施对增值税价外税法</w:t>
      </w:r>
      <w:proofErr w:type="gramStart"/>
      <w:r>
        <w:rPr>
          <w:rFonts w:ascii="Arial" w:hAnsi="Arial" w:cs="Arial" w:hint="eastAsia"/>
          <w:color w:val="000000"/>
          <w:kern w:val="2"/>
          <w:sz w:val="21"/>
          <w:szCs w:val="21"/>
        </w:rPr>
        <w:t>律地位</w:t>
      </w:r>
      <w:proofErr w:type="gramEnd"/>
      <w:r>
        <w:rPr>
          <w:rFonts w:ascii="Arial" w:hAnsi="Arial" w:cs="Arial" w:hint="eastAsia"/>
          <w:color w:val="000000"/>
          <w:kern w:val="2"/>
          <w:sz w:val="21"/>
          <w:szCs w:val="21"/>
        </w:rPr>
        <w:t>的确立，为有效衔接法律规定与市场惯例，本报告在技术测算中严格遵循价税分离原则，在结果呈现时统一调整至市场通用的价税合计口径，报告最终呈现的估价结果采用价税合计的形式。在涉及增值税处理的测算中，基于估价的谨慎性原则以及对估价对象作为经营性物业其典型市场参与者为一般纳税人的判断，统一采用增值税一般纳税人的计税口径（适用税率为</w:t>
      </w:r>
      <w:r>
        <w:rPr>
          <w:rFonts w:ascii="Arial" w:hAnsi="Arial" w:cs="Arial" w:hint="eastAsia"/>
          <w:color w:val="000000"/>
          <w:kern w:val="2"/>
          <w:sz w:val="21"/>
          <w:szCs w:val="21"/>
        </w:rPr>
        <w:t>9%</w:t>
      </w:r>
      <w:r>
        <w:rPr>
          <w:rFonts w:ascii="Arial" w:hAnsi="Arial" w:cs="Arial" w:hint="eastAsia"/>
          <w:color w:val="000000"/>
          <w:kern w:val="2"/>
          <w:sz w:val="21"/>
          <w:szCs w:val="21"/>
        </w:rPr>
        <w:t>）进行相关计算。该假设旨在提供一项更为审慎、稳健且符合主流市场条件</w:t>
      </w:r>
      <w:r>
        <w:rPr>
          <w:rFonts w:ascii="Arial" w:hAnsi="Arial" w:cs="Arial" w:hint="eastAsia"/>
          <w:color w:val="000000"/>
          <w:kern w:val="2"/>
          <w:sz w:val="21"/>
          <w:szCs w:val="21"/>
        </w:rPr>
        <w:lastRenderedPageBreak/>
        <w:t>价值参考。提请估价报告使用者请注意，本报告的估值结论不替代任何实际的税务计算或咨询。该</w:t>
      </w:r>
      <w:proofErr w:type="gramStart"/>
      <w:r>
        <w:rPr>
          <w:rFonts w:ascii="Arial" w:hAnsi="Arial" w:cs="Arial" w:hint="eastAsia"/>
          <w:color w:val="000000"/>
          <w:kern w:val="2"/>
          <w:sz w:val="21"/>
          <w:szCs w:val="21"/>
        </w:rPr>
        <w:t>转换仅</w:t>
      </w:r>
      <w:proofErr w:type="gramEnd"/>
      <w:r>
        <w:rPr>
          <w:rFonts w:ascii="Arial" w:hAnsi="Arial" w:cs="Arial" w:hint="eastAsia"/>
          <w:color w:val="000000"/>
          <w:kern w:val="2"/>
          <w:sz w:val="21"/>
          <w:szCs w:val="21"/>
        </w:rPr>
        <w:t>为提供符合主流市场交易口径的价值参考，实际应纳税额须以税务机关核定为准。整体评估坚持“过程分离、结果价税合一”框架，确保结论兼具理论合</w:t>
      </w:r>
      <w:proofErr w:type="gramStart"/>
      <w:r>
        <w:rPr>
          <w:rFonts w:ascii="Arial" w:hAnsi="Arial" w:cs="Arial" w:hint="eastAsia"/>
          <w:color w:val="000000"/>
          <w:kern w:val="2"/>
          <w:sz w:val="21"/>
          <w:szCs w:val="21"/>
        </w:rPr>
        <w:t>规</w:t>
      </w:r>
      <w:proofErr w:type="gramEnd"/>
      <w:r>
        <w:rPr>
          <w:rFonts w:ascii="Arial" w:hAnsi="Arial" w:cs="Arial" w:hint="eastAsia"/>
          <w:color w:val="000000"/>
          <w:kern w:val="2"/>
          <w:sz w:val="21"/>
          <w:szCs w:val="21"/>
        </w:rPr>
        <w:t>性与市场适用性。</w:t>
      </w:r>
    </w:p>
    <w:p w14:paraId="3B56E214" w14:textId="77777777" w:rsidR="00000000" w:rsidRDefault="00000000">
      <w:pPr>
        <w:numPr>
          <w:ilvl w:val="0"/>
          <w:numId w:val="6"/>
        </w:numPr>
        <w:overflowPunct w:val="0"/>
        <w:spacing w:line="480" w:lineRule="auto"/>
        <w:ind w:left="0" w:firstLineChars="200" w:firstLine="420"/>
        <w:jc w:val="both"/>
        <w:rPr>
          <w:rFonts w:ascii="Arial" w:hAnsi="Arial" w:cs="Arial"/>
          <w:kern w:val="2"/>
          <w:sz w:val="21"/>
          <w:szCs w:val="21"/>
        </w:rPr>
      </w:pPr>
      <w:r>
        <w:rPr>
          <w:rFonts w:ascii="Arial" w:hAnsi="Arial" w:cs="Arial"/>
          <w:kern w:val="2"/>
          <w:sz w:val="21"/>
          <w:szCs w:val="21"/>
        </w:rPr>
        <w:t>任何有关估价对象的运作方式、程序符合国家、地方的有关法律、法规。</w:t>
      </w:r>
    </w:p>
    <w:p w14:paraId="0F2BF2BC" w14:textId="77777777" w:rsidR="00000000" w:rsidRDefault="00000000">
      <w:pPr>
        <w:numPr>
          <w:ilvl w:val="0"/>
          <w:numId w:val="6"/>
        </w:numPr>
        <w:overflowPunct w:val="0"/>
        <w:spacing w:line="480" w:lineRule="auto"/>
        <w:ind w:left="0" w:firstLineChars="200" w:firstLine="420"/>
        <w:jc w:val="both"/>
        <w:rPr>
          <w:rFonts w:ascii="Arial" w:hAnsi="Arial" w:cs="Arial"/>
          <w:color w:val="000000"/>
          <w:kern w:val="2"/>
          <w:sz w:val="21"/>
          <w:szCs w:val="21"/>
        </w:rPr>
      </w:pPr>
      <w:r>
        <w:rPr>
          <w:rFonts w:ascii="Arial" w:hAnsi="Arial" w:cs="Arial"/>
          <w:color w:val="000000"/>
          <w:kern w:val="2"/>
          <w:sz w:val="21"/>
          <w:szCs w:val="21"/>
        </w:rPr>
        <w:t>本次估价结果未考虑国家宏观政策发生重大变化以及遇有自然力和其他不可抗力对估价结果的影响。</w:t>
      </w:r>
    </w:p>
    <w:p w14:paraId="240BC521" w14:textId="77777777" w:rsidR="00000000" w:rsidRDefault="00000000">
      <w:pPr>
        <w:numPr>
          <w:ilvl w:val="0"/>
          <w:numId w:val="6"/>
        </w:numPr>
        <w:overflowPunct w:val="0"/>
        <w:spacing w:line="480" w:lineRule="auto"/>
        <w:ind w:left="0" w:firstLineChars="200" w:firstLine="420"/>
        <w:jc w:val="both"/>
        <w:rPr>
          <w:rFonts w:ascii="Arial" w:hAnsi="Arial" w:cs="Arial"/>
          <w:kern w:val="2"/>
          <w:sz w:val="21"/>
          <w:szCs w:val="21"/>
        </w:rPr>
      </w:pPr>
      <w:r>
        <w:rPr>
          <w:rFonts w:ascii="Arial" w:hAnsi="Arial" w:cs="Arial"/>
          <w:kern w:val="2"/>
          <w:sz w:val="21"/>
          <w:szCs w:val="21"/>
        </w:rPr>
        <w:t>估价结果未考虑估价对象及其运营企业已承担的债务、或有债务及经营决策失误或市场运作失当对其价值的影响。</w:t>
      </w:r>
    </w:p>
    <w:p w14:paraId="72964A9E" w14:textId="77777777" w:rsidR="00000000"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0AB9821E" w14:textId="77777777" w:rsidR="00000000" w:rsidRDefault="00000000">
      <w:pPr>
        <w:overflowPunct w:val="0"/>
        <w:spacing w:line="480" w:lineRule="auto"/>
        <w:ind w:firstLineChars="200" w:firstLine="420"/>
        <w:jc w:val="both"/>
        <w:textAlignment w:val="auto"/>
        <w:rPr>
          <w:rFonts w:ascii="Arial" w:hAnsi="Arial" w:hint="eastAsia"/>
          <w:color w:val="000000"/>
          <w:kern w:val="2"/>
          <w:sz w:val="21"/>
        </w:rPr>
      </w:pPr>
      <w:r>
        <w:rPr>
          <w:rFonts w:ascii="Arial" w:hAnsi="Arial" w:hint="eastAsia"/>
          <w:color w:val="000000"/>
          <w:kern w:val="2"/>
          <w:sz w:val="21"/>
        </w:rPr>
        <w:t>1.</w:t>
      </w:r>
      <w:r>
        <w:rPr>
          <w:rFonts w:ascii="Arial" w:hAnsi="Arial" w:hint="eastAsia"/>
          <w:color w:val="000000"/>
          <w:kern w:val="2"/>
          <w:sz w:val="21"/>
        </w:rPr>
        <w:t>未定事项假设</w:t>
      </w:r>
    </w:p>
    <w:p w14:paraId="09C16FF9" w14:textId="77777777" w:rsidR="00000000" w:rsidRDefault="00000000">
      <w:pPr>
        <w:overflowPunct w:val="0"/>
        <w:spacing w:line="480" w:lineRule="auto"/>
        <w:ind w:firstLineChars="200" w:firstLine="420"/>
        <w:jc w:val="both"/>
        <w:textAlignment w:val="auto"/>
        <w:rPr>
          <w:rFonts w:ascii="Arial" w:hAnsi="Arial" w:hint="eastAsia"/>
          <w:color w:val="E36C0A"/>
          <w:kern w:val="2"/>
          <w:sz w:val="21"/>
        </w:rPr>
      </w:pPr>
      <w:r>
        <w:rPr>
          <w:rFonts w:ascii="Arial" w:hAnsi="Arial" w:hint="eastAsia"/>
          <w:color w:val="000000"/>
          <w:kern w:val="2"/>
          <w:sz w:val="21"/>
        </w:rPr>
        <w:t>截至报告出具日，估价对象中房山区长阳镇</w:t>
      </w:r>
      <w:r>
        <w:rPr>
          <w:rFonts w:ascii="Arial" w:hAnsi="Arial" w:hint="eastAsia"/>
          <w:color w:val="000000"/>
          <w:kern w:val="2"/>
          <w:sz w:val="21"/>
        </w:rPr>
        <w:t>FS00-LX10-0044</w:t>
      </w:r>
      <w:r>
        <w:rPr>
          <w:rFonts w:ascii="Arial" w:hAnsi="Arial" w:hint="eastAsia"/>
          <w:color w:val="000000"/>
          <w:kern w:val="2"/>
          <w:sz w:val="21"/>
        </w:rPr>
        <w:t>地块</w:t>
      </w:r>
      <w:r>
        <w:rPr>
          <w:rFonts w:ascii="Arial" w:hAnsi="Arial" w:hint="eastAsia"/>
          <w:color w:val="000000"/>
          <w:kern w:val="2"/>
          <w:sz w:val="21"/>
        </w:rPr>
        <w:t>6</w:t>
      </w:r>
      <w:r>
        <w:rPr>
          <w:rFonts w:ascii="Arial" w:hAnsi="Arial" w:hint="eastAsia"/>
          <w:color w:val="000000"/>
          <w:kern w:val="2"/>
          <w:sz w:val="21"/>
        </w:rPr>
        <w:t>号商业楼地上</w:t>
      </w:r>
      <w:r>
        <w:rPr>
          <w:rFonts w:ascii="Arial" w:hAnsi="Arial" w:hint="eastAsia"/>
          <w:color w:val="000000"/>
          <w:kern w:val="2"/>
          <w:sz w:val="21"/>
        </w:rPr>
        <w:t>1-2</w:t>
      </w:r>
      <w:r>
        <w:rPr>
          <w:rFonts w:ascii="Arial" w:hAnsi="Arial" w:hint="eastAsia"/>
          <w:color w:val="000000"/>
          <w:kern w:val="2"/>
          <w:sz w:val="21"/>
        </w:rPr>
        <w:t>层商业用房尚未取得《不动产权证书》。根据《估价委托书》，本次评估设定</w:t>
      </w:r>
      <w:r>
        <w:rPr>
          <w:rFonts w:ascii="Arial" w:hAnsi="Arial" w:hint="eastAsia"/>
          <w:color w:val="000000"/>
          <w:kern w:val="2"/>
          <w:sz w:val="21"/>
        </w:rPr>
        <w:t>6</w:t>
      </w:r>
      <w:r>
        <w:rPr>
          <w:rFonts w:ascii="Arial" w:hAnsi="Arial" w:hint="eastAsia"/>
          <w:color w:val="000000"/>
          <w:kern w:val="2"/>
          <w:sz w:val="21"/>
        </w:rPr>
        <w:t>号商业楼</w:t>
      </w:r>
      <w:r>
        <w:rPr>
          <w:rFonts w:ascii="Arial" w:hAnsi="Arial" w:hint="eastAsia"/>
          <w:color w:val="000000"/>
          <w:kern w:val="2"/>
          <w:sz w:val="21"/>
        </w:rPr>
        <w:t>101-103</w:t>
      </w:r>
      <w:r>
        <w:rPr>
          <w:rFonts w:ascii="Arial" w:hAnsi="Arial" w:hint="eastAsia"/>
          <w:color w:val="000000"/>
          <w:kern w:val="2"/>
          <w:sz w:val="21"/>
        </w:rPr>
        <w:t>、</w:t>
      </w:r>
      <w:r>
        <w:rPr>
          <w:rFonts w:ascii="Arial" w:hAnsi="Arial" w:hint="eastAsia"/>
          <w:color w:val="000000"/>
          <w:kern w:val="2"/>
          <w:sz w:val="21"/>
        </w:rPr>
        <w:t>201-203</w:t>
      </w:r>
      <w:r>
        <w:rPr>
          <w:rFonts w:ascii="Arial" w:hAnsi="Arial" w:hint="eastAsia"/>
          <w:color w:val="000000"/>
          <w:kern w:val="2"/>
          <w:sz w:val="21"/>
        </w:rPr>
        <w:t>号房屋均为</w:t>
      </w:r>
      <w:r>
        <w:rPr>
          <w:rFonts w:ascii="Arial" w:hAnsi="Arial" w:hint="eastAsia"/>
          <w:bCs/>
          <w:sz w:val="21"/>
        </w:rPr>
        <w:t>北京首开龙湖盈泰置业有限公司单独所有，规划用途为商业，土地使用年限为</w:t>
      </w:r>
      <w:r>
        <w:rPr>
          <w:rFonts w:ascii="Arial" w:hAnsi="Arial" w:hint="eastAsia"/>
          <w:bCs/>
          <w:sz w:val="21"/>
        </w:rPr>
        <w:t>4</w:t>
      </w:r>
      <w:r>
        <w:rPr>
          <w:rFonts w:ascii="Arial" w:hAnsi="Arial"/>
          <w:bCs/>
          <w:sz w:val="21"/>
        </w:rPr>
        <w:t>0</w:t>
      </w:r>
      <w:r>
        <w:rPr>
          <w:rFonts w:ascii="Arial" w:hAnsi="Arial" w:hint="eastAsia"/>
          <w:bCs/>
          <w:sz w:val="21"/>
        </w:rPr>
        <w:t>年，自</w:t>
      </w:r>
      <w:r>
        <w:rPr>
          <w:rFonts w:ascii="Arial" w:hAnsi="Arial" w:hint="eastAsia"/>
          <w:bCs/>
          <w:sz w:val="21"/>
        </w:rPr>
        <w:t>2</w:t>
      </w:r>
      <w:r>
        <w:rPr>
          <w:rFonts w:ascii="Arial" w:hAnsi="Arial"/>
          <w:bCs/>
          <w:sz w:val="21"/>
        </w:rPr>
        <w:t>016</w:t>
      </w:r>
      <w:r>
        <w:rPr>
          <w:rFonts w:ascii="Arial" w:hAnsi="Arial" w:hint="eastAsia"/>
          <w:bCs/>
          <w:sz w:val="21"/>
        </w:rPr>
        <w:t>年</w:t>
      </w:r>
      <w:r>
        <w:rPr>
          <w:rFonts w:ascii="Arial" w:hAnsi="Arial"/>
          <w:bCs/>
          <w:sz w:val="21"/>
        </w:rPr>
        <w:t>12</w:t>
      </w:r>
      <w:r>
        <w:rPr>
          <w:rFonts w:ascii="Arial" w:hAnsi="Arial" w:hint="eastAsia"/>
          <w:bCs/>
          <w:sz w:val="21"/>
        </w:rPr>
        <w:t>月</w:t>
      </w:r>
      <w:r>
        <w:rPr>
          <w:rFonts w:ascii="Arial" w:hAnsi="Arial" w:hint="eastAsia"/>
          <w:bCs/>
          <w:sz w:val="21"/>
        </w:rPr>
        <w:t>2</w:t>
      </w:r>
      <w:r>
        <w:rPr>
          <w:rFonts w:ascii="Arial" w:hAnsi="Arial"/>
          <w:bCs/>
          <w:sz w:val="21"/>
        </w:rPr>
        <w:t>6</w:t>
      </w:r>
      <w:r>
        <w:rPr>
          <w:rFonts w:ascii="Arial" w:hAnsi="Arial" w:hint="eastAsia"/>
          <w:bCs/>
          <w:sz w:val="21"/>
        </w:rPr>
        <w:t>日起</w:t>
      </w:r>
      <w:r>
        <w:rPr>
          <w:rFonts w:ascii="Arial" w:hAnsi="Arial" w:hint="eastAsia"/>
          <w:bCs/>
          <w:sz w:val="21"/>
        </w:rPr>
        <w:t>20</w:t>
      </w:r>
      <w:r>
        <w:rPr>
          <w:rFonts w:ascii="Arial" w:hAnsi="Arial"/>
          <w:bCs/>
          <w:sz w:val="21"/>
        </w:rPr>
        <w:t>56</w:t>
      </w:r>
      <w:r>
        <w:rPr>
          <w:rFonts w:ascii="Arial" w:hAnsi="Arial" w:hint="eastAsia"/>
          <w:bCs/>
          <w:sz w:val="21"/>
        </w:rPr>
        <w:t>年</w:t>
      </w:r>
      <w:r>
        <w:rPr>
          <w:rFonts w:ascii="Arial" w:hAnsi="Arial"/>
          <w:bCs/>
          <w:sz w:val="21"/>
        </w:rPr>
        <w:t>12</w:t>
      </w:r>
      <w:r>
        <w:rPr>
          <w:rFonts w:ascii="Arial" w:hAnsi="Arial" w:hint="eastAsia"/>
          <w:bCs/>
          <w:sz w:val="21"/>
        </w:rPr>
        <w:t>月</w:t>
      </w:r>
      <w:r>
        <w:rPr>
          <w:rFonts w:ascii="Arial" w:hAnsi="Arial" w:hint="eastAsia"/>
          <w:bCs/>
          <w:sz w:val="21"/>
        </w:rPr>
        <w:t>2</w:t>
      </w:r>
      <w:r>
        <w:rPr>
          <w:rFonts w:ascii="Arial" w:hAnsi="Arial"/>
          <w:bCs/>
          <w:sz w:val="21"/>
        </w:rPr>
        <w:t>5</w:t>
      </w:r>
      <w:r>
        <w:rPr>
          <w:rFonts w:ascii="Arial" w:hAnsi="Arial" w:hint="eastAsia"/>
          <w:bCs/>
          <w:sz w:val="21"/>
        </w:rPr>
        <w:t>日止，建筑面积以</w:t>
      </w:r>
      <w:commentRangeStart w:id="19"/>
      <w:r>
        <w:rPr>
          <w:rFonts w:ascii="Arial" w:hAnsi="Arial" w:hint="eastAsia"/>
          <w:bCs/>
          <w:sz w:val="21"/>
        </w:rPr>
        <w:t>《房屋面积测算技术报告书（商品房类使用）》</w:t>
      </w:r>
      <w:commentRangeEnd w:id="19"/>
      <w:r w:rsidR="0060539C">
        <w:rPr>
          <w:rStyle w:val="af9"/>
        </w:rPr>
        <w:commentReference w:id="19"/>
      </w:r>
      <w:r>
        <w:rPr>
          <w:rFonts w:ascii="Arial" w:hAnsi="Arial" w:hint="eastAsia"/>
          <w:bCs/>
          <w:sz w:val="21"/>
        </w:rPr>
        <w:t>及《估价委托书》记载的为依据，若实际情况与设定情况不符，需调整报告描述。</w:t>
      </w:r>
    </w:p>
    <w:p w14:paraId="5CF16A56" w14:textId="77777777" w:rsidR="00000000" w:rsidRDefault="00000000">
      <w:pPr>
        <w:overflowPunct w:val="0"/>
        <w:spacing w:line="480" w:lineRule="auto"/>
        <w:ind w:firstLineChars="200" w:firstLine="420"/>
        <w:jc w:val="both"/>
        <w:textAlignment w:val="auto"/>
        <w:rPr>
          <w:rFonts w:ascii="Arial" w:hAnsi="Arial" w:hint="eastAsia"/>
          <w:color w:val="000000"/>
          <w:kern w:val="2"/>
          <w:sz w:val="21"/>
        </w:rPr>
      </w:pPr>
      <w:r>
        <w:rPr>
          <w:rFonts w:ascii="Arial" w:hAnsi="Arial" w:hint="eastAsia"/>
          <w:color w:val="000000"/>
          <w:kern w:val="2"/>
          <w:sz w:val="21"/>
        </w:rPr>
        <w:t>2.</w:t>
      </w:r>
      <w:r>
        <w:rPr>
          <w:rFonts w:ascii="Arial" w:hAnsi="Arial" w:hint="eastAsia"/>
          <w:color w:val="000000"/>
          <w:kern w:val="2"/>
          <w:sz w:val="21"/>
        </w:rPr>
        <w:t>背离事实假设</w:t>
      </w:r>
    </w:p>
    <w:p w14:paraId="34895F00" w14:textId="77777777" w:rsidR="00000000" w:rsidRDefault="00000000">
      <w:pPr>
        <w:overflowPunct w:val="0"/>
        <w:spacing w:line="480" w:lineRule="auto"/>
        <w:ind w:firstLineChars="200" w:firstLine="420"/>
        <w:jc w:val="both"/>
        <w:textAlignment w:val="auto"/>
        <w:rPr>
          <w:rFonts w:ascii="Arial" w:hAnsi="Arial" w:hint="eastAsia"/>
          <w:color w:val="548DD4"/>
          <w:kern w:val="2"/>
          <w:sz w:val="21"/>
        </w:rPr>
      </w:pPr>
      <w:r>
        <w:rPr>
          <w:rFonts w:ascii="Arial" w:hAnsi="Arial" w:cs="Arial"/>
          <w:sz w:val="21"/>
          <w:szCs w:val="21"/>
        </w:rPr>
        <w:t>根据不动产权利人介绍</w:t>
      </w:r>
      <w:r>
        <w:rPr>
          <w:rFonts w:ascii="Arial" w:hAnsi="Arial" w:cs="Arial" w:hint="eastAsia"/>
          <w:sz w:val="21"/>
          <w:szCs w:val="21"/>
        </w:rPr>
        <w:t>及评估专业人员实地查勘</w:t>
      </w:r>
      <w:r>
        <w:rPr>
          <w:rFonts w:ascii="Arial" w:hAnsi="Arial" w:cs="Arial"/>
          <w:sz w:val="21"/>
          <w:szCs w:val="21"/>
        </w:rPr>
        <w:t>，截至价值时点，估价对象北京市房山区阜盛西街</w:t>
      </w:r>
      <w:r>
        <w:rPr>
          <w:rFonts w:ascii="Arial" w:hAnsi="Arial" w:cs="Arial"/>
          <w:sz w:val="21"/>
          <w:szCs w:val="21"/>
        </w:rPr>
        <w:t>11</w:t>
      </w:r>
      <w:r>
        <w:rPr>
          <w:rFonts w:ascii="Arial" w:hAnsi="Arial" w:cs="Arial"/>
          <w:sz w:val="21"/>
          <w:szCs w:val="21"/>
        </w:rPr>
        <w:t>号院</w:t>
      </w:r>
      <w:r>
        <w:rPr>
          <w:rFonts w:ascii="Arial" w:hAnsi="Arial" w:cs="Arial"/>
          <w:sz w:val="21"/>
          <w:szCs w:val="21"/>
        </w:rPr>
        <w:t>3</w:t>
      </w:r>
      <w:r>
        <w:rPr>
          <w:rFonts w:ascii="Arial" w:hAnsi="Arial" w:cs="Arial"/>
          <w:sz w:val="21"/>
          <w:szCs w:val="21"/>
        </w:rPr>
        <w:t>号楼地上</w:t>
      </w:r>
      <w:r>
        <w:rPr>
          <w:rFonts w:ascii="Arial" w:hAnsi="Arial" w:cs="Arial"/>
          <w:sz w:val="21"/>
          <w:szCs w:val="21"/>
        </w:rPr>
        <w:t>1</w:t>
      </w:r>
      <w:r>
        <w:rPr>
          <w:rFonts w:ascii="Arial" w:hAnsi="Arial" w:cs="Arial"/>
          <w:sz w:val="21"/>
          <w:szCs w:val="21"/>
        </w:rPr>
        <w:t>层</w:t>
      </w:r>
      <w:r>
        <w:rPr>
          <w:rFonts w:ascii="Arial" w:hAnsi="Arial" w:cs="Arial"/>
          <w:sz w:val="21"/>
          <w:szCs w:val="21"/>
        </w:rPr>
        <w:t>101</w:t>
      </w:r>
      <w:r>
        <w:rPr>
          <w:rFonts w:ascii="Arial" w:hAnsi="Arial" w:cs="Arial"/>
          <w:sz w:val="21"/>
          <w:szCs w:val="21"/>
        </w:rPr>
        <w:t>号</w:t>
      </w:r>
      <w:r>
        <w:rPr>
          <w:rFonts w:ascii="Arial" w:hAnsi="Arial" w:cs="Arial" w:hint="eastAsia"/>
          <w:sz w:val="21"/>
          <w:szCs w:val="21"/>
        </w:rPr>
        <w:t>商业用房已出租作为售楼处使用，其余房源均未出租，本次评估是</w:t>
      </w:r>
      <w:r>
        <w:rPr>
          <w:rFonts w:ascii="Arial" w:hAnsi="Arial" w:hint="eastAsia"/>
          <w:kern w:val="2"/>
          <w:sz w:val="21"/>
        </w:rPr>
        <w:t>为估价委托人了解估价对象房地产市场租金水平提供参考依据，经与估价委托人确认，本次评估不考虑上述租赁情况对估价结果的影响</w:t>
      </w:r>
      <w:r>
        <w:rPr>
          <w:rFonts w:ascii="Arial" w:hAnsi="Arial" w:cs="Arial"/>
          <w:sz w:val="21"/>
          <w:szCs w:val="21"/>
        </w:rPr>
        <w:t>。</w:t>
      </w:r>
    </w:p>
    <w:p w14:paraId="150E6336" w14:textId="77777777" w:rsidR="00000000" w:rsidRDefault="00000000">
      <w:pPr>
        <w:overflowPunct w:val="0"/>
        <w:spacing w:line="480" w:lineRule="auto"/>
        <w:ind w:firstLineChars="200" w:firstLine="420"/>
        <w:jc w:val="both"/>
        <w:textAlignment w:val="auto"/>
        <w:rPr>
          <w:rFonts w:ascii="Arial" w:hAnsi="Arial" w:hint="eastAsia"/>
          <w:color w:val="000000"/>
          <w:kern w:val="2"/>
          <w:sz w:val="21"/>
        </w:rPr>
      </w:pPr>
      <w:r>
        <w:rPr>
          <w:rFonts w:ascii="Arial" w:hAnsi="Arial" w:hint="eastAsia"/>
          <w:color w:val="000000"/>
          <w:kern w:val="2"/>
          <w:sz w:val="21"/>
        </w:rPr>
        <w:t>3.</w:t>
      </w:r>
      <w:r>
        <w:rPr>
          <w:rFonts w:ascii="Arial" w:hAnsi="Arial" w:hint="eastAsia"/>
          <w:color w:val="000000"/>
          <w:kern w:val="2"/>
          <w:sz w:val="21"/>
        </w:rPr>
        <w:t>不相一致假设</w:t>
      </w:r>
    </w:p>
    <w:p w14:paraId="6400CAC8" w14:textId="77777777" w:rsidR="00000000" w:rsidRDefault="00000000">
      <w:pPr>
        <w:overflowPunct w:val="0"/>
        <w:spacing w:line="480" w:lineRule="auto"/>
        <w:ind w:firstLineChars="200" w:firstLine="420"/>
        <w:jc w:val="both"/>
        <w:textAlignment w:val="auto"/>
        <w:rPr>
          <w:rFonts w:ascii="Arial" w:hAnsi="Arial" w:hint="eastAsia"/>
          <w:color w:val="000000"/>
          <w:kern w:val="2"/>
          <w:sz w:val="21"/>
        </w:rPr>
      </w:pPr>
      <w:r>
        <w:rPr>
          <w:rFonts w:ascii="Arial" w:hAnsi="Arial" w:hint="eastAsia"/>
          <w:color w:val="000000"/>
          <w:kern w:val="2"/>
          <w:sz w:val="21"/>
        </w:rPr>
        <w:t>无。</w:t>
      </w:r>
    </w:p>
    <w:p w14:paraId="0D705564" w14:textId="77777777" w:rsidR="00000000" w:rsidRDefault="00000000">
      <w:pPr>
        <w:overflowPunct w:val="0"/>
        <w:spacing w:line="480" w:lineRule="auto"/>
        <w:ind w:firstLineChars="200" w:firstLine="420"/>
        <w:jc w:val="both"/>
        <w:textAlignment w:val="auto"/>
        <w:rPr>
          <w:rFonts w:ascii="Arial" w:hAnsi="Arial" w:hint="eastAsia"/>
          <w:color w:val="E36C0A"/>
          <w:kern w:val="2"/>
          <w:sz w:val="21"/>
        </w:rPr>
      </w:pPr>
      <w:r>
        <w:rPr>
          <w:rFonts w:ascii="Arial" w:hAnsi="Arial" w:hint="eastAsia"/>
          <w:color w:val="000000"/>
          <w:kern w:val="2"/>
          <w:sz w:val="21"/>
        </w:rPr>
        <w:t>4.</w:t>
      </w:r>
      <w:r>
        <w:rPr>
          <w:rFonts w:ascii="Arial" w:hAnsi="Arial" w:hint="eastAsia"/>
          <w:color w:val="000000"/>
          <w:kern w:val="2"/>
          <w:sz w:val="21"/>
        </w:rPr>
        <w:t>依据不足假设</w:t>
      </w:r>
    </w:p>
    <w:p w14:paraId="2988A509" w14:textId="77777777" w:rsidR="00000000" w:rsidRDefault="00000000">
      <w:pPr>
        <w:overflowPunct w:val="0"/>
        <w:spacing w:line="480" w:lineRule="auto"/>
        <w:ind w:firstLineChars="200" w:firstLine="420"/>
        <w:jc w:val="both"/>
        <w:textAlignment w:val="auto"/>
        <w:rPr>
          <w:rFonts w:ascii="Arial" w:hAnsi="Arial" w:cs="Arial"/>
          <w:b/>
          <w:color w:val="E36C0A"/>
          <w:kern w:val="2"/>
          <w:sz w:val="21"/>
          <w:szCs w:val="21"/>
        </w:rPr>
      </w:pPr>
      <w:r>
        <w:rPr>
          <w:rFonts w:ascii="Arial" w:hAnsi="Arial" w:hint="eastAsia"/>
          <w:color w:val="000000"/>
          <w:kern w:val="2"/>
          <w:sz w:val="21"/>
        </w:rPr>
        <w:t>截至报告出具日，</w:t>
      </w:r>
      <w:r>
        <w:rPr>
          <w:rFonts w:ascii="Arial" w:hAnsi="Arial" w:hint="eastAsia"/>
          <w:bCs/>
          <w:sz w:val="21"/>
        </w:rPr>
        <w:t>估价委托人</w:t>
      </w:r>
      <w:r>
        <w:rPr>
          <w:rFonts w:ascii="Arial" w:hAnsi="Arial" w:hint="eastAsia"/>
          <w:kern w:val="2"/>
          <w:sz w:val="21"/>
        </w:rPr>
        <w:t>未能提供</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kern w:val="2"/>
          <w:sz w:val="21"/>
        </w:rPr>
        <w:t>原件供评估专业人员核对。本次评估以</w:t>
      </w:r>
      <w:r>
        <w:rPr>
          <w:rFonts w:ascii="Arial" w:hAnsi="Arial" w:hint="eastAsia"/>
          <w:bCs/>
          <w:sz w:val="21"/>
        </w:rPr>
        <w:t>估价委托人</w:t>
      </w:r>
      <w:r>
        <w:rPr>
          <w:rFonts w:ascii="Arial" w:hAnsi="Arial" w:hint="eastAsia"/>
          <w:kern w:val="2"/>
          <w:sz w:val="21"/>
        </w:rPr>
        <w:t>提</w:t>
      </w:r>
      <w:r>
        <w:rPr>
          <w:rFonts w:ascii="Arial" w:hAnsi="Arial" w:hint="eastAsia"/>
          <w:kern w:val="2"/>
          <w:sz w:val="21"/>
        </w:rPr>
        <w:lastRenderedPageBreak/>
        <w:t>供的</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kern w:val="2"/>
          <w:sz w:val="21"/>
        </w:rPr>
        <w:t>复印件与原件一致为估价的假设前提。</w:t>
      </w:r>
    </w:p>
    <w:p w14:paraId="7A301D96" w14:textId="77777777" w:rsidR="00000000"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估价报告使用限制</w:t>
      </w:r>
    </w:p>
    <w:p w14:paraId="22EC0319" w14:textId="77777777" w:rsidR="00000000" w:rsidRDefault="00000000">
      <w:pPr>
        <w:numPr>
          <w:ilvl w:val="0"/>
          <w:numId w:val="7"/>
        </w:numPr>
        <w:spacing w:line="480" w:lineRule="auto"/>
        <w:ind w:left="0" w:firstLineChars="200" w:firstLine="420"/>
        <w:jc w:val="both"/>
        <w:rPr>
          <w:rFonts w:ascii="Arial" w:hAnsi="Arial" w:cs="Arial" w:hint="eastAsia"/>
          <w:kern w:val="2"/>
          <w:sz w:val="21"/>
          <w:szCs w:val="21"/>
        </w:rPr>
      </w:pPr>
      <w:r>
        <w:rPr>
          <w:rFonts w:ascii="Arial" w:hAnsi="Arial" w:cs="Arial" w:hint="eastAsia"/>
          <w:kern w:val="2"/>
          <w:sz w:val="21"/>
          <w:szCs w:val="21"/>
        </w:rPr>
        <w:t>使用范围：本估价报告只能由估价报告载明的报告使用者使用，且只能用于本报告载明的唯一估价目的和用途。</w:t>
      </w:r>
    </w:p>
    <w:p w14:paraId="533F9672" w14:textId="77777777" w:rsidR="00000000" w:rsidRDefault="00000000">
      <w:pPr>
        <w:numPr>
          <w:ilvl w:val="0"/>
          <w:numId w:val="7"/>
        </w:numPr>
        <w:spacing w:line="480" w:lineRule="auto"/>
        <w:ind w:left="0" w:firstLineChars="200" w:firstLine="420"/>
        <w:jc w:val="both"/>
        <w:rPr>
          <w:rFonts w:ascii="Arial" w:hAnsi="Arial" w:cs="Arial" w:hint="eastAsia"/>
          <w:kern w:val="2"/>
          <w:sz w:val="21"/>
          <w:szCs w:val="21"/>
        </w:rPr>
      </w:pPr>
      <w:r>
        <w:rPr>
          <w:rFonts w:ascii="Arial" w:hAnsi="Arial" w:cs="Arial" w:hint="eastAsia"/>
          <w:kern w:val="2"/>
          <w:sz w:val="21"/>
          <w:szCs w:val="21"/>
        </w:rPr>
        <w:t>估价报告使用者：本次估价业务的估价委托人及本次估价业务委托合同所约定的使用者。</w:t>
      </w:r>
    </w:p>
    <w:p w14:paraId="497B6E60" w14:textId="77777777" w:rsidR="00000000" w:rsidRDefault="00000000">
      <w:pPr>
        <w:numPr>
          <w:ilvl w:val="0"/>
          <w:numId w:val="7"/>
        </w:numPr>
        <w:spacing w:line="480" w:lineRule="auto"/>
        <w:ind w:left="0" w:firstLineChars="200" w:firstLine="420"/>
        <w:jc w:val="both"/>
        <w:rPr>
          <w:rFonts w:ascii="Arial" w:hAnsi="Arial" w:cs="Arial" w:hint="eastAsia"/>
          <w:kern w:val="2"/>
          <w:sz w:val="21"/>
          <w:szCs w:val="21"/>
        </w:rPr>
      </w:pPr>
      <w:r>
        <w:rPr>
          <w:rFonts w:ascii="Arial" w:hAnsi="Arial" w:cs="Arial" w:hint="eastAsia"/>
          <w:kern w:val="2"/>
          <w:sz w:val="21"/>
          <w:szCs w:val="21"/>
        </w:rPr>
        <w:t>估价委托人或者本估价报告使用者应按照法律规定和估价报告载明的使用范围使用本估价报告。估价委托人或者估价报告使用者违反前述规定使用本估价报告的，估价机构和评估专业人员不承担责任。</w:t>
      </w:r>
    </w:p>
    <w:p w14:paraId="1F464659" w14:textId="77777777" w:rsidR="00000000" w:rsidRDefault="00000000">
      <w:pPr>
        <w:numPr>
          <w:ilvl w:val="0"/>
          <w:numId w:val="7"/>
        </w:numPr>
        <w:spacing w:line="480" w:lineRule="auto"/>
        <w:ind w:left="0" w:firstLineChars="200" w:firstLine="420"/>
        <w:jc w:val="both"/>
        <w:rPr>
          <w:rFonts w:ascii="Arial" w:hAnsi="Arial" w:cs="Arial" w:hint="eastAsia"/>
          <w:kern w:val="2"/>
          <w:sz w:val="21"/>
          <w:szCs w:val="21"/>
        </w:rPr>
      </w:pPr>
      <w:r>
        <w:rPr>
          <w:rFonts w:ascii="Arial" w:hAnsi="Arial" w:cs="Arial" w:hint="eastAsia"/>
          <w:kern w:val="2"/>
          <w:sz w:val="21"/>
          <w:szCs w:val="21"/>
        </w:rPr>
        <w:t>除估价委托人、估价委托合同中约定的其他估价报告使用者和法律、行政法规规定的估价报告使用者之外，其他任何机构和个人不能成为估价报告的使用者。</w:t>
      </w:r>
    </w:p>
    <w:p w14:paraId="66058644" w14:textId="77777777" w:rsidR="00000000" w:rsidRDefault="00000000">
      <w:pPr>
        <w:numPr>
          <w:ilvl w:val="0"/>
          <w:numId w:val="7"/>
        </w:numPr>
        <w:spacing w:line="480" w:lineRule="auto"/>
        <w:ind w:left="0" w:firstLineChars="200" w:firstLine="420"/>
        <w:jc w:val="both"/>
        <w:rPr>
          <w:rFonts w:ascii="Arial" w:hAnsi="Arial" w:cs="Arial" w:hint="eastAsia"/>
          <w:kern w:val="2"/>
          <w:sz w:val="21"/>
          <w:szCs w:val="21"/>
        </w:rPr>
      </w:pPr>
      <w:r>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14:paraId="7CFCD8E8" w14:textId="77777777" w:rsidR="00000000" w:rsidRDefault="00000000">
      <w:pPr>
        <w:numPr>
          <w:ilvl w:val="0"/>
          <w:numId w:val="7"/>
        </w:numPr>
        <w:spacing w:line="480" w:lineRule="auto"/>
        <w:ind w:left="0" w:firstLineChars="200" w:firstLine="420"/>
        <w:jc w:val="both"/>
        <w:rPr>
          <w:rFonts w:ascii="Arial" w:hAnsi="Arial" w:cs="Arial" w:hint="eastAsia"/>
          <w:kern w:val="2"/>
          <w:sz w:val="21"/>
          <w:szCs w:val="21"/>
        </w:rPr>
      </w:pPr>
      <w:r>
        <w:rPr>
          <w:rFonts w:ascii="Arial" w:hAnsi="Arial" w:cs="Arial" w:hint="eastAsia"/>
          <w:kern w:val="2"/>
          <w:sz w:val="21"/>
          <w:szCs w:val="21"/>
        </w:rPr>
        <w:t>估价报告使用者应当正确理解估价结论。估价结论不等同于估价对象可实现价格，估价结论不应当被认为是对估价对象可实现价格的保证。</w:t>
      </w:r>
    </w:p>
    <w:p w14:paraId="0B1A464D" w14:textId="77777777" w:rsidR="00000000" w:rsidRDefault="00000000">
      <w:pPr>
        <w:numPr>
          <w:ilvl w:val="0"/>
          <w:numId w:val="7"/>
        </w:numPr>
        <w:spacing w:line="480" w:lineRule="auto"/>
        <w:ind w:left="0" w:firstLineChars="200" w:firstLine="420"/>
        <w:jc w:val="both"/>
        <w:rPr>
          <w:rFonts w:ascii="Arial" w:hAnsi="Arial" w:cs="Arial"/>
          <w:kern w:val="2"/>
          <w:sz w:val="21"/>
          <w:szCs w:val="21"/>
        </w:rPr>
      </w:pP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hint="eastAsia"/>
          <w:kern w:val="2"/>
          <w:sz w:val="21"/>
        </w:rPr>
        <w:t>为估价委托人了解估价对象房地产市场租金水平提供参考依据</w:t>
      </w:r>
      <w:r>
        <w:rPr>
          <w:rFonts w:ascii="Arial" w:hAnsi="Arial" w:cs="Arial"/>
          <w:kern w:val="2"/>
          <w:sz w:val="21"/>
          <w:szCs w:val="21"/>
        </w:rPr>
        <w:t>，不做其他评估目的之用。如果估价对象的评估条件或目的发生变化，需重新进行评估。</w:t>
      </w:r>
    </w:p>
    <w:p w14:paraId="0A07C1EE" w14:textId="77777777" w:rsidR="00000000" w:rsidRDefault="00000000">
      <w:pPr>
        <w:numPr>
          <w:ilvl w:val="0"/>
          <w:numId w:val="7"/>
        </w:numPr>
        <w:spacing w:line="480" w:lineRule="auto"/>
        <w:ind w:left="0" w:firstLineChars="200" w:firstLine="420"/>
        <w:jc w:val="both"/>
        <w:rPr>
          <w:rFonts w:ascii="Arial" w:hAnsi="Arial" w:cs="Arial" w:hint="eastAsia"/>
          <w:sz w:val="21"/>
          <w:szCs w:val="21"/>
        </w:rPr>
      </w:pPr>
      <w:r>
        <w:rPr>
          <w:rFonts w:ascii="Arial" w:hAnsi="Arial" w:cs="Arial"/>
          <w:kern w:val="2"/>
          <w:sz w:val="21"/>
          <w:szCs w:val="21"/>
        </w:rPr>
        <w:t>本</w:t>
      </w:r>
      <w:r>
        <w:rPr>
          <w:rFonts w:ascii="Arial" w:hAnsi="Arial" w:cs="Arial" w:hint="eastAsia"/>
          <w:kern w:val="2"/>
          <w:sz w:val="21"/>
          <w:szCs w:val="21"/>
        </w:rPr>
        <w:t>估价</w:t>
      </w:r>
      <w:r>
        <w:rPr>
          <w:rFonts w:ascii="Arial" w:hAnsi="Arial" w:cs="Arial"/>
          <w:kern w:val="2"/>
          <w:sz w:val="21"/>
          <w:szCs w:val="21"/>
        </w:rPr>
        <w:t>报告估价结果为价值时点下估价对象</w:t>
      </w:r>
      <w:r>
        <w:rPr>
          <w:rFonts w:ascii="Arial" w:hAnsi="Arial" w:cs="Arial" w:hint="eastAsia"/>
          <w:kern w:val="2"/>
          <w:sz w:val="21"/>
          <w:szCs w:val="21"/>
        </w:rPr>
        <w:t>于本估价报告所列设定条件及假设前提下的</w:t>
      </w:r>
      <w:r>
        <w:rPr>
          <w:rFonts w:ascii="Arial" w:hAnsi="Arial" w:cs="Arial"/>
          <w:kern w:val="2"/>
          <w:sz w:val="21"/>
          <w:szCs w:val="21"/>
        </w:rPr>
        <w:t>价值，如设定条件发生变化，估价结果需要做相应的调整直至重新评估</w:t>
      </w:r>
      <w:r>
        <w:rPr>
          <w:rFonts w:ascii="Arial" w:hAnsi="Arial" w:cs="Arial"/>
          <w:sz w:val="21"/>
          <w:szCs w:val="21"/>
        </w:rPr>
        <w:t>。</w:t>
      </w:r>
    </w:p>
    <w:p w14:paraId="66A785A6" w14:textId="77777777" w:rsidR="00000000" w:rsidRDefault="00000000">
      <w:pPr>
        <w:numPr>
          <w:ilvl w:val="0"/>
          <w:numId w:val="7"/>
        </w:numPr>
        <w:spacing w:line="480" w:lineRule="auto"/>
        <w:ind w:left="0" w:firstLineChars="200" w:firstLine="420"/>
        <w:jc w:val="both"/>
        <w:rPr>
          <w:rFonts w:ascii="Arial" w:hAnsi="Arial" w:cs="Arial"/>
          <w:sz w:val="21"/>
          <w:szCs w:val="21"/>
        </w:rPr>
      </w:pPr>
      <w:r>
        <w:rPr>
          <w:rFonts w:ascii="Arial" w:hAnsi="Arial" w:cs="Arial" w:hint="eastAsia"/>
          <w:color w:val="000000"/>
          <w:kern w:val="2"/>
          <w:sz w:val="21"/>
          <w:szCs w:val="21"/>
        </w:rPr>
        <w:t>估价委托人应对其提供的权属证明以及其他资料的真实性、完整性和合法性负责</w:t>
      </w:r>
      <w:r>
        <w:rPr>
          <w:rFonts w:ascii="Arial" w:hAnsi="Arial" w:cs="Arial"/>
          <w:color w:val="000000"/>
          <w:kern w:val="2"/>
          <w:sz w:val="21"/>
          <w:szCs w:val="21"/>
        </w:rPr>
        <w:t>。如因资料失</w:t>
      </w:r>
      <w:r>
        <w:rPr>
          <w:rFonts w:ascii="Arial" w:hAnsi="Arial" w:cs="Arial"/>
          <w:kern w:val="2"/>
          <w:sz w:val="21"/>
          <w:szCs w:val="21"/>
        </w:rPr>
        <w:t>实或资料提供人有所隐匿而导致估价结果失真，估价机构不承担相应的责任。</w:t>
      </w:r>
    </w:p>
    <w:p w14:paraId="43BF285E" w14:textId="77777777" w:rsidR="00000000" w:rsidRDefault="00000000">
      <w:pPr>
        <w:numPr>
          <w:ilvl w:val="0"/>
          <w:numId w:val="7"/>
        </w:numPr>
        <w:spacing w:line="480" w:lineRule="auto"/>
        <w:ind w:left="0" w:firstLineChars="200" w:firstLine="420"/>
        <w:jc w:val="both"/>
        <w:rPr>
          <w:rFonts w:ascii="Arial" w:hAnsi="Arial" w:cs="Arial"/>
          <w:sz w:val="21"/>
          <w:szCs w:val="21"/>
        </w:rPr>
      </w:pPr>
      <w:r>
        <w:rPr>
          <w:rFonts w:ascii="Arial" w:hAnsi="Arial" w:cs="Arial"/>
          <w:sz w:val="21"/>
          <w:szCs w:val="21"/>
        </w:rPr>
        <w:t>本估价报告中数据全部采用电算化连续计算得出，由于在报告中计算的数据均按四舍五入取整或保留小数</w:t>
      </w:r>
      <w:r>
        <w:rPr>
          <w:rFonts w:ascii="Arial" w:hAnsi="Arial" w:cs="Arial" w:hint="eastAsia"/>
          <w:sz w:val="21"/>
          <w:szCs w:val="21"/>
        </w:rPr>
        <w:t>位</w:t>
      </w:r>
      <w:r>
        <w:rPr>
          <w:rFonts w:ascii="Arial" w:hAnsi="Arial" w:cs="Arial"/>
          <w:sz w:val="21"/>
          <w:szCs w:val="21"/>
        </w:rPr>
        <w:t>，故可能出现个别等式左右不完全相等的情况，但不影响计算结果及最终评估结论的准确性。</w:t>
      </w:r>
    </w:p>
    <w:p w14:paraId="177C69AE" w14:textId="77777777" w:rsidR="00000000" w:rsidRDefault="00000000">
      <w:pPr>
        <w:numPr>
          <w:ilvl w:val="0"/>
          <w:numId w:val="7"/>
        </w:numPr>
        <w:spacing w:line="480" w:lineRule="auto"/>
        <w:ind w:left="0" w:firstLineChars="200" w:firstLine="420"/>
        <w:jc w:val="both"/>
        <w:rPr>
          <w:rFonts w:ascii="Arial" w:hAnsi="Arial" w:cs="Arial" w:hint="eastAsia"/>
          <w:kern w:val="2"/>
          <w:sz w:val="21"/>
        </w:rPr>
      </w:pPr>
      <w:r>
        <w:rPr>
          <w:rFonts w:ascii="Arial" w:hAnsi="Arial" w:cs="Arial"/>
          <w:sz w:val="21"/>
          <w:szCs w:val="21"/>
        </w:rPr>
        <w:t>本估价报告在估价机构盖章和注册房地产估价师签字或签章的条件下有效。</w:t>
      </w:r>
    </w:p>
    <w:p w14:paraId="1AEEEF49" w14:textId="77777777" w:rsidR="00000000" w:rsidRDefault="00000000">
      <w:pPr>
        <w:numPr>
          <w:ilvl w:val="0"/>
          <w:numId w:val="7"/>
        </w:numPr>
        <w:spacing w:line="480" w:lineRule="auto"/>
        <w:ind w:left="0" w:firstLineChars="200" w:firstLine="420"/>
        <w:jc w:val="both"/>
        <w:rPr>
          <w:rFonts w:ascii="Arial" w:hAnsi="Arial" w:cs="Arial" w:hint="eastAsia"/>
          <w:kern w:val="2"/>
          <w:sz w:val="21"/>
        </w:rPr>
      </w:pPr>
      <w:r>
        <w:rPr>
          <w:rFonts w:ascii="Arial" w:hAnsi="Arial" w:cs="Arial"/>
          <w:kern w:val="2"/>
          <w:sz w:val="21"/>
        </w:rPr>
        <w:lastRenderedPageBreak/>
        <w:t>本估价报告</w:t>
      </w:r>
      <w:r>
        <w:rPr>
          <w:rFonts w:ascii="Arial" w:hAnsi="Arial" w:cs="Arial" w:hint="eastAsia"/>
          <w:kern w:val="2"/>
          <w:sz w:val="21"/>
        </w:rPr>
        <w:t>使用期限</w:t>
      </w:r>
      <w:r>
        <w:rPr>
          <w:rFonts w:ascii="Arial" w:hAnsi="Arial" w:cs="Arial"/>
          <w:kern w:val="2"/>
          <w:sz w:val="21"/>
        </w:rPr>
        <w:t>自</w:t>
      </w:r>
      <w:r>
        <w:rPr>
          <w:rFonts w:ascii="Arial" w:hAnsi="Arial" w:cs="Arial" w:hint="eastAsia"/>
          <w:kern w:val="2"/>
          <w:sz w:val="21"/>
        </w:rPr>
        <w:t>2026</w:t>
      </w:r>
      <w:r>
        <w:rPr>
          <w:rFonts w:ascii="Arial" w:hAnsi="Arial" w:cs="Arial" w:hint="eastAsia"/>
          <w:kern w:val="2"/>
          <w:sz w:val="21"/>
        </w:rPr>
        <w:t>年</w:t>
      </w:r>
      <w:r>
        <w:rPr>
          <w:rFonts w:ascii="Arial" w:hAnsi="Arial" w:cs="Arial" w:hint="eastAsia"/>
          <w:kern w:val="2"/>
          <w:sz w:val="21"/>
        </w:rPr>
        <w:t>1</w:t>
      </w:r>
      <w:r>
        <w:rPr>
          <w:rFonts w:ascii="Arial" w:hAnsi="Arial" w:cs="Arial" w:hint="eastAsia"/>
          <w:kern w:val="2"/>
          <w:sz w:val="21"/>
        </w:rPr>
        <w:t>月</w:t>
      </w:r>
      <w:r>
        <w:rPr>
          <w:rFonts w:ascii="Arial" w:hAnsi="Arial" w:cs="Arial" w:hint="eastAsia"/>
          <w:kern w:val="2"/>
          <w:sz w:val="21"/>
        </w:rPr>
        <w:t>30</w:t>
      </w:r>
      <w:r>
        <w:rPr>
          <w:rFonts w:ascii="Arial" w:hAnsi="Arial" w:cs="Arial" w:hint="eastAsia"/>
          <w:kern w:val="2"/>
          <w:sz w:val="21"/>
        </w:rPr>
        <w:t>日</w:t>
      </w:r>
      <w:r>
        <w:rPr>
          <w:rFonts w:ascii="Arial" w:hAnsi="Arial" w:cs="Arial"/>
          <w:kern w:val="2"/>
          <w:sz w:val="21"/>
        </w:rPr>
        <w:t>起</w:t>
      </w:r>
      <w:r>
        <w:rPr>
          <w:rFonts w:ascii="Arial" w:hAnsi="Arial" w:cs="Arial" w:hint="eastAsia"/>
          <w:kern w:val="2"/>
          <w:sz w:val="21"/>
        </w:rPr>
        <w:t>至</w:t>
      </w:r>
      <w:r>
        <w:rPr>
          <w:rFonts w:ascii="Arial" w:hAnsi="Arial" w:cs="Arial" w:hint="eastAsia"/>
          <w:kern w:val="2"/>
          <w:sz w:val="21"/>
        </w:rPr>
        <w:t>2027</w:t>
      </w:r>
      <w:r>
        <w:rPr>
          <w:rFonts w:ascii="Arial" w:hAnsi="Arial" w:cs="Arial" w:hint="eastAsia"/>
          <w:kern w:val="2"/>
          <w:sz w:val="21"/>
        </w:rPr>
        <w:t>年</w:t>
      </w:r>
      <w:r>
        <w:rPr>
          <w:rFonts w:ascii="Arial" w:hAnsi="Arial" w:cs="Arial" w:hint="eastAsia"/>
          <w:kern w:val="2"/>
          <w:sz w:val="21"/>
        </w:rPr>
        <w:t>1</w:t>
      </w:r>
      <w:r>
        <w:rPr>
          <w:rFonts w:ascii="Arial" w:hAnsi="Arial" w:cs="Arial" w:hint="eastAsia"/>
          <w:kern w:val="2"/>
          <w:sz w:val="21"/>
        </w:rPr>
        <w:t>月</w:t>
      </w:r>
      <w:r>
        <w:rPr>
          <w:rFonts w:ascii="Arial" w:hAnsi="Arial" w:cs="Arial" w:hint="eastAsia"/>
          <w:kern w:val="2"/>
          <w:sz w:val="21"/>
        </w:rPr>
        <w:t>29</w:t>
      </w:r>
      <w:r>
        <w:rPr>
          <w:rFonts w:ascii="Arial" w:hAnsi="Arial" w:cs="Arial" w:hint="eastAsia"/>
          <w:kern w:val="2"/>
          <w:sz w:val="21"/>
        </w:rPr>
        <w:t>日止。</w:t>
      </w:r>
    </w:p>
    <w:p w14:paraId="5B5E8A66" w14:textId="77777777" w:rsidR="00000000" w:rsidRDefault="00000000">
      <w:pPr>
        <w:numPr>
          <w:ilvl w:val="0"/>
          <w:numId w:val="7"/>
        </w:numPr>
        <w:spacing w:line="480" w:lineRule="auto"/>
        <w:ind w:left="0" w:firstLineChars="200" w:firstLine="420"/>
        <w:jc w:val="both"/>
        <w:rPr>
          <w:rFonts w:ascii="Arial" w:hAnsi="Arial" w:cs="Arial"/>
          <w:sz w:val="21"/>
          <w:szCs w:val="21"/>
        </w:rPr>
      </w:pPr>
      <w:r>
        <w:rPr>
          <w:rFonts w:ascii="Arial" w:hAnsi="Arial" w:cs="Arial"/>
          <w:kern w:val="2"/>
          <w:sz w:val="21"/>
          <w:szCs w:val="21"/>
        </w:rPr>
        <w:t>本估价报告由</w:t>
      </w:r>
      <w:proofErr w:type="gramStart"/>
      <w:r>
        <w:rPr>
          <w:rFonts w:ascii="Arial" w:hAnsi="Arial" w:cs="Arial"/>
          <w:kern w:val="2"/>
          <w:sz w:val="21"/>
          <w:szCs w:val="21"/>
        </w:rPr>
        <w:t>北京康正宏</w:t>
      </w:r>
      <w:proofErr w:type="gramEnd"/>
      <w:r>
        <w:rPr>
          <w:rFonts w:ascii="Arial" w:hAnsi="Arial" w:cs="Arial"/>
          <w:kern w:val="2"/>
          <w:sz w:val="21"/>
          <w:szCs w:val="21"/>
        </w:rPr>
        <w:t>基房地产评估有限公司负责解释</w:t>
      </w:r>
      <w:r>
        <w:rPr>
          <w:rFonts w:ascii="Arial" w:hAnsi="Arial" w:cs="Arial" w:hint="eastAsia"/>
          <w:kern w:val="2"/>
          <w:sz w:val="21"/>
          <w:szCs w:val="21"/>
        </w:rPr>
        <w:t>。</w:t>
      </w:r>
    </w:p>
    <w:bookmarkEnd w:id="15"/>
    <w:p w14:paraId="54F064D0" w14:textId="77777777" w:rsidR="00000000" w:rsidRDefault="00000000">
      <w:pPr>
        <w:spacing w:line="480" w:lineRule="auto"/>
        <w:ind w:firstLineChars="200" w:firstLine="420"/>
        <w:jc w:val="both"/>
        <w:rPr>
          <w:rFonts w:ascii="Arial" w:hAnsi="Arial" w:cs="Arial"/>
          <w:kern w:val="2"/>
          <w:sz w:val="21"/>
          <w:szCs w:val="21"/>
        </w:rPr>
        <w:sectPr w:rsidR="00000000">
          <w:pgSz w:w="11907" w:h="16840"/>
          <w:pgMar w:top="1843" w:right="1304" w:bottom="1134" w:left="1304" w:header="1134" w:footer="907" w:gutter="0"/>
          <w:cols w:space="720"/>
          <w:docGrid w:linePitch="326"/>
        </w:sectPr>
      </w:pPr>
    </w:p>
    <w:p w14:paraId="25585FC6" w14:textId="77777777" w:rsidR="00000000" w:rsidRDefault="00000000">
      <w:pPr>
        <w:pStyle w:val="1"/>
        <w:spacing w:line="480" w:lineRule="auto"/>
        <w:jc w:val="center"/>
        <w:rPr>
          <w:rFonts w:eastAsia="方正黑体简体" w:hint="eastAsia"/>
          <w:b w:val="0"/>
          <w:kern w:val="2"/>
          <w:sz w:val="32"/>
          <w:szCs w:val="32"/>
        </w:rPr>
      </w:pPr>
      <w:bookmarkStart w:id="20" w:name="_Toc168225812"/>
      <w:bookmarkStart w:id="21" w:name="_Toc477252440"/>
      <w:r>
        <w:rPr>
          <w:rFonts w:eastAsia="方正黑体简体" w:hint="eastAsia"/>
          <w:b w:val="0"/>
          <w:kern w:val="2"/>
          <w:sz w:val="32"/>
          <w:szCs w:val="32"/>
        </w:rPr>
        <w:lastRenderedPageBreak/>
        <w:t>估价结果报告</w:t>
      </w:r>
      <w:bookmarkEnd w:id="20"/>
      <w:bookmarkEnd w:id="21"/>
    </w:p>
    <w:p w14:paraId="4A5EEB19" w14:textId="77777777" w:rsidR="00000000" w:rsidRDefault="00000000">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22" w:name="_Toc216083223"/>
      <w:bookmarkStart w:id="23" w:name="_Toc477252441"/>
      <w:r>
        <w:rPr>
          <w:rFonts w:eastAsia="宋体"/>
          <w:kern w:val="2"/>
          <w:sz w:val="21"/>
          <w:szCs w:val="21"/>
        </w:rPr>
        <w:t>一</w:t>
      </w:r>
      <w:bookmarkEnd w:id="22"/>
      <w:r>
        <w:rPr>
          <w:rFonts w:eastAsia="宋体"/>
          <w:kern w:val="2"/>
          <w:sz w:val="21"/>
          <w:szCs w:val="21"/>
        </w:rPr>
        <w:t>、估价委托人</w:t>
      </w:r>
      <w:bookmarkEnd w:id="23"/>
    </w:p>
    <w:p w14:paraId="366DF274"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本次评估估价委托人为</w:t>
      </w:r>
      <w:r>
        <w:rPr>
          <w:rFonts w:ascii="Arial" w:hAnsi="Arial" w:hint="eastAsia"/>
          <w:kern w:val="2"/>
          <w:sz w:val="21"/>
        </w:rPr>
        <w:t>北京首开龙湖盈泰置业有限公司</w:t>
      </w:r>
      <w:r>
        <w:rPr>
          <w:rFonts w:ascii="Arial" w:hAnsi="Arial" w:cs="Arial"/>
          <w:sz w:val="21"/>
          <w:szCs w:val="21"/>
        </w:rPr>
        <w:t>，为估价对象的不动产权利人。</w:t>
      </w:r>
    </w:p>
    <w:p w14:paraId="32FB13D9" w14:textId="77777777" w:rsidR="00000000" w:rsidRDefault="00000000">
      <w:pPr>
        <w:wordWrap w:val="0"/>
        <w:overflowPunct w:val="0"/>
        <w:spacing w:line="480" w:lineRule="auto"/>
        <w:ind w:firstLineChars="200" w:firstLine="420"/>
        <w:jc w:val="both"/>
        <w:textAlignment w:val="auto"/>
        <w:rPr>
          <w:rFonts w:ascii="Arial" w:hAnsi="Arial" w:hint="eastAsia"/>
          <w:kern w:val="2"/>
          <w:sz w:val="21"/>
        </w:rPr>
      </w:pPr>
      <w:r>
        <w:rPr>
          <w:rFonts w:ascii="Arial" w:hAnsi="Arial" w:cs="Arial"/>
          <w:sz w:val="21"/>
          <w:szCs w:val="21"/>
        </w:rPr>
        <w:t>单位名称：</w:t>
      </w:r>
      <w:r>
        <w:rPr>
          <w:rFonts w:ascii="Arial" w:hAnsi="Arial" w:hint="eastAsia"/>
          <w:kern w:val="2"/>
          <w:sz w:val="21"/>
        </w:rPr>
        <w:t>北京首开龙湖盈泰置业有限公司</w:t>
      </w:r>
    </w:p>
    <w:p w14:paraId="65353F26"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住所：</w:t>
      </w:r>
      <w:r>
        <w:rPr>
          <w:rFonts w:ascii="Arial" w:hAnsi="Arial" w:cs="Arial" w:hint="eastAsia"/>
          <w:sz w:val="21"/>
          <w:szCs w:val="21"/>
        </w:rPr>
        <w:t>北京市东城区东</w:t>
      </w:r>
      <w:proofErr w:type="gramStart"/>
      <w:r>
        <w:rPr>
          <w:rFonts w:ascii="Arial" w:hAnsi="Arial" w:cs="Arial" w:hint="eastAsia"/>
          <w:sz w:val="21"/>
          <w:szCs w:val="21"/>
        </w:rPr>
        <w:t>花市北</w:t>
      </w:r>
      <w:proofErr w:type="gramEnd"/>
      <w:r>
        <w:rPr>
          <w:rFonts w:ascii="Arial" w:hAnsi="Arial" w:cs="Arial" w:hint="eastAsia"/>
          <w:sz w:val="21"/>
          <w:szCs w:val="21"/>
        </w:rPr>
        <w:t>里东区</w:t>
      </w:r>
      <w:proofErr w:type="gramStart"/>
      <w:r>
        <w:rPr>
          <w:rFonts w:ascii="Arial" w:hAnsi="Arial" w:cs="Arial" w:hint="eastAsia"/>
          <w:sz w:val="21"/>
          <w:szCs w:val="21"/>
        </w:rPr>
        <w:t>1</w:t>
      </w:r>
      <w:r>
        <w:rPr>
          <w:rFonts w:ascii="Arial" w:hAnsi="Arial" w:cs="Arial" w:hint="eastAsia"/>
          <w:sz w:val="21"/>
          <w:szCs w:val="21"/>
        </w:rPr>
        <w:t>号</w:t>
      </w:r>
      <w:r>
        <w:rPr>
          <w:rFonts w:ascii="Arial" w:hAnsi="Arial" w:cs="Arial" w:hint="eastAsia"/>
          <w:sz w:val="21"/>
          <w:szCs w:val="21"/>
        </w:rPr>
        <w:t>1</w:t>
      </w:r>
      <w:r>
        <w:rPr>
          <w:rFonts w:ascii="Arial" w:hAnsi="Arial" w:cs="Arial" w:hint="eastAsia"/>
          <w:sz w:val="21"/>
          <w:szCs w:val="21"/>
        </w:rPr>
        <w:t>号</w:t>
      </w:r>
      <w:proofErr w:type="gramEnd"/>
      <w:r>
        <w:rPr>
          <w:rFonts w:ascii="Arial" w:hAnsi="Arial" w:cs="Arial" w:hint="eastAsia"/>
          <w:sz w:val="21"/>
          <w:szCs w:val="21"/>
        </w:rPr>
        <w:t>楼三段五层</w:t>
      </w:r>
    </w:p>
    <w:p w14:paraId="46C49468" w14:textId="77777777" w:rsidR="00000000" w:rsidRDefault="00000000">
      <w:pPr>
        <w:wordWrap w:val="0"/>
        <w:overflowPunct w:val="0"/>
        <w:spacing w:line="480" w:lineRule="auto"/>
        <w:ind w:firstLineChars="200" w:firstLine="420"/>
        <w:jc w:val="both"/>
        <w:textAlignment w:val="auto"/>
        <w:rPr>
          <w:rFonts w:ascii="Arial" w:hAnsi="Arial" w:hint="eastAsia"/>
          <w:kern w:val="2"/>
          <w:sz w:val="21"/>
        </w:rPr>
      </w:pPr>
      <w:r>
        <w:rPr>
          <w:rFonts w:ascii="Arial" w:hAnsi="Arial" w:cs="Arial"/>
          <w:sz w:val="21"/>
          <w:szCs w:val="21"/>
        </w:rPr>
        <w:t>法定代表人：</w:t>
      </w:r>
      <w:r>
        <w:rPr>
          <w:rFonts w:ascii="Arial" w:hAnsi="Arial" w:cs="Arial" w:hint="eastAsia"/>
          <w:sz w:val="21"/>
          <w:szCs w:val="21"/>
        </w:rPr>
        <w:t>刘泉</w:t>
      </w:r>
      <w:r>
        <w:rPr>
          <w:rFonts w:ascii="Arial" w:hAnsi="Arial" w:cs="Arial" w:hint="eastAsia"/>
          <w:sz w:val="21"/>
          <w:szCs w:val="21"/>
        </w:rPr>
        <w:t xml:space="preserve"> </w:t>
      </w:r>
    </w:p>
    <w:p w14:paraId="7E7E406E"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联系人：</w:t>
      </w:r>
      <w:r>
        <w:rPr>
          <w:rFonts w:ascii="Arial" w:hAnsi="Arial" w:cs="Arial" w:hint="eastAsia"/>
          <w:sz w:val="21"/>
          <w:szCs w:val="21"/>
        </w:rPr>
        <w:t>常园</w:t>
      </w:r>
      <w:proofErr w:type="gramStart"/>
      <w:r>
        <w:rPr>
          <w:rFonts w:ascii="Arial" w:hAnsi="Arial" w:cs="Arial" w:hint="eastAsia"/>
          <w:sz w:val="21"/>
          <w:szCs w:val="21"/>
        </w:rPr>
        <w:t>园</w:t>
      </w:r>
      <w:proofErr w:type="gramEnd"/>
    </w:p>
    <w:p w14:paraId="4C7AB652"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联系电话：</w:t>
      </w:r>
      <w:r>
        <w:rPr>
          <w:rFonts w:ascii="Arial" w:hAnsi="Arial" w:cs="Arial" w:hint="eastAsia"/>
          <w:sz w:val="21"/>
          <w:szCs w:val="21"/>
        </w:rPr>
        <w:t>13911780173</w:t>
      </w:r>
    </w:p>
    <w:p w14:paraId="1AB13318" w14:textId="77777777" w:rsidR="00000000"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477252442"/>
      <w:bookmarkStart w:id="25" w:name="_Toc168225814"/>
      <w:r>
        <w:rPr>
          <w:rFonts w:eastAsia="宋体"/>
          <w:kern w:val="2"/>
          <w:sz w:val="21"/>
          <w:szCs w:val="21"/>
        </w:rPr>
        <w:t>二、房地产估价机构</w:t>
      </w:r>
      <w:bookmarkEnd w:id="24"/>
      <w:bookmarkEnd w:id="25"/>
    </w:p>
    <w:p w14:paraId="1B01E840"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受托机构：</w:t>
      </w:r>
      <w:proofErr w:type="gramStart"/>
      <w:r>
        <w:rPr>
          <w:rFonts w:ascii="Arial" w:hAnsi="Arial" w:cs="Arial"/>
          <w:sz w:val="21"/>
          <w:szCs w:val="21"/>
        </w:rPr>
        <w:t>北京康正宏</w:t>
      </w:r>
      <w:proofErr w:type="gramEnd"/>
      <w:r>
        <w:rPr>
          <w:rFonts w:ascii="Arial" w:hAnsi="Arial" w:cs="Arial"/>
          <w:sz w:val="21"/>
          <w:szCs w:val="21"/>
        </w:rPr>
        <w:t>基房地产评估有限公司</w:t>
      </w:r>
    </w:p>
    <w:p w14:paraId="3337B27F"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Pr>
          <w:rFonts w:ascii="Arial" w:hAnsi="Arial" w:cs="Arial"/>
          <w:sz w:val="21"/>
          <w:szCs w:val="21"/>
        </w:rPr>
        <w:t>：</w:t>
      </w:r>
      <w:r>
        <w:rPr>
          <w:rFonts w:ascii="Arial" w:hAnsi="Arial" w:cs="Arial" w:hint="eastAsia"/>
          <w:sz w:val="21"/>
          <w:szCs w:val="21"/>
        </w:rPr>
        <w:t>一</w:t>
      </w:r>
      <w:r>
        <w:rPr>
          <w:rFonts w:ascii="Arial" w:hAnsi="Arial" w:cs="Arial"/>
          <w:sz w:val="21"/>
          <w:szCs w:val="21"/>
        </w:rPr>
        <w:t>级</w:t>
      </w:r>
    </w:p>
    <w:p w14:paraId="7AC78468"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Pr>
          <w:rFonts w:ascii="Arial" w:hAnsi="Arial" w:cs="Arial"/>
          <w:sz w:val="21"/>
          <w:szCs w:val="21"/>
        </w:rPr>
        <w:t>证书</w:t>
      </w:r>
      <w:r>
        <w:rPr>
          <w:rFonts w:ascii="Arial" w:hAnsi="Arial" w:cs="Arial" w:hint="eastAsia"/>
          <w:sz w:val="21"/>
          <w:szCs w:val="21"/>
        </w:rPr>
        <w:t>编</w:t>
      </w:r>
      <w:r>
        <w:rPr>
          <w:rFonts w:ascii="Arial" w:hAnsi="Arial" w:cs="Arial"/>
          <w:sz w:val="21"/>
          <w:szCs w:val="21"/>
        </w:rPr>
        <w:t>号：</w:t>
      </w:r>
      <w:proofErr w:type="gramStart"/>
      <w:r>
        <w:rPr>
          <w:rFonts w:ascii="Arial" w:hAnsi="Arial" w:cs="Arial"/>
          <w:sz w:val="21"/>
          <w:szCs w:val="21"/>
        </w:rPr>
        <w:t>建房估</w:t>
      </w:r>
      <w:r>
        <w:rPr>
          <w:rFonts w:ascii="Arial" w:hAnsi="Arial" w:cs="Arial" w:hint="eastAsia"/>
          <w:sz w:val="21"/>
          <w:szCs w:val="21"/>
        </w:rPr>
        <w:t>备</w:t>
      </w:r>
      <w:r>
        <w:rPr>
          <w:rFonts w:ascii="Arial" w:hAnsi="Arial" w:cs="Arial"/>
          <w:sz w:val="21"/>
          <w:szCs w:val="21"/>
        </w:rPr>
        <w:t>字</w:t>
      </w:r>
      <w:proofErr w:type="gramEnd"/>
      <w:r>
        <w:rPr>
          <w:rFonts w:ascii="Arial" w:hAnsi="Arial" w:cs="Arial"/>
          <w:sz w:val="21"/>
          <w:szCs w:val="21"/>
        </w:rPr>
        <w:t>[2013]</w:t>
      </w:r>
      <w:r>
        <w:rPr>
          <w:rFonts w:ascii="Arial" w:hAnsi="Arial" w:hint="eastAsia"/>
          <w:sz w:val="21"/>
          <w:szCs w:val="21"/>
        </w:rPr>
        <w:t>第</w:t>
      </w:r>
      <w:r>
        <w:rPr>
          <w:rFonts w:ascii="Arial" w:hAnsi="Arial" w:cs="Arial"/>
          <w:sz w:val="21"/>
          <w:szCs w:val="21"/>
        </w:rPr>
        <w:t>081</w:t>
      </w:r>
      <w:r>
        <w:rPr>
          <w:rFonts w:ascii="Arial" w:hAnsi="Arial" w:cs="Arial"/>
          <w:sz w:val="21"/>
          <w:szCs w:val="21"/>
        </w:rPr>
        <w:t>号</w:t>
      </w:r>
    </w:p>
    <w:p w14:paraId="532F748E"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有效期限：</w:t>
      </w:r>
      <w:r>
        <w:rPr>
          <w:rFonts w:ascii="Arial" w:hAnsi="Arial" w:cs="Arial"/>
          <w:sz w:val="21"/>
          <w:szCs w:val="21"/>
        </w:rPr>
        <w:t>20</w:t>
      </w:r>
      <w:r>
        <w:rPr>
          <w:rFonts w:ascii="Arial" w:hAnsi="Arial" w:cs="Arial" w:hint="eastAsia"/>
          <w:sz w:val="21"/>
          <w:szCs w:val="21"/>
        </w:rPr>
        <w:t>25</w:t>
      </w:r>
      <w:r>
        <w:rPr>
          <w:rFonts w:ascii="Arial" w:hAnsi="Arial" w:cs="Arial"/>
          <w:sz w:val="21"/>
          <w:szCs w:val="21"/>
        </w:rPr>
        <w:t>年</w:t>
      </w:r>
      <w:r>
        <w:rPr>
          <w:rFonts w:ascii="Arial" w:hAnsi="Arial" w:cs="Arial" w:hint="eastAsia"/>
          <w:sz w:val="21"/>
          <w:szCs w:val="21"/>
        </w:rPr>
        <w:t>7</w:t>
      </w:r>
      <w:r>
        <w:rPr>
          <w:rFonts w:ascii="Arial" w:hAnsi="Arial" w:cs="Arial"/>
          <w:sz w:val="21"/>
          <w:szCs w:val="21"/>
        </w:rPr>
        <w:t>月</w:t>
      </w:r>
      <w:r>
        <w:rPr>
          <w:rFonts w:ascii="Arial" w:hAnsi="Arial" w:cs="Arial" w:hint="eastAsia"/>
          <w:sz w:val="21"/>
          <w:szCs w:val="21"/>
        </w:rPr>
        <w:t>1</w:t>
      </w:r>
      <w:r>
        <w:rPr>
          <w:rFonts w:ascii="Arial" w:hAnsi="Arial" w:cs="Arial"/>
          <w:sz w:val="21"/>
          <w:szCs w:val="21"/>
        </w:rPr>
        <w:t>日至</w:t>
      </w:r>
      <w:r>
        <w:rPr>
          <w:rFonts w:ascii="Arial" w:hAnsi="Arial" w:cs="Arial"/>
          <w:sz w:val="21"/>
          <w:szCs w:val="21"/>
        </w:rPr>
        <w:t>20</w:t>
      </w:r>
      <w:r>
        <w:rPr>
          <w:rFonts w:ascii="Arial" w:hAnsi="Arial" w:cs="Arial" w:hint="eastAsia"/>
          <w:sz w:val="21"/>
          <w:szCs w:val="21"/>
        </w:rPr>
        <w:t>28</w:t>
      </w:r>
      <w:r>
        <w:rPr>
          <w:rFonts w:ascii="Arial" w:hAnsi="Arial" w:cs="Arial"/>
          <w:sz w:val="21"/>
          <w:szCs w:val="21"/>
        </w:rPr>
        <w:t>年</w:t>
      </w:r>
      <w:r>
        <w:rPr>
          <w:rFonts w:ascii="Arial" w:hAnsi="Arial" w:cs="Arial" w:hint="eastAsia"/>
          <w:sz w:val="21"/>
          <w:szCs w:val="21"/>
        </w:rPr>
        <w:t>6</w:t>
      </w:r>
      <w:r>
        <w:rPr>
          <w:rFonts w:ascii="Arial" w:hAnsi="Arial" w:cs="Arial"/>
          <w:sz w:val="21"/>
          <w:szCs w:val="21"/>
        </w:rPr>
        <w:t>月</w:t>
      </w:r>
      <w:r>
        <w:rPr>
          <w:rFonts w:ascii="Arial" w:hAnsi="Arial" w:cs="Arial" w:hint="eastAsia"/>
          <w:sz w:val="21"/>
          <w:szCs w:val="21"/>
        </w:rPr>
        <w:t>30</w:t>
      </w:r>
      <w:r>
        <w:rPr>
          <w:rFonts w:ascii="Arial" w:hAnsi="Arial" w:cs="Arial"/>
          <w:sz w:val="21"/>
          <w:szCs w:val="21"/>
        </w:rPr>
        <w:t>日</w:t>
      </w:r>
    </w:p>
    <w:p w14:paraId="5E973F48"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地址：北京市朝阳区裕民路</w:t>
      </w:r>
      <w:r>
        <w:rPr>
          <w:rFonts w:ascii="Arial" w:hAnsi="Arial" w:cs="Arial" w:hint="eastAsia"/>
          <w:sz w:val="21"/>
          <w:szCs w:val="21"/>
        </w:rPr>
        <w:t>12</w:t>
      </w:r>
      <w:r>
        <w:rPr>
          <w:rFonts w:ascii="Arial" w:hAnsi="Arial" w:cs="Arial" w:hint="eastAsia"/>
          <w:sz w:val="21"/>
          <w:szCs w:val="21"/>
        </w:rPr>
        <w:t>号中国国际科技会展中心</w:t>
      </w:r>
      <w:r>
        <w:rPr>
          <w:rFonts w:ascii="Arial" w:hAnsi="Arial" w:cs="Arial" w:hint="eastAsia"/>
          <w:sz w:val="21"/>
          <w:szCs w:val="21"/>
        </w:rPr>
        <w:t>B</w:t>
      </w:r>
      <w:r>
        <w:rPr>
          <w:rFonts w:ascii="Arial" w:hAnsi="Arial" w:cs="Arial" w:hint="eastAsia"/>
          <w:sz w:val="21"/>
          <w:szCs w:val="21"/>
        </w:rPr>
        <w:t>座</w:t>
      </w:r>
      <w:r>
        <w:rPr>
          <w:rFonts w:ascii="Arial" w:hAnsi="Arial" w:cs="Arial" w:hint="eastAsia"/>
          <w:sz w:val="21"/>
          <w:szCs w:val="21"/>
        </w:rPr>
        <w:t>1003</w:t>
      </w:r>
    </w:p>
    <w:p w14:paraId="6B6382DF"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法定代表人：齐宏</w:t>
      </w:r>
    </w:p>
    <w:p w14:paraId="63A09D6B"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hAnsi="Arial" w:cs="Arial" w:hint="eastAsia"/>
          <w:sz w:val="21"/>
          <w:szCs w:val="21"/>
        </w:rPr>
        <w:t xml:space="preserve"> </w:t>
      </w:r>
      <w:r>
        <w:rPr>
          <w:rFonts w:ascii="Arial" w:hAnsi="Arial" w:cs="Arial"/>
          <w:sz w:val="21"/>
          <w:szCs w:val="21"/>
        </w:rPr>
        <w:t>系</w:t>
      </w:r>
      <w:r>
        <w:rPr>
          <w:rFonts w:ascii="Arial" w:hAnsi="Arial" w:cs="Arial" w:hint="eastAsia"/>
          <w:sz w:val="21"/>
          <w:szCs w:val="21"/>
        </w:rPr>
        <w:t xml:space="preserve"> </w:t>
      </w:r>
      <w:r>
        <w:rPr>
          <w:rFonts w:ascii="Arial" w:hAnsi="Arial" w:cs="Arial"/>
          <w:sz w:val="21"/>
          <w:szCs w:val="21"/>
        </w:rPr>
        <w:t>人：</w:t>
      </w:r>
      <w:r>
        <w:rPr>
          <w:rFonts w:ascii="Arial" w:hAnsi="Arial" w:cs="Arial" w:hint="eastAsia"/>
          <w:sz w:val="21"/>
          <w:szCs w:val="21"/>
        </w:rPr>
        <w:t>李诗霖</w:t>
      </w:r>
    </w:p>
    <w:p w14:paraId="23C40E2E" w14:textId="77777777" w:rsidR="00000000"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联系电话：</w:t>
      </w:r>
      <w:r>
        <w:rPr>
          <w:rFonts w:ascii="Arial" w:hAnsi="Arial" w:cs="Arial"/>
          <w:sz w:val="21"/>
          <w:szCs w:val="21"/>
        </w:rPr>
        <w:t>010-82253558</w:t>
      </w:r>
    </w:p>
    <w:p w14:paraId="3360BB4D" w14:textId="77777777" w:rsidR="00000000"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168225815"/>
      <w:bookmarkStart w:id="27" w:name="_Toc477252443"/>
      <w:r>
        <w:rPr>
          <w:rFonts w:eastAsia="宋体"/>
          <w:kern w:val="2"/>
          <w:sz w:val="21"/>
          <w:szCs w:val="21"/>
        </w:rPr>
        <w:t>三、估价目的</w:t>
      </w:r>
      <w:bookmarkEnd w:id="26"/>
      <w:bookmarkEnd w:id="27"/>
    </w:p>
    <w:p w14:paraId="20FE427B"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hint="eastAsia"/>
          <w:kern w:val="2"/>
          <w:sz w:val="21"/>
        </w:rPr>
        <w:t>为估价委托人了解估价对象房地产市场租金水平提供参考依据</w:t>
      </w:r>
      <w:r>
        <w:rPr>
          <w:rFonts w:ascii="Arial" w:hAnsi="Arial" w:cs="Arial"/>
          <w:sz w:val="21"/>
          <w:szCs w:val="21"/>
        </w:rPr>
        <w:t>。</w:t>
      </w:r>
    </w:p>
    <w:p w14:paraId="5549236D" w14:textId="77777777" w:rsidR="00000000"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477252444"/>
      <w:bookmarkStart w:id="29" w:name="_Toc168225816"/>
      <w:r>
        <w:rPr>
          <w:rFonts w:eastAsia="宋体"/>
          <w:kern w:val="2"/>
          <w:sz w:val="21"/>
          <w:szCs w:val="21"/>
        </w:rPr>
        <w:t>四、估价对象</w:t>
      </w:r>
      <w:bookmarkEnd w:id="28"/>
      <w:bookmarkEnd w:id="29"/>
    </w:p>
    <w:p w14:paraId="71E0F605" w14:textId="77777777" w:rsidR="00000000" w:rsidRDefault="00000000">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5E4B0D75" w14:textId="77777777" w:rsidR="00000000"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本次评估估价对象为</w:t>
      </w:r>
      <w:r>
        <w:rPr>
          <w:rFonts w:ascii="Arial" w:hAnsi="Arial" w:cs="Arial" w:hint="eastAsia"/>
          <w:kern w:val="2"/>
          <w:sz w:val="21"/>
          <w:szCs w:val="21"/>
        </w:rPr>
        <w:t>北京市房山区阜盛西街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号楼地上</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29</w:t>
      </w:r>
      <w:r>
        <w:rPr>
          <w:rFonts w:ascii="Arial" w:hAnsi="Arial" w:cs="Arial" w:hint="eastAsia"/>
          <w:kern w:val="2"/>
          <w:sz w:val="21"/>
          <w:szCs w:val="21"/>
        </w:rPr>
        <w:t>套商业用房</w:t>
      </w:r>
      <w:r>
        <w:rPr>
          <w:rFonts w:ascii="Arial" w:hAnsi="Arial" w:cs="Arial" w:hint="eastAsia"/>
          <w:sz w:val="21"/>
          <w:szCs w:val="21"/>
        </w:rPr>
        <w:t>房地产</w:t>
      </w:r>
      <w:r>
        <w:rPr>
          <w:rFonts w:ascii="Arial" w:hAnsi="Arial" w:cs="Arial"/>
          <w:kern w:val="2"/>
          <w:sz w:val="21"/>
          <w:szCs w:val="21"/>
        </w:rPr>
        <w:t>。估价对象范围为其</w:t>
      </w:r>
      <w:r>
        <w:rPr>
          <w:rFonts w:ascii="Arial" w:hAnsi="Arial" w:cs="Arial"/>
          <w:sz w:val="21"/>
          <w:szCs w:val="21"/>
        </w:rPr>
        <w:t>房屋所有权及出让国有建设用地使用权，</w:t>
      </w:r>
      <w:r>
        <w:rPr>
          <w:rFonts w:ascii="Arial" w:hAnsi="Arial" w:cs="Arial"/>
          <w:kern w:val="2"/>
          <w:sz w:val="21"/>
          <w:szCs w:val="21"/>
        </w:rPr>
        <w:t>不包含动产、债权债务、特许经营权等其他财产或权益。</w:t>
      </w:r>
    </w:p>
    <w:p w14:paraId="00503439" w14:textId="77777777" w:rsidR="00000000" w:rsidRDefault="00000000">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lastRenderedPageBreak/>
        <w:t>（二）估价对象基本状况</w:t>
      </w:r>
    </w:p>
    <w:p w14:paraId="1FF025B5" w14:textId="77777777" w:rsidR="00000000"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估价对象位于</w:t>
      </w:r>
      <w:r>
        <w:rPr>
          <w:rFonts w:ascii="Arial" w:hAnsi="Arial" w:hint="eastAsia"/>
          <w:bCs/>
          <w:sz w:val="21"/>
        </w:rPr>
        <w:t>北京市房山区阜盛西街</w:t>
      </w:r>
      <w:r>
        <w:rPr>
          <w:rFonts w:ascii="Arial" w:hAnsi="Arial" w:hint="eastAsia"/>
          <w:bCs/>
          <w:sz w:val="21"/>
        </w:rPr>
        <w:t>11</w:t>
      </w:r>
      <w:r>
        <w:rPr>
          <w:rFonts w:ascii="Arial" w:hAnsi="Arial" w:hint="eastAsia"/>
          <w:bCs/>
          <w:sz w:val="21"/>
        </w:rPr>
        <w:t>号院</w:t>
      </w:r>
      <w:r>
        <w:rPr>
          <w:rFonts w:ascii="Arial" w:hAnsi="Arial" w:cs="Arial"/>
          <w:kern w:val="2"/>
          <w:sz w:val="21"/>
          <w:szCs w:val="21"/>
        </w:rPr>
        <w:t>，</w:t>
      </w:r>
      <w:proofErr w:type="gramStart"/>
      <w:r>
        <w:rPr>
          <w:rFonts w:ascii="Arial" w:hAnsi="Arial" w:cs="Arial" w:hint="eastAsia"/>
          <w:kern w:val="2"/>
          <w:sz w:val="21"/>
          <w:szCs w:val="21"/>
        </w:rPr>
        <w:t>属熙悦天</w:t>
      </w:r>
      <w:proofErr w:type="gramEnd"/>
      <w:r>
        <w:rPr>
          <w:rFonts w:ascii="Arial" w:hAnsi="Arial" w:cs="Arial" w:hint="eastAsia"/>
          <w:kern w:val="2"/>
          <w:sz w:val="21"/>
          <w:szCs w:val="21"/>
        </w:rPr>
        <w:t>街项目，</w:t>
      </w:r>
      <w:r>
        <w:rPr>
          <w:rFonts w:ascii="Arial" w:hAnsi="Arial" w:cs="Arial"/>
          <w:kern w:val="2"/>
          <w:sz w:val="21"/>
          <w:szCs w:val="21"/>
        </w:rPr>
        <w:t>估价对象的范围是</w:t>
      </w:r>
      <w:r>
        <w:rPr>
          <w:rFonts w:ascii="Arial" w:hAnsi="Arial" w:cs="Arial" w:hint="eastAsia"/>
          <w:kern w:val="2"/>
          <w:sz w:val="21"/>
          <w:szCs w:val="21"/>
        </w:rPr>
        <w:t>北京市房山区阜盛西街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号楼地上</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29</w:t>
      </w:r>
      <w:r>
        <w:rPr>
          <w:rFonts w:ascii="Arial" w:hAnsi="Arial" w:cs="Arial" w:hint="eastAsia"/>
          <w:kern w:val="2"/>
          <w:sz w:val="21"/>
          <w:szCs w:val="21"/>
        </w:rPr>
        <w:t>套商业用房</w:t>
      </w:r>
      <w:r>
        <w:rPr>
          <w:rFonts w:ascii="Arial" w:hAnsi="Arial" w:cs="Arial"/>
          <w:kern w:val="2"/>
          <w:sz w:val="21"/>
          <w:szCs w:val="21"/>
        </w:rPr>
        <w:t>，</w:t>
      </w:r>
      <w:r>
        <w:rPr>
          <w:rFonts w:ascii="Arial" w:hAnsi="Arial" w:cs="Arial" w:hint="eastAsia"/>
          <w:kern w:val="2"/>
          <w:sz w:val="21"/>
          <w:szCs w:val="21"/>
        </w:rPr>
        <w:t>不动产权利人为</w:t>
      </w:r>
      <w:r>
        <w:rPr>
          <w:rFonts w:ascii="Arial" w:hAnsi="Arial" w:hint="eastAsia"/>
          <w:bCs/>
          <w:sz w:val="21"/>
        </w:rPr>
        <w:t>北京首开龙湖盈泰置业有限公司</w:t>
      </w:r>
      <w:r>
        <w:rPr>
          <w:rFonts w:ascii="Arial" w:hAnsi="Arial" w:cs="Arial" w:hint="eastAsia"/>
          <w:kern w:val="2"/>
          <w:sz w:val="21"/>
          <w:szCs w:val="21"/>
        </w:rPr>
        <w:t>，即本次评估</w:t>
      </w:r>
      <w:r>
        <w:rPr>
          <w:rFonts w:ascii="Arial" w:hAnsi="Arial" w:cs="Arial"/>
          <w:kern w:val="2"/>
          <w:sz w:val="21"/>
          <w:szCs w:val="21"/>
        </w:rPr>
        <w:t>估价委托人。</w:t>
      </w:r>
      <w:r>
        <w:rPr>
          <w:rFonts w:ascii="Arial" w:hAnsi="Arial" w:cs="Arial" w:hint="eastAsia"/>
          <w:kern w:val="2"/>
          <w:sz w:val="21"/>
          <w:szCs w:val="21"/>
        </w:rPr>
        <w:t>估价对象</w:t>
      </w:r>
      <w:r>
        <w:rPr>
          <w:rFonts w:ascii="Arial" w:hAnsi="Arial" w:hint="eastAsia"/>
          <w:bCs/>
          <w:sz w:val="21"/>
        </w:rPr>
        <w:t>总建筑面积为</w:t>
      </w:r>
      <w:r>
        <w:rPr>
          <w:rFonts w:ascii="Arial" w:hAnsi="Arial" w:hint="eastAsia"/>
          <w:bCs/>
          <w:sz w:val="21"/>
        </w:rPr>
        <w:t>24871.67</w:t>
      </w:r>
      <w:r>
        <w:rPr>
          <w:rFonts w:ascii="Arial" w:hAnsi="Arial" w:hint="eastAsia"/>
          <w:bCs/>
          <w:sz w:val="21"/>
        </w:rPr>
        <w:t>平方米，套内建筑面积为</w:t>
      </w:r>
      <w:r>
        <w:rPr>
          <w:rFonts w:ascii="Arial" w:hAnsi="Arial" w:hint="eastAsia"/>
          <w:bCs/>
          <w:sz w:val="21"/>
        </w:rPr>
        <w:t>17190.47</w:t>
      </w:r>
      <w:r>
        <w:rPr>
          <w:rFonts w:ascii="Arial" w:hAnsi="Arial" w:hint="eastAsia"/>
          <w:bCs/>
          <w:sz w:val="21"/>
        </w:rPr>
        <w:t>平方米</w:t>
      </w:r>
      <w:r>
        <w:rPr>
          <w:rFonts w:ascii="Arial" w:hAnsi="Arial" w:cs="Arial"/>
          <w:sz w:val="21"/>
          <w:szCs w:val="21"/>
        </w:rPr>
        <w:t>，</w:t>
      </w:r>
      <w:r>
        <w:rPr>
          <w:rFonts w:ascii="Arial" w:hAnsi="Arial" w:cs="Arial" w:hint="eastAsia"/>
          <w:sz w:val="21"/>
          <w:szCs w:val="21"/>
        </w:rPr>
        <w:t>规划用途为商业</w:t>
      </w:r>
      <w:r>
        <w:rPr>
          <w:rFonts w:ascii="Arial" w:hAnsi="Arial" w:cs="Arial"/>
          <w:kern w:val="2"/>
          <w:sz w:val="21"/>
          <w:szCs w:val="21"/>
        </w:rPr>
        <w:t>。</w:t>
      </w:r>
    </w:p>
    <w:p w14:paraId="5AE350AB" w14:textId="77777777" w:rsidR="00000000" w:rsidRDefault="00000000">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（三）土地基本状况</w:t>
      </w:r>
    </w:p>
    <w:p w14:paraId="5D9A9606"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1.</w:t>
      </w:r>
      <w:r>
        <w:rPr>
          <w:rFonts w:ascii="Arial" w:hAnsi="Arial" w:cs="Arial"/>
          <w:sz w:val="21"/>
          <w:szCs w:val="21"/>
        </w:rPr>
        <w:t>根据</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、《估价委托书》</w:t>
      </w:r>
      <w:r>
        <w:rPr>
          <w:rFonts w:ascii="Arial" w:hAnsi="Arial" w:cs="Arial"/>
          <w:sz w:val="21"/>
          <w:szCs w:val="21"/>
        </w:rPr>
        <w:t>，估价对象土地为国有土地，土地所有权归国家所有；</w:t>
      </w:r>
      <w:r>
        <w:rPr>
          <w:rFonts w:ascii="Arial" w:hAnsi="Arial" w:hint="eastAsia"/>
          <w:kern w:val="2"/>
          <w:sz w:val="21"/>
        </w:rPr>
        <w:t>北京首开龙湖盈泰置业有限公司</w:t>
      </w:r>
      <w:r>
        <w:rPr>
          <w:rFonts w:ascii="Arial" w:hAnsi="Arial" w:cs="Arial"/>
          <w:sz w:val="21"/>
          <w:szCs w:val="21"/>
        </w:rPr>
        <w:t>拥有估价对象出让国有建设用地使用权，土地用途为</w:t>
      </w:r>
      <w:r>
        <w:rPr>
          <w:rFonts w:ascii="Arial" w:hAnsi="Arial" w:hint="eastAsia"/>
          <w:bCs/>
          <w:sz w:val="21"/>
        </w:rPr>
        <w:t>商业</w:t>
      </w:r>
      <w:r>
        <w:rPr>
          <w:rFonts w:ascii="Arial" w:hAnsi="Arial" w:cs="Arial"/>
          <w:sz w:val="21"/>
          <w:szCs w:val="21"/>
        </w:rPr>
        <w:t>，</w:t>
      </w:r>
      <w:r>
        <w:rPr>
          <w:rFonts w:ascii="Arial" w:hAnsi="Arial" w:hint="eastAsia"/>
          <w:bCs/>
          <w:sz w:val="21"/>
        </w:rPr>
        <w:t>土地使用年限为</w:t>
      </w:r>
      <w:r>
        <w:rPr>
          <w:rFonts w:ascii="Arial" w:hAnsi="Arial" w:hint="eastAsia"/>
          <w:bCs/>
          <w:sz w:val="21"/>
        </w:rPr>
        <w:t>40</w:t>
      </w:r>
      <w:r>
        <w:rPr>
          <w:rFonts w:ascii="Arial" w:hAnsi="Arial" w:hint="eastAsia"/>
          <w:bCs/>
          <w:sz w:val="21"/>
        </w:rPr>
        <w:t>年，自</w:t>
      </w:r>
      <w:r>
        <w:rPr>
          <w:rFonts w:ascii="Arial" w:hAnsi="Arial" w:hint="eastAsia"/>
          <w:bCs/>
          <w:sz w:val="21"/>
        </w:rPr>
        <w:t>2016</w:t>
      </w:r>
      <w:r>
        <w:rPr>
          <w:rFonts w:ascii="Arial" w:hAnsi="Arial" w:hint="eastAsia"/>
          <w:bCs/>
          <w:sz w:val="21"/>
        </w:rPr>
        <w:t>年</w:t>
      </w:r>
      <w:r>
        <w:rPr>
          <w:rFonts w:ascii="Arial" w:hAnsi="Arial" w:hint="eastAsia"/>
          <w:bCs/>
          <w:sz w:val="21"/>
        </w:rPr>
        <w:t>12</w:t>
      </w:r>
      <w:r>
        <w:rPr>
          <w:rFonts w:ascii="Arial" w:hAnsi="Arial" w:hint="eastAsia"/>
          <w:bCs/>
          <w:sz w:val="21"/>
        </w:rPr>
        <w:t>月</w:t>
      </w:r>
      <w:r>
        <w:rPr>
          <w:rFonts w:ascii="Arial" w:hAnsi="Arial" w:hint="eastAsia"/>
          <w:bCs/>
          <w:sz w:val="21"/>
        </w:rPr>
        <w:t>26</w:t>
      </w:r>
      <w:r>
        <w:rPr>
          <w:rFonts w:ascii="Arial" w:hAnsi="Arial" w:hint="eastAsia"/>
          <w:bCs/>
          <w:sz w:val="21"/>
        </w:rPr>
        <w:t>日起</w:t>
      </w:r>
      <w:r>
        <w:rPr>
          <w:rFonts w:ascii="Arial" w:hAnsi="Arial" w:hint="eastAsia"/>
          <w:bCs/>
          <w:sz w:val="21"/>
        </w:rPr>
        <w:t>2056</w:t>
      </w:r>
      <w:r>
        <w:rPr>
          <w:rFonts w:ascii="Arial" w:hAnsi="Arial" w:hint="eastAsia"/>
          <w:bCs/>
          <w:sz w:val="21"/>
        </w:rPr>
        <w:t>年</w:t>
      </w:r>
      <w:r>
        <w:rPr>
          <w:rFonts w:ascii="Arial" w:hAnsi="Arial" w:hint="eastAsia"/>
          <w:bCs/>
          <w:sz w:val="21"/>
        </w:rPr>
        <w:t>12</w:t>
      </w:r>
      <w:r>
        <w:rPr>
          <w:rFonts w:ascii="Arial" w:hAnsi="Arial" w:hint="eastAsia"/>
          <w:bCs/>
          <w:sz w:val="21"/>
        </w:rPr>
        <w:t>月</w:t>
      </w:r>
      <w:r>
        <w:rPr>
          <w:rFonts w:ascii="Arial" w:hAnsi="Arial" w:hint="eastAsia"/>
          <w:bCs/>
          <w:sz w:val="21"/>
        </w:rPr>
        <w:t>25</w:t>
      </w:r>
      <w:r>
        <w:rPr>
          <w:rFonts w:ascii="Arial" w:hAnsi="Arial" w:hint="eastAsia"/>
          <w:bCs/>
          <w:sz w:val="21"/>
        </w:rPr>
        <w:t>日止</w:t>
      </w:r>
      <w:r>
        <w:rPr>
          <w:rFonts w:ascii="Arial" w:hAnsi="Arial" w:cs="Arial" w:hint="eastAsia"/>
          <w:sz w:val="21"/>
          <w:szCs w:val="21"/>
        </w:rPr>
        <w:t>。截至价值时点，</w:t>
      </w:r>
      <w:r>
        <w:rPr>
          <w:rFonts w:ascii="Arial" w:hAnsi="Arial" w:cs="Arial"/>
          <w:sz w:val="21"/>
          <w:szCs w:val="21"/>
        </w:rPr>
        <w:t>出让国有建设用地使用权剩余土地使用年限为</w:t>
      </w:r>
      <w:r>
        <w:rPr>
          <w:rFonts w:ascii="Arial" w:hAnsi="Arial" w:cs="Arial" w:hint="eastAsia"/>
          <w:sz w:val="21"/>
          <w:szCs w:val="21"/>
        </w:rPr>
        <w:t>30.98</w:t>
      </w:r>
      <w:r>
        <w:rPr>
          <w:rFonts w:ascii="Arial" w:hAnsi="Arial" w:cs="Arial"/>
          <w:sz w:val="21"/>
          <w:szCs w:val="21"/>
        </w:rPr>
        <w:t>年。</w:t>
      </w:r>
    </w:p>
    <w:p w14:paraId="0E7A3F39"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Pr>
          <w:rFonts w:ascii="Arial" w:hAnsi="Arial" w:cs="Arial"/>
          <w:sz w:val="21"/>
          <w:szCs w:val="21"/>
        </w:rPr>
        <w:t>估价对象现状已按规划要求完成开发建设，无特别规划限制条件。</w:t>
      </w:r>
    </w:p>
    <w:p w14:paraId="02D8156C"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估价对象所属项目用地四至：</w:t>
      </w:r>
    </w:p>
    <w:tbl>
      <w:tblPr>
        <w:tblW w:w="92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1560"/>
        <w:gridCol w:w="3869"/>
        <w:gridCol w:w="3870"/>
      </w:tblGrid>
      <w:tr w:rsidR="00000000" w14:paraId="004FB270" w14:textId="77777777">
        <w:trPr>
          <w:cantSplit/>
          <w:jc w:val="center"/>
        </w:trPr>
        <w:tc>
          <w:tcPr>
            <w:tcW w:w="1560" w:type="dxa"/>
          </w:tcPr>
          <w:p w14:paraId="36BA8E0D" w14:textId="77777777" w:rsidR="00000000" w:rsidRDefault="00000000">
            <w:pPr>
              <w:wordWrap w:val="0"/>
              <w:overflowPunct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方位</w:t>
            </w:r>
          </w:p>
        </w:tc>
        <w:tc>
          <w:tcPr>
            <w:tcW w:w="3869" w:type="dxa"/>
          </w:tcPr>
          <w:p w14:paraId="2DE85CF2" w14:textId="77777777" w:rsidR="00000000" w:rsidRDefault="00000000">
            <w:pPr>
              <w:wordWrap w:val="0"/>
              <w:overflowPunct w:val="0"/>
              <w:spacing w:line="240" w:lineRule="exact"/>
              <w:jc w:val="both"/>
              <w:textAlignment w:val="auto"/>
              <w:rPr>
                <w:rFonts w:ascii="Arial" w:eastAsia="华文细黑" w:hAnsi="Arial" w:cs="Arial" w:hint="eastAsia"/>
                <w:sz w:val="18"/>
                <w:szCs w:val="21"/>
              </w:rPr>
            </w:pPr>
            <w:proofErr w:type="gramStart"/>
            <w:r>
              <w:rPr>
                <w:rFonts w:ascii="Arial" w:eastAsia="华文细黑" w:hAnsi="Arial" w:cs="Arial" w:hint="eastAsia"/>
                <w:sz w:val="18"/>
                <w:szCs w:val="21"/>
              </w:rPr>
              <w:t>证载</w:t>
            </w:r>
            <w:proofErr w:type="gramEnd"/>
          </w:p>
        </w:tc>
        <w:tc>
          <w:tcPr>
            <w:tcW w:w="3870" w:type="dxa"/>
          </w:tcPr>
          <w:p w14:paraId="464280B0" w14:textId="77777777" w:rsidR="00000000" w:rsidRDefault="00000000">
            <w:pPr>
              <w:wordWrap w:val="0"/>
              <w:overflowPunct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现状</w:t>
            </w:r>
          </w:p>
        </w:tc>
      </w:tr>
      <w:tr w:rsidR="00000000" w14:paraId="321F2429" w14:textId="77777777">
        <w:trPr>
          <w:cantSplit/>
          <w:jc w:val="center"/>
        </w:trPr>
        <w:tc>
          <w:tcPr>
            <w:tcW w:w="1560" w:type="dxa"/>
          </w:tcPr>
          <w:p w14:paraId="0C7D25A4" w14:textId="77777777" w:rsidR="00000000" w:rsidRDefault="00000000">
            <w:pPr>
              <w:wordWrap w:val="0"/>
              <w:overflowPunct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东</w:t>
            </w:r>
          </w:p>
        </w:tc>
        <w:tc>
          <w:tcPr>
            <w:tcW w:w="3869" w:type="dxa"/>
          </w:tcPr>
          <w:p w14:paraId="3819CBD6" w14:textId="77777777" w:rsidR="00000000" w:rsidRDefault="00000000">
            <w:pPr>
              <w:wordWrap w:val="0"/>
              <w:overflowPunct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北京市土地整理储备中心房山区分中心</w:t>
            </w:r>
          </w:p>
        </w:tc>
        <w:tc>
          <w:tcPr>
            <w:tcW w:w="3870" w:type="dxa"/>
          </w:tcPr>
          <w:p w14:paraId="50ADAEFE" w14:textId="77777777" w:rsidR="00000000" w:rsidRDefault="00000000">
            <w:pPr>
              <w:wordWrap w:val="0"/>
              <w:overflowPunct w:val="0"/>
              <w:spacing w:line="240" w:lineRule="exact"/>
              <w:jc w:val="both"/>
              <w:textAlignment w:val="auto"/>
              <w:rPr>
                <w:rFonts w:ascii="Arial" w:eastAsia="华文细黑" w:hAnsi="Arial" w:cs="Arial" w:hint="eastAsia"/>
                <w:sz w:val="18"/>
                <w:szCs w:val="21"/>
              </w:rPr>
            </w:pPr>
            <w:proofErr w:type="gramStart"/>
            <w:r>
              <w:rPr>
                <w:rFonts w:ascii="Arial" w:eastAsia="华文细黑" w:hAnsi="Arial" w:cs="Arial" w:hint="eastAsia"/>
                <w:sz w:val="18"/>
                <w:szCs w:val="21"/>
              </w:rPr>
              <w:t>阜</w:t>
            </w:r>
            <w:proofErr w:type="gramEnd"/>
            <w:r>
              <w:rPr>
                <w:rFonts w:ascii="Arial" w:eastAsia="华文细黑" w:hAnsi="Arial" w:cs="Arial" w:hint="eastAsia"/>
                <w:sz w:val="18"/>
                <w:szCs w:val="21"/>
              </w:rPr>
              <w:t>盛西街</w:t>
            </w:r>
          </w:p>
        </w:tc>
      </w:tr>
      <w:tr w:rsidR="00000000" w14:paraId="41B97F3F" w14:textId="77777777">
        <w:trPr>
          <w:cantSplit/>
          <w:jc w:val="center"/>
        </w:trPr>
        <w:tc>
          <w:tcPr>
            <w:tcW w:w="1560" w:type="dxa"/>
          </w:tcPr>
          <w:p w14:paraId="6FBB0339" w14:textId="77777777" w:rsidR="00000000" w:rsidRDefault="00000000">
            <w:pPr>
              <w:wordWrap w:val="0"/>
              <w:overflowPunct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南</w:t>
            </w:r>
          </w:p>
        </w:tc>
        <w:tc>
          <w:tcPr>
            <w:tcW w:w="3869" w:type="dxa"/>
          </w:tcPr>
          <w:p w14:paraId="747782BC" w14:textId="77777777" w:rsidR="00000000" w:rsidRDefault="00000000">
            <w:pPr>
              <w:wordWrap w:val="0"/>
              <w:overflowPunct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北京市土地整理储备中心房山区分中心</w:t>
            </w:r>
          </w:p>
        </w:tc>
        <w:tc>
          <w:tcPr>
            <w:tcW w:w="3870" w:type="dxa"/>
          </w:tcPr>
          <w:p w14:paraId="27DF6F31" w14:textId="77777777" w:rsidR="00000000" w:rsidRDefault="00000000">
            <w:pPr>
              <w:wordWrap w:val="0"/>
              <w:overflowPunct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良乡东路</w:t>
            </w:r>
          </w:p>
        </w:tc>
      </w:tr>
      <w:tr w:rsidR="00000000" w14:paraId="566B0205" w14:textId="77777777">
        <w:trPr>
          <w:cantSplit/>
          <w:jc w:val="center"/>
        </w:trPr>
        <w:tc>
          <w:tcPr>
            <w:tcW w:w="1560" w:type="dxa"/>
          </w:tcPr>
          <w:p w14:paraId="04536291" w14:textId="77777777" w:rsidR="00000000" w:rsidRDefault="00000000">
            <w:pPr>
              <w:wordWrap w:val="0"/>
              <w:overflowPunct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西</w:t>
            </w:r>
          </w:p>
        </w:tc>
        <w:tc>
          <w:tcPr>
            <w:tcW w:w="3869" w:type="dxa"/>
          </w:tcPr>
          <w:p w14:paraId="0DF8FD84" w14:textId="77777777" w:rsidR="00000000" w:rsidRDefault="00000000">
            <w:pPr>
              <w:wordWrap w:val="0"/>
              <w:overflowPunct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北京市土地整理储备中心房山区分中心</w:t>
            </w:r>
          </w:p>
        </w:tc>
        <w:tc>
          <w:tcPr>
            <w:tcW w:w="3870" w:type="dxa"/>
          </w:tcPr>
          <w:p w14:paraId="24226435" w14:textId="77777777" w:rsidR="00000000" w:rsidRDefault="00000000">
            <w:pPr>
              <w:wordWrap w:val="0"/>
              <w:overflowPunct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长于大街</w:t>
            </w:r>
          </w:p>
        </w:tc>
      </w:tr>
      <w:tr w:rsidR="00000000" w14:paraId="6A84EE1E" w14:textId="77777777">
        <w:trPr>
          <w:cantSplit/>
          <w:jc w:val="center"/>
        </w:trPr>
        <w:tc>
          <w:tcPr>
            <w:tcW w:w="1560" w:type="dxa"/>
          </w:tcPr>
          <w:p w14:paraId="62395F91" w14:textId="77777777" w:rsidR="00000000" w:rsidRDefault="00000000">
            <w:pPr>
              <w:wordWrap w:val="0"/>
              <w:overflowPunct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北</w:t>
            </w:r>
          </w:p>
        </w:tc>
        <w:tc>
          <w:tcPr>
            <w:tcW w:w="3869" w:type="dxa"/>
          </w:tcPr>
          <w:p w14:paraId="4E143124" w14:textId="77777777" w:rsidR="00000000" w:rsidRDefault="00000000">
            <w:pPr>
              <w:wordWrap w:val="0"/>
              <w:overflowPunct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北京市土地整理储备中心房山区分中心</w:t>
            </w:r>
          </w:p>
        </w:tc>
        <w:tc>
          <w:tcPr>
            <w:tcW w:w="3870" w:type="dxa"/>
          </w:tcPr>
          <w:p w14:paraId="77AE0864" w14:textId="77777777" w:rsidR="00000000" w:rsidRDefault="00000000">
            <w:pPr>
              <w:wordWrap w:val="0"/>
              <w:overflowPunct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文昌东路</w:t>
            </w:r>
          </w:p>
        </w:tc>
      </w:tr>
    </w:tbl>
    <w:p w14:paraId="08AFF69A" w14:textId="77777777" w:rsidR="00000000" w:rsidRDefault="00000000">
      <w:pPr>
        <w:spacing w:line="480" w:lineRule="auto"/>
        <w:ind w:firstLineChars="200" w:firstLine="420"/>
        <w:jc w:val="both"/>
        <w:rPr>
          <w:rFonts w:ascii="Arial" w:hAnsi="Arial" w:cs="Arial" w:hint="eastAsia"/>
          <w:bCs/>
          <w:sz w:val="21"/>
          <w:szCs w:val="21"/>
        </w:rPr>
      </w:pPr>
    </w:p>
    <w:p w14:paraId="61943587" w14:textId="77777777" w:rsidR="00000000" w:rsidRDefault="00000000">
      <w:pPr>
        <w:wordWrap w:val="0"/>
        <w:overflowPunct w:val="0"/>
        <w:spacing w:line="480" w:lineRule="auto"/>
        <w:jc w:val="both"/>
        <w:textAlignment w:val="auto"/>
        <w:rPr>
          <w:rFonts w:ascii="Arial" w:hAnsi="Arial" w:cs="Arial"/>
          <w:sz w:val="21"/>
          <w:szCs w:val="21"/>
        </w:rPr>
      </w:pPr>
      <w:r>
        <w:rPr>
          <w:rFonts w:ascii="Arial" w:eastAsia="楷体_GB2312" w:hAnsi="Arial" w:cs="Arial" w:hint="eastAsia"/>
          <w:bCs/>
          <w:sz w:val="21"/>
          <w:szCs w:val="21"/>
        </w:rPr>
        <w:t>（转下页）</w:t>
      </w:r>
    </w:p>
    <w:tbl>
      <w:tblPr>
        <w:tblW w:w="92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5"/>
        <w:gridCol w:w="8647"/>
        <w:gridCol w:w="367"/>
      </w:tblGrid>
      <w:tr w:rsidR="00000000" w14:paraId="79EA3047" w14:textId="77777777">
        <w:trPr>
          <w:cantSplit/>
          <w:trHeight w:hRule="exact" w:val="5670"/>
          <w:jc w:val="center"/>
        </w:trPr>
        <w:tc>
          <w:tcPr>
            <w:tcW w:w="285" w:type="dxa"/>
            <w:tcBorders>
              <w:top w:val="nil"/>
              <w:left w:val="nil"/>
              <w:bottom w:val="nil"/>
              <w:right w:val="nil"/>
            </w:tcBorders>
          </w:tcPr>
          <w:p w14:paraId="0DD6761B" w14:textId="6B4767FC" w:rsidR="00000000" w:rsidRDefault="00000000">
            <w:pPr>
              <w:wordWrap w:val="0"/>
              <w:overflowPunct w:val="0"/>
              <w:spacing w:line="480" w:lineRule="auto"/>
              <w:jc w:val="both"/>
              <w:textAlignment w:val="auto"/>
              <w:rPr>
                <w:lang w:val="en-US" w:eastAsia="zh-CN"/>
              </w:rPr>
            </w:pPr>
            <w:r>
              <w:rPr>
                <w:rFonts w:ascii="Arial" w:hAnsi="Arial" w:cs="Arial"/>
                <w:b/>
                <w:color w:val="548DD4"/>
                <w:sz w:val="21"/>
                <w:szCs w:val="21"/>
              </w:rPr>
              <w:lastRenderedPageBreak/>
              <w:br w:type="page"/>
            </w:r>
            <w:r w:rsidR="00690E7D">
              <w:rPr>
                <w:noProof/>
                <w:lang w:val="en-US" w:eastAsia="zh-CN"/>
              </w:rPr>
              <mc:AlternateContent>
                <mc:Choice Requires="wps">
                  <w:drawing>
                    <wp:anchor distT="0" distB="0" distL="114300" distR="114300" simplePos="0" relativeHeight="251657728" behindDoc="0" locked="0" layoutInCell="1" allowOverlap="1" wp14:anchorId="25CD77EE" wp14:editId="5458BC94">
                      <wp:simplePos x="0" y="0"/>
                      <wp:positionH relativeFrom="column">
                        <wp:posOffset>0</wp:posOffset>
                      </wp:positionH>
                      <wp:positionV relativeFrom="paragraph">
                        <wp:posOffset>2089785</wp:posOffset>
                      </wp:positionV>
                      <wp:extent cx="2891790" cy="1579245"/>
                      <wp:effectExtent l="19050" t="19050" r="3810" b="1905"/>
                      <wp:wrapNone/>
                      <wp:docPr id="1203938415"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91790" cy="1579245"/>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794A2B0" id="直接连接符 2"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164.55pt" to="227.7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" strokecolor="#4a7ebb" strokeweight="2.25pt">
                      <o:lock v:ext="edit" shapetype="f"/>
                    </v:line>
                  </w:pict>
                </mc:Fallback>
              </mc:AlternateContent>
            </w:r>
          </w:p>
        </w:tc>
        <w:tc>
          <w:tcPr>
            <w:tcW w:w="8647" w:type="dxa"/>
            <w:tcBorders>
              <w:top w:val="nil"/>
              <w:left w:val="nil"/>
              <w:bottom w:val="nil"/>
              <w:right w:val="nil"/>
            </w:tcBorders>
          </w:tcPr>
          <w:p w14:paraId="777D9929" w14:textId="37A7AF09" w:rsidR="00000000" w:rsidRDefault="00690E7D">
            <w:pPr>
              <w:rPr>
                <w:lang w:val="en-US" w:eastAsia="zh-CN"/>
              </w:rPr>
            </w:pPr>
            <w:r>
              <w:rPr>
                <w:noProof/>
                <w:lang w:val="en-US" w:eastAsia="zh-CN"/>
              </w:rPr>
              <mc:AlternateContent>
                <mc:Choice Requires="wps">
                  <w:drawing>
                    <wp:anchor distT="0" distB="0" distL="114300" distR="114300" simplePos="0" relativeHeight="251658752" behindDoc="0" locked="0" layoutInCell="1" allowOverlap="1" wp14:anchorId="567EBD47" wp14:editId="3FFF13CE">
                      <wp:simplePos x="0" y="0"/>
                      <wp:positionH relativeFrom="column">
                        <wp:posOffset>2937510</wp:posOffset>
                      </wp:positionH>
                      <wp:positionV relativeFrom="paragraph">
                        <wp:posOffset>2091055</wp:posOffset>
                      </wp:positionV>
                      <wp:extent cx="2759075" cy="1577975"/>
                      <wp:effectExtent l="19050" t="19050" r="3175" b="3175"/>
                      <wp:wrapNone/>
                      <wp:docPr id="2134805870"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9075" cy="1577975"/>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45D283" id="直接连接符 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3pt,164.65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" strokecolor="#4a7ebb" strokeweight="2.25pt">
                      <o:lock v:ext="edit" shapetype="f"/>
                    </v:line>
                  </w:pict>
                </mc:Fallback>
              </mc:AlternateContent>
            </w:r>
            <w:r>
              <w:rPr>
                <w:noProof/>
                <w:lang w:val="en-US" w:eastAsia="zh-CN"/>
              </w:rPr>
              <mc:AlternateContent>
                <mc:Choice Requires="wps">
                  <w:drawing>
                    <wp:anchor distT="0" distB="0" distL="114300" distR="114300" simplePos="0" relativeHeight="251659776" behindDoc="0" locked="0" layoutInCell="1" allowOverlap="1" wp14:anchorId="57302223" wp14:editId="1DE3FB13">
                      <wp:simplePos x="0" y="0"/>
                      <wp:positionH relativeFrom="margin">
                        <wp:posOffset>2667635</wp:posOffset>
                      </wp:positionH>
                      <wp:positionV relativeFrom="margin">
                        <wp:posOffset>1820545</wp:posOffset>
                      </wp:positionV>
                      <wp:extent cx="325120" cy="228600"/>
                      <wp:effectExtent l="19685" t="18415" r="18415" b="18415"/>
                      <wp:wrapNone/>
                      <wp:docPr id="1810842814"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5120" cy="228600"/>
                              </a:xfrm>
                              <a:prstGeom prst="rect">
                                <a:avLst/>
                              </a:prstGeom>
                              <a:noFill/>
                              <a:ln w="28575" cmpd="sng">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8FF9B3" id="矩形 26" o:spid="_x0000_s1026" style="position:absolute;margin-left:210.05pt;margin-top:143.35pt;width:25.6pt;height:18pt;rotation:-90;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" filled="f" strokecolor="#4f81bd" strokeweight="2.25pt">
                      <v:textbox inset="0,0,0,0"/>
                      <w10:wrap anchorx="margin" anchory="margin"/>
                    </v:rect>
                  </w:pict>
                </mc:Fallback>
              </mc:AlternateContent>
            </w:r>
            <w:r>
              <w:rPr>
                <w:noProof/>
              </w:rPr>
              <w:drawing>
                <wp:inline distT="0" distB="0" distL="0" distR="0" wp14:anchorId="6C9A6E48" wp14:editId="616569F3">
                  <wp:extent cx="5492115" cy="3837305"/>
                  <wp:effectExtent l="0" t="0" r="0" b="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2115" cy="3837305"/>
                          </a:xfrm>
                          <a:prstGeom prst="rect">
                            <a:avLst/>
                          </a:prstGeom>
                          <a:noFill/>
                          <a:ln>
                            <a:noFill/>
                          </a:ln>
                        </pic:spPr>
                      </pic:pic>
                    </a:graphicData>
                  </a:graphic>
                </wp:inline>
              </w:drawing>
            </w:r>
          </w:p>
        </w:tc>
        <w:tc>
          <w:tcPr>
            <w:tcW w:w="367" w:type="dxa"/>
            <w:tcBorders>
              <w:top w:val="nil"/>
              <w:left w:val="nil"/>
              <w:bottom w:val="nil"/>
              <w:right w:val="nil"/>
            </w:tcBorders>
          </w:tcPr>
          <w:p w14:paraId="2869B24E" w14:textId="77777777" w:rsidR="00000000" w:rsidRDefault="00000000">
            <w:pPr>
              <w:rPr>
                <w:lang w:val="en-US" w:eastAsia="zh-CN"/>
              </w:rPr>
            </w:pPr>
          </w:p>
        </w:tc>
      </w:tr>
      <w:tr w:rsidR="00000000" w14:paraId="3B881708" w14:textId="77777777">
        <w:trPr>
          <w:cantSplit/>
          <w:trHeight w:hRule="exact" w:val="113"/>
          <w:jc w:val="center"/>
        </w:trPr>
        <w:tc>
          <w:tcPr>
            <w:tcW w:w="285" w:type="dxa"/>
            <w:tcBorders>
              <w:top w:val="nil"/>
              <w:left w:val="nil"/>
              <w:bottom w:val="single" w:sz="18" w:space="0" w:color="4F81BD"/>
              <w:right w:val="nil"/>
            </w:tcBorders>
          </w:tcPr>
          <w:p w14:paraId="284AFABF" w14:textId="77777777" w:rsidR="00000000" w:rsidRDefault="00000000">
            <w:pPr>
              <w:rPr>
                <w:lang w:val="en-US" w:eastAsia="zh-CN"/>
              </w:rPr>
            </w:pPr>
          </w:p>
        </w:tc>
        <w:tc>
          <w:tcPr>
            <w:tcW w:w="8647" w:type="dxa"/>
            <w:tcBorders>
              <w:top w:val="nil"/>
              <w:left w:val="nil"/>
              <w:bottom w:val="single" w:sz="18" w:space="0" w:color="4F81BD"/>
              <w:right w:val="nil"/>
            </w:tcBorders>
          </w:tcPr>
          <w:p w14:paraId="5F823B0A" w14:textId="77777777" w:rsidR="00000000" w:rsidRDefault="00000000">
            <w:pPr>
              <w:rPr>
                <w:lang w:val="en-US" w:eastAsia="zh-CN"/>
              </w:rPr>
            </w:pPr>
          </w:p>
        </w:tc>
        <w:tc>
          <w:tcPr>
            <w:tcW w:w="367" w:type="dxa"/>
            <w:tcBorders>
              <w:top w:val="nil"/>
              <w:left w:val="nil"/>
              <w:bottom w:val="single" w:sz="18" w:space="0" w:color="4F81BD"/>
              <w:right w:val="nil"/>
            </w:tcBorders>
          </w:tcPr>
          <w:p w14:paraId="221FDDAE" w14:textId="77777777" w:rsidR="00000000" w:rsidRDefault="00000000">
            <w:pPr>
              <w:rPr>
                <w:lang w:val="en-US" w:eastAsia="zh-CN"/>
              </w:rPr>
            </w:pPr>
          </w:p>
        </w:tc>
      </w:tr>
      <w:tr w:rsidR="00000000" w14:paraId="62825758" w14:textId="7777777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6EE857EF" w14:textId="4459B30A" w:rsidR="00000000" w:rsidRDefault="00690E7D">
            <w:pPr>
              <w:rPr>
                <w:rFonts w:hint="eastAsia"/>
              </w:rPr>
            </w:pPr>
            <w:r>
              <w:rPr>
                <w:noProof/>
                <w:lang w:val="en-US" w:eastAsia="zh-CN"/>
              </w:rPr>
              <mc:AlternateContent>
                <mc:Choice Requires="wps">
                  <w:drawing>
                    <wp:anchor distT="0" distB="0" distL="114300" distR="114300" simplePos="0" relativeHeight="251656704" behindDoc="0" locked="0" layoutInCell="1" allowOverlap="1" wp14:anchorId="7B85AAA0" wp14:editId="68B6B564">
                      <wp:simplePos x="0" y="0"/>
                      <wp:positionH relativeFrom="column">
                        <wp:posOffset>2885440</wp:posOffset>
                      </wp:positionH>
                      <wp:positionV relativeFrom="paragraph">
                        <wp:posOffset>1517650</wp:posOffset>
                      </wp:positionV>
                      <wp:extent cx="1365250" cy="876935"/>
                      <wp:effectExtent l="18415" t="29845" r="28575" b="33655"/>
                      <wp:wrapNone/>
                      <wp:docPr id="237523296" name="任意多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65250" cy="876935"/>
                              </a:xfrm>
                              <a:custGeom>
                                <a:avLst/>
                                <a:gdLst>
                                  <a:gd name="T0" fmla="*/ 158261 w 656492"/>
                                  <a:gd name="T1" fmla="*/ 0 h 351693"/>
                                  <a:gd name="T2" fmla="*/ 650631 w 656492"/>
                                  <a:gd name="T3" fmla="*/ 0 h 351693"/>
                                  <a:gd name="T4" fmla="*/ 656492 w 656492"/>
                                  <a:gd name="T5" fmla="*/ 345831 h 351693"/>
                                  <a:gd name="T6" fmla="*/ 0 w 656492"/>
                                  <a:gd name="T7" fmla="*/ 351693 h 351693"/>
                                  <a:gd name="T8" fmla="*/ 158261 w 656492"/>
                                  <a:gd name="T9" fmla="*/ 0 h 351693"/>
                                </a:gdLst>
                                <a:ahLst/>
                                <a:cxnLst>
                                  <a:cxn ang="0">
                                    <a:pos x="T0" y="T1"/>
                                  </a:cxn>
                                  <a:cxn ang="0">
                                    <a:pos x="T2" y="T3"/>
                                  </a:cxn>
                                  <a:cxn ang="0">
                                    <a:pos x="T4" y="T5"/>
                                  </a:cxn>
                                  <a:cxn ang="0">
                                    <a:pos x="T6" y="T7"/>
                                  </a:cxn>
                                  <a:cxn ang="0">
                                    <a:pos x="T8" y="T9"/>
                                  </a:cxn>
                                </a:cxnLst>
                                <a:rect l="0" t="0" r="r" b="b"/>
                                <a:pathLst>
                                  <a:path w="656492" h="351693">
                                    <a:moveTo>
                                      <a:pt x="158261" y="0"/>
                                    </a:moveTo>
                                    <a:lnTo>
                                      <a:pt x="650631" y="0"/>
                                    </a:lnTo>
                                    <a:cubicBezTo>
                                      <a:pt x="652585" y="115277"/>
                                      <a:pt x="654538" y="230554"/>
                                      <a:pt x="656492" y="345831"/>
                                    </a:cubicBezTo>
                                    <a:lnTo>
                                      <a:pt x="0" y="351693"/>
                                    </a:lnTo>
                                    <a:lnTo>
                                      <a:pt x="158261" y="0"/>
                                    </a:lnTo>
                                    <a:close/>
                                  </a:path>
                                </a:pathLst>
                              </a:custGeom>
                              <a:noFill/>
                              <a:ln w="25400" cmpd="sng">
                                <a:solidFill>
                                  <a:srgbClr val="385D8A"/>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520BFA" id="任意多边形 11" o:spid="_x0000_s1026" style="position:absolute;margin-left:227.2pt;margin-top:119.5pt;width:107.5pt;height:69.0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6492,35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" path="m158261,l650631,v1954,115277,3907,230554,5861,345831l,351693,158261,xe" filled="f" strokecolor="#385d8a" strokeweight="2pt">
                      <v:path arrowok="t" o:connecttype="custom" o:connectlocs="329122,0;1353061,0;1365250,862318;0,876935;329122,0" o:connectangles="0,0,0,0,0"/>
                    </v:shape>
                  </w:pict>
                </mc:Fallback>
              </mc:AlternateContent>
            </w:r>
            <w:r>
              <w:rPr>
                <w:noProof/>
                <w:lang w:val="en-US" w:eastAsia="zh-CN"/>
              </w:rPr>
              <mc:AlternateContent>
                <mc:Choice Requires="wps">
                  <w:drawing>
                    <wp:anchor distT="0" distB="0" distL="114300" distR="114300" simplePos="0" relativeHeight="251655680" behindDoc="0" locked="0" layoutInCell="1" allowOverlap="1" wp14:anchorId="51EFC0AC" wp14:editId="3C14CA28">
                      <wp:simplePos x="0" y="0"/>
                      <wp:positionH relativeFrom="column">
                        <wp:posOffset>4354830</wp:posOffset>
                      </wp:positionH>
                      <wp:positionV relativeFrom="paragraph">
                        <wp:posOffset>1036320</wp:posOffset>
                      </wp:positionV>
                      <wp:extent cx="914400" cy="289560"/>
                      <wp:effectExtent l="386715" t="20955" r="13335" b="89535"/>
                      <wp:wrapNone/>
                      <wp:docPr id="1039055987"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89560"/>
                              </a:xfrm>
                              <a:prstGeom prst="borderCallout1">
                                <a:avLst>
                                  <a:gd name="adj1" fmla="val 18750"/>
                                  <a:gd name="adj2" fmla="val -8333"/>
                                  <a:gd name="adj3" fmla="val 125657"/>
                                  <a:gd name="adj4" fmla="val -40759"/>
                                </a:avLst>
                              </a:prstGeom>
                              <a:solidFill>
                                <a:srgbClr val="4F81BD"/>
                              </a:solidFill>
                              <a:ln w="25400" cmpd="sng">
                                <a:solidFill>
                                  <a:srgbClr val="385D8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6AFB9A" w14:textId="77777777" w:rsidR="00000000" w:rsidRDefault="00000000">
                                  <w:pPr>
                                    <w:spacing w:line="240" w:lineRule="exact"/>
                                    <w:jc w:val="center"/>
                                    <w:rPr>
                                      <w:b/>
                                      <w:color w:val="FFFFFF"/>
                                    </w:rPr>
                                  </w:pPr>
                                  <w:r>
                                    <w:rPr>
                                      <w:rFonts w:hint="eastAsia"/>
                                      <w:b/>
                                      <w:color w:val="FFFFFF"/>
                                    </w:rPr>
                                    <w:t>估价对象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1EFC0A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30" type="#_x0000_t47" style="position:absolute;margin-left:342.9pt;margin-top:81.6pt;width:1in;height:2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" adj="-8804,27142" fillcolor="#4f81bd" strokecolor="#385d8a" strokeweight="2pt">
                      <v:textbox>
                        <w:txbxContent>
                          <w:p w14:paraId="2D6AFB9A" w14:textId="77777777" w:rsidR="00000000" w:rsidRDefault="00000000">
                            <w:pPr>
                              <w:spacing w:line="240" w:lineRule="exact"/>
                              <w:jc w:val="center"/>
                              <w:rPr>
                                <w:b/>
                                <w:color w:val="FFFFFF"/>
                              </w:rPr>
                            </w:pPr>
                            <w:r>
                              <w:rPr>
                                <w:rFonts w:hint="eastAsia"/>
                                <w:b/>
                                <w:color w:val="FFFFFF"/>
                              </w:rPr>
                              <w:t>估价对象</w:t>
                            </w:r>
                          </w:p>
                        </w:txbxContent>
                      </v:textbox>
                      <o:callout v:ext="edit" minusy="t"/>
                    </v:shape>
                  </w:pict>
                </mc:Fallback>
              </mc:AlternateContent>
            </w:r>
            <w:r>
              <w:rPr>
                <w:noProof/>
              </w:rPr>
              <w:drawing>
                <wp:inline distT="0" distB="0" distL="0" distR="0" wp14:anchorId="236A9C81" wp14:editId="6E4F82DE">
                  <wp:extent cx="5873750" cy="4083685"/>
                  <wp:effectExtent l="0" t="0" r="0" b="0"/>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3750" cy="4083685"/>
                          </a:xfrm>
                          <a:prstGeom prst="rect">
                            <a:avLst/>
                          </a:prstGeom>
                          <a:noFill/>
                          <a:ln>
                            <a:noFill/>
                          </a:ln>
                        </pic:spPr>
                      </pic:pic>
                    </a:graphicData>
                  </a:graphic>
                </wp:inline>
              </w:drawing>
            </w:r>
          </w:p>
        </w:tc>
      </w:tr>
    </w:tbl>
    <w:p w14:paraId="3D5DBDFC" w14:textId="77777777" w:rsidR="00000000" w:rsidRDefault="00000000">
      <w:pPr>
        <w:wordWrap w:val="0"/>
        <w:overflowPunct w:val="0"/>
        <w:spacing w:line="240" w:lineRule="exact"/>
        <w:ind w:firstLineChars="200" w:firstLine="420"/>
        <w:jc w:val="both"/>
        <w:textAlignment w:val="auto"/>
        <w:rPr>
          <w:rFonts w:ascii="Arial" w:hAnsi="Arial" w:cs="Arial" w:hint="eastAsia"/>
          <w:i/>
          <w:color w:val="548DD4"/>
          <w:sz w:val="21"/>
          <w:szCs w:val="21"/>
        </w:rPr>
      </w:pPr>
    </w:p>
    <w:p w14:paraId="504E3F6B"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4.</w:t>
      </w:r>
      <w:r>
        <w:rPr>
          <w:rFonts w:ascii="Arial" w:hAnsi="Arial" w:cs="Arial"/>
          <w:sz w:val="21"/>
          <w:szCs w:val="21"/>
        </w:rPr>
        <w:t>估价对象所属项目用地呈近似规则形状，场地地势较平坦。</w:t>
      </w:r>
    </w:p>
    <w:p w14:paraId="64E3C1A9"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基础设施状况：</w:t>
      </w:r>
    </w:p>
    <w:p w14:paraId="10896FC7" w14:textId="77777777" w:rsidR="00000000" w:rsidRDefault="00000000">
      <w:pPr>
        <w:wordWrap w:val="0"/>
        <w:overflowPunct w:val="0"/>
        <w:spacing w:line="480" w:lineRule="auto"/>
        <w:ind w:firstLineChars="200" w:firstLine="420"/>
        <w:jc w:val="both"/>
        <w:textAlignment w:val="auto"/>
        <w:rPr>
          <w:rFonts w:ascii="Arial" w:hAnsi="Arial" w:cs="Arial"/>
          <w:color w:val="000000"/>
          <w:sz w:val="21"/>
          <w:szCs w:val="21"/>
        </w:rPr>
      </w:pPr>
      <w:r>
        <w:rPr>
          <w:rFonts w:ascii="Arial" w:hAnsi="Arial" w:cs="Arial"/>
          <w:color w:val="000000"/>
          <w:sz w:val="21"/>
          <w:szCs w:val="21"/>
        </w:rPr>
        <w:t>估价对象现状市政基础</w:t>
      </w:r>
      <w:r>
        <w:rPr>
          <w:rFonts w:ascii="Arial" w:hAnsi="Arial" w:cs="Arial"/>
          <w:sz w:val="21"/>
          <w:szCs w:val="21"/>
        </w:rPr>
        <w:t>设施</w:t>
      </w:r>
      <w:r>
        <w:rPr>
          <w:rFonts w:ascii="Arial" w:hAnsi="Arial" w:cs="Arial" w:hint="eastAsia"/>
          <w:sz w:val="21"/>
          <w:szCs w:val="21"/>
        </w:rPr>
        <w:t>较</w:t>
      </w:r>
      <w:r>
        <w:rPr>
          <w:rFonts w:ascii="Arial" w:hAnsi="Arial" w:cs="Arial"/>
          <w:sz w:val="21"/>
          <w:szCs w:val="21"/>
        </w:rPr>
        <w:t>完备，达</w:t>
      </w:r>
      <w:r>
        <w:rPr>
          <w:rFonts w:ascii="Arial" w:hAnsi="Arial" w:hint="eastAsia"/>
          <w:kern w:val="2"/>
          <w:sz w:val="21"/>
        </w:rPr>
        <w:t>“六通”（即通路、通电、通讯、通上水、通下水、通燃气）</w:t>
      </w:r>
      <w:r>
        <w:rPr>
          <w:rFonts w:ascii="Arial" w:hAnsi="Arial" w:cs="Arial"/>
          <w:sz w:val="21"/>
          <w:szCs w:val="21"/>
        </w:rPr>
        <w:t>。</w:t>
      </w:r>
    </w:p>
    <w:p w14:paraId="0391D0AE" w14:textId="77777777" w:rsidR="00000000" w:rsidRDefault="00000000">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lastRenderedPageBreak/>
        <w:t>（四）建筑物基本状况</w:t>
      </w:r>
    </w:p>
    <w:p w14:paraId="0BFF5D35" w14:textId="77777777" w:rsidR="00000000" w:rsidRDefault="00000000">
      <w:pPr>
        <w:wordWrap w:val="0"/>
        <w:overflowPunct w:val="0"/>
        <w:spacing w:line="480" w:lineRule="auto"/>
        <w:ind w:firstLineChars="200" w:firstLine="420"/>
        <w:jc w:val="both"/>
        <w:textAlignment w:val="auto"/>
        <w:rPr>
          <w:rFonts w:ascii="Arial" w:hAnsi="Arial" w:hint="eastAsia"/>
          <w:kern w:val="2"/>
          <w:sz w:val="21"/>
        </w:rPr>
      </w:pPr>
      <w:r>
        <w:rPr>
          <w:rFonts w:ascii="Arial" w:hAnsi="Arial"/>
          <w:kern w:val="2"/>
          <w:sz w:val="21"/>
        </w:rPr>
        <w:t>估价对象为</w:t>
      </w:r>
      <w:r>
        <w:rPr>
          <w:rFonts w:ascii="Arial" w:hAnsi="Arial" w:cs="Arial" w:hint="eastAsia"/>
          <w:kern w:val="2"/>
          <w:sz w:val="21"/>
          <w:szCs w:val="21"/>
        </w:rPr>
        <w:t>北京市房山区阜盛西街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号楼地上</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29</w:t>
      </w:r>
      <w:r>
        <w:rPr>
          <w:rFonts w:ascii="Arial" w:hAnsi="Arial" w:cs="Arial" w:hint="eastAsia"/>
          <w:kern w:val="2"/>
          <w:sz w:val="21"/>
          <w:szCs w:val="21"/>
        </w:rPr>
        <w:t>套商业用房。</w:t>
      </w:r>
      <w:r>
        <w:rPr>
          <w:rFonts w:ascii="Arial" w:hAnsi="Arial" w:hint="eastAsia"/>
          <w:kern w:val="2"/>
          <w:sz w:val="21"/>
        </w:rPr>
        <w:t>所属项目位于</w:t>
      </w:r>
      <w:r>
        <w:rPr>
          <w:rFonts w:ascii="Arial" w:hAnsi="Arial" w:hint="eastAsia"/>
          <w:bCs/>
          <w:sz w:val="21"/>
        </w:rPr>
        <w:t>北京市房山区长于大街与良乡东路交口东北角</w:t>
      </w:r>
      <w:r>
        <w:rPr>
          <w:rFonts w:ascii="Arial" w:hAnsi="Arial" w:hint="eastAsia"/>
          <w:kern w:val="2"/>
          <w:sz w:val="21"/>
        </w:rPr>
        <w:t>，地处良乡大学城商</w:t>
      </w:r>
      <w:proofErr w:type="gramStart"/>
      <w:r>
        <w:rPr>
          <w:rFonts w:ascii="Arial" w:hAnsi="Arial" w:hint="eastAsia"/>
          <w:kern w:val="2"/>
          <w:sz w:val="21"/>
        </w:rPr>
        <w:t>圈核心</w:t>
      </w:r>
      <w:proofErr w:type="gramEnd"/>
      <w:r>
        <w:rPr>
          <w:rFonts w:ascii="Arial" w:hAnsi="Arial" w:hint="eastAsia"/>
          <w:kern w:val="2"/>
          <w:sz w:val="21"/>
        </w:rPr>
        <w:t>位置，介于高教园区与居民生活区之间，紧邻地铁房山线——良乡大学城北站及城市主干道长于大街，交通出行便捷。项目由</w:t>
      </w:r>
      <w:r>
        <w:rPr>
          <w:rFonts w:ascii="Arial" w:hAnsi="Arial"/>
          <w:kern w:val="2"/>
          <w:sz w:val="21"/>
        </w:rPr>
        <w:t>042</w:t>
      </w:r>
      <w:r>
        <w:rPr>
          <w:rFonts w:ascii="Arial" w:hAnsi="Arial"/>
          <w:kern w:val="2"/>
          <w:sz w:val="21"/>
        </w:rPr>
        <w:t>、</w:t>
      </w:r>
      <w:r>
        <w:rPr>
          <w:rFonts w:ascii="Arial" w:hAnsi="Arial"/>
          <w:kern w:val="2"/>
          <w:sz w:val="21"/>
        </w:rPr>
        <w:t>044</w:t>
      </w:r>
      <w:r>
        <w:rPr>
          <w:rFonts w:ascii="Arial" w:hAnsi="Arial"/>
          <w:kern w:val="2"/>
          <w:sz w:val="21"/>
        </w:rPr>
        <w:t>、</w:t>
      </w:r>
      <w:r>
        <w:rPr>
          <w:rFonts w:ascii="Arial" w:hAnsi="Arial"/>
          <w:kern w:val="2"/>
          <w:sz w:val="21"/>
        </w:rPr>
        <w:t>047</w:t>
      </w:r>
      <w:r>
        <w:rPr>
          <w:rFonts w:ascii="Arial" w:hAnsi="Arial" w:hint="eastAsia"/>
          <w:kern w:val="2"/>
          <w:sz w:val="21"/>
        </w:rPr>
        <w:t>号三个地块组成，项目总建筑面积</w:t>
      </w:r>
      <w:r>
        <w:rPr>
          <w:rFonts w:ascii="Arial" w:hAnsi="Arial" w:hint="eastAsia"/>
          <w:kern w:val="2"/>
          <w:sz w:val="21"/>
        </w:rPr>
        <w:t>301466.92</w:t>
      </w:r>
      <w:r>
        <w:rPr>
          <w:rFonts w:ascii="Arial" w:hAnsi="Arial" w:hint="eastAsia"/>
          <w:kern w:val="2"/>
          <w:sz w:val="21"/>
        </w:rPr>
        <w:t>平方米，地上建筑面积</w:t>
      </w:r>
      <w:r>
        <w:rPr>
          <w:rFonts w:ascii="Arial" w:hAnsi="Arial" w:hint="eastAsia"/>
          <w:kern w:val="2"/>
          <w:sz w:val="21"/>
        </w:rPr>
        <w:t>179120.40</w:t>
      </w:r>
      <w:r>
        <w:rPr>
          <w:rFonts w:ascii="Arial" w:hAnsi="Arial" w:hint="eastAsia"/>
          <w:kern w:val="2"/>
          <w:sz w:val="21"/>
        </w:rPr>
        <w:t>平方米（包含</w:t>
      </w:r>
      <w:proofErr w:type="gramStart"/>
      <w:r>
        <w:rPr>
          <w:rFonts w:ascii="Arial" w:hAnsi="Arial" w:hint="eastAsia"/>
          <w:kern w:val="2"/>
          <w:sz w:val="21"/>
        </w:rPr>
        <w:t>自持</w:t>
      </w:r>
      <w:proofErr w:type="gramEnd"/>
      <w:r>
        <w:rPr>
          <w:rFonts w:ascii="Arial" w:hAnsi="Arial" w:hint="eastAsia"/>
          <w:kern w:val="2"/>
          <w:sz w:val="21"/>
        </w:rPr>
        <w:t>商业和销售商业），地下商业建筑面积</w:t>
      </w:r>
      <w:r>
        <w:rPr>
          <w:rFonts w:ascii="Arial" w:hAnsi="Arial" w:hint="eastAsia"/>
          <w:kern w:val="2"/>
          <w:sz w:val="21"/>
        </w:rPr>
        <w:t>37795.93</w:t>
      </w:r>
      <w:r>
        <w:rPr>
          <w:rFonts w:ascii="Arial" w:hAnsi="Arial" w:hint="eastAsia"/>
          <w:kern w:val="2"/>
          <w:sz w:val="21"/>
        </w:rPr>
        <w:t>平方米，地下车库建筑面积</w:t>
      </w:r>
      <w:r>
        <w:rPr>
          <w:rFonts w:ascii="Arial" w:hAnsi="Arial" w:hint="eastAsia"/>
          <w:kern w:val="2"/>
          <w:sz w:val="21"/>
        </w:rPr>
        <w:t>84550.59</w:t>
      </w:r>
      <w:r>
        <w:rPr>
          <w:rFonts w:ascii="Arial" w:hAnsi="Arial" w:hint="eastAsia"/>
          <w:kern w:val="2"/>
          <w:sz w:val="21"/>
        </w:rPr>
        <w:t>平方米</w:t>
      </w:r>
      <w:r>
        <w:rPr>
          <w:rFonts w:ascii="Arial" w:hAnsi="Arial" w:cs="Arial" w:hint="eastAsia"/>
          <w:sz w:val="21"/>
          <w:szCs w:val="21"/>
        </w:rPr>
        <w:t>‌。</w:t>
      </w:r>
    </w:p>
    <w:p w14:paraId="5EA7845B" w14:textId="77777777" w:rsidR="00000000" w:rsidRDefault="00000000">
      <w:pPr>
        <w:wordWrap w:val="0"/>
        <w:overflowPunct w:val="0"/>
        <w:spacing w:line="480" w:lineRule="auto"/>
        <w:ind w:firstLineChars="200" w:firstLine="420"/>
        <w:jc w:val="both"/>
        <w:textAlignment w:val="auto"/>
        <w:rPr>
          <w:rFonts w:ascii="Arial" w:hAnsi="Arial" w:hint="eastAsia"/>
          <w:bCs/>
          <w:sz w:val="21"/>
        </w:rPr>
      </w:pPr>
      <w:r>
        <w:rPr>
          <w:rFonts w:ascii="Arial" w:hAnsi="Arial" w:hint="eastAsia"/>
          <w:kern w:val="2"/>
          <w:sz w:val="21"/>
        </w:rPr>
        <w:t>估价对象为</w:t>
      </w:r>
      <w:r>
        <w:rPr>
          <w:rFonts w:ascii="Arial" w:hAnsi="Arial" w:cs="Arial" w:hint="eastAsia"/>
          <w:kern w:val="2"/>
          <w:sz w:val="21"/>
          <w:szCs w:val="21"/>
        </w:rPr>
        <w:t>北京市房山区阜盛西街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号楼地上</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29</w:t>
      </w:r>
      <w:r>
        <w:rPr>
          <w:rFonts w:ascii="Arial" w:hAnsi="Arial" w:cs="Arial" w:hint="eastAsia"/>
          <w:kern w:val="2"/>
          <w:sz w:val="21"/>
          <w:szCs w:val="21"/>
        </w:rPr>
        <w:t>套商业用房，总建筑面积</w:t>
      </w:r>
      <w:r>
        <w:rPr>
          <w:rFonts w:ascii="Arial" w:hAnsi="Arial" w:cs="Arial" w:hint="eastAsia"/>
          <w:kern w:val="2"/>
          <w:sz w:val="21"/>
          <w:szCs w:val="21"/>
        </w:rPr>
        <w:t>24871.67</w:t>
      </w:r>
      <w:r>
        <w:rPr>
          <w:rFonts w:ascii="Arial" w:hAnsi="Arial" w:cs="Arial" w:hint="eastAsia"/>
          <w:kern w:val="2"/>
          <w:sz w:val="21"/>
          <w:szCs w:val="21"/>
        </w:rPr>
        <w:t>平方米，</w:t>
      </w:r>
      <w:r>
        <w:rPr>
          <w:rFonts w:ascii="Arial" w:hAnsi="Arial" w:hint="eastAsia"/>
          <w:kern w:val="2"/>
          <w:sz w:val="21"/>
        </w:rPr>
        <w:t>其中，</w:t>
      </w:r>
      <w:r>
        <w:rPr>
          <w:rFonts w:ascii="Arial" w:hAnsi="Arial" w:hint="eastAsia"/>
          <w:kern w:val="2"/>
          <w:sz w:val="21"/>
        </w:rPr>
        <w:t>042</w:t>
      </w:r>
      <w:r>
        <w:rPr>
          <w:rFonts w:ascii="Arial" w:hAnsi="Arial" w:hint="eastAsia"/>
          <w:kern w:val="2"/>
          <w:sz w:val="21"/>
        </w:rPr>
        <w:t>地块中包含</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号楼（总层数为</w:t>
      </w:r>
      <w:r>
        <w:rPr>
          <w:rFonts w:ascii="Arial" w:hAnsi="Arial" w:cs="Arial" w:hint="eastAsia"/>
          <w:kern w:val="2"/>
          <w:sz w:val="21"/>
          <w:szCs w:val="21"/>
        </w:rPr>
        <w:t>2</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）层），地上</w:t>
      </w:r>
      <w:r>
        <w:rPr>
          <w:rFonts w:ascii="Arial" w:hAnsi="Arial" w:cs="Arial" w:hint="eastAsia"/>
          <w:kern w:val="2"/>
          <w:sz w:val="21"/>
          <w:szCs w:val="21"/>
        </w:rPr>
        <w:t>1-2</w:t>
      </w:r>
      <w:r>
        <w:rPr>
          <w:rFonts w:ascii="Arial" w:hAnsi="Arial" w:cs="Arial" w:hint="eastAsia"/>
          <w:kern w:val="2"/>
          <w:sz w:val="21"/>
          <w:szCs w:val="21"/>
        </w:rPr>
        <w:t>层共</w:t>
      </w:r>
      <w:r>
        <w:rPr>
          <w:rFonts w:ascii="Arial" w:hAnsi="Arial" w:cs="Arial" w:hint="eastAsia"/>
          <w:kern w:val="2"/>
          <w:sz w:val="21"/>
          <w:szCs w:val="21"/>
        </w:rPr>
        <w:t>7</w:t>
      </w:r>
      <w:r>
        <w:rPr>
          <w:rFonts w:ascii="Arial" w:hAnsi="Arial" w:cs="Arial" w:hint="eastAsia"/>
          <w:kern w:val="2"/>
          <w:sz w:val="21"/>
          <w:szCs w:val="21"/>
        </w:rPr>
        <w:t>套商业用房，总建筑面积</w:t>
      </w:r>
      <w:r>
        <w:rPr>
          <w:rFonts w:ascii="Arial" w:hAnsi="Arial" w:cs="Arial" w:hint="eastAsia"/>
          <w:kern w:val="2"/>
          <w:sz w:val="21"/>
          <w:szCs w:val="21"/>
        </w:rPr>
        <w:t>5287.83</w:t>
      </w:r>
      <w:r>
        <w:rPr>
          <w:rFonts w:ascii="Arial" w:hAnsi="Arial" w:cs="Arial" w:hint="eastAsia"/>
          <w:kern w:val="2"/>
          <w:sz w:val="21"/>
          <w:szCs w:val="21"/>
        </w:rPr>
        <w:t>平方米；</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6</w:t>
      </w:r>
      <w:r>
        <w:rPr>
          <w:rFonts w:ascii="Arial" w:hAnsi="Arial" w:cs="Arial" w:hint="eastAsia"/>
          <w:kern w:val="2"/>
          <w:sz w:val="21"/>
          <w:szCs w:val="21"/>
        </w:rPr>
        <w:t>号楼（总层数为</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）层），地下</w:t>
      </w:r>
      <w:r>
        <w:rPr>
          <w:rFonts w:ascii="Arial" w:hAnsi="Arial" w:cs="Arial" w:hint="eastAsia"/>
          <w:kern w:val="2"/>
          <w:sz w:val="21"/>
          <w:szCs w:val="21"/>
        </w:rPr>
        <w:t>1</w:t>
      </w:r>
      <w:r>
        <w:rPr>
          <w:rFonts w:ascii="Arial" w:hAnsi="Arial" w:cs="Arial" w:hint="eastAsia"/>
          <w:kern w:val="2"/>
          <w:sz w:val="21"/>
          <w:szCs w:val="21"/>
        </w:rPr>
        <w:t>层共</w:t>
      </w:r>
      <w:r>
        <w:rPr>
          <w:rFonts w:ascii="Arial" w:hAnsi="Arial" w:cs="Arial" w:hint="eastAsia"/>
          <w:kern w:val="2"/>
          <w:sz w:val="21"/>
          <w:szCs w:val="21"/>
        </w:rPr>
        <w:t>9</w:t>
      </w:r>
      <w:r>
        <w:rPr>
          <w:rFonts w:ascii="Arial" w:hAnsi="Arial" w:cs="Arial" w:hint="eastAsia"/>
          <w:kern w:val="2"/>
          <w:sz w:val="21"/>
          <w:szCs w:val="21"/>
        </w:rPr>
        <w:t>套商业用房，总建筑面积</w:t>
      </w:r>
      <w:r>
        <w:rPr>
          <w:rFonts w:ascii="Arial" w:hAnsi="Arial" w:cs="Arial" w:hint="eastAsia"/>
          <w:kern w:val="2"/>
          <w:sz w:val="21"/>
          <w:szCs w:val="21"/>
        </w:rPr>
        <w:t>8822.48</w:t>
      </w:r>
      <w:r>
        <w:rPr>
          <w:rFonts w:ascii="Arial" w:hAnsi="Arial" w:cs="Arial" w:hint="eastAsia"/>
          <w:kern w:val="2"/>
          <w:sz w:val="21"/>
          <w:szCs w:val="21"/>
        </w:rPr>
        <w:t>平方米，于</w:t>
      </w:r>
      <w:r>
        <w:rPr>
          <w:rFonts w:ascii="Arial" w:hAnsi="Arial" w:cs="Arial" w:hint="eastAsia"/>
          <w:kern w:val="2"/>
          <w:sz w:val="21"/>
          <w:szCs w:val="21"/>
        </w:rPr>
        <w:t>2021</w:t>
      </w:r>
      <w:r>
        <w:rPr>
          <w:rFonts w:ascii="Arial" w:hAnsi="Arial" w:cs="Arial" w:hint="eastAsia"/>
          <w:kern w:val="2"/>
          <w:sz w:val="21"/>
          <w:szCs w:val="21"/>
        </w:rPr>
        <w:t>年办理竣工验收</w:t>
      </w:r>
      <w:r>
        <w:rPr>
          <w:rFonts w:ascii="Arial" w:hAnsi="Arial" w:hint="eastAsia"/>
          <w:bCs/>
          <w:sz w:val="21"/>
        </w:rPr>
        <w:t>。</w:t>
      </w:r>
      <w:r>
        <w:rPr>
          <w:rFonts w:ascii="Arial" w:hAnsi="Arial" w:hint="eastAsia"/>
          <w:bCs/>
          <w:sz w:val="21"/>
        </w:rPr>
        <w:t>0</w:t>
      </w:r>
      <w:r>
        <w:rPr>
          <w:rFonts w:ascii="Arial" w:hAnsi="Arial"/>
          <w:bCs/>
          <w:sz w:val="21"/>
        </w:rPr>
        <w:t>44</w:t>
      </w:r>
      <w:r>
        <w:rPr>
          <w:rFonts w:ascii="Arial" w:hAnsi="Arial" w:hint="eastAsia"/>
          <w:bCs/>
          <w:sz w:val="21"/>
        </w:rPr>
        <w:t>地块中包含</w:t>
      </w:r>
      <w:r>
        <w:rPr>
          <w:rFonts w:ascii="Arial" w:hAnsi="Arial" w:cs="Arial" w:hint="eastAsia"/>
          <w:kern w:val="2"/>
          <w:sz w:val="21"/>
          <w:szCs w:val="21"/>
        </w:rPr>
        <w:t>长于大街</w:t>
      </w:r>
      <w:r>
        <w:rPr>
          <w:rFonts w:ascii="Arial" w:hAnsi="Arial" w:cs="Arial" w:hint="eastAsia"/>
          <w:kern w:val="2"/>
          <w:sz w:val="21"/>
          <w:szCs w:val="21"/>
        </w:rPr>
        <w:t>28</w:t>
      </w:r>
      <w:r>
        <w:rPr>
          <w:rFonts w:ascii="Arial" w:hAnsi="Arial" w:cs="Arial" w:hint="eastAsia"/>
          <w:kern w:val="2"/>
          <w:sz w:val="21"/>
          <w:szCs w:val="21"/>
        </w:rPr>
        <w:t>号院</w:t>
      </w:r>
      <w:r>
        <w:rPr>
          <w:rFonts w:ascii="Arial" w:hAnsi="Arial" w:cs="Arial" w:hint="eastAsia"/>
          <w:kern w:val="2"/>
          <w:sz w:val="21"/>
          <w:szCs w:val="21"/>
        </w:rPr>
        <w:t>100</w:t>
      </w:r>
      <w:r>
        <w:rPr>
          <w:rFonts w:ascii="Arial" w:hAnsi="Arial" w:cs="Arial" w:hint="eastAsia"/>
          <w:kern w:val="2"/>
          <w:sz w:val="21"/>
          <w:szCs w:val="21"/>
        </w:rPr>
        <w:t>幢（总层数为</w:t>
      </w:r>
      <w:r>
        <w:rPr>
          <w:rFonts w:ascii="Arial" w:hAnsi="Arial" w:cs="Arial" w:hint="eastAsia"/>
          <w:kern w:val="2"/>
          <w:sz w:val="21"/>
          <w:szCs w:val="21"/>
        </w:rPr>
        <w:t>-2</w:t>
      </w:r>
      <w:r>
        <w:rPr>
          <w:rFonts w:ascii="Arial" w:hAnsi="Arial" w:cs="Arial" w:hint="eastAsia"/>
          <w:kern w:val="2"/>
          <w:sz w:val="21"/>
          <w:szCs w:val="21"/>
        </w:rPr>
        <w:t>层），地下</w:t>
      </w:r>
      <w:r>
        <w:rPr>
          <w:rFonts w:ascii="Arial" w:hAnsi="Arial" w:cs="Arial" w:hint="eastAsia"/>
          <w:kern w:val="2"/>
          <w:sz w:val="21"/>
          <w:szCs w:val="21"/>
        </w:rPr>
        <w:t>1</w:t>
      </w:r>
      <w:r>
        <w:rPr>
          <w:rFonts w:ascii="Arial" w:hAnsi="Arial" w:cs="Arial" w:hint="eastAsia"/>
          <w:kern w:val="2"/>
          <w:sz w:val="21"/>
          <w:szCs w:val="21"/>
        </w:rPr>
        <w:t>层共</w:t>
      </w:r>
      <w:r>
        <w:rPr>
          <w:rFonts w:ascii="Arial" w:hAnsi="Arial" w:cs="Arial" w:hint="eastAsia"/>
          <w:kern w:val="2"/>
          <w:sz w:val="21"/>
          <w:szCs w:val="21"/>
        </w:rPr>
        <w:t>7</w:t>
      </w:r>
      <w:r>
        <w:rPr>
          <w:rFonts w:ascii="Arial" w:hAnsi="Arial" w:cs="Arial" w:hint="eastAsia"/>
          <w:kern w:val="2"/>
          <w:sz w:val="21"/>
          <w:szCs w:val="21"/>
        </w:rPr>
        <w:t>套商业用房，总建筑面积</w:t>
      </w:r>
      <w:r>
        <w:rPr>
          <w:rFonts w:ascii="Arial" w:hAnsi="Arial" w:cs="Arial" w:hint="eastAsia"/>
          <w:kern w:val="2"/>
          <w:sz w:val="21"/>
          <w:szCs w:val="21"/>
        </w:rPr>
        <w:t>5976.27</w:t>
      </w:r>
      <w:r>
        <w:rPr>
          <w:rFonts w:ascii="Arial" w:hAnsi="Arial" w:cs="Arial" w:hint="eastAsia"/>
          <w:kern w:val="2"/>
          <w:sz w:val="21"/>
          <w:szCs w:val="21"/>
        </w:rPr>
        <w:t>平方米，于</w:t>
      </w:r>
      <w:r>
        <w:rPr>
          <w:rFonts w:ascii="Arial" w:hAnsi="Arial" w:cs="Arial" w:hint="eastAsia"/>
          <w:kern w:val="2"/>
          <w:sz w:val="21"/>
          <w:szCs w:val="21"/>
        </w:rPr>
        <w:t>2021</w:t>
      </w:r>
      <w:r>
        <w:rPr>
          <w:rFonts w:ascii="Arial" w:hAnsi="Arial" w:cs="Arial" w:hint="eastAsia"/>
          <w:kern w:val="2"/>
          <w:sz w:val="21"/>
          <w:szCs w:val="21"/>
        </w:rPr>
        <w:t>年办理竣工验收</w:t>
      </w:r>
      <w:r>
        <w:rPr>
          <w:rFonts w:ascii="Arial" w:hAnsi="Arial" w:hint="eastAsia"/>
          <w:bCs/>
          <w:sz w:val="21"/>
        </w:rPr>
        <w:t>。</w:t>
      </w:r>
      <w:r>
        <w:rPr>
          <w:rFonts w:ascii="Arial" w:hAnsi="Arial" w:hint="eastAsia"/>
          <w:color w:val="000000"/>
          <w:kern w:val="2"/>
          <w:sz w:val="21"/>
        </w:rPr>
        <w:t>长阳镇</w:t>
      </w:r>
      <w:r>
        <w:rPr>
          <w:rFonts w:ascii="Arial" w:hAnsi="Arial" w:hint="eastAsia"/>
          <w:color w:val="000000"/>
          <w:kern w:val="2"/>
          <w:sz w:val="21"/>
        </w:rPr>
        <w:t>FS00-LX10-0044</w:t>
      </w:r>
      <w:r>
        <w:rPr>
          <w:rFonts w:ascii="Arial" w:hAnsi="Arial" w:hint="eastAsia"/>
          <w:color w:val="000000"/>
          <w:kern w:val="2"/>
          <w:sz w:val="21"/>
        </w:rPr>
        <w:t>地块</w:t>
      </w:r>
      <w:r>
        <w:rPr>
          <w:rFonts w:ascii="Arial" w:hAnsi="Arial" w:hint="eastAsia"/>
          <w:color w:val="000000"/>
          <w:kern w:val="2"/>
          <w:sz w:val="21"/>
        </w:rPr>
        <w:t>6</w:t>
      </w:r>
      <w:r>
        <w:rPr>
          <w:rFonts w:ascii="Arial" w:hAnsi="Arial" w:hint="eastAsia"/>
          <w:color w:val="000000"/>
          <w:kern w:val="2"/>
          <w:sz w:val="21"/>
        </w:rPr>
        <w:t>号商业楼（测绘地址）（</w:t>
      </w:r>
      <w:r>
        <w:rPr>
          <w:rFonts w:ascii="Arial" w:hAnsi="Arial" w:cs="Arial" w:hint="eastAsia"/>
          <w:kern w:val="2"/>
          <w:sz w:val="21"/>
          <w:szCs w:val="21"/>
        </w:rPr>
        <w:t>总层数为</w:t>
      </w:r>
      <w:r>
        <w:rPr>
          <w:rFonts w:ascii="Arial" w:hAnsi="Arial" w:cs="Arial" w:hint="eastAsia"/>
          <w:kern w:val="2"/>
          <w:sz w:val="21"/>
          <w:szCs w:val="21"/>
        </w:rPr>
        <w:t>2</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）层），地上</w:t>
      </w:r>
      <w:r>
        <w:rPr>
          <w:rFonts w:ascii="Arial" w:hAnsi="Arial" w:cs="Arial" w:hint="eastAsia"/>
          <w:kern w:val="2"/>
          <w:sz w:val="21"/>
          <w:szCs w:val="21"/>
        </w:rPr>
        <w:t>1-2</w:t>
      </w:r>
      <w:r>
        <w:rPr>
          <w:rFonts w:ascii="Arial" w:hAnsi="Arial" w:cs="Arial" w:hint="eastAsia"/>
          <w:kern w:val="2"/>
          <w:sz w:val="21"/>
          <w:szCs w:val="21"/>
        </w:rPr>
        <w:t>层</w:t>
      </w:r>
      <w:r>
        <w:rPr>
          <w:rFonts w:ascii="Arial" w:hAnsi="Arial" w:hint="eastAsia"/>
          <w:bCs/>
          <w:sz w:val="21"/>
        </w:rPr>
        <w:t>共</w:t>
      </w:r>
      <w:r>
        <w:rPr>
          <w:rFonts w:ascii="Arial" w:hAnsi="Arial" w:hint="eastAsia"/>
          <w:bCs/>
          <w:sz w:val="21"/>
        </w:rPr>
        <w:t>6</w:t>
      </w:r>
      <w:r>
        <w:rPr>
          <w:rFonts w:ascii="Arial" w:hAnsi="Arial" w:hint="eastAsia"/>
          <w:bCs/>
          <w:sz w:val="21"/>
        </w:rPr>
        <w:t>套商业用房，总建筑面积</w:t>
      </w:r>
      <w:r>
        <w:rPr>
          <w:rFonts w:ascii="Arial" w:hAnsi="Arial" w:hint="eastAsia"/>
          <w:bCs/>
          <w:sz w:val="21"/>
        </w:rPr>
        <w:t>4785.09</w:t>
      </w:r>
      <w:r>
        <w:rPr>
          <w:rFonts w:ascii="Arial" w:hAnsi="Arial" w:hint="eastAsia"/>
          <w:bCs/>
          <w:sz w:val="21"/>
        </w:rPr>
        <w:t>平方米，现尚未办理不动产权证书，</w:t>
      </w:r>
      <w:commentRangeStart w:id="30"/>
      <w:r>
        <w:rPr>
          <w:rFonts w:ascii="Arial" w:hAnsi="Arial" w:hint="eastAsia"/>
          <w:bCs/>
          <w:sz w:val="21"/>
        </w:rPr>
        <w:t>但已</w:t>
      </w:r>
      <w:proofErr w:type="gramStart"/>
      <w:r>
        <w:rPr>
          <w:rFonts w:ascii="Arial" w:hAnsi="Arial" w:hint="eastAsia"/>
          <w:bCs/>
          <w:sz w:val="21"/>
        </w:rPr>
        <w:t>具备竣备条件</w:t>
      </w:r>
      <w:proofErr w:type="gramEnd"/>
      <w:r>
        <w:rPr>
          <w:rFonts w:ascii="Arial" w:hAnsi="Arial" w:hint="eastAsia"/>
          <w:bCs/>
          <w:sz w:val="21"/>
        </w:rPr>
        <w:t>。</w:t>
      </w:r>
      <w:commentRangeEnd w:id="30"/>
      <w:r w:rsidR="00690E7D">
        <w:rPr>
          <w:rStyle w:val="af9"/>
        </w:rPr>
        <w:commentReference w:id="30"/>
      </w:r>
      <w:r>
        <w:rPr>
          <w:rFonts w:ascii="Arial" w:hAnsi="Arial" w:hint="eastAsia"/>
          <w:bCs/>
          <w:sz w:val="21"/>
        </w:rPr>
        <w:t>估价对象地上商业多位于地块内部，主要分布在地上</w:t>
      </w:r>
      <w:r>
        <w:rPr>
          <w:rFonts w:ascii="Arial" w:hAnsi="Arial" w:hint="eastAsia"/>
          <w:bCs/>
          <w:sz w:val="21"/>
        </w:rPr>
        <w:t>1-2</w:t>
      </w:r>
      <w:r>
        <w:rPr>
          <w:rFonts w:ascii="Arial" w:hAnsi="Arial" w:hint="eastAsia"/>
          <w:bCs/>
          <w:sz w:val="21"/>
        </w:rPr>
        <w:t>层商业。地下商业多属于下沉式商业、封闭式地下商业，出入口有限，通达性较差，</w:t>
      </w:r>
      <w:proofErr w:type="gramStart"/>
      <w:r>
        <w:rPr>
          <w:rFonts w:ascii="Arial" w:hAnsi="Arial" w:hint="eastAsia"/>
          <w:bCs/>
          <w:sz w:val="21"/>
        </w:rPr>
        <w:t>展示面遮挡</w:t>
      </w:r>
      <w:proofErr w:type="gramEnd"/>
      <w:r>
        <w:rPr>
          <w:rFonts w:ascii="Arial" w:hAnsi="Arial" w:hint="eastAsia"/>
          <w:bCs/>
          <w:sz w:val="21"/>
        </w:rPr>
        <w:t>严重，可视性较差。所属</w:t>
      </w:r>
      <w:r>
        <w:rPr>
          <w:rFonts w:ascii="Arial" w:hAnsi="Arial" w:hint="eastAsia"/>
          <w:kern w:val="2"/>
          <w:sz w:val="21"/>
        </w:rPr>
        <w:t>楼栋建筑结构均为钢混，</w:t>
      </w:r>
      <w:r>
        <w:rPr>
          <w:rFonts w:ascii="Arial" w:hAnsi="Arial" w:hint="eastAsia"/>
          <w:bCs/>
          <w:sz w:val="21"/>
        </w:rPr>
        <w:t>项目外立面装修均以金属外挂板为主，层高约</w:t>
      </w:r>
      <w:r>
        <w:rPr>
          <w:rFonts w:ascii="Arial" w:hAnsi="Arial" w:hint="eastAsia"/>
          <w:bCs/>
          <w:sz w:val="21"/>
        </w:rPr>
        <w:t>6</w:t>
      </w:r>
      <w:r>
        <w:rPr>
          <w:rFonts w:ascii="Arial" w:hAnsi="Arial" w:hint="eastAsia"/>
          <w:bCs/>
          <w:sz w:val="21"/>
        </w:rPr>
        <w:t>米，地上商业用房使用率约</w:t>
      </w:r>
      <w:r>
        <w:rPr>
          <w:rFonts w:ascii="Arial" w:hAnsi="Arial" w:hint="eastAsia"/>
          <w:bCs/>
          <w:sz w:val="21"/>
        </w:rPr>
        <w:t>75%-85%</w:t>
      </w:r>
      <w:r>
        <w:rPr>
          <w:rFonts w:ascii="Arial" w:hAnsi="Arial" w:hint="eastAsia"/>
          <w:bCs/>
          <w:sz w:val="21"/>
        </w:rPr>
        <w:t>，地下商业用房使用率约</w:t>
      </w:r>
      <w:r>
        <w:rPr>
          <w:rFonts w:ascii="Arial" w:hAnsi="Arial" w:hint="eastAsia"/>
          <w:bCs/>
          <w:sz w:val="21"/>
        </w:rPr>
        <w:t>60%-65%</w:t>
      </w:r>
      <w:r>
        <w:rPr>
          <w:rFonts w:ascii="Arial" w:hAnsi="Arial" w:hint="eastAsia"/>
          <w:bCs/>
          <w:sz w:val="21"/>
        </w:rPr>
        <w:t>，内部装修均为毛坯。</w:t>
      </w:r>
    </w:p>
    <w:p w14:paraId="5B8D898C" w14:textId="77777777" w:rsidR="00000000" w:rsidRDefault="00000000">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hint="eastAsia"/>
          <w:bCs/>
          <w:sz w:val="21"/>
        </w:rPr>
        <w:t>根据评估专业人员实地查勘，估价对象商业用房现状处于空置状态，未来用作出租经营使用，内部为毛坯，房屋维护情况良好。</w:t>
      </w:r>
    </w:p>
    <w:p w14:paraId="5FE2AEAD" w14:textId="77777777" w:rsidR="00000000"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8225817"/>
      <w:bookmarkStart w:id="32" w:name="_Toc477252445"/>
      <w:r>
        <w:rPr>
          <w:rFonts w:eastAsia="宋体"/>
          <w:kern w:val="2"/>
          <w:sz w:val="21"/>
          <w:szCs w:val="21"/>
        </w:rPr>
        <w:t>五</w:t>
      </w:r>
      <w:bookmarkEnd w:id="31"/>
      <w:r>
        <w:rPr>
          <w:rFonts w:eastAsia="宋体"/>
          <w:kern w:val="2"/>
          <w:sz w:val="21"/>
          <w:szCs w:val="21"/>
        </w:rPr>
        <w:t>、价值时点</w:t>
      </w:r>
      <w:bookmarkEnd w:id="32"/>
    </w:p>
    <w:p w14:paraId="1654157E" w14:textId="77777777" w:rsidR="00000000" w:rsidRDefault="00000000">
      <w:pPr>
        <w:pStyle w:val="ab"/>
        <w:wordWrap w:val="0"/>
        <w:overflowPunct w:val="0"/>
        <w:spacing w:line="480" w:lineRule="auto"/>
        <w:ind w:firstLineChars="200" w:firstLine="420"/>
        <w:textAlignment w:val="auto"/>
        <w:rPr>
          <w:rFonts w:ascii="Arial" w:hAnsi="Arial" w:cs="Arial"/>
          <w:sz w:val="21"/>
          <w:szCs w:val="21"/>
        </w:rPr>
      </w:pPr>
      <w:r>
        <w:rPr>
          <w:rFonts w:ascii="Arial" w:eastAsia="宋体" w:hAnsi="Arial" w:cs="Arial" w:hint="eastAsia"/>
          <w:b w:val="0"/>
          <w:bCs/>
          <w:sz w:val="21"/>
          <w:szCs w:val="21"/>
        </w:rPr>
        <w:t>根据《估价委托书》，本次评估价值时点为</w:t>
      </w:r>
      <w:r>
        <w:rPr>
          <w:rFonts w:ascii="Arial" w:eastAsia="宋体" w:hAnsi="Arial" w:cs="Arial" w:hint="eastAsia"/>
          <w:b w:val="0"/>
          <w:bCs/>
          <w:sz w:val="21"/>
          <w:szCs w:val="21"/>
        </w:rPr>
        <w:t>2026</w:t>
      </w:r>
      <w:r>
        <w:rPr>
          <w:rFonts w:ascii="Arial" w:eastAsia="宋体" w:hAnsi="Arial" w:cs="Arial" w:hint="eastAsia"/>
          <w:b w:val="0"/>
          <w:bCs/>
          <w:sz w:val="21"/>
          <w:szCs w:val="21"/>
        </w:rPr>
        <w:t>年</w:t>
      </w:r>
      <w:r>
        <w:rPr>
          <w:rFonts w:ascii="Arial" w:eastAsia="宋体" w:hAnsi="Arial" w:cs="Arial" w:hint="eastAsia"/>
          <w:b w:val="0"/>
          <w:bCs/>
          <w:sz w:val="21"/>
          <w:szCs w:val="21"/>
        </w:rPr>
        <w:t>1</w:t>
      </w:r>
      <w:r>
        <w:rPr>
          <w:rFonts w:ascii="Arial" w:eastAsia="宋体" w:hAnsi="Arial" w:cs="Arial" w:hint="eastAsia"/>
          <w:b w:val="0"/>
          <w:bCs/>
          <w:sz w:val="21"/>
          <w:szCs w:val="21"/>
        </w:rPr>
        <w:t>月</w:t>
      </w:r>
      <w:r>
        <w:rPr>
          <w:rFonts w:ascii="Arial" w:eastAsia="宋体" w:hAnsi="Arial" w:cs="Arial" w:hint="eastAsia"/>
          <w:b w:val="0"/>
          <w:bCs/>
          <w:sz w:val="21"/>
          <w:szCs w:val="21"/>
        </w:rPr>
        <w:t>14</w:t>
      </w:r>
      <w:r>
        <w:rPr>
          <w:rFonts w:ascii="Arial" w:eastAsia="宋体" w:hAnsi="Arial" w:cs="Arial" w:hint="eastAsia"/>
          <w:b w:val="0"/>
          <w:bCs/>
          <w:sz w:val="21"/>
          <w:szCs w:val="21"/>
        </w:rPr>
        <w:t>日，且为评估专业人员实地查勘之日。</w:t>
      </w:r>
    </w:p>
    <w:p w14:paraId="32C932CE" w14:textId="77777777" w:rsidR="00000000"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68225818"/>
      <w:bookmarkStart w:id="34" w:name="_Toc477252446"/>
      <w:r>
        <w:rPr>
          <w:rFonts w:eastAsia="宋体"/>
          <w:kern w:val="2"/>
          <w:sz w:val="21"/>
          <w:szCs w:val="21"/>
        </w:rPr>
        <w:t>六</w:t>
      </w:r>
      <w:bookmarkEnd w:id="33"/>
      <w:r>
        <w:rPr>
          <w:rFonts w:eastAsia="宋体"/>
          <w:kern w:val="2"/>
          <w:sz w:val="21"/>
          <w:szCs w:val="21"/>
        </w:rPr>
        <w:t>、价值类型</w:t>
      </w:r>
      <w:bookmarkEnd w:id="34"/>
    </w:p>
    <w:p w14:paraId="6BAECCDE" w14:textId="77777777" w:rsidR="00000000" w:rsidRDefault="00000000">
      <w:pPr>
        <w:spacing w:line="480" w:lineRule="auto"/>
        <w:ind w:firstLineChars="196" w:firstLine="412"/>
        <w:jc w:val="both"/>
        <w:rPr>
          <w:rFonts w:eastAsia="楷体_GB2312" w:hint="eastAsia"/>
          <w:sz w:val="28"/>
          <w:szCs w:val="28"/>
        </w:rPr>
      </w:pPr>
      <w:r>
        <w:rPr>
          <w:rFonts w:ascii="Arial" w:hAnsi="Arial" w:hint="eastAsia"/>
          <w:bCs/>
          <w:sz w:val="21"/>
        </w:rPr>
        <w:t>根据房地产估价规范、国家现行有关标准规定和项目的具体要求，本次评估采用的是</w:t>
      </w:r>
      <w:r>
        <w:rPr>
          <w:rFonts w:ascii="Arial" w:hAnsi="Arial" w:cs="Arial" w:hint="eastAsia"/>
          <w:sz w:val="21"/>
          <w:szCs w:val="21"/>
        </w:rPr>
        <w:t>市场价值</w:t>
      </w:r>
      <w:r>
        <w:rPr>
          <w:rFonts w:ascii="Arial" w:hAnsi="Arial" w:hint="eastAsia"/>
          <w:bCs/>
          <w:sz w:val="21"/>
        </w:rPr>
        <w:t>标准。</w:t>
      </w:r>
      <w:r>
        <w:rPr>
          <w:rFonts w:ascii="Arial" w:hAnsi="Arial"/>
          <w:bCs/>
          <w:sz w:val="21"/>
        </w:rPr>
        <w:t>根据</w:t>
      </w:r>
      <w:r>
        <w:rPr>
          <w:rFonts w:ascii="Arial" w:hAnsi="Arial" w:hint="eastAsia"/>
          <w:bCs/>
          <w:sz w:val="21"/>
        </w:rPr>
        <w:t>《房地产估价基本术语标准》</w:t>
      </w:r>
      <w:r>
        <w:rPr>
          <w:rFonts w:ascii="Arial" w:hAnsi="Arial" w:hint="eastAsia"/>
          <w:bCs/>
          <w:sz w:val="21"/>
        </w:rPr>
        <w:t>[GB/T50899-2013]</w:t>
      </w:r>
      <w:r>
        <w:rPr>
          <w:rFonts w:ascii="Arial" w:hAnsi="Arial" w:hint="eastAsia"/>
          <w:bCs/>
          <w:sz w:val="21"/>
        </w:rPr>
        <w:t>，</w:t>
      </w:r>
      <w:r>
        <w:rPr>
          <w:rFonts w:ascii="Arial" w:hAnsi="Arial"/>
          <w:bCs/>
          <w:sz w:val="21"/>
        </w:rPr>
        <w:t>市场价值是经适当营销后，由熟悉情况、</w:t>
      </w:r>
      <w:r>
        <w:rPr>
          <w:rFonts w:ascii="Arial" w:hAnsi="Arial"/>
          <w:bCs/>
          <w:sz w:val="21"/>
        </w:rPr>
        <w:lastRenderedPageBreak/>
        <w:t>谨慎行事且不受强迫的交易双方，以公平交易方式在价值时点自愿进行交易的金额</w:t>
      </w:r>
      <w:r>
        <w:rPr>
          <w:rFonts w:ascii="Arial" w:hAnsi="Arial" w:hint="eastAsia"/>
          <w:bCs/>
          <w:sz w:val="21"/>
        </w:rPr>
        <w:t>。</w:t>
      </w:r>
    </w:p>
    <w:p w14:paraId="2BF65E28"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”是指在正常市场情况下，在价值时点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hint="eastAsia"/>
          <w:bCs/>
          <w:sz w:val="21"/>
        </w:rPr>
        <w:t>，估价对象规划用途为商业</w:t>
      </w:r>
      <w:r>
        <w:rPr>
          <w:rFonts w:ascii="Arial" w:hAnsi="Arial" w:cs="Arial" w:hint="eastAsia"/>
          <w:sz w:val="21"/>
          <w:szCs w:val="21"/>
        </w:rPr>
        <w:t>，</w:t>
      </w:r>
      <w:r>
        <w:rPr>
          <w:rFonts w:ascii="Arial" w:hAnsi="Arial"/>
          <w:bCs/>
          <w:sz w:val="21"/>
        </w:rPr>
        <w:t>土地取得方式</w:t>
      </w:r>
      <w:r>
        <w:rPr>
          <w:rFonts w:ascii="Arial" w:hAnsi="Arial" w:hint="eastAsia"/>
          <w:bCs/>
          <w:sz w:val="21"/>
        </w:rPr>
        <w:t>为出让的房地产租赁价格，不包含物业管理费、能源费、房地产经纪公司服务费等。</w:t>
      </w:r>
    </w:p>
    <w:p w14:paraId="2586E19A" w14:textId="77777777" w:rsidR="00000000"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5" w:name="_Toc168225819"/>
      <w:bookmarkStart w:id="36" w:name="_Toc477252447"/>
      <w:r>
        <w:rPr>
          <w:rFonts w:eastAsia="宋体"/>
          <w:kern w:val="2"/>
          <w:sz w:val="21"/>
          <w:szCs w:val="21"/>
        </w:rPr>
        <w:t>七、估价原则</w:t>
      </w:r>
      <w:bookmarkEnd w:id="35"/>
      <w:bookmarkEnd w:id="36"/>
    </w:p>
    <w:p w14:paraId="428985D8"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sz w:val="21"/>
          <w:szCs w:val="21"/>
        </w:rPr>
        <w:t>我们在本次估价时遵循了以下原则：</w:t>
      </w:r>
    </w:p>
    <w:p w14:paraId="30E09273"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325F1D98"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05FF2591"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2850DAE2"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40E9D436"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估价对象在价值时点具有合法的产权且用途合法。估价对象</w:t>
      </w:r>
      <w:r>
        <w:rPr>
          <w:rFonts w:ascii="Arial" w:hAnsi="Arial" w:cs="Arial" w:hint="eastAsia"/>
          <w:sz w:val="21"/>
          <w:szCs w:val="21"/>
        </w:rPr>
        <w:t>042</w:t>
      </w:r>
      <w:r>
        <w:rPr>
          <w:rFonts w:ascii="Arial" w:hAnsi="Arial" w:cs="Arial" w:hint="eastAsia"/>
          <w:sz w:val="21"/>
          <w:szCs w:val="21"/>
        </w:rPr>
        <w:t>地块及</w:t>
      </w:r>
      <w:r>
        <w:rPr>
          <w:rFonts w:ascii="Arial" w:hAnsi="Arial" w:cs="Arial" w:hint="eastAsia"/>
          <w:sz w:val="21"/>
          <w:szCs w:val="21"/>
        </w:rPr>
        <w:t>044</w:t>
      </w:r>
      <w:r>
        <w:rPr>
          <w:rFonts w:ascii="Arial" w:hAnsi="Arial" w:cs="Arial" w:hint="eastAsia"/>
          <w:sz w:val="21"/>
          <w:szCs w:val="21"/>
        </w:rPr>
        <w:t>地块地下部分</w:t>
      </w:r>
      <w:r>
        <w:rPr>
          <w:rFonts w:ascii="Arial" w:hAnsi="Arial" w:cs="Arial"/>
          <w:sz w:val="21"/>
          <w:szCs w:val="21"/>
        </w:rPr>
        <w:t>已取得《不动产权证书》</w:t>
      </w:r>
      <w:r>
        <w:rPr>
          <w:rFonts w:ascii="Arial" w:hAnsi="Arial" w:cs="Arial" w:hint="eastAsia"/>
          <w:sz w:val="21"/>
          <w:szCs w:val="21"/>
        </w:rPr>
        <w:t>，</w:t>
      </w:r>
      <w:r>
        <w:rPr>
          <w:rFonts w:ascii="Arial" w:hAnsi="Arial" w:cs="Arial" w:hint="eastAsia"/>
          <w:sz w:val="21"/>
          <w:szCs w:val="21"/>
        </w:rPr>
        <w:t>044</w:t>
      </w:r>
      <w:r>
        <w:rPr>
          <w:rFonts w:ascii="Arial" w:hAnsi="Arial" w:cs="Arial" w:hint="eastAsia"/>
          <w:sz w:val="21"/>
          <w:szCs w:val="21"/>
        </w:rPr>
        <w:t>地块地上部分尚未取得《不动产权证书》</w:t>
      </w:r>
      <w:r>
        <w:rPr>
          <w:rFonts w:ascii="Arial" w:hAnsi="Arial" w:cs="Arial"/>
          <w:sz w:val="21"/>
          <w:szCs w:val="21"/>
        </w:rPr>
        <w:t>。</w:t>
      </w:r>
      <w:r>
        <w:rPr>
          <w:rFonts w:ascii="Arial" w:hAnsi="Arial" w:cs="Arial" w:hint="eastAsia"/>
          <w:sz w:val="21"/>
          <w:szCs w:val="21"/>
        </w:rPr>
        <w:t>根据《估价委托书》，本次评估设定</w:t>
      </w:r>
      <w:r>
        <w:rPr>
          <w:rFonts w:ascii="Arial" w:hAnsi="Arial" w:cs="Arial"/>
          <w:sz w:val="21"/>
          <w:szCs w:val="21"/>
        </w:rPr>
        <w:t>估价对象在价值时点交易或处分方式是合法的。</w:t>
      </w:r>
    </w:p>
    <w:p w14:paraId="657EF9BA"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（三）价值时点原则</w:t>
      </w:r>
    </w:p>
    <w:p w14:paraId="533F33CE"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AB33A81"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8D84A72"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6CACBA3F"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w:t>
      </w:r>
      <w:r>
        <w:rPr>
          <w:rFonts w:ascii="Arial" w:hAnsi="Arial" w:cs="Arial"/>
          <w:sz w:val="21"/>
          <w:szCs w:val="21"/>
        </w:rPr>
        <w:lastRenderedPageBreak/>
        <w:t>的市场价值，才有可能根据市场资料对估价对象进行估价。</w:t>
      </w:r>
    </w:p>
    <w:p w14:paraId="397203FD"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60FD98C"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（五）最高</w:t>
      </w:r>
      <w:proofErr w:type="gramStart"/>
      <w:r>
        <w:rPr>
          <w:rFonts w:ascii="Arial" w:hAnsi="Arial" w:cs="Arial"/>
          <w:b/>
          <w:sz w:val="21"/>
          <w:szCs w:val="21"/>
        </w:rPr>
        <w:t>最佳利用</w:t>
      </w:r>
      <w:proofErr w:type="gramEnd"/>
      <w:r>
        <w:rPr>
          <w:rFonts w:ascii="Arial" w:hAnsi="Arial" w:cs="Arial"/>
          <w:b/>
          <w:sz w:val="21"/>
          <w:szCs w:val="21"/>
        </w:rPr>
        <w:t>原则</w:t>
      </w:r>
    </w:p>
    <w:p w14:paraId="0919CB7F" w14:textId="77777777" w:rsidR="00000000" w:rsidRDefault="00000000">
      <w:pPr>
        <w:wordWrap w:val="0"/>
        <w:overflowPunct w:val="0"/>
        <w:spacing w:line="480" w:lineRule="auto"/>
        <w:ind w:firstLineChars="200" w:firstLine="420"/>
        <w:jc w:val="both"/>
        <w:textAlignment w:val="auto"/>
        <w:rPr>
          <w:rFonts w:ascii="Arial" w:hAnsi="Arial" w:cs="Arial"/>
          <w:b/>
          <w:kern w:val="2"/>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Pr>
          <w:rFonts w:ascii="Arial" w:hAnsi="Arial" w:cs="Arial"/>
          <w:sz w:val="21"/>
          <w:szCs w:val="21"/>
        </w:rPr>
        <w:t>最佳利用</w:t>
      </w:r>
      <w:proofErr w:type="gramEnd"/>
      <w:r>
        <w:rPr>
          <w:rFonts w:ascii="Arial" w:hAnsi="Arial" w:cs="Arial"/>
          <w:sz w:val="21"/>
          <w:szCs w:val="21"/>
        </w:rPr>
        <w:t>是在法律上可行、技术上可能、经济上可行，经过充分合理的论证，能使估价对象价值达到最大、最可能的使用。估价对象</w:t>
      </w:r>
      <w:r>
        <w:rPr>
          <w:rFonts w:ascii="Arial" w:hAnsi="Arial" w:cs="Arial" w:hint="eastAsia"/>
          <w:sz w:val="21"/>
          <w:szCs w:val="21"/>
        </w:rPr>
        <w:t>042</w:t>
      </w:r>
      <w:r>
        <w:rPr>
          <w:rFonts w:ascii="Arial" w:hAnsi="Arial" w:cs="Arial" w:hint="eastAsia"/>
          <w:sz w:val="21"/>
          <w:szCs w:val="21"/>
        </w:rPr>
        <w:t>地块及</w:t>
      </w:r>
      <w:r>
        <w:rPr>
          <w:rFonts w:ascii="Arial" w:hAnsi="Arial" w:cs="Arial" w:hint="eastAsia"/>
          <w:sz w:val="21"/>
          <w:szCs w:val="21"/>
        </w:rPr>
        <w:t>044</w:t>
      </w:r>
      <w:r>
        <w:rPr>
          <w:rFonts w:ascii="Arial" w:hAnsi="Arial" w:cs="Arial" w:hint="eastAsia"/>
          <w:sz w:val="21"/>
          <w:szCs w:val="21"/>
        </w:rPr>
        <w:t>地块地下部分</w:t>
      </w:r>
      <w:r>
        <w:rPr>
          <w:rFonts w:ascii="Arial" w:hAnsi="Arial" w:cs="Arial"/>
          <w:sz w:val="21"/>
          <w:szCs w:val="21"/>
        </w:rPr>
        <w:t>已取得《不动产权证书》</w:t>
      </w:r>
      <w:r>
        <w:rPr>
          <w:rFonts w:ascii="Arial" w:hAnsi="Arial" w:cs="Arial" w:hint="eastAsia"/>
          <w:sz w:val="21"/>
          <w:szCs w:val="21"/>
        </w:rPr>
        <w:t>，</w:t>
      </w:r>
      <w:r>
        <w:rPr>
          <w:rFonts w:ascii="Arial" w:hAnsi="Arial" w:cs="Arial" w:hint="eastAsia"/>
          <w:sz w:val="21"/>
          <w:szCs w:val="21"/>
        </w:rPr>
        <w:t>044</w:t>
      </w:r>
      <w:r>
        <w:rPr>
          <w:rFonts w:ascii="Arial" w:hAnsi="Arial" w:cs="Arial" w:hint="eastAsia"/>
          <w:sz w:val="21"/>
          <w:szCs w:val="21"/>
        </w:rPr>
        <w:t>地块地上部分尚未取得《不动产权证书》</w:t>
      </w:r>
      <w:r>
        <w:rPr>
          <w:rFonts w:ascii="Arial" w:hAnsi="Arial" w:cs="Arial"/>
          <w:sz w:val="21"/>
          <w:szCs w:val="21"/>
        </w:rPr>
        <w:t>。</w:t>
      </w:r>
      <w:r>
        <w:rPr>
          <w:rFonts w:ascii="Arial" w:hAnsi="Arial" w:cs="Arial" w:hint="eastAsia"/>
          <w:sz w:val="21"/>
          <w:szCs w:val="21"/>
        </w:rPr>
        <w:t>根据《估价委托书》，估价对象</w:t>
      </w:r>
      <w:r>
        <w:rPr>
          <w:rFonts w:ascii="Arial" w:hAnsi="Arial" w:cs="Arial"/>
          <w:sz w:val="21"/>
          <w:szCs w:val="21"/>
        </w:rPr>
        <w:t>用途</w:t>
      </w:r>
      <w:r>
        <w:rPr>
          <w:rFonts w:ascii="Arial" w:hAnsi="Arial" w:cs="Arial" w:hint="eastAsia"/>
          <w:sz w:val="21"/>
          <w:szCs w:val="21"/>
        </w:rPr>
        <w:t>均</w:t>
      </w:r>
      <w:r>
        <w:rPr>
          <w:rFonts w:ascii="Arial" w:hAnsi="Arial" w:cs="Arial"/>
          <w:sz w:val="21"/>
          <w:szCs w:val="21"/>
        </w:rPr>
        <w:t>为</w:t>
      </w:r>
      <w:r>
        <w:rPr>
          <w:rFonts w:ascii="Arial" w:hAnsi="Arial" w:cs="Arial" w:hint="eastAsia"/>
          <w:sz w:val="21"/>
          <w:szCs w:val="21"/>
        </w:rPr>
        <w:t>商业</w:t>
      </w:r>
      <w:r>
        <w:rPr>
          <w:rFonts w:ascii="Arial" w:hAnsi="Arial" w:cs="Arial"/>
          <w:sz w:val="21"/>
          <w:szCs w:val="21"/>
        </w:rPr>
        <w:t>，符合最高</w:t>
      </w:r>
      <w:proofErr w:type="gramStart"/>
      <w:r>
        <w:rPr>
          <w:rFonts w:ascii="Arial" w:hAnsi="Arial" w:cs="Arial"/>
          <w:sz w:val="21"/>
          <w:szCs w:val="21"/>
        </w:rPr>
        <w:t>最佳利用</w:t>
      </w:r>
      <w:proofErr w:type="gramEnd"/>
      <w:r>
        <w:rPr>
          <w:rFonts w:ascii="Arial" w:hAnsi="Arial" w:cs="Arial"/>
          <w:sz w:val="21"/>
          <w:szCs w:val="21"/>
        </w:rPr>
        <w:t>原则。</w:t>
      </w:r>
    </w:p>
    <w:p w14:paraId="3DA06F60" w14:textId="77777777" w:rsidR="00000000"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7" w:name="_Toc168225820"/>
      <w:bookmarkStart w:id="38" w:name="_Toc477252448"/>
      <w:r>
        <w:rPr>
          <w:rFonts w:eastAsia="宋体"/>
          <w:kern w:val="2"/>
          <w:sz w:val="21"/>
          <w:szCs w:val="21"/>
        </w:rPr>
        <w:t>八、估价</w:t>
      </w:r>
      <w:bookmarkEnd w:id="37"/>
      <w:r>
        <w:rPr>
          <w:rFonts w:eastAsia="宋体"/>
          <w:kern w:val="2"/>
          <w:sz w:val="21"/>
          <w:szCs w:val="21"/>
        </w:rPr>
        <w:t>依据</w:t>
      </w:r>
      <w:bookmarkEnd w:id="38"/>
    </w:p>
    <w:p w14:paraId="4EDD7E1B" w14:textId="77777777" w:rsidR="00000000" w:rsidRDefault="00000000">
      <w:pPr>
        <w:wordWrap w:val="0"/>
        <w:overflowPunct w:val="0"/>
        <w:spacing w:line="480" w:lineRule="auto"/>
        <w:jc w:val="both"/>
        <w:textAlignment w:val="auto"/>
        <w:rPr>
          <w:rFonts w:ascii="Arial" w:hAnsi="Arial" w:cs="Arial" w:hint="eastAsia"/>
          <w:b/>
          <w:sz w:val="21"/>
          <w:szCs w:val="21"/>
        </w:rPr>
      </w:pPr>
      <w:r>
        <w:rPr>
          <w:rFonts w:ascii="Arial" w:hAnsi="Arial" w:cs="Arial"/>
          <w:b/>
          <w:sz w:val="21"/>
          <w:szCs w:val="21"/>
        </w:rPr>
        <w:t>（一）有关的法律、法规及技术标准文件</w:t>
      </w:r>
    </w:p>
    <w:p w14:paraId="223BAF8C"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66CA4A40"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日第十三届全国人大常委会第十二次会议通过第三次修正，自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798F6285"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《中华人民共和国城乡规划法》（根据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0CC39064"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《中华人民共和国资产评估法》（</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日第十二届全国人民代表大会常务委员会第二十一次会议通过，</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日中华人民共和国主席令第</w:t>
      </w:r>
      <w:r>
        <w:rPr>
          <w:rFonts w:ascii="Arial" w:hAnsi="Arial" w:cs="Arial" w:hint="eastAsia"/>
          <w:sz w:val="21"/>
          <w:szCs w:val="21"/>
        </w:rPr>
        <w:t>46</w:t>
      </w:r>
      <w:r>
        <w:rPr>
          <w:rFonts w:ascii="Arial" w:hAnsi="Arial" w:cs="Arial" w:hint="eastAsia"/>
          <w:sz w:val="21"/>
          <w:szCs w:val="21"/>
        </w:rPr>
        <w:t>号公布，自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4586FA69"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《中华人民共和国民法典》（</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日第十三届全国人大三次会议表决通过，自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66415CD1"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lastRenderedPageBreak/>
        <w:t>《中华人民共和国契税法》（</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11</w:t>
      </w:r>
      <w:r>
        <w:rPr>
          <w:rFonts w:ascii="Arial" w:hAnsi="Arial" w:cs="Arial" w:hint="eastAsia"/>
          <w:sz w:val="21"/>
          <w:szCs w:val="21"/>
        </w:rPr>
        <w:t>日第十三届全国人民代表大会常务委员会第二十一次会议通过）</w:t>
      </w:r>
    </w:p>
    <w:p w14:paraId="7492B37C"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《中华人民共和国城市维护建设税法》（</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11</w:t>
      </w:r>
      <w:r>
        <w:rPr>
          <w:rFonts w:ascii="Arial" w:hAnsi="Arial" w:cs="Arial" w:hint="eastAsia"/>
          <w:sz w:val="21"/>
          <w:szCs w:val="21"/>
        </w:rPr>
        <w:t>日第十三届全国人民代表大会常务委员会第二十一次会议通过）</w:t>
      </w:r>
    </w:p>
    <w:p w14:paraId="3AFC9C06"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《中华人民共和国印花税法》（</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10</w:t>
      </w:r>
      <w:r>
        <w:rPr>
          <w:rFonts w:ascii="Arial" w:hAnsi="Arial" w:cs="Arial" w:hint="eastAsia"/>
          <w:sz w:val="21"/>
          <w:szCs w:val="21"/>
        </w:rPr>
        <w:t>日第十三届全国人民代表大会常务委员会第二十九次会议通过）</w:t>
      </w:r>
    </w:p>
    <w:p w14:paraId="07FA7550"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sz w:val="21"/>
          <w:szCs w:val="21"/>
        </w:rPr>
        <w:t>《中华人民共和国增值税法》（</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25</w:t>
      </w:r>
      <w:r>
        <w:rPr>
          <w:rFonts w:ascii="Arial" w:hAnsi="Arial" w:cs="Arial" w:hint="eastAsia"/>
          <w:sz w:val="21"/>
          <w:szCs w:val="21"/>
        </w:rPr>
        <w:t>日第十四届全国人民代表大会常务委员会第十三次会议通过</w:t>
      </w:r>
      <w:r>
        <w:rPr>
          <w:rFonts w:ascii="Arial" w:hAnsi="Arial" w:cs="Arial" w:hint="eastAsia"/>
          <w:sz w:val="21"/>
          <w:szCs w:val="21"/>
        </w:rPr>
        <w:t xml:space="preserve"> </w:t>
      </w:r>
      <w:r>
        <w:rPr>
          <w:rFonts w:ascii="Arial" w:hAnsi="Arial" w:cs="Arial" w:hint="eastAsia"/>
          <w:sz w:val="21"/>
          <w:szCs w:val="21"/>
        </w:rPr>
        <w:t>自</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sz w:val="21"/>
          <w:szCs w:val="21"/>
        </w:rPr>
        <w:t>）</w:t>
      </w:r>
    </w:p>
    <w:p w14:paraId="2E733D74"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《中华人民共和国城镇国有土地使用权出让和转让暂行条例》（根据</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日中华人民共和国国务院令第</w:t>
      </w:r>
      <w:r>
        <w:rPr>
          <w:rFonts w:ascii="Arial" w:hAnsi="Arial" w:cs="Arial" w:hint="eastAsia"/>
          <w:sz w:val="21"/>
          <w:szCs w:val="21"/>
        </w:rPr>
        <w:t>732</w:t>
      </w:r>
      <w:r>
        <w:rPr>
          <w:rFonts w:ascii="Arial" w:hAnsi="Arial" w:cs="Arial" w:hint="eastAsia"/>
          <w:sz w:val="21"/>
          <w:szCs w:val="21"/>
        </w:rPr>
        <w:t>号公布的《国务院关于修改和废止部分行政法规的决定》修订，自公布之日起施行）</w:t>
      </w:r>
    </w:p>
    <w:p w14:paraId="1609583F"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《中华人民共和国土地管理法实施条例》（</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w:t>
      </w:r>
      <w:r>
        <w:rPr>
          <w:rFonts w:ascii="Arial" w:hAnsi="Arial" w:cs="Arial" w:hint="eastAsia"/>
          <w:sz w:val="21"/>
          <w:szCs w:val="21"/>
        </w:rPr>
        <w:t>21</w:t>
      </w:r>
      <w:r>
        <w:rPr>
          <w:rFonts w:ascii="Arial" w:hAnsi="Arial" w:cs="Arial" w:hint="eastAsia"/>
          <w:sz w:val="21"/>
          <w:szCs w:val="21"/>
        </w:rPr>
        <w:t>日国务院第</w:t>
      </w:r>
      <w:r>
        <w:rPr>
          <w:rFonts w:ascii="Arial" w:hAnsi="Arial" w:cs="Arial" w:hint="eastAsia"/>
          <w:sz w:val="21"/>
          <w:szCs w:val="21"/>
        </w:rPr>
        <w:t>132</w:t>
      </w:r>
      <w:r>
        <w:rPr>
          <w:rFonts w:ascii="Arial" w:hAnsi="Arial" w:cs="Arial" w:hint="eastAsia"/>
          <w:sz w:val="21"/>
          <w:szCs w:val="21"/>
        </w:rPr>
        <w:t>次会议第三次修订通过，</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日中华人民共和国国务院令第</w:t>
      </w:r>
      <w:r>
        <w:rPr>
          <w:rFonts w:ascii="Arial" w:hAnsi="Arial" w:cs="Arial" w:hint="eastAsia"/>
          <w:sz w:val="21"/>
          <w:szCs w:val="21"/>
        </w:rPr>
        <w:t>743</w:t>
      </w:r>
      <w:r>
        <w:rPr>
          <w:rFonts w:ascii="Arial" w:hAnsi="Arial" w:cs="Arial" w:hint="eastAsia"/>
          <w:sz w:val="21"/>
          <w:szCs w:val="21"/>
        </w:rPr>
        <w:t>号公布，自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7F8B18D6"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《不动产登记暂行条例》（根据</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日中华人民共和国国务院令第</w:t>
      </w:r>
      <w:r>
        <w:rPr>
          <w:rFonts w:ascii="Arial" w:hAnsi="Arial" w:cs="Arial" w:hint="eastAsia"/>
          <w:sz w:val="21"/>
          <w:szCs w:val="21"/>
        </w:rPr>
        <w:t>710</w:t>
      </w:r>
      <w:r>
        <w:rPr>
          <w:rFonts w:ascii="Arial" w:hAnsi="Arial" w:cs="Arial" w:hint="eastAsia"/>
          <w:sz w:val="21"/>
          <w:szCs w:val="21"/>
        </w:rPr>
        <w:t>号公布的《国务院关于修改部分行政法规的决定》修订，自公布之日起施行）</w:t>
      </w:r>
    </w:p>
    <w:p w14:paraId="1644D38A"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《不动产登记暂行条例实施细则》（根据</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日自然资源部第</w:t>
      </w:r>
      <w:r>
        <w:rPr>
          <w:rFonts w:ascii="Arial" w:hAnsi="Arial" w:cs="Arial" w:hint="eastAsia"/>
          <w:sz w:val="21"/>
          <w:szCs w:val="21"/>
        </w:rPr>
        <w:t>2</w:t>
      </w:r>
      <w:r>
        <w:rPr>
          <w:rFonts w:ascii="Arial" w:hAnsi="Arial" w:cs="Arial" w:hint="eastAsia"/>
          <w:sz w:val="21"/>
          <w:szCs w:val="21"/>
        </w:rPr>
        <w:t>次部务会议审议通过《自然资源部关于第一批废止和修改的部门规章的决定》</w:t>
      </w:r>
      <w:r>
        <w:rPr>
          <w:rFonts w:ascii="Arial" w:hAnsi="Arial" w:cs="Arial" w:hint="eastAsia"/>
          <w:sz w:val="21"/>
          <w:szCs w:val="21"/>
        </w:rPr>
        <w:t>[</w:t>
      </w:r>
      <w:r>
        <w:rPr>
          <w:rFonts w:ascii="Arial" w:hAnsi="Arial" w:cs="Arial" w:hint="eastAsia"/>
          <w:sz w:val="21"/>
          <w:szCs w:val="21"/>
        </w:rPr>
        <w:t>中华人民共和国自然资源部令第</w:t>
      </w:r>
      <w:r>
        <w:rPr>
          <w:rFonts w:ascii="Arial" w:hAnsi="Arial" w:cs="Arial" w:hint="eastAsia"/>
          <w:sz w:val="21"/>
          <w:szCs w:val="21"/>
        </w:rPr>
        <w:t>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修订，自公布之日起施行）</w:t>
      </w:r>
    </w:p>
    <w:p w14:paraId="69740A1B"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《中华人民共和国增值税法实施条例》（</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日国务院第</w:t>
      </w:r>
      <w:r>
        <w:rPr>
          <w:rFonts w:ascii="Arial" w:hAnsi="Arial" w:cs="Arial" w:hint="eastAsia"/>
          <w:sz w:val="21"/>
          <w:szCs w:val="21"/>
        </w:rPr>
        <w:t>75</w:t>
      </w:r>
      <w:r>
        <w:rPr>
          <w:rFonts w:ascii="Arial" w:hAnsi="Arial" w:cs="Arial" w:hint="eastAsia"/>
          <w:sz w:val="21"/>
          <w:szCs w:val="21"/>
        </w:rPr>
        <w:t>次常务会议通过，</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proofErr w:type="gramStart"/>
      <w:r>
        <w:rPr>
          <w:rFonts w:ascii="Arial" w:hAnsi="Arial" w:cs="Arial" w:hint="eastAsia"/>
          <w:sz w:val="21"/>
          <w:szCs w:val="21"/>
        </w:rPr>
        <w:t>中华人民共和国国令第</w:t>
      </w:r>
      <w:r>
        <w:rPr>
          <w:rFonts w:ascii="Arial" w:hAnsi="Arial" w:cs="Arial" w:hint="eastAsia"/>
          <w:sz w:val="21"/>
          <w:szCs w:val="21"/>
        </w:rPr>
        <w:t>826</w:t>
      </w:r>
      <w:r>
        <w:rPr>
          <w:rFonts w:ascii="Arial" w:hAnsi="Arial" w:cs="Arial" w:hint="eastAsia"/>
          <w:sz w:val="21"/>
          <w:szCs w:val="21"/>
        </w:rPr>
        <w:t>号</w:t>
      </w:r>
      <w:proofErr w:type="gramEnd"/>
      <w:r>
        <w:rPr>
          <w:rFonts w:ascii="Arial" w:hAnsi="Arial" w:cs="Arial" w:hint="eastAsia"/>
          <w:sz w:val="21"/>
          <w:szCs w:val="21"/>
        </w:rPr>
        <w:t>发布，自</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23B497C2"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《北京市人民代表大会常务委员会关于北京市契税具体适用税率等有关事项的决定》（</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日北京市第十五届人民代表大会常务委员会第三十二次会议通过）</w:t>
      </w:r>
    </w:p>
    <w:p w14:paraId="622EC12B"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《关于印花税若干政策的通知》（财税</w:t>
      </w:r>
      <w:r>
        <w:rPr>
          <w:rFonts w:ascii="Arial" w:hAnsi="Arial" w:cs="Arial" w:hint="eastAsia"/>
          <w:sz w:val="21"/>
          <w:szCs w:val="21"/>
        </w:rPr>
        <w:t>[2006]162</w:t>
      </w:r>
      <w:r>
        <w:rPr>
          <w:rFonts w:ascii="Arial" w:hAnsi="Arial" w:cs="Arial" w:hint="eastAsia"/>
          <w:sz w:val="21"/>
          <w:szCs w:val="21"/>
        </w:rPr>
        <w:t>号）</w:t>
      </w:r>
    </w:p>
    <w:p w14:paraId="36B58AB4"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《北京市财政局</w:t>
      </w:r>
      <w:r>
        <w:rPr>
          <w:rFonts w:ascii="Arial" w:hAnsi="Arial" w:cs="Arial" w:hint="eastAsia"/>
          <w:sz w:val="21"/>
          <w:szCs w:val="21"/>
        </w:rPr>
        <w:t xml:space="preserve"> </w:t>
      </w:r>
      <w:r>
        <w:rPr>
          <w:rFonts w:ascii="Arial" w:hAnsi="Arial" w:cs="Arial" w:hint="eastAsia"/>
          <w:sz w:val="21"/>
          <w:szCs w:val="21"/>
        </w:rPr>
        <w:t>国家税务总局北京市税务局北京市民政局关于明确北京市城市维护建设税纳税人所在地具体地点的通知》</w:t>
      </w:r>
      <w:r>
        <w:rPr>
          <w:rFonts w:ascii="Arial" w:hAnsi="Arial" w:cs="Arial" w:hint="eastAsia"/>
          <w:sz w:val="21"/>
          <w:szCs w:val="21"/>
        </w:rPr>
        <w:t>[</w:t>
      </w:r>
      <w:r>
        <w:rPr>
          <w:rFonts w:ascii="Arial" w:hAnsi="Arial" w:cs="Arial" w:hint="eastAsia"/>
          <w:sz w:val="21"/>
          <w:szCs w:val="21"/>
        </w:rPr>
        <w:t>京财税〔</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1770</w:t>
      </w:r>
      <w:r>
        <w:rPr>
          <w:rFonts w:ascii="Arial" w:hAnsi="Arial" w:cs="Arial" w:hint="eastAsia"/>
          <w:sz w:val="21"/>
          <w:szCs w:val="21"/>
        </w:rPr>
        <w:t>号</w:t>
      </w:r>
      <w:r>
        <w:rPr>
          <w:rFonts w:ascii="Arial" w:hAnsi="Arial" w:cs="Arial" w:hint="eastAsia"/>
          <w:sz w:val="21"/>
          <w:szCs w:val="21"/>
        </w:rPr>
        <w:t>]</w:t>
      </w:r>
    </w:p>
    <w:p w14:paraId="6D96ED6F"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lastRenderedPageBreak/>
        <w:t>《征收教育费附加的暂行规定》（国务院令〔</w:t>
      </w:r>
      <w:r>
        <w:rPr>
          <w:rFonts w:ascii="Arial" w:hAnsi="Arial" w:cs="Arial" w:hint="eastAsia"/>
          <w:sz w:val="21"/>
          <w:szCs w:val="21"/>
        </w:rPr>
        <w:t>2005</w:t>
      </w:r>
      <w:r>
        <w:rPr>
          <w:rFonts w:ascii="Arial" w:hAnsi="Arial" w:cs="Arial" w:hint="eastAsia"/>
          <w:sz w:val="21"/>
          <w:szCs w:val="21"/>
        </w:rPr>
        <w:t>〕</w:t>
      </w:r>
      <w:r>
        <w:rPr>
          <w:rFonts w:ascii="Arial" w:hAnsi="Arial" w:cs="Arial" w:hint="eastAsia"/>
          <w:sz w:val="21"/>
          <w:szCs w:val="21"/>
        </w:rPr>
        <w:t>448</w:t>
      </w:r>
      <w:r>
        <w:rPr>
          <w:rFonts w:ascii="Arial" w:hAnsi="Arial" w:cs="Arial" w:hint="eastAsia"/>
          <w:sz w:val="21"/>
          <w:szCs w:val="21"/>
        </w:rPr>
        <w:t>号）</w:t>
      </w:r>
    </w:p>
    <w:p w14:paraId="521FB78E"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《财政部关于统一地方教育附加政策有关问题的通知》（财综〔</w:t>
      </w:r>
      <w:r>
        <w:rPr>
          <w:rFonts w:ascii="Arial" w:hAnsi="Arial" w:cs="Arial" w:hint="eastAsia"/>
          <w:sz w:val="21"/>
          <w:szCs w:val="21"/>
        </w:rPr>
        <w:t>2010</w:t>
      </w:r>
      <w:r>
        <w:rPr>
          <w:rFonts w:ascii="Arial" w:hAnsi="Arial" w:cs="Arial" w:hint="eastAsia"/>
          <w:sz w:val="21"/>
          <w:szCs w:val="21"/>
        </w:rPr>
        <w:t>〕</w:t>
      </w:r>
      <w:r>
        <w:rPr>
          <w:rFonts w:ascii="Arial" w:hAnsi="Arial" w:cs="Arial" w:hint="eastAsia"/>
          <w:sz w:val="21"/>
          <w:szCs w:val="21"/>
        </w:rPr>
        <w:t>98</w:t>
      </w:r>
      <w:r>
        <w:rPr>
          <w:rFonts w:ascii="Arial" w:hAnsi="Arial" w:cs="Arial" w:hint="eastAsia"/>
          <w:sz w:val="21"/>
          <w:szCs w:val="21"/>
        </w:rPr>
        <w:t>号）</w:t>
      </w:r>
    </w:p>
    <w:p w14:paraId="25D1A2B9"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《北京市人民政府关于印发北京市地方教育附加征收使用管理办法的通知》</w:t>
      </w:r>
      <w:r>
        <w:rPr>
          <w:rFonts w:ascii="Arial" w:hAnsi="Arial" w:cs="Arial" w:hint="eastAsia"/>
          <w:sz w:val="21"/>
          <w:szCs w:val="21"/>
        </w:rPr>
        <w:t>[</w:t>
      </w:r>
      <w:r>
        <w:rPr>
          <w:rFonts w:ascii="Arial" w:hAnsi="Arial" w:cs="Arial" w:hint="eastAsia"/>
          <w:sz w:val="21"/>
          <w:szCs w:val="21"/>
        </w:rPr>
        <w:t>京政发</w:t>
      </w:r>
      <w:r>
        <w:rPr>
          <w:rFonts w:ascii="Arial" w:hAnsi="Arial" w:cs="Arial" w:hint="eastAsia"/>
          <w:sz w:val="21"/>
          <w:szCs w:val="21"/>
        </w:rPr>
        <w:t>[2011]72</w:t>
      </w:r>
      <w:r>
        <w:rPr>
          <w:rFonts w:ascii="Arial" w:hAnsi="Arial" w:cs="Arial" w:hint="eastAsia"/>
          <w:sz w:val="21"/>
          <w:szCs w:val="21"/>
        </w:rPr>
        <w:t>号</w:t>
      </w:r>
      <w:r>
        <w:rPr>
          <w:rFonts w:ascii="Arial" w:hAnsi="Arial" w:cs="Arial" w:hint="eastAsia"/>
          <w:sz w:val="21"/>
          <w:szCs w:val="21"/>
        </w:rPr>
        <w:t>]</w:t>
      </w:r>
    </w:p>
    <w:p w14:paraId="765C4867"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《中华人民共和国房产税暂行条例》</w:t>
      </w:r>
      <w:r>
        <w:rPr>
          <w:rFonts w:ascii="Arial" w:hAnsi="Arial" w:cs="Arial" w:hint="eastAsia"/>
          <w:sz w:val="21"/>
          <w:szCs w:val="21"/>
        </w:rPr>
        <w:t>[1986</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15</w:t>
      </w:r>
      <w:r>
        <w:rPr>
          <w:rFonts w:ascii="Arial" w:hAnsi="Arial" w:cs="Arial" w:hint="eastAsia"/>
          <w:sz w:val="21"/>
          <w:szCs w:val="21"/>
        </w:rPr>
        <w:t>日国务院发布，根据</w:t>
      </w:r>
      <w:r>
        <w:rPr>
          <w:rFonts w:ascii="Arial" w:hAnsi="Arial" w:cs="Arial" w:hint="eastAsia"/>
          <w:sz w:val="21"/>
          <w:szCs w:val="21"/>
        </w:rPr>
        <w:t>2011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8</w:t>
      </w:r>
      <w:r>
        <w:rPr>
          <w:rFonts w:ascii="Arial" w:hAnsi="Arial" w:cs="Arial" w:hint="eastAsia"/>
          <w:sz w:val="21"/>
          <w:szCs w:val="21"/>
        </w:rPr>
        <w:t>日《国务院关于废止和修改部分行政法规的决定》修订</w:t>
      </w:r>
      <w:r>
        <w:rPr>
          <w:rFonts w:ascii="Arial" w:hAnsi="Arial" w:cs="Arial" w:hint="eastAsia"/>
          <w:sz w:val="21"/>
          <w:szCs w:val="21"/>
        </w:rPr>
        <w:t>]</w:t>
      </w:r>
    </w:p>
    <w:p w14:paraId="4D529645"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《北京市人民政府关于进一步落实</w:t>
      </w:r>
      <w:r>
        <w:rPr>
          <w:rFonts w:ascii="Arial" w:hAnsi="Arial" w:cs="Arial" w:hint="eastAsia"/>
          <w:sz w:val="21"/>
          <w:szCs w:val="21"/>
        </w:rPr>
        <w:t>&lt;</w:t>
      </w:r>
      <w:r>
        <w:rPr>
          <w:rFonts w:ascii="Arial" w:hAnsi="Arial" w:cs="Arial" w:hint="eastAsia"/>
          <w:sz w:val="21"/>
          <w:szCs w:val="21"/>
        </w:rPr>
        <w:t>中华人民共和国房产税暂行条例</w:t>
      </w:r>
      <w:r>
        <w:rPr>
          <w:rFonts w:ascii="Arial" w:hAnsi="Arial" w:cs="Arial" w:hint="eastAsia"/>
          <w:sz w:val="21"/>
          <w:szCs w:val="21"/>
        </w:rPr>
        <w:t>&gt;</w:t>
      </w:r>
      <w:r>
        <w:rPr>
          <w:rFonts w:ascii="Arial" w:hAnsi="Arial" w:cs="Arial" w:hint="eastAsia"/>
          <w:sz w:val="21"/>
          <w:szCs w:val="21"/>
        </w:rPr>
        <w:t>有关规定的通知》</w:t>
      </w:r>
      <w:r>
        <w:rPr>
          <w:rFonts w:ascii="Arial" w:hAnsi="Arial" w:cs="Arial" w:hint="eastAsia"/>
          <w:sz w:val="21"/>
          <w:szCs w:val="21"/>
        </w:rPr>
        <w:t>[</w:t>
      </w:r>
      <w:r>
        <w:rPr>
          <w:rFonts w:ascii="Arial" w:hAnsi="Arial" w:cs="Arial" w:hint="eastAsia"/>
          <w:sz w:val="21"/>
          <w:szCs w:val="21"/>
        </w:rPr>
        <w:t>京政发〔</w:t>
      </w:r>
      <w:r>
        <w:rPr>
          <w:rFonts w:ascii="Arial" w:hAnsi="Arial" w:cs="Arial" w:hint="eastAsia"/>
          <w:sz w:val="21"/>
          <w:szCs w:val="21"/>
        </w:rPr>
        <w:t>2016</w:t>
      </w:r>
      <w:r>
        <w:rPr>
          <w:rFonts w:ascii="Arial" w:hAnsi="Arial" w:cs="Arial" w:hint="eastAsia"/>
          <w:sz w:val="21"/>
          <w:szCs w:val="21"/>
        </w:rPr>
        <w:t>〕</w:t>
      </w:r>
      <w:r>
        <w:rPr>
          <w:rFonts w:ascii="Arial" w:hAnsi="Arial" w:cs="Arial" w:hint="eastAsia"/>
          <w:sz w:val="21"/>
          <w:szCs w:val="21"/>
        </w:rPr>
        <w:t>24</w:t>
      </w:r>
      <w:r>
        <w:rPr>
          <w:rFonts w:ascii="Arial" w:hAnsi="Arial" w:cs="Arial" w:hint="eastAsia"/>
          <w:sz w:val="21"/>
          <w:szCs w:val="21"/>
        </w:rPr>
        <w:t>号</w:t>
      </w:r>
      <w:r>
        <w:rPr>
          <w:rFonts w:ascii="Arial" w:hAnsi="Arial" w:cs="Arial" w:hint="eastAsia"/>
          <w:sz w:val="21"/>
          <w:szCs w:val="21"/>
        </w:rPr>
        <w:t>]</w:t>
      </w:r>
    </w:p>
    <w:p w14:paraId="745BC2D5"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《中华人民共和国城镇土地使用税暂行条例》</w:t>
      </w:r>
      <w:r>
        <w:rPr>
          <w:rFonts w:ascii="Arial" w:hAnsi="Arial" w:cs="Arial" w:hint="eastAsia"/>
          <w:sz w:val="21"/>
          <w:szCs w:val="21"/>
        </w:rPr>
        <w:t>[</w:t>
      </w:r>
      <w:proofErr w:type="gramStart"/>
      <w:r>
        <w:rPr>
          <w:rFonts w:ascii="Arial" w:hAnsi="Arial" w:cs="Arial" w:hint="eastAsia"/>
          <w:sz w:val="21"/>
          <w:szCs w:val="21"/>
        </w:rPr>
        <w:t>国令第</w:t>
      </w:r>
      <w:proofErr w:type="gramEnd"/>
      <w:r>
        <w:rPr>
          <w:rFonts w:ascii="Arial" w:hAnsi="Arial" w:cs="Arial" w:hint="eastAsia"/>
          <w:sz w:val="21"/>
          <w:szCs w:val="21"/>
        </w:rPr>
        <w:t>〔</w:t>
      </w:r>
      <w:r>
        <w:rPr>
          <w:rFonts w:ascii="Arial" w:hAnsi="Arial" w:cs="Arial" w:hint="eastAsia"/>
          <w:sz w:val="21"/>
          <w:szCs w:val="21"/>
        </w:rPr>
        <w:t>1988</w:t>
      </w:r>
      <w:r>
        <w:rPr>
          <w:rFonts w:ascii="Arial" w:hAnsi="Arial" w:cs="Arial" w:hint="eastAsia"/>
          <w:sz w:val="21"/>
          <w:szCs w:val="21"/>
        </w:rPr>
        <w:t>〕</w:t>
      </w:r>
      <w:r>
        <w:rPr>
          <w:rFonts w:ascii="Arial" w:hAnsi="Arial" w:cs="Arial" w:hint="eastAsia"/>
          <w:sz w:val="21"/>
          <w:szCs w:val="21"/>
        </w:rPr>
        <w:t>17</w:t>
      </w:r>
      <w:r>
        <w:rPr>
          <w:rFonts w:ascii="Arial" w:hAnsi="Arial" w:cs="Arial" w:hint="eastAsia"/>
          <w:sz w:val="21"/>
          <w:szCs w:val="21"/>
        </w:rPr>
        <w:t>号，</w:t>
      </w:r>
      <w:r>
        <w:rPr>
          <w:rFonts w:ascii="Arial" w:hAnsi="Arial" w:cs="Arial" w:hint="eastAsia"/>
          <w:sz w:val="21"/>
          <w:szCs w:val="21"/>
        </w:rPr>
        <w:t>2011</w:t>
      </w:r>
      <w:r>
        <w:rPr>
          <w:rFonts w:ascii="Arial" w:hAnsi="Arial" w:cs="Arial" w:hint="eastAsia"/>
          <w:sz w:val="21"/>
          <w:szCs w:val="21"/>
        </w:rPr>
        <w:t>年修订</w:t>
      </w:r>
      <w:r>
        <w:rPr>
          <w:rFonts w:ascii="Arial" w:hAnsi="Arial" w:cs="Arial" w:hint="eastAsia"/>
          <w:sz w:val="21"/>
          <w:szCs w:val="21"/>
        </w:rPr>
        <w:t>]</w:t>
      </w:r>
    </w:p>
    <w:p w14:paraId="7F4E698D"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《北京市实施</w:t>
      </w:r>
      <w:r>
        <w:rPr>
          <w:rFonts w:ascii="Arial" w:hAnsi="Arial" w:cs="Arial" w:hint="eastAsia"/>
          <w:sz w:val="21"/>
          <w:szCs w:val="21"/>
        </w:rPr>
        <w:t>&lt;</w:t>
      </w:r>
      <w:r>
        <w:rPr>
          <w:rFonts w:ascii="Arial" w:hAnsi="Arial" w:cs="Arial" w:hint="eastAsia"/>
          <w:sz w:val="21"/>
          <w:szCs w:val="21"/>
        </w:rPr>
        <w:t>中华人民共和国城镇土地使用税暂行条例</w:t>
      </w:r>
      <w:r>
        <w:rPr>
          <w:rFonts w:ascii="Arial" w:hAnsi="Arial" w:cs="Arial" w:hint="eastAsia"/>
          <w:sz w:val="21"/>
          <w:szCs w:val="21"/>
        </w:rPr>
        <w:t>&gt;</w:t>
      </w:r>
      <w:r>
        <w:rPr>
          <w:rFonts w:ascii="Arial" w:hAnsi="Arial" w:cs="Arial" w:hint="eastAsia"/>
          <w:sz w:val="21"/>
          <w:szCs w:val="21"/>
        </w:rPr>
        <w:t>办法》</w:t>
      </w:r>
      <w:r>
        <w:rPr>
          <w:rFonts w:ascii="Arial" w:hAnsi="Arial" w:cs="Arial" w:hint="eastAsia"/>
          <w:sz w:val="21"/>
          <w:szCs w:val="21"/>
        </w:rPr>
        <w:t>[</w:t>
      </w:r>
      <w:r>
        <w:rPr>
          <w:rFonts w:ascii="Arial" w:hAnsi="Arial" w:cs="Arial" w:hint="eastAsia"/>
          <w:sz w:val="21"/>
          <w:szCs w:val="21"/>
        </w:rPr>
        <w:t>根据</w:t>
      </w:r>
      <w:r>
        <w:rPr>
          <w:rFonts w:ascii="Arial" w:hAnsi="Arial" w:cs="Arial" w:hint="eastAsia"/>
          <w:sz w:val="21"/>
          <w:szCs w:val="21"/>
        </w:rPr>
        <w:t>2007</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日北京市人民政府第</w:t>
      </w:r>
      <w:r>
        <w:rPr>
          <w:rFonts w:ascii="Arial" w:hAnsi="Arial" w:cs="Arial" w:hint="eastAsia"/>
          <w:sz w:val="21"/>
          <w:szCs w:val="21"/>
        </w:rPr>
        <w:t>188</w:t>
      </w:r>
      <w:r>
        <w:rPr>
          <w:rFonts w:ascii="Arial" w:hAnsi="Arial" w:cs="Arial" w:hint="eastAsia"/>
          <w:sz w:val="21"/>
          <w:szCs w:val="21"/>
        </w:rPr>
        <w:t>号令第二次修改</w:t>
      </w:r>
      <w:r>
        <w:rPr>
          <w:rFonts w:ascii="Arial" w:hAnsi="Arial" w:cs="Arial" w:hint="eastAsia"/>
          <w:sz w:val="21"/>
          <w:szCs w:val="21"/>
        </w:rPr>
        <w:t>]</w:t>
      </w:r>
    </w:p>
    <w:p w14:paraId="7E342FF1"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《北京市地方税务局关于调整北京市城镇土地纳税等级分级范围的公告》（</w:t>
      </w:r>
      <w:r>
        <w:rPr>
          <w:rFonts w:ascii="Arial" w:hAnsi="Arial" w:cs="Arial" w:hint="eastAsia"/>
          <w:sz w:val="21"/>
          <w:szCs w:val="21"/>
        </w:rPr>
        <w:t>2015</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日发布）</w:t>
      </w:r>
    </w:p>
    <w:p w14:paraId="33203C25"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hint="eastAsia"/>
          <w:sz w:val="21"/>
          <w:szCs w:val="21"/>
        </w:rPr>
      </w:pPr>
      <w:bookmarkStart w:id="39" w:name="OLE_LINK8"/>
      <w:r>
        <w:rPr>
          <w:rFonts w:ascii="Arial" w:hAnsi="Arial" w:cs="Arial" w:hint="eastAsia"/>
          <w:sz w:val="21"/>
          <w:szCs w:val="21"/>
        </w:rPr>
        <w:t>《土地利用现状分类》</w:t>
      </w:r>
      <w:r>
        <w:rPr>
          <w:rFonts w:ascii="Arial" w:hAnsi="Arial" w:cs="Arial"/>
          <w:sz w:val="21"/>
          <w:szCs w:val="21"/>
        </w:rPr>
        <w:t>[GB/T 21010</w:t>
      </w:r>
      <w:r>
        <w:rPr>
          <w:rFonts w:ascii="Arial" w:hAnsi="Arial" w:cs="Arial" w:hint="eastAsia"/>
          <w:sz w:val="21"/>
          <w:szCs w:val="21"/>
        </w:rPr>
        <w:t>—</w:t>
      </w:r>
      <w:r>
        <w:rPr>
          <w:rFonts w:ascii="Arial" w:hAnsi="Arial" w:cs="Arial"/>
          <w:sz w:val="21"/>
          <w:szCs w:val="21"/>
        </w:rPr>
        <w:t>2017]</w:t>
      </w:r>
    </w:p>
    <w:bookmarkEnd w:id="39"/>
    <w:p w14:paraId="76B01A33"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proofErr w:type="gramStart"/>
      <w:r>
        <w:rPr>
          <w:rFonts w:ascii="Arial" w:hAnsi="Arial" w:cs="Arial" w:hint="eastAsia"/>
          <w:sz w:val="21"/>
          <w:szCs w:val="21"/>
        </w:rPr>
        <w:t>《</w:t>
      </w:r>
      <w:proofErr w:type="gramEnd"/>
      <w:r>
        <w:rPr>
          <w:rFonts w:ascii="Arial" w:hAnsi="Arial" w:cs="Arial" w:hint="eastAsia"/>
          <w:sz w:val="21"/>
          <w:szCs w:val="21"/>
        </w:rPr>
        <w:t>自然资源部关于印发</w:t>
      </w:r>
      <w:proofErr w:type="gramStart"/>
      <w:r>
        <w:rPr>
          <w:rFonts w:ascii="Arial" w:hAnsi="Arial" w:cs="Arial" w:hint="eastAsia"/>
          <w:sz w:val="21"/>
          <w:szCs w:val="21"/>
        </w:rPr>
        <w:t>《</w:t>
      </w:r>
      <w:proofErr w:type="gramEnd"/>
      <w:r>
        <w:rPr>
          <w:rFonts w:ascii="Arial" w:hAnsi="Arial" w:cs="Arial" w:hint="eastAsia"/>
          <w:sz w:val="21"/>
          <w:szCs w:val="21"/>
        </w:rPr>
        <w:t>国土空间调查、规划、用途管制用地用海分类指南</w:t>
      </w:r>
      <w:proofErr w:type="gramStart"/>
      <w:r>
        <w:rPr>
          <w:rFonts w:ascii="Arial" w:hAnsi="Arial" w:cs="Arial" w:hint="eastAsia"/>
          <w:sz w:val="21"/>
          <w:szCs w:val="21"/>
        </w:rPr>
        <w:t>》</w:t>
      </w:r>
      <w:proofErr w:type="gramEnd"/>
      <w:r>
        <w:rPr>
          <w:rFonts w:ascii="Arial" w:hAnsi="Arial" w:cs="Arial" w:hint="eastAsia"/>
          <w:sz w:val="21"/>
          <w:szCs w:val="21"/>
        </w:rPr>
        <w:t>的通知</w:t>
      </w:r>
      <w:proofErr w:type="gramStart"/>
      <w:r>
        <w:rPr>
          <w:rFonts w:ascii="Arial" w:hAnsi="Arial" w:cs="Arial" w:hint="eastAsia"/>
          <w:sz w:val="21"/>
          <w:szCs w:val="21"/>
        </w:rPr>
        <w:t>》</w:t>
      </w:r>
      <w:proofErr w:type="gramEnd"/>
      <w:r>
        <w:rPr>
          <w:rFonts w:ascii="Arial" w:hAnsi="Arial" w:cs="Arial" w:hint="eastAsia"/>
          <w:sz w:val="21"/>
          <w:szCs w:val="21"/>
        </w:rPr>
        <w:t>[</w:t>
      </w:r>
      <w:proofErr w:type="gramStart"/>
      <w:r>
        <w:rPr>
          <w:rFonts w:ascii="Arial" w:hAnsi="Arial" w:cs="Arial" w:hint="eastAsia"/>
          <w:sz w:val="21"/>
          <w:szCs w:val="21"/>
        </w:rPr>
        <w:t>自然资发〔</w:t>
      </w:r>
      <w:r>
        <w:rPr>
          <w:rFonts w:ascii="Arial" w:hAnsi="Arial" w:cs="Arial" w:hint="eastAsia"/>
          <w:sz w:val="21"/>
          <w:szCs w:val="21"/>
        </w:rPr>
        <w:t>2023</w:t>
      </w:r>
      <w:r>
        <w:rPr>
          <w:rFonts w:ascii="Arial" w:hAnsi="Arial" w:cs="Arial" w:hint="eastAsia"/>
          <w:sz w:val="21"/>
          <w:szCs w:val="21"/>
        </w:rPr>
        <w:t>〕</w:t>
      </w:r>
      <w:proofErr w:type="gramEnd"/>
      <w:r>
        <w:rPr>
          <w:rFonts w:ascii="Arial" w:hAnsi="Arial" w:cs="Arial" w:hint="eastAsia"/>
          <w:sz w:val="21"/>
          <w:szCs w:val="21"/>
        </w:rPr>
        <w:t>234</w:t>
      </w:r>
      <w:r>
        <w:rPr>
          <w:rFonts w:ascii="Arial" w:hAnsi="Arial" w:cs="Arial" w:hint="eastAsia"/>
          <w:sz w:val="21"/>
          <w:szCs w:val="21"/>
        </w:rPr>
        <w:t>号</w:t>
      </w:r>
      <w:r>
        <w:rPr>
          <w:rFonts w:ascii="Arial" w:hAnsi="Arial" w:cs="Arial" w:hint="eastAsia"/>
          <w:sz w:val="21"/>
          <w:szCs w:val="21"/>
        </w:rPr>
        <w:t>]</w:t>
      </w:r>
    </w:p>
    <w:p w14:paraId="5CEA10A9"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《北京市国土空间调查、规划、用途管制用地分类指南（试行）》</w:t>
      </w:r>
    </w:p>
    <w:p w14:paraId="1A8E003C"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《房地产估价规范》</w:t>
      </w:r>
      <w:r>
        <w:rPr>
          <w:rFonts w:ascii="Arial" w:hAnsi="Arial" w:cs="Arial"/>
          <w:sz w:val="21"/>
          <w:szCs w:val="21"/>
        </w:rPr>
        <w:t>[GB/T 50291-2015]</w:t>
      </w:r>
    </w:p>
    <w:p w14:paraId="54ABB34B"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《房地产估价基本术语标准》</w:t>
      </w:r>
      <w:r>
        <w:rPr>
          <w:rFonts w:ascii="Arial" w:hAnsi="Arial" w:cs="Arial"/>
          <w:sz w:val="21"/>
          <w:szCs w:val="21"/>
        </w:rPr>
        <w:t>[GB/T 50899-2013]</w:t>
      </w:r>
    </w:p>
    <w:p w14:paraId="5A0A389C"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（二）估价委托人提供的资料</w:t>
      </w:r>
    </w:p>
    <w:p w14:paraId="552A95E2" w14:textId="77777777" w:rsidR="00000000" w:rsidRDefault="00000000">
      <w:pPr>
        <w:numPr>
          <w:ilvl w:val="0"/>
          <w:numId w:val="9"/>
        </w:numPr>
        <w:wordWrap w:val="0"/>
        <w:overflowPunct w:val="0"/>
        <w:spacing w:line="480" w:lineRule="auto"/>
        <w:ind w:left="0" w:firstLine="420"/>
        <w:jc w:val="both"/>
        <w:textAlignment w:val="auto"/>
        <w:rPr>
          <w:rFonts w:ascii="Arial" w:hAnsi="Arial" w:cs="Arial"/>
          <w:sz w:val="21"/>
          <w:szCs w:val="21"/>
        </w:rPr>
      </w:pPr>
      <w:r>
        <w:rPr>
          <w:rFonts w:ascii="Arial" w:hAnsi="Arial" w:cs="Arial"/>
          <w:sz w:val="21"/>
          <w:szCs w:val="21"/>
        </w:rPr>
        <w:t>《估价委托书》</w:t>
      </w:r>
    </w:p>
    <w:p w14:paraId="5DC4D771" w14:textId="77777777" w:rsidR="00000000" w:rsidRDefault="00000000">
      <w:pPr>
        <w:numPr>
          <w:ilvl w:val="0"/>
          <w:numId w:val="9"/>
        </w:numPr>
        <w:wordWrap w:val="0"/>
        <w:overflowPunct w:val="0"/>
        <w:spacing w:line="480" w:lineRule="auto"/>
        <w:ind w:left="0" w:firstLine="420"/>
        <w:jc w:val="both"/>
        <w:textAlignment w:val="auto"/>
        <w:rPr>
          <w:rFonts w:ascii="Arial" w:hAnsi="Arial" w:cs="Arial"/>
          <w:sz w:val="21"/>
          <w:szCs w:val="21"/>
        </w:rPr>
      </w:pP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w:t>
      </w:r>
      <w:r>
        <w:rPr>
          <w:rFonts w:ascii="Arial" w:hAnsi="Arial" w:hint="eastAsia"/>
          <w:bCs/>
          <w:sz w:val="21"/>
        </w:rPr>
        <w:t>]</w:t>
      </w:r>
    </w:p>
    <w:p w14:paraId="6389E9CF" w14:textId="77777777" w:rsidR="00000000" w:rsidRDefault="00000000">
      <w:pPr>
        <w:numPr>
          <w:ilvl w:val="0"/>
          <w:numId w:val="9"/>
        </w:numPr>
        <w:wordWrap w:val="0"/>
        <w:overflowPunct w:val="0"/>
        <w:spacing w:line="480" w:lineRule="auto"/>
        <w:ind w:left="0" w:firstLine="420"/>
        <w:jc w:val="both"/>
        <w:textAlignment w:val="auto"/>
        <w:rPr>
          <w:rFonts w:ascii="Arial" w:hAnsi="Arial" w:cs="Arial"/>
          <w:sz w:val="21"/>
          <w:szCs w:val="21"/>
        </w:rPr>
      </w:pP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p>
    <w:p w14:paraId="3CDB8949" w14:textId="77777777" w:rsidR="00000000" w:rsidRDefault="00000000">
      <w:pPr>
        <w:numPr>
          <w:ilvl w:val="0"/>
          <w:numId w:val="9"/>
        </w:numPr>
        <w:wordWrap w:val="0"/>
        <w:overflowPunct w:val="0"/>
        <w:spacing w:line="480" w:lineRule="auto"/>
        <w:ind w:left="0" w:firstLine="420"/>
        <w:jc w:val="both"/>
        <w:textAlignment w:val="auto"/>
        <w:rPr>
          <w:rFonts w:ascii="Arial" w:hAnsi="Arial" w:cs="Arial"/>
          <w:sz w:val="21"/>
          <w:szCs w:val="21"/>
        </w:rPr>
      </w:pPr>
      <w:r>
        <w:rPr>
          <w:rFonts w:ascii="Arial" w:hAnsi="Arial" w:hint="eastAsia"/>
          <w:bCs/>
          <w:sz w:val="21"/>
        </w:rPr>
        <w:t>《房屋面积测算技术报告书（商品房类使用）》</w:t>
      </w:r>
    </w:p>
    <w:p w14:paraId="4D2E7C40" w14:textId="77777777" w:rsidR="00000000" w:rsidRDefault="00000000">
      <w:pPr>
        <w:numPr>
          <w:ilvl w:val="0"/>
          <w:numId w:val="9"/>
        </w:numPr>
        <w:wordWrap w:val="0"/>
        <w:overflowPunct w:val="0"/>
        <w:spacing w:line="480" w:lineRule="auto"/>
        <w:ind w:left="0" w:firstLine="420"/>
        <w:jc w:val="both"/>
        <w:textAlignment w:val="auto"/>
        <w:rPr>
          <w:rFonts w:ascii="Arial" w:hAnsi="Arial" w:cs="Arial"/>
          <w:sz w:val="21"/>
          <w:szCs w:val="21"/>
        </w:rPr>
      </w:pPr>
      <w:r>
        <w:rPr>
          <w:rFonts w:ascii="Arial" w:hAnsi="Arial" w:cs="Arial"/>
          <w:sz w:val="21"/>
          <w:szCs w:val="21"/>
        </w:rPr>
        <w:t>估价委托人《营业执照（副本）》复印件</w:t>
      </w:r>
    </w:p>
    <w:p w14:paraId="0B618F13" w14:textId="77777777" w:rsidR="00000000" w:rsidRDefault="00000000">
      <w:pPr>
        <w:wordWrap w:val="0"/>
        <w:overflowPunct w:val="0"/>
        <w:spacing w:line="480" w:lineRule="auto"/>
        <w:jc w:val="both"/>
        <w:textAlignment w:val="auto"/>
        <w:rPr>
          <w:rFonts w:ascii="Arial" w:hAnsi="Arial" w:cs="Arial" w:hint="eastAsia"/>
          <w:b/>
          <w:sz w:val="21"/>
          <w:szCs w:val="21"/>
        </w:rPr>
      </w:pPr>
      <w:r>
        <w:rPr>
          <w:rFonts w:ascii="Arial" w:hAnsi="Arial" w:cs="Arial"/>
          <w:b/>
          <w:color w:val="000000"/>
          <w:sz w:val="21"/>
          <w:szCs w:val="21"/>
        </w:rPr>
        <w:lastRenderedPageBreak/>
        <w:t>（</w:t>
      </w:r>
      <w:r>
        <w:rPr>
          <w:rFonts w:ascii="Arial" w:hAnsi="Arial" w:cs="Arial" w:hint="eastAsia"/>
          <w:b/>
          <w:color w:val="000000"/>
          <w:sz w:val="21"/>
          <w:szCs w:val="21"/>
        </w:rPr>
        <w:t>三</w:t>
      </w:r>
      <w:r>
        <w:rPr>
          <w:rFonts w:ascii="Arial" w:hAnsi="Arial" w:cs="Arial"/>
          <w:b/>
          <w:color w:val="000000"/>
          <w:sz w:val="21"/>
          <w:szCs w:val="21"/>
        </w:rPr>
        <w:t>）</w:t>
      </w:r>
      <w:r>
        <w:rPr>
          <w:rFonts w:ascii="Arial" w:hAnsi="Arial" w:cs="Arial" w:hint="eastAsia"/>
          <w:b/>
          <w:sz w:val="21"/>
          <w:szCs w:val="21"/>
        </w:rPr>
        <w:t>房地产估价机构及注册房地产估价师掌握和收集的估价所需资料</w:t>
      </w:r>
    </w:p>
    <w:p w14:paraId="38BA8DFD" w14:textId="77777777" w:rsidR="00000000" w:rsidRDefault="00000000">
      <w:pPr>
        <w:numPr>
          <w:ilvl w:val="3"/>
          <w:numId w:val="10"/>
        </w:numPr>
        <w:wordWrap w:val="0"/>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评估专业人员实地查勘估价对象的摄影和记录资料</w:t>
      </w:r>
    </w:p>
    <w:p w14:paraId="67E604B1" w14:textId="77777777" w:rsidR="00000000" w:rsidRDefault="00000000">
      <w:pPr>
        <w:numPr>
          <w:ilvl w:val="3"/>
          <w:numId w:val="10"/>
        </w:numPr>
        <w:wordWrap w:val="0"/>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评估专业人员现场调查的估价对象所在区域公服设施、基础设施、交通、环境条件等摄影和记录资料</w:t>
      </w:r>
    </w:p>
    <w:p w14:paraId="7E4ED5B6" w14:textId="77777777" w:rsidR="00000000" w:rsidRDefault="00000000">
      <w:pPr>
        <w:numPr>
          <w:ilvl w:val="3"/>
          <w:numId w:val="10"/>
        </w:numPr>
        <w:wordWrap w:val="0"/>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估价对象及同类房地产的开发、交易、收益、成本等资料</w:t>
      </w:r>
    </w:p>
    <w:p w14:paraId="31699809" w14:textId="77777777" w:rsidR="00000000" w:rsidRDefault="00000000">
      <w:pPr>
        <w:numPr>
          <w:ilvl w:val="3"/>
          <w:numId w:val="10"/>
        </w:numPr>
        <w:wordWrap w:val="0"/>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区域社会经济统计数据、规划发展、产业政策等资料</w:t>
      </w:r>
    </w:p>
    <w:p w14:paraId="3AFA60EB" w14:textId="77777777" w:rsidR="00000000" w:rsidRDefault="00000000">
      <w:pPr>
        <w:numPr>
          <w:ilvl w:val="3"/>
          <w:numId w:val="10"/>
        </w:numPr>
        <w:wordWrap w:val="0"/>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区域城市资源、土地利用、不动产制度、金融及税收政策等资料</w:t>
      </w:r>
    </w:p>
    <w:p w14:paraId="3264F46F" w14:textId="77777777" w:rsidR="00000000" w:rsidRDefault="00000000">
      <w:pPr>
        <w:numPr>
          <w:ilvl w:val="3"/>
          <w:numId w:val="10"/>
        </w:numPr>
        <w:wordWrap w:val="0"/>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城市地价指数、房屋建安造价数据等资料</w:t>
      </w:r>
    </w:p>
    <w:p w14:paraId="660210BA" w14:textId="77777777" w:rsidR="00000000" w:rsidRDefault="00000000">
      <w:pPr>
        <w:numPr>
          <w:ilvl w:val="3"/>
          <w:numId w:val="10"/>
        </w:numPr>
        <w:wordWrap w:val="0"/>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人民银行公布的资金存、贷款利率</w:t>
      </w:r>
    </w:p>
    <w:p w14:paraId="78489791" w14:textId="77777777" w:rsidR="00000000" w:rsidRDefault="00000000">
      <w:pPr>
        <w:numPr>
          <w:ilvl w:val="3"/>
          <w:numId w:val="10"/>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房地产估价机构及评估专业人员掌握的其他相关信息资料</w:t>
      </w:r>
      <w:bookmarkStart w:id="40" w:name="_Toc168225821"/>
    </w:p>
    <w:p w14:paraId="13EB9A60" w14:textId="77777777" w:rsidR="00000000"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1" w:name="_Toc477252449"/>
      <w:r>
        <w:rPr>
          <w:rFonts w:eastAsia="宋体"/>
          <w:kern w:val="2"/>
          <w:sz w:val="21"/>
          <w:szCs w:val="21"/>
        </w:rPr>
        <w:t>九、估价方法</w:t>
      </w:r>
      <w:bookmarkEnd w:id="40"/>
      <w:bookmarkEnd w:id="41"/>
    </w:p>
    <w:p w14:paraId="508E22BA"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sz w:val="21"/>
          <w:szCs w:val="21"/>
        </w:rPr>
        <w:t>由于本次评估是</w:t>
      </w:r>
      <w:r>
        <w:rPr>
          <w:rFonts w:ascii="Arial" w:hAnsi="Arial" w:hint="eastAsia"/>
          <w:kern w:val="2"/>
          <w:sz w:val="21"/>
        </w:rPr>
        <w:t>为估价委托人了解估价对象房地</w:t>
      </w:r>
      <w:r>
        <w:rPr>
          <w:rFonts w:ascii="Arial" w:hAnsi="Arial" w:cs="Arial" w:hint="eastAsia"/>
          <w:bCs/>
          <w:spacing w:val="10"/>
          <w:sz w:val="21"/>
          <w:szCs w:val="21"/>
        </w:rPr>
        <w:t>产</w:t>
      </w:r>
      <w:r>
        <w:rPr>
          <w:rFonts w:ascii="Arial" w:hAnsi="Arial" w:hint="eastAsia"/>
          <w:sz w:val="21"/>
          <w:szCs w:val="21"/>
        </w:rPr>
        <w:t>市场租金水平</w:t>
      </w:r>
      <w:r>
        <w:rPr>
          <w:rFonts w:ascii="Arial" w:hAnsi="Arial" w:hint="eastAsia"/>
          <w:kern w:val="2"/>
          <w:sz w:val="21"/>
        </w:rPr>
        <w:t>提供参考依据</w:t>
      </w:r>
      <w:r>
        <w:rPr>
          <w:rFonts w:ascii="Arial" w:hAnsi="Arial" w:cs="Arial"/>
          <w:sz w:val="21"/>
          <w:szCs w:val="21"/>
        </w:rPr>
        <w:t>，因此我们在认真分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w:t>
      </w:r>
      <w:r>
        <w:rPr>
          <w:rFonts w:ascii="Arial" w:hAnsi="Arial" w:cs="Arial" w:hint="eastAsia"/>
          <w:sz w:val="21"/>
          <w:szCs w:val="21"/>
        </w:rPr>
        <w:t>结合本次评估估价目的，按照</w:t>
      </w:r>
      <w:r>
        <w:rPr>
          <w:rFonts w:ascii="Arial" w:hAnsi="Arial" w:cs="Arial"/>
          <w:sz w:val="21"/>
          <w:szCs w:val="21"/>
        </w:rPr>
        <w:t>《房地产估价规范》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w:t>
      </w:r>
      <w:r>
        <w:rPr>
          <w:rFonts w:ascii="Arial" w:hAnsi="Arial" w:cs="Arial" w:hint="eastAsia"/>
          <w:sz w:val="21"/>
          <w:szCs w:val="21"/>
        </w:rPr>
        <w:t>要求</w:t>
      </w:r>
      <w:r>
        <w:rPr>
          <w:rFonts w:ascii="Arial" w:hAnsi="Arial" w:cs="Arial"/>
          <w:sz w:val="21"/>
          <w:szCs w:val="21"/>
        </w:rPr>
        <w:t>，对估价方法分析如下：</w:t>
      </w:r>
    </w:p>
    <w:tbl>
      <w:tblPr>
        <w:tblW w:w="92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000" w:firstRow="0" w:lastRow="0" w:firstColumn="0" w:lastColumn="0" w:noHBand="0" w:noVBand="0"/>
      </w:tblPr>
      <w:tblGrid>
        <w:gridCol w:w="1276"/>
        <w:gridCol w:w="6946"/>
        <w:gridCol w:w="1077"/>
      </w:tblGrid>
      <w:tr w:rsidR="00000000" w14:paraId="4F1057EE" w14:textId="77777777">
        <w:trPr>
          <w:cantSplit/>
          <w:tblHeader/>
          <w:jc w:val="center"/>
        </w:trPr>
        <w:tc>
          <w:tcPr>
            <w:tcW w:w="1276" w:type="dxa"/>
            <w:vAlign w:val="center"/>
          </w:tcPr>
          <w:p w14:paraId="77D708D7" w14:textId="77777777" w:rsidR="00000000" w:rsidRDefault="00000000">
            <w:pPr>
              <w:pStyle w:val="10"/>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946" w:type="dxa"/>
            <w:vAlign w:val="center"/>
          </w:tcPr>
          <w:p w14:paraId="0F7B270E" w14:textId="77777777" w:rsidR="00000000" w:rsidRDefault="00000000">
            <w:pPr>
              <w:pStyle w:val="10"/>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适用性分析</w:t>
            </w:r>
          </w:p>
        </w:tc>
        <w:tc>
          <w:tcPr>
            <w:tcW w:w="1077" w:type="dxa"/>
            <w:vAlign w:val="center"/>
          </w:tcPr>
          <w:p w14:paraId="0295FCD0" w14:textId="77777777" w:rsidR="00000000" w:rsidRDefault="00000000">
            <w:pPr>
              <w:pStyle w:val="10"/>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000000" w14:paraId="42472D34" w14:textId="77777777">
        <w:trPr>
          <w:cantSplit/>
          <w:jc w:val="center"/>
        </w:trPr>
        <w:tc>
          <w:tcPr>
            <w:tcW w:w="1276" w:type="dxa"/>
            <w:vAlign w:val="center"/>
          </w:tcPr>
          <w:p w14:paraId="410A3149" w14:textId="77777777" w:rsidR="00000000" w:rsidRDefault="00000000">
            <w:pPr>
              <w:pStyle w:val="10"/>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946" w:type="dxa"/>
            <w:vAlign w:val="center"/>
          </w:tcPr>
          <w:p w14:paraId="3F11969C" w14:textId="77777777" w:rsidR="00000000" w:rsidRDefault="00000000">
            <w:pPr>
              <w:pStyle w:val="af1"/>
              <w:widowControl w:val="0"/>
              <w:autoSpaceDE w:val="0"/>
              <w:autoSpaceDN w:val="0"/>
              <w:adjustRightInd w:val="0"/>
              <w:snapToGrid w:val="0"/>
              <w:spacing w:line="240" w:lineRule="auto"/>
              <w:ind w:right="6"/>
              <w:textAlignment w:val="bottom"/>
              <w:rPr>
                <w:rFonts w:ascii="华文细黑" w:eastAsia="华文细黑" w:hAnsi="华文细黑" w:cs="Arial"/>
                <w:color w:val="000000"/>
              </w:rPr>
            </w:pPr>
            <w:r>
              <w:rPr>
                <w:rFonts w:ascii="Arial" w:eastAsia="华文细黑" w:hAnsi="Arial" w:cs="Arial"/>
              </w:rPr>
              <w:t>比较法主要用于同类房地产数量较多、经常发生交易且具有一定可比性的房地产。估价对象为信息服务用房，同小区同类房地产近期成交较多，可选用比较法。</w:t>
            </w:r>
          </w:p>
        </w:tc>
        <w:tc>
          <w:tcPr>
            <w:tcW w:w="1077" w:type="dxa"/>
            <w:vAlign w:val="center"/>
          </w:tcPr>
          <w:p w14:paraId="20CBB764" w14:textId="77777777" w:rsidR="00000000" w:rsidRDefault="00000000">
            <w:pPr>
              <w:pStyle w:val="af1"/>
              <w:widowControl w:val="0"/>
              <w:autoSpaceDE w:val="0"/>
              <w:autoSpaceDN w:val="0"/>
              <w:adjustRightInd w:val="0"/>
              <w:spacing w:line="240" w:lineRule="auto"/>
              <w:ind w:right="6"/>
              <w:textAlignment w:val="bottom"/>
              <w:rPr>
                <w:rFonts w:ascii="华文细黑" w:eastAsia="华文细黑" w:hAnsi="华文细黑" w:cs="Arial"/>
                <w:color w:val="E36C0A"/>
              </w:rPr>
            </w:pPr>
            <w:r>
              <w:rPr>
                <w:rFonts w:ascii="Arial" w:eastAsia="华文细黑" w:hAnsi="Arial" w:cs="Arial"/>
              </w:rPr>
              <w:t>是</w:t>
            </w:r>
          </w:p>
        </w:tc>
      </w:tr>
      <w:tr w:rsidR="00000000" w14:paraId="43820EAF" w14:textId="77777777">
        <w:trPr>
          <w:cantSplit/>
          <w:jc w:val="center"/>
        </w:trPr>
        <w:tc>
          <w:tcPr>
            <w:tcW w:w="1276" w:type="dxa"/>
            <w:vAlign w:val="center"/>
          </w:tcPr>
          <w:p w14:paraId="3F9DEE5F" w14:textId="77777777" w:rsidR="00000000" w:rsidRDefault="00000000">
            <w:pPr>
              <w:pStyle w:val="10"/>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946" w:type="dxa"/>
            <w:vAlign w:val="center"/>
          </w:tcPr>
          <w:p w14:paraId="28CE7B1E" w14:textId="77777777" w:rsidR="00000000" w:rsidRDefault="00000000">
            <w:pPr>
              <w:pStyle w:val="af1"/>
              <w:widowControl w:val="0"/>
              <w:autoSpaceDE w:val="0"/>
              <w:autoSpaceDN w:val="0"/>
              <w:adjustRightInd w:val="0"/>
              <w:spacing w:line="240" w:lineRule="auto"/>
              <w:ind w:right="6"/>
              <w:textAlignment w:val="bottom"/>
              <w:rPr>
                <w:rFonts w:ascii="华文细黑" w:eastAsia="华文细黑" w:hAnsi="华文细黑" w:cs="Arial"/>
                <w:color w:val="000000"/>
              </w:rPr>
            </w:pPr>
            <w:r>
              <w:rPr>
                <w:rFonts w:ascii="Arial" w:eastAsia="华文细黑" w:hAnsi="Arial" w:cs="Arial"/>
              </w:rPr>
              <w:t>收益法适用于估价对象或其同类房地产通常有租金等经济收入的收益性房地产。根据评估专业人员对周边同类物业的调查，估价对象所属同类物业存在租赁市场，</w:t>
            </w:r>
            <w:proofErr w:type="gramStart"/>
            <w:r>
              <w:rPr>
                <w:rFonts w:ascii="Arial" w:eastAsia="华文细黑" w:hAnsi="Arial" w:cs="Arial"/>
              </w:rPr>
              <w:t>属可收益</w:t>
            </w:r>
            <w:proofErr w:type="gramEnd"/>
            <w:r>
              <w:rPr>
                <w:rFonts w:ascii="Arial" w:eastAsia="华文细黑" w:hAnsi="Arial" w:cs="Arial"/>
              </w:rPr>
              <w:t>物业，符合收益法的选用及应用条件，可采用收益法。</w:t>
            </w:r>
            <w:r>
              <w:rPr>
                <w:rFonts w:ascii="Arial" w:eastAsia="华文细黑" w:hAnsi="Arial" w:cs="Arial" w:hint="eastAsia"/>
              </w:rPr>
              <w:t>但因本次评估目的是为估价委托人了解估价对象房地产市场租金水平提供参考依据</w:t>
            </w:r>
            <w:r>
              <w:rPr>
                <w:rFonts w:ascii="Arial" w:eastAsia="华文细黑" w:hAnsi="Arial" w:cs="Arial"/>
              </w:rPr>
              <w:t>，故本次评估未选用</w:t>
            </w:r>
            <w:r>
              <w:rPr>
                <w:rFonts w:ascii="Arial" w:eastAsia="华文细黑" w:hAnsi="Arial" w:cs="Arial" w:hint="eastAsia"/>
              </w:rPr>
              <w:t>收益</w:t>
            </w:r>
            <w:r>
              <w:rPr>
                <w:rFonts w:ascii="Arial" w:eastAsia="华文细黑" w:hAnsi="Arial" w:cs="Arial"/>
              </w:rPr>
              <w:t>法。</w:t>
            </w:r>
          </w:p>
        </w:tc>
        <w:tc>
          <w:tcPr>
            <w:tcW w:w="1077" w:type="dxa"/>
            <w:vAlign w:val="center"/>
          </w:tcPr>
          <w:p w14:paraId="1456081D" w14:textId="77777777" w:rsidR="00000000" w:rsidRDefault="00000000">
            <w:pPr>
              <w:pStyle w:val="af1"/>
              <w:widowControl w:val="0"/>
              <w:autoSpaceDE w:val="0"/>
              <w:autoSpaceDN w:val="0"/>
              <w:adjustRightInd w:val="0"/>
              <w:spacing w:line="240" w:lineRule="auto"/>
              <w:ind w:right="6"/>
              <w:textAlignment w:val="bottom"/>
              <w:rPr>
                <w:rFonts w:ascii="华文细黑" w:eastAsia="华文细黑" w:hAnsi="华文细黑" w:cs="Arial" w:hint="eastAsia"/>
                <w:color w:val="E36C0A"/>
              </w:rPr>
            </w:pPr>
            <w:r>
              <w:rPr>
                <w:rFonts w:ascii="Arial" w:eastAsia="华文细黑" w:hAnsi="Arial" w:cs="Arial" w:hint="eastAsia"/>
              </w:rPr>
              <w:t>否</w:t>
            </w:r>
          </w:p>
        </w:tc>
      </w:tr>
      <w:tr w:rsidR="00000000" w14:paraId="08281962" w14:textId="77777777">
        <w:trPr>
          <w:cantSplit/>
          <w:jc w:val="center"/>
        </w:trPr>
        <w:tc>
          <w:tcPr>
            <w:tcW w:w="1276" w:type="dxa"/>
            <w:vAlign w:val="center"/>
          </w:tcPr>
          <w:p w14:paraId="6F7A3AB8" w14:textId="77777777" w:rsidR="00000000" w:rsidRDefault="00000000">
            <w:pPr>
              <w:pStyle w:val="10"/>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946" w:type="dxa"/>
            <w:vAlign w:val="center"/>
          </w:tcPr>
          <w:p w14:paraId="3F2B9B4E" w14:textId="77777777" w:rsidR="00000000" w:rsidRDefault="00000000">
            <w:pPr>
              <w:pStyle w:val="af1"/>
              <w:widowControl w:val="0"/>
              <w:autoSpaceDE w:val="0"/>
              <w:autoSpaceDN w:val="0"/>
              <w:adjustRightInd w:val="0"/>
              <w:spacing w:line="240" w:lineRule="auto"/>
              <w:ind w:right="6"/>
              <w:textAlignment w:val="bottom"/>
              <w:rPr>
                <w:rFonts w:ascii="华文细黑" w:eastAsia="华文细黑" w:hAnsi="华文细黑" w:cs="Arial"/>
                <w:color w:val="000000"/>
              </w:rPr>
            </w:pPr>
            <w:r>
              <w:rPr>
                <w:rFonts w:ascii="Arial" w:eastAsia="华文细黑" w:hAnsi="Arial" w:cs="Arial"/>
              </w:rPr>
              <w:t>成本法适用于新近开发完成的房地产</w:t>
            </w:r>
            <w:r>
              <w:rPr>
                <w:rFonts w:ascii="Arial" w:eastAsia="华文细黑" w:hAnsi="Arial" w:cs="Arial"/>
              </w:rPr>
              <w:t>(</w:t>
            </w:r>
            <w:r>
              <w:rPr>
                <w:rFonts w:ascii="Arial" w:eastAsia="华文细黑" w:hAnsi="Arial" w:cs="Arial"/>
              </w:rPr>
              <w:t>简称新开发的房地产</w:t>
            </w:r>
            <w:r>
              <w:rPr>
                <w:rFonts w:ascii="Arial" w:eastAsia="华文细黑" w:hAnsi="Arial" w:cs="Arial"/>
              </w:rPr>
              <w:t>)</w:t>
            </w:r>
            <w:r>
              <w:rPr>
                <w:rFonts w:ascii="Arial" w:eastAsia="华文细黑" w:hAnsi="Arial" w:cs="Arial"/>
              </w:rPr>
              <w:t>、可以假设重新开发的现有房地产</w:t>
            </w:r>
            <w:r>
              <w:rPr>
                <w:rFonts w:ascii="Arial" w:eastAsia="华文细黑" w:hAnsi="Arial" w:cs="Arial"/>
              </w:rPr>
              <w:t>(</w:t>
            </w:r>
            <w:r>
              <w:rPr>
                <w:rFonts w:ascii="Arial" w:eastAsia="华文细黑" w:hAnsi="Arial" w:cs="Arial"/>
              </w:rPr>
              <w:t>简称旧的房地产</w:t>
            </w:r>
            <w:r>
              <w:rPr>
                <w:rFonts w:ascii="Arial" w:eastAsia="华文细黑" w:hAnsi="Arial" w:cs="Arial"/>
              </w:rPr>
              <w:t>)</w:t>
            </w:r>
            <w:r>
              <w:rPr>
                <w:rFonts w:ascii="Arial" w:eastAsia="华文细黑" w:hAnsi="Arial" w:cs="Arial"/>
              </w:rPr>
              <w:t>、正在开发的房地产</w:t>
            </w:r>
            <w:r>
              <w:rPr>
                <w:rFonts w:ascii="Arial" w:eastAsia="华文细黑" w:hAnsi="Arial" w:cs="Arial"/>
              </w:rPr>
              <w:t>(</w:t>
            </w:r>
            <w:r>
              <w:rPr>
                <w:rFonts w:ascii="Arial" w:eastAsia="华文细黑" w:hAnsi="Arial" w:cs="Arial"/>
              </w:rPr>
              <w:t>即在建工程</w:t>
            </w:r>
            <w:r>
              <w:rPr>
                <w:rFonts w:ascii="Arial" w:eastAsia="华文细黑" w:hAnsi="Arial" w:cs="Arial"/>
              </w:rPr>
              <w:t>)</w:t>
            </w:r>
            <w:r>
              <w:rPr>
                <w:rFonts w:ascii="Arial" w:eastAsia="华文细黑" w:hAnsi="Arial" w:cs="Arial"/>
              </w:rPr>
              <w:t>、计划开发的房地产</w:t>
            </w:r>
            <w:r>
              <w:rPr>
                <w:rFonts w:ascii="Arial" w:eastAsia="华文细黑" w:hAnsi="Arial" w:cs="Arial"/>
              </w:rPr>
              <w:t>(</w:t>
            </w:r>
            <w:r>
              <w:rPr>
                <w:rFonts w:ascii="Arial" w:eastAsia="华文细黑" w:hAnsi="Arial" w:cs="Arial"/>
              </w:rPr>
              <w:t>如期房</w:t>
            </w:r>
            <w:r>
              <w:rPr>
                <w:rFonts w:ascii="Arial" w:eastAsia="华文细黑" w:hAnsi="Arial" w:cs="Arial"/>
              </w:rPr>
              <w:t>)</w:t>
            </w:r>
            <w:r>
              <w:rPr>
                <w:rFonts w:ascii="Arial" w:eastAsia="华文细黑" w:hAnsi="Arial" w:cs="Arial"/>
              </w:rPr>
              <w:t>或很少发生交易而限制了比较法运用，又没有经济收入或没有潜在经济收入而限制了收益法运用的房地产，估价对象为已建成物业，且交易市场活跃，故本次评估未选用成本法。</w:t>
            </w:r>
          </w:p>
        </w:tc>
        <w:tc>
          <w:tcPr>
            <w:tcW w:w="1077" w:type="dxa"/>
            <w:vAlign w:val="center"/>
          </w:tcPr>
          <w:p w14:paraId="06F1DFEC" w14:textId="77777777" w:rsidR="00000000" w:rsidRDefault="00000000">
            <w:pPr>
              <w:pStyle w:val="af1"/>
              <w:widowControl w:val="0"/>
              <w:autoSpaceDE w:val="0"/>
              <w:autoSpaceDN w:val="0"/>
              <w:adjustRightInd w:val="0"/>
              <w:spacing w:line="240" w:lineRule="auto"/>
              <w:ind w:right="6"/>
              <w:textAlignment w:val="bottom"/>
              <w:rPr>
                <w:rFonts w:ascii="华文细黑" w:eastAsia="华文细黑" w:hAnsi="华文细黑" w:cs="Arial"/>
                <w:color w:val="E36C0A"/>
              </w:rPr>
            </w:pPr>
            <w:r>
              <w:rPr>
                <w:rFonts w:ascii="Arial" w:eastAsia="华文细黑" w:hAnsi="Arial" w:cs="Arial"/>
              </w:rPr>
              <w:t>否</w:t>
            </w:r>
          </w:p>
        </w:tc>
      </w:tr>
      <w:tr w:rsidR="00000000" w14:paraId="6448953E" w14:textId="77777777">
        <w:trPr>
          <w:cantSplit/>
          <w:jc w:val="center"/>
        </w:trPr>
        <w:tc>
          <w:tcPr>
            <w:tcW w:w="1276" w:type="dxa"/>
            <w:vAlign w:val="center"/>
          </w:tcPr>
          <w:p w14:paraId="0562845F" w14:textId="77777777" w:rsidR="00000000" w:rsidRDefault="00000000">
            <w:pPr>
              <w:pStyle w:val="10"/>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946" w:type="dxa"/>
            <w:vAlign w:val="center"/>
          </w:tcPr>
          <w:p w14:paraId="2F7CD3BB" w14:textId="77777777" w:rsidR="00000000" w:rsidRDefault="00000000">
            <w:pPr>
              <w:pStyle w:val="af1"/>
              <w:widowControl w:val="0"/>
              <w:autoSpaceDE w:val="0"/>
              <w:autoSpaceDN w:val="0"/>
              <w:adjustRightInd w:val="0"/>
              <w:snapToGrid w:val="0"/>
              <w:spacing w:line="240" w:lineRule="auto"/>
              <w:ind w:right="6"/>
              <w:textAlignment w:val="bottom"/>
              <w:rPr>
                <w:rFonts w:ascii="华文细黑" w:eastAsia="华文细黑" w:hAnsi="华文细黑" w:cs="Arial"/>
                <w:color w:val="000000"/>
              </w:rPr>
            </w:pPr>
            <w:r>
              <w:rPr>
                <w:rFonts w:ascii="Arial" w:eastAsia="华文细黑" w:hAnsi="Arial" w:cs="Arial"/>
              </w:rPr>
              <w:t>估价对象为已建成物业，且处于正常运营状态，尚不具备开发或在开发潜力，故不符合假设开发法的选用及应用条件。</w:t>
            </w:r>
          </w:p>
        </w:tc>
        <w:tc>
          <w:tcPr>
            <w:tcW w:w="1077" w:type="dxa"/>
            <w:vAlign w:val="center"/>
          </w:tcPr>
          <w:p w14:paraId="62D36EA5" w14:textId="77777777" w:rsidR="00000000" w:rsidRDefault="00000000">
            <w:pPr>
              <w:pStyle w:val="af1"/>
              <w:widowControl w:val="0"/>
              <w:autoSpaceDE w:val="0"/>
              <w:autoSpaceDN w:val="0"/>
              <w:adjustRightInd w:val="0"/>
              <w:snapToGrid w:val="0"/>
              <w:spacing w:line="240" w:lineRule="auto"/>
              <w:ind w:right="6"/>
              <w:textAlignment w:val="bottom"/>
              <w:rPr>
                <w:rFonts w:ascii="华文细黑" w:eastAsia="华文细黑" w:hAnsi="华文细黑" w:cs="Arial"/>
                <w:color w:val="E36C0A"/>
              </w:rPr>
            </w:pPr>
            <w:r>
              <w:rPr>
                <w:rFonts w:ascii="Arial" w:eastAsia="华文细黑" w:hAnsi="Arial" w:cs="Arial"/>
              </w:rPr>
              <w:t>否</w:t>
            </w:r>
          </w:p>
        </w:tc>
      </w:tr>
    </w:tbl>
    <w:p w14:paraId="4F925B8A" w14:textId="77777777" w:rsidR="00000000" w:rsidRDefault="00000000">
      <w:pPr>
        <w:pStyle w:val="10"/>
        <w:autoSpaceDE w:val="0"/>
        <w:autoSpaceDN w:val="0"/>
        <w:spacing w:line="240" w:lineRule="auto"/>
        <w:ind w:right="6"/>
        <w:jc w:val="left"/>
        <w:textAlignment w:val="bottom"/>
        <w:rPr>
          <w:rFonts w:ascii="Arial" w:eastAsia="华文细黑" w:hAnsi="Arial" w:cs="Arial"/>
          <w:color w:val="000000"/>
          <w:sz w:val="18"/>
          <w:szCs w:val="18"/>
        </w:rPr>
      </w:pPr>
    </w:p>
    <w:p w14:paraId="3CCEAC2D" w14:textId="77777777" w:rsidR="00000000" w:rsidRDefault="00000000">
      <w:pPr>
        <w:pStyle w:val="Normal"/>
        <w:wordWrap w:val="0"/>
        <w:overflowPunct w:val="0"/>
        <w:autoSpaceDE w:val="0"/>
        <w:autoSpaceDN w:val="0"/>
        <w:spacing w:line="480" w:lineRule="auto"/>
        <w:ind w:right="6" w:firstLineChars="200" w:firstLine="420"/>
        <w:jc w:val="both"/>
        <w:textAlignment w:val="auto"/>
        <w:rPr>
          <w:rFonts w:ascii="Arial" w:hAnsi="Arial" w:cs="Arial" w:hint="eastAsia"/>
          <w:sz w:val="21"/>
          <w:szCs w:val="21"/>
        </w:rPr>
      </w:pPr>
      <w:r>
        <w:rPr>
          <w:rFonts w:ascii="Arial" w:hAnsi="Arial" w:cs="Arial" w:hint="eastAsia"/>
          <w:sz w:val="21"/>
          <w:szCs w:val="21"/>
        </w:rPr>
        <w:t>综上，本次评估</w:t>
      </w:r>
      <w:r>
        <w:rPr>
          <w:rFonts w:ascii="Arial" w:hAnsi="Arial" w:cs="Arial"/>
          <w:sz w:val="21"/>
          <w:szCs w:val="21"/>
        </w:rPr>
        <w:t>选用</w:t>
      </w:r>
      <w:r>
        <w:rPr>
          <w:rFonts w:ascii="Arial" w:hAnsi="Arial" w:cs="Arial" w:hint="eastAsia"/>
          <w:sz w:val="21"/>
          <w:szCs w:val="21"/>
        </w:rPr>
        <w:t>比较法</w:t>
      </w:r>
      <w:r>
        <w:rPr>
          <w:rFonts w:ascii="Arial" w:hAnsi="Arial" w:cs="Arial"/>
          <w:sz w:val="21"/>
          <w:szCs w:val="21"/>
        </w:rPr>
        <w:t>进行估价</w:t>
      </w:r>
      <w:r>
        <w:rPr>
          <w:rFonts w:ascii="Arial" w:hAnsi="Arial" w:cs="Arial" w:hint="eastAsia"/>
          <w:sz w:val="21"/>
          <w:szCs w:val="21"/>
        </w:rPr>
        <w:t>，</w:t>
      </w:r>
      <w:r>
        <w:rPr>
          <w:rFonts w:ascii="Arial" w:hAnsi="Arial" w:cs="Arial"/>
          <w:sz w:val="21"/>
          <w:szCs w:val="21"/>
        </w:rPr>
        <w:t>估价方法简述如下：</w:t>
      </w:r>
    </w:p>
    <w:p w14:paraId="5FB01B87" w14:textId="77777777" w:rsidR="00000000" w:rsidRDefault="00000000">
      <w:pPr>
        <w:pStyle w:val="Normal"/>
        <w:wordWrap w:val="0"/>
        <w:overflowPunct w:val="0"/>
        <w:autoSpaceDE w:val="0"/>
        <w:autoSpaceDN w:val="0"/>
        <w:spacing w:line="480" w:lineRule="auto"/>
        <w:ind w:right="6" w:firstLineChars="200" w:firstLine="420"/>
        <w:jc w:val="both"/>
        <w:textAlignment w:val="auto"/>
        <w:rPr>
          <w:rFonts w:ascii="Arial" w:hAnsi="Arial" w:cs="Arial"/>
          <w:sz w:val="21"/>
          <w:szCs w:val="21"/>
        </w:rPr>
      </w:pPr>
      <w:r>
        <w:rPr>
          <w:rFonts w:ascii="Arial" w:hAnsi="Arial" w:cs="Arial"/>
          <w:sz w:val="21"/>
          <w:szCs w:val="21"/>
        </w:rPr>
        <w:t>比较法：比较法是选取一定数量的可比实例，将它们与估价对象进行比较，根据其间的差异对可比实例成交价格进行处理后得到估价对象价值或价格的方法。比较法主要用于同类房地产数量较多、</w:t>
      </w:r>
      <w:r>
        <w:rPr>
          <w:rFonts w:ascii="Arial" w:hAnsi="Arial" w:cs="Arial"/>
          <w:sz w:val="21"/>
          <w:szCs w:val="21"/>
        </w:rPr>
        <w:lastRenderedPageBreak/>
        <w:t>经常发生交易且具有一定可比性的房地产。</w:t>
      </w:r>
    </w:p>
    <w:p w14:paraId="021CFA71" w14:textId="77777777" w:rsidR="00000000" w:rsidRDefault="00000000">
      <w:pPr>
        <w:pStyle w:val="Normal"/>
        <w:wordWrap w:val="0"/>
        <w:overflowPunct w:val="0"/>
        <w:autoSpaceDE w:val="0"/>
        <w:autoSpaceDN w:val="0"/>
        <w:spacing w:line="480" w:lineRule="auto"/>
        <w:ind w:right="6" w:firstLineChars="200" w:firstLine="420"/>
        <w:jc w:val="both"/>
        <w:textAlignment w:val="auto"/>
        <w:rPr>
          <w:rFonts w:ascii="Arial" w:hAnsi="Arial" w:cs="Arial"/>
          <w:b/>
          <w:kern w:val="2"/>
          <w:sz w:val="21"/>
          <w:szCs w:val="21"/>
        </w:rPr>
      </w:pPr>
      <w:r>
        <w:rPr>
          <w:rFonts w:ascii="Arial" w:hAnsi="Arial" w:hint="eastAsia"/>
          <w:kern w:val="2"/>
          <w:sz w:val="21"/>
        </w:rPr>
        <w:t>本次估价的技术路线：首先，采用</w:t>
      </w:r>
      <w:r>
        <w:rPr>
          <w:rFonts w:ascii="Arial" w:hAnsi="Arial" w:hint="eastAsia"/>
          <w:sz w:val="21"/>
          <w:szCs w:val="21"/>
        </w:rPr>
        <w:t>比较法</w:t>
      </w:r>
      <w:r>
        <w:rPr>
          <w:rFonts w:ascii="Arial" w:hAnsi="Arial" w:hint="eastAsia"/>
          <w:kern w:val="2"/>
          <w:sz w:val="21"/>
        </w:rPr>
        <w:t>求取</w:t>
      </w:r>
      <w:r>
        <w:rPr>
          <w:rFonts w:ascii="Arial" w:hAnsi="Arial" w:cs="Arial" w:hint="eastAsia"/>
          <w:sz w:val="21"/>
          <w:szCs w:val="28"/>
        </w:rPr>
        <w:t>估价对象</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sz w:val="21"/>
          <w:szCs w:val="28"/>
        </w:rPr>
        <w:t>号楼</w:t>
      </w:r>
      <w:r>
        <w:rPr>
          <w:rFonts w:ascii="Arial" w:hAnsi="Arial" w:cs="Arial" w:hint="eastAsia"/>
          <w:sz w:val="21"/>
          <w:szCs w:val="28"/>
        </w:rPr>
        <w:t>1</w:t>
      </w:r>
      <w:r>
        <w:rPr>
          <w:rFonts w:ascii="Arial" w:hAnsi="Arial" w:cs="Arial" w:hint="eastAsia"/>
          <w:sz w:val="21"/>
          <w:szCs w:val="28"/>
        </w:rPr>
        <w:t>层商业用房</w:t>
      </w:r>
      <w:r>
        <w:rPr>
          <w:rFonts w:ascii="Arial" w:hAnsi="Arial" w:hint="eastAsia"/>
          <w:kern w:val="2"/>
          <w:sz w:val="21"/>
        </w:rPr>
        <w:t>房地产市场租金水平，其次，通过楼层、可视性、通达性、层高、使用率、平面布局等因素修正，</w:t>
      </w:r>
      <w:r>
        <w:rPr>
          <w:rFonts w:ascii="Arial" w:hAnsi="Arial" w:cs="Arial" w:hint="eastAsia"/>
          <w:sz w:val="21"/>
          <w:szCs w:val="28"/>
        </w:rPr>
        <w:t>求取估价对象各楼层商业用房房地产市场租金水平。</w:t>
      </w:r>
    </w:p>
    <w:p w14:paraId="2CC05FD9" w14:textId="77777777" w:rsidR="00000000"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2" w:name="_Toc168225822"/>
      <w:bookmarkStart w:id="43" w:name="_Toc477252450"/>
      <w:r>
        <w:rPr>
          <w:rFonts w:eastAsia="宋体"/>
          <w:kern w:val="2"/>
          <w:sz w:val="21"/>
          <w:szCs w:val="21"/>
        </w:rPr>
        <w:t>十、估价结果</w:t>
      </w:r>
      <w:bookmarkEnd w:id="42"/>
      <w:bookmarkEnd w:id="43"/>
    </w:p>
    <w:p w14:paraId="6B29D469"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评估专业人员根据估价的目的，按照估价的程序，采用科学的估价方法，在认真分析现有资料的基础上，结合</w:t>
      </w:r>
      <w:r>
        <w:rPr>
          <w:rFonts w:ascii="Arial" w:hAnsi="Arial" w:cs="Arial"/>
          <w:sz w:val="21"/>
          <w:szCs w:val="28"/>
        </w:rPr>
        <w:t>本次评估的要求，通过仔细测算和认真分析各种影响房地产价格的因素，确定估价对象于价值时</w:t>
      </w:r>
      <w:r>
        <w:rPr>
          <w:rFonts w:ascii="Arial" w:hAnsi="Arial" w:cs="Arial"/>
          <w:sz w:val="21"/>
          <w:szCs w:val="21"/>
        </w:rPr>
        <w:t>点的房地产评估价格，详见估价结果一览表（币种：人民币）。</w:t>
      </w:r>
    </w:p>
    <w:p w14:paraId="3EC6A30D" w14:textId="77777777" w:rsidR="00000000" w:rsidRDefault="00000000">
      <w:pPr>
        <w:spacing w:line="240" w:lineRule="auto"/>
        <w:jc w:val="center"/>
        <w:rPr>
          <w:rFonts w:ascii="Arial" w:eastAsia="方正黑体简体" w:hAnsi="Arial" w:cs="Arial" w:hint="eastAsia"/>
          <w:szCs w:val="24"/>
        </w:rPr>
      </w:pPr>
      <w:r>
        <w:rPr>
          <w:rFonts w:ascii="Arial" w:eastAsia="方正黑体简体" w:hAnsi="Arial" w:cs="Arial" w:hint="eastAsia"/>
          <w:szCs w:val="24"/>
        </w:rPr>
        <w:t>估价结果一览表</w:t>
      </w:r>
    </w:p>
    <w:p w14:paraId="6569FA91" w14:textId="77777777" w:rsidR="00000000" w:rsidRDefault="00000000">
      <w:pPr>
        <w:spacing w:line="240" w:lineRule="auto"/>
        <w:jc w:val="center"/>
        <w:rPr>
          <w:rFonts w:ascii="Arial" w:eastAsia="方正黑体简体" w:hAnsi="Arial" w:cs="Arial"/>
          <w:szCs w:val="24"/>
        </w:rPr>
      </w:pPr>
      <w:r>
        <w:rPr>
          <w:rFonts w:ascii="Arial" w:eastAsia="方正黑体简体" w:hAnsi="Arial" w:cs="Arial" w:hint="eastAsia"/>
          <w:szCs w:val="24"/>
        </w:rPr>
        <w:t>结果表</w:t>
      </w:r>
      <w:r>
        <w:rPr>
          <w:rFonts w:ascii="Arial" w:eastAsia="方正黑体简体" w:hAnsi="Arial" w:cs="Arial" w:hint="eastAsia"/>
          <w:szCs w:val="24"/>
        </w:rPr>
        <w:t>-1</w:t>
      </w:r>
    </w:p>
    <w:tbl>
      <w:tblPr>
        <w:tblW w:w="5000" w:type="pct"/>
        <w:jc w:val="center"/>
        <w:tblInd w:w="0" w:type="dxa"/>
        <w:tblCellMar>
          <w:top w:w="57" w:type="dxa"/>
          <w:left w:w="57" w:type="dxa"/>
          <w:bottom w:w="57" w:type="dxa"/>
          <w:right w:w="57" w:type="dxa"/>
        </w:tblCellMar>
        <w:tblLook w:val="0000" w:firstRow="0" w:lastRow="0" w:firstColumn="0" w:lastColumn="0" w:noHBand="0" w:noVBand="0"/>
      </w:tblPr>
      <w:tblGrid>
        <w:gridCol w:w="4554"/>
        <w:gridCol w:w="4739"/>
      </w:tblGrid>
      <w:tr w:rsidR="00000000" w14:paraId="270FBB8D" w14:textId="77777777">
        <w:trPr>
          <w:cantSplit/>
          <w:trHeight w:val="567"/>
          <w:jc w:val="center"/>
        </w:trPr>
        <w:tc>
          <w:tcPr>
            <w:tcW w:w="2450" w:type="pct"/>
            <w:tcBorders>
              <w:top w:val="thinThickThinSmallGap" w:sz="12" w:space="0" w:color="auto"/>
              <w:left w:val="dotted" w:sz="2" w:space="0" w:color="auto"/>
              <w:bottom w:val="dotted" w:sz="2" w:space="0" w:color="auto"/>
              <w:right w:val="dotted" w:sz="2" w:space="0" w:color="auto"/>
              <w:tl2br w:val="single" w:sz="4" w:space="0" w:color="auto"/>
            </w:tcBorders>
            <w:vAlign w:val="center"/>
          </w:tcPr>
          <w:p w14:paraId="2DBE8C81" w14:textId="77777777" w:rsidR="00000000" w:rsidRDefault="00000000">
            <w:pPr>
              <w:widowControl/>
              <w:adjustRightInd/>
              <w:spacing w:line="240" w:lineRule="exact"/>
              <w:jc w:val="right"/>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租金水平</w:t>
            </w:r>
          </w:p>
          <w:p w14:paraId="02210610" w14:textId="77777777" w:rsidR="00000000" w:rsidRDefault="00000000">
            <w:pPr>
              <w:widowControl/>
              <w:adjustRightInd/>
              <w:spacing w:line="240" w:lineRule="exact"/>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相关结果</w:t>
            </w:r>
          </w:p>
        </w:tc>
        <w:tc>
          <w:tcPr>
            <w:tcW w:w="2550" w:type="pct"/>
            <w:tcBorders>
              <w:top w:val="thinThickThinSmallGap" w:sz="12" w:space="0" w:color="auto"/>
              <w:left w:val="dotted" w:sz="2" w:space="0" w:color="auto"/>
              <w:bottom w:val="dotted" w:sz="2" w:space="0" w:color="auto"/>
              <w:right w:val="dotted" w:sz="2" w:space="0" w:color="auto"/>
            </w:tcBorders>
            <w:vAlign w:val="center"/>
          </w:tcPr>
          <w:p w14:paraId="47F23515"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房山区阜盛西街</w:t>
            </w:r>
            <w:r>
              <w:rPr>
                <w:rFonts w:ascii="Arial" w:eastAsia="华文细黑" w:hAnsi="Arial" w:cs="Arial" w:hint="eastAsia"/>
                <w:color w:val="000000"/>
                <w:sz w:val="18"/>
                <w:szCs w:val="18"/>
              </w:rPr>
              <w:t>11</w:t>
            </w:r>
            <w:r>
              <w:rPr>
                <w:rFonts w:ascii="Arial" w:eastAsia="华文细黑" w:hAnsi="Arial" w:cs="Arial" w:hint="eastAsia"/>
                <w:color w:val="000000"/>
                <w:sz w:val="18"/>
                <w:szCs w:val="18"/>
              </w:rPr>
              <w:t>号院</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号楼</w:t>
            </w:r>
            <w:r>
              <w:rPr>
                <w:rFonts w:ascii="Arial" w:eastAsia="华文细黑" w:hAnsi="Arial" w:cs="Arial" w:hint="eastAsia"/>
                <w:color w:val="000000"/>
                <w:sz w:val="18"/>
                <w:szCs w:val="18"/>
              </w:rPr>
              <w:t>101</w:t>
            </w:r>
            <w:r>
              <w:rPr>
                <w:rFonts w:ascii="Arial" w:eastAsia="华文细黑" w:hAnsi="Arial" w:cs="Arial" w:hint="eastAsia"/>
                <w:color w:val="000000"/>
                <w:sz w:val="18"/>
                <w:szCs w:val="18"/>
              </w:rPr>
              <w:t>号</w:t>
            </w:r>
          </w:p>
          <w:p w14:paraId="31EB32FC"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商业用房市场租金水平</w:t>
            </w:r>
          </w:p>
        </w:tc>
      </w:tr>
      <w:tr w:rsidR="00000000" w14:paraId="5EC0F87F" w14:textId="77777777">
        <w:trPr>
          <w:cantSplit/>
          <w:trHeight w:val="567"/>
          <w:jc w:val="center"/>
        </w:trPr>
        <w:tc>
          <w:tcPr>
            <w:tcW w:w="2450" w:type="pct"/>
            <w:tcBorders>
              <w:top w:val="dotted" w:sz="2" w:space="0" w:color="auto"/>
              <w:left w:val="dotted" w:sz="2" w:space="0" w:color="auto"/>
              <w:bottom w:val="thinThickThinSmallGap" w:sz="12" w:space="0" w:color="auto"/>
              <w:right w:val="dotted" w:sz="2" w:space="0" w:color="auto"/>
            </w:tcBorders>
            <w:vAlign w:val="center"/>
          </w:tcPr>
          <w:p w14:paraId="219AC713"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评估结果</w:t>
            </w:r>
          </w:p>
        </w:tc>
        <w:tc>
          <w:tcPr>
            <w:tcW w:w="2550" w:type="pct"/>
            <w:tcBorders>
              <w:top w:val="dotted" w:sz="2" w:space="0" w:color="auto"/>
              <w:left w:val="dotted" w:sz="2" w:space="0" w:color="auto"/>
              <w:bottom w:val="thinThickThinSmallGap" w:sz="12" w:space="0" w:color="auto"/>
              <w:right w:val="dotted" w:sz="2" w:space="0" w:color="auto"/>
            </w:tcBorders>
            <w:vAlign w:val="center"/>
          </w:tcPr>
          <w:p w14:paraId="49D3D5E1"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3.30</w:t>
            </w:r>
          </w:p>
        </w:tc>
      </w:tr>
    </w:tbl>
    <w:p w14:paraId="2C09FF39" w14:textId="77777777" w:rsidR="00000000" w:rsidRDefault="00000000">
      <w:pPr>
        <w:widowControl/>
        <w:adjustRightInd/>
        <w:spacing w:line="240" w:lineRule="auto"/>
        <w:jc w:val="both"/>
        <w:textAlignment w:val="auto"/>
        <w:rPr>
          <w:rFonts w:ascii="Arial" w:eastAsia="华文细黑" w:hAnsi="Arial" w:cs="宋体" w:hint="eastAsia"/>
          <w:sz w:val="18"/>
          <w:szCs w:val="18"/>
        </w:rPr>
      </w:pPr>
      <w:r>
        <w:rPr>
          <w:rFonts w:ascii="Arial" w:eastAsia="华文细黑" w:hAnsi="Arial" w:cs="宋体" w:hint="eastAsia"/>
          <w:sz w:val="18"/>
          <w:szCs w:val="18"/>
        </w:rPr>
        <w:t>单位：元</w:t>
      </w:r>
      <w:r>
        <w:rPr>
          <w:rFonts w:ascii="Arial" w:eastAsia="华文细黑" w:hAnsi="Arial" w:cs="宋体" w:hint="eastAsia"/>
          <w:sz w:val="18"/>
          <w:szCs w:val="18"/>
        </w:rPr>
        <w:t>/</w:t>
      </w:r>
      <w:r>
        <w:rPr>
          <w:rFonts w:ascii="Arial" w:eastAsia="华文细黑" w:hAnsi="Arial" w:cs="宋体" w:hint="eastAsia"/>
          <w:sz w:val="18"/>
          <w:szCs w:val="18"/>
        </w:rPr>
        <w:t>建筑</w:t>
      </w:r>
      <w:r>
        <w:rPr>
          <w:rFonts w:ascii="Arial" w:eastAsia="华文细黑" w:hAnsi="Arial" w:cs="宋体"/>
          <w:sz w:val="18"/>
          <w:szCs w:val="18"/>
        </w:rPr>
        <w:t>面积</w:t>
      </w:r>
      <w:r>
        <w:rPr>
          <w:rFonts w:ascii="Arial" w:eastAsia="华文细黑" w:hAnsi="Arial" w:cs="宋体" w:hint="eastAsia"/>
          <w:sz w:val="18"/>
          <w:szCs w:val="18"/>
        </w:rPr>
        <w:t>平方米·天</w:t>
      </w:r>
    </w:p>
    <w:p w14:paraId="1690F471" w14:textId="77777777" w:rsidR="00000000" w:rsidRDefault="00000000">
      <w:pPr>
        <w:spacing w:line="240" w:lineRule="auto"/>
        <w:jc w:val="center"/>
        <w:outlineLvl w:val="0"/>
        <w:rPr>
          <w:rFonts w:ascii="Arial" w:eastAsia="方正黑体简体" w:hAnsi="Arial"/>
          <w:szCs w:val="24"/>
        </w:rPr>
      </w:pPr>
      <w:r>
        <w:rPr>
          <w:rFonts w:ascii="Arial" w:eastAsia="方正黑体简体" w:hAnsi="Arial" w:hint="eastAsia"/>
          <w:szCs w:val="24"/>
        </w:rPr>
        <w:t>结果表</w:t>
      </w:r>
      <w:r>
        <w:rPr>
          <w:rFonts w:ascii="Arial" w:eastAsia="方正黑体简体" w:hAnsi="Arial" w:hint="eastAsia"/>
          <w:szCs w:val="24"/>
        </w:rPr>
        <w:t>-2</w:t>
      </w:r>
    </w:p>
    <w:tbl>
      <w:tblPr>
        <w:tblW w:w="5000" w:type="pct"/>
        <w:jc w:val="center"/>
        <w:tblInd w:w="0" w:type="dxa"/>
        <w:tblCellMar>
          <w:top w:w="57" w:type="dxa"/>
          <w:left w:w="57" w:type="dxa"/>
          <w:bottom w:w="57" w:type="dxa"/>
          <w:right w:w="57" w:type="dxa"/>
        </w:tblCellMar>
        <w:tblLook w:val="0000" w:firstRow="0" w:lastRow="0" w:firstColumn="0" w:lastColumn="0" w:noHBand="0" w:noVBand="0"/>
      </w:tblPr>
      <w:tblGrid>
        <w:gridCol w:w="2711"/>
        <w:gridCol w:w="865"/>
        <w:gridCol w:w="1868"/>
        <w:gridCol w:w="2039"/>
        <w:gridCol w:w="1810"/>
      </w:tblGrid>
      <w:tr w:rsidR="00000000" w14:paraId="628CC07F" w14:textId="77777777">
        <w:trPr>
          <w:cantSplit/>
          <w:trHeight w:val="567"/>
          <w:jc w:val="center"/>
        </w:trPr>
        <w:tc>
          <w:tcPr>
            <w:tcW w:w="1458" w:type="pct"/>
            <w:tcBorders>
              <w:top w:val="thinThickThinSmallGap" w:sz="12" w:space="0" w:color="auto"/>
              <w:left w:val="dotted" w:sz="2" w:space="0" w:color="auto"/>
              <w:bottom w:val="dotted" w:sz="2" w:space="0" w:color="auto"/>
              <w:right w:val="dotted" w:sz="2" w:space="0" w:color="auto"/>
              <w:tl2br w:val="single" w:sz="4" w:space="0" w:color="auto"/>
            </w:tcBorders>
            <w:vAlign w:val="center"/>
          </w:tcPr>
          <w:p w14:paraId="51FE5882" w14:textId="77777777" w:rsidR="00000000" w:rsidRDefault="00000000">
            <w:pPr>
              <w:widowControl/>
              <w:adjustRightInd/>
              <w:spacing w:line="240" w:lineRule="exact"/>
              <w:jc w:val="right"/>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分层租金明细</w:t>
            </w:r>
          </w:p>
          <w:p w14:paraId="25965BAE" w14:textId="77777777" w:rsidR="00000000" w:rsidRDefault="00000000">
            <w:pPr>
              <w:widowControl/>
              <w:adjustRightInd/>
              <w:spacing w:line="240" w:lineRule="exact"/>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估价对象</w:t>
            </w:r>
          </w:p>
        </w:tc>
        <w:tc>
          <w:tcPr>
            <w:tcW w:w="465" w:type="pct"/>
            <w:tcBorders>
              <w:top w:val="thinThickThinSmallGap" w:sz="12" w:space="0" w:color="auto"/>
              <w:left w:val="dotted" w:sz="2" w:space="0" w:color="auto"/>
              <w:bottom w:val="dotted" w:sz="2" w:space="0" w:color="auto"/>
              <w:right w:val="dotted" w:sz="2" w:space="0" w:color="auto"/>
            </w:tcBorders>
            <w:vAlign w:val="center"/>
          </w:tcPr>
          <w:p w14:paraId="1447DDA2"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楼层</w:t>
            </w:r>
          </w:p>
        </w:tc>
        <w:tc>
          <w:tcPr>
            <w:tcW w:w="1004" w:type="pct"/>
            <w:tcBorders>
              <w:top w:val="thinThickThinSmallGap" w:sz="12" w:space="0" w:color="auto"/>
              <w:left w:val="dotted" w:sz="2" w:space="0" w:color="auto"/>
              <w:bottom w:val="dotted" w:sz="2" w:space="0" w:color="auto"/>
              <w:right w:val="dotted" w:sz="2" w:space="0" w:color="auto"/>
            </w:tcBorders>
            <w:vAlign w:val="center"/>
          </w:tcPr>
          <w:p w14:paraId="240E44E7"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楼号</w:t>
            </w:r>
            <w:r>
              <w:rPr>
                <w:rFonts w:ascii="Arial" w:eastAsia="华文细黑" w:hAnsi="Arial" w:cs="Arial" w:hint="eastAsia"/>
                <w:color w:val="000000"/>
                <w:sz w:val="18"/>
                <w:szCs w:val="18"/>
              </w:rPr>
              <w:t>/</w:t>
            </w:r>
            <w:r>
              <w:rPr>
                <w:rFonts w:ascii="Arial" w:eastAsia="华文细黑" w:hAnsi="Arial" w:cs="Arial" w:hint="eastAsia"/>
                <w:color w:val="000000"/>
                <w:sz w:val="18"/>
                <w:szCs w:val="18"/>
              </w:rPr>
              <w:t>地块</w:t>
            </w:r>
          </w:p>
        </w:tc>
        <w:tc>
          <w:tcPr>
            <w:tcW w:w="1097" w:type="pct"/>
            <w:tcBorders>
              <w:top w:val="thinThickThinSmallGap" w:sz="12" w:space="0" w:color="auto"/>
              <w:left w:val="dotted" w:sz="2" w:space="0" w:color="auto"/>
              <w:bottom w:val="dotted" w:sz="2" w:space="0" w:color="auto"/>
              <w:right w:val="dotted" w:sz="2" w:space="0" w:color="auto"/>
            </w:tcBorders>
            <w:vAlign w:val="center"/>
          </w:tcPr>
          <w:p w14:paraId="52761C79"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建筑面积</w:t>
            </w:r>
          </w:p>
        </w:tc>
        <w:tc>
          <w:tcPr>
            <w:tcW w:w="974" w:type="pct"/>
            <w:tcBorders>
              <w:top w:val="thinThickThinSmallGap" w:sz="12" w:space="0" w:color="auto"/>
              <w:left w:val="dotted" w:sz="2" w:space="0" w:color="auto"/>
              <w:bottom w:val="dotted" w:sz="2" w:space="0" w:color="auto"/>
              <w:right w:val="dotted" w:sz="2" w:space="0" w:color="auto"/>
            </w:tcBorders>
            <w:vAlign w:val="center"/>
          </w:tcPr>
          <w:p w14:paraId="182F1D89"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平均租金单价</w:t>
            </w:r>
          </w:p>
        </w:tc>
      </w:tr>
      <w:tr w:rsidR="00000000" w14:paraId="49B2DAAD" w14:textId="77777777">
        <w:trPr>
          <w:cantSplit/>
          <w:trHeight w:val="291"/>
          <w:jc w:val="center"/>
        </w:trPr>
        <w:tc>
          <w:tcPr>
            <w:tcW w:w="1458" w:type="pct"/>
            <w:vMerge w:val="restart"/>
            <w:tcBorders>
              <w:top w:val="dotted" w:sz="2" w:space="0" w:color="auto"/>
              <w:left w:val="dotted" w:sz="2" w:space="0" w:color="auto"/>
              <w:right w:val="dotted" w:sz="2" w:space="0" w:color="auto"/>
            </w:tcBorders>
            <w:vAlign w:val="center"/>
          </w:tcPr>
          <w:p w14:paraId="4CC1BD06"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北京市房山区阜盛西街</w:t>
            </w:r>
            <w:r>
              <w:rPr>
                <w:rFonts w:ascii="Arial" w:eastAsia="华文细黑" w:hAnsi="Arial" w:cs="Arial" w:hint="eastAsia"/>
                <w:color w:val="000000"/>
                <w:sz w:val="18"/>
                <w:szCs w:val="18"/>
              </w:rPr>
              <w:t>11</w:t>
            </w:r>
            <w:r>
              <w:rPr>
                <w:rFonts w:ascii="Arial" w:eastAsia="华文细黑" w:hAnsi="Arial" w:cs="Arial" w:hint="eastAsia"/>
                <w:color w:val="000000"/>
                <w:sz w:val="18"/>
                <w:szCs w:val="18"/>
              </w:rPr>
              <w:t>号院</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号楼地上</w:t>
            </w:r>
            <w:r>
              <w:rPr>
                <w:rFonts w:ascii="Arial" w:eastAsia="华文细黑" w:hAnsi="Arial" w:cs="Arial" w:hint="eastAsia"/>
                <w:color w:val="000000"/>
                <w:sz w:val="18"/>
                <w:szCs w:val="18"/>
              </w:rPr>
              <w:t>1</w:t>
            </w:r>
            <w:r>
              <w:rPr>
                <w:rFonts w:ascii="Arial" w:eastAsia="华文细黑" w:hAnsi="Arial" w:cs="Arial" w:hint="eastAsia"/>
                <w:color w:val="000000"/>
                <w:sz w:val="18"/>
                <w:szCs w:val="18"/>
              </w:rPr>
              <w:t>层</w:t>
            </w:r>
            <w:r>
              <w:rPr>
                <w:rFonts w:ascii="Arial" w:eastAsia="华文细黑" w:hAnsi="Arial" w:cs="Arial" w:hint="eastAsia"/>
                <w:color w:val="000000"/>
                <w:sz w:val="18"/>
                <w:szCs w:val="18"/>
              </w:rPr>
              <w:t>101</w:t>
            </w:r>
            <w:r>
              <w:rPr>
                <w:rFonts w:ascii="Arial" w:eastAsia="华文细黑" w:hAnsi="Arial" w:cs="Arial" w:hint="eastAsia"/>
                <w:color w:val="000000"/>
                <w:sz w:val="18"/>
                <w:szCs w:val="18"/>
              </w:rPr>
              <w:t>号等</w:t>
            </w:r>
            <w:r>
              <w:rPr>
                <w:rFonts w:ascii="Arial" w:eastAsia="华文细黑" w:hAnsi="Arial" w:cs="Arial" w:hint="eastAsia"/>
                <w:color w:val="000000"/>
                <w:sz w:val="18"/>
                <w:szCs w:val="18"/>
              </w:rPr>
              <w:t>29</w:t>
            </w:r>
            <w:r>
              <w:rPr>
                <w:rFonts w:ascii="Arial" w:eastAsia="华文细黑" w:hAnsi="Arial" w:cs="Arial" w:hint="eastAsia"/>
                <w:color w:val="000000"/>
                <w:sz w:val="18"/>
                <w:szCs w:val="18"/>
              </w:rPr>
              <w:t>套商业用房</w:t>
            </w:r>
          </w:p>
        </w:tc>
        <w:tc>
          <w:tcPr>
            <w:tcW w:w="465" w:type="pct"/>
            <w:vMerge w:val="restart"/>
            <w:tcBorders>
              <w:top w:val="dotted" w:sz="2" w:space="0" w:color="auto"/>
              <w:left w:val="dotted" w:sz="2" w:space="0" w:color="auto"/>
              <w:right w:val="dotted" w:sz="2" w:space="0" w:color="auto"/>
            </w:tcBorders>
            <w:vAlign w:val="center"/>
          </w:tcPr>
          <w:p w14:paraId="3F7D76CE"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1</w:t>
            </w:r>
          </w:p>
        </w:tc>
        <w:tc>
          <w:tcPr>
            <w:tcW w:w="1004" w:type="pct"/>
            <w:tcBorders>
              <w:top w:val="dotted" w:sz="2" w:space="0" w:color="auto"/>
              <w:left w:val="dotted" w:sz="2" w:space="0" w:color="auto"/>
              <w:bottom w:val="dotted" w:sz="2" w:space="0" w:color="auto"/>
              <w:right w:val="dotted" w:sz="2" w:space="0" w:color="auto"/>
            </w:tcBorders>
            <w:vAlign w:val="center"/>
          </w:tcPr>
          <w:p w14:paraId="4B439EB1"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1097" w:type="pct"/>
            <w:tcBorders>
              <w:top w:val="dotted" w:sz="2" w:space="0" w:color="auto"/>
              <w:left w:val="dotted" w:sz="2" w:space="0" w:color="auto"/>
              <w:bottom w:val="dotted" w:sz="2" w:space="0" w:color="auto"/>
              <w:right w:val="dotted" w:sz="2" w:space="0" w:color="auto"/>
            </w:tcBorders>
            <w:vAlign w:val="center"/>
          </w:tcPr>
          <w:p w14:paraId="7C2BCEAE"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2591.43 </w:t>
            </w:r>
          </w:p>
        </w:tc>
        <w:tc>
          <w:tcPr>
            <w:tcW w:w="974" w:type="pct"/>
            <w:tcBorders>
              <w:top w:val="dotted" w:sz="2" w:space="0" w:color="auto"/>
              <w:left w:val="dotted" w:sz="2" w:space="0" w:color="auto"/>
              <w:bottom w:val="dotted" w:sz="2" w:space="0" w:color="auto"/>
              <w:right w:val="dotted" w:sz="2" w:space="0" w:color="auto"/>
            </w:tcBorders>
            <w:vAlign w:val="center"/>
          </w:tcPr>
          <w:p w14:paraId="37A4D602"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3.30</w:t>
            </w:r>
          </w:p>
        </w:tc>
      </w:tr>
      <w:tr w:rsidR="00000000" w14:paraId="0FEF6639" w14:textId="77777777">
        <w:trPr>
          <w:cantSplit/>
          <w:trHeight w:val="297"/>
          <w:jc w:val="center"/>
        </w:trPr>
        <w:tc>
          <w:tcPr>
            <w:tcW w:w="1458" w:type="pct"/>
            <w:vMerge/>
            <w:tcBorders>
              <w:left w:val="dotted" w:sz="2" w:space="0" w:color="auto"/>
              <w:right w:val="dotted" w:sz="2" w:space="0" w:color="auto"/>
            </w:tcBorders>
            <w:vAlign w:val="center"/>
          </w:tcPr>
          <w:p w14:paraId="6D7BF16B"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465" w:type="pct"/>
            <w:vMerge/>
            <w:tcBorders>
              <w:left w:val="dotted" w:sz="2" w:space="0" w:color="auto"/>
              <w:bottom w:val="dotted" w:sz="2" w:space="0" w:color="auto"/>
              <w:right w:val="dotted" w:sz="2" w:space="0" w:color="auto"/>
            </w:tcBorders>
            <w:vAlign w:val="center"/>
          </w:tcPr>
          <w:p w14:paraId="46E97627"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1004" w:type="pct"/>
            <w:tcBorders>
              <w:top w:val="dotted" w:sz="2" w:space="0" w:color="auto"/>
              <w:left w:val="dotted" w:sz="2" w:space="0" w:color="auto"/>
              <w:bottom w:val="dotted" w:sz="2" w:space="0" w:color="auto"/>
              <w:right w:val="dotted" w:sz="2" w:space="0" w:color="auto"/>
            </w:tcBorders>
            <w:vAlign w:val="center"/>
          </w:tcPr>
          <w:p w14:paraId="05669FBF"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1097" w:type="pct"/>
            <w:tcBorders>
              <w:top w:val="dotted" w:sz="2" w:space="0" w:color="auto"/>
              <w:left w:val="dotted" w:sz="2" w:space="0" w:color="auto"/>
              <w:bottom w:val="dotted" w:sz="2" w:space="0" w:color="auto"/>
              <w:right w:val="dotted" w:sz="2" w:space="0" w:color="auto"/>
            </w:tcBorders>
            <w:vAlign w:val="center"/>
          </w:tcPr>
          <w:p w14:paraId="4D0B133D"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2385.48 </w:t>
            </w:r>
          </w:p>
        </w:tc>
        <w:tc>
          <w:tcPr>
            <w:tcW w:w="974" w:type="pct"/>
            <w:tcBorders>
              <w:top w:val="dotted" w:sz="2" w:space="0" w:color="auto"/>
              <w:left w:val="dotted" w:sz="2" w:space="0" w:color="auto"/>
              <w:bottom w:val="dotted" w:sz="2" w:space="0" w:color="auto"/>
              <w:right w:val="dotted" w:sz="2" w:space="0" w:color="auto"/>
            </w:tcBorders>
            <w:vAlign w:val="center"/>
          </w:tcPr>
          <w:p w14:paraId="3CEDF57C"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3.14</w:t>
            </w:r>
          </w:p>
        </w:tc>
      </w:tr>
      <w:tr w:rsidR="00000000" w14:paraId="32DDFB61" w14:textId="77777777">
        <w:trPr>
          <w:cantSplit/>
          <w:trHeight w:val="317"/>
          <w:jc w:val="center"/>
        </w:trPr>
        <w:tc>
          <w:tcPr>
            <w:tcW w:w="1458" w:type="pct"/>
            <w:vMerge/>
            <w:tcBorders>
              <w:left w:val="dotted" w:sz="2" w:space="0" w:color="auto"/>
              <w:right w:val="dotted" w:sz="2" w:space="0" w:color="auto"/>
            </w:tcBorders>
            <w:vAlign w:val="center"/>
          </w:tcPr>
          <w:p w14:paraId="6E3159D1"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465" w:type="pct"/>
            <w:vMerge w:val="restart"/>
            <w:tcBorders>
              <w:top w:val="dotted" w:sz="2" w:space="0" w:color="auto"/>
              <w:left w:val="dotted" w:sz="2" w:space="0" w:color="auto"/>
              <w:right w:val="dotted" w:sz="2" w:space="0" w:color="auto"/>
            </w:tcBorders>
            <w:vAlign w:val="center"/>
          </w:tcPr>
          <w:p w14:paraId="764FA135"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2</w:t>
            </w:r>
          </w:p>
        </w:tc>
        <w:tc>
          <w:tcPr>
            <w:tcW w:w="1004" w:type="pct"/>
            <w:tcBorders>
              <w:top w:val="dotted" w:sz="2" w:space="0" w:color="auto"/>
              <w:left w:val="dotted" w:sz="2" w:space="0" w:color="auto"/>
              <w:bottom w:val="dotted" w:sz="2" w:space="0" w:color="auto"/>
              <w:right w:val="dotted" w:sz="2" w:space="0" w:color="auto"/>
            </w:tcBorders>
            <w:vAlign w:val="center"/>
          </w:tcPr>
          <w:p w14:paraId="67E858E0"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1097" w:type="pct"/>
            <w:tcBorders>
              <w:top w:val="dotted" w:sz="2" w:space="0" w:color="auto"/>
              <w:left w:val="dotted" w:sz="2" w:space="0" w:color="auto"/>
              <w:bottom w:val="dotted" w:sz="2" w:space="0" w:color="auto"/>
              <w:right w:val="dotted" w:sz="2" w:space="0" w:color="auto"/>
            </w:tcBorders>
            <w:vAlign w:val="center"/>
          </w:tcPr>
          <w:p w14:paraId="57A6757F"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2696.40 </w:t>
            </w:r>
          </w:p>
        </w:tc>
        <w:tc>
          <w:tcPr>
            <w:tcW w:w="974" w:type="pct"/>
            <w:tcBorders>
              <w:top w:val="dotted" w:sz="2" w:space="0" w:color="auto"/>
              <w:left w:val="dotted" w:sz="2" w:space="0" w:color="auto"/>
              <w:bottom w:val="dotted" w:sz="2" w:space="0" w:color="auto"/>
              <w:right w:val="dotted" w:sz="2" w:space="0" w:color="auto"/>
            </w:tcBorders>
            <w:vAlign w:val="center"/>
          </w:tcPr>
          <w:p w14:paraId="27F66719"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2.15</w:t>
            </w:r>
          </w:p>
        </w:tc>
      </w:tr>
      <w:tr w:rsidR="00000000" w14:paraId="510F98AF" w14:textId="77777777">
        <w:trPr>
          <w:cantSplit/>
          <w:trHeight w:val="295"/>
          <w:jc w:val="center"/>
        </w:trPr>
        <w:tc>
          <w:tcPr>
            <w:tcW w:w="1458" w:type="pct"/>
            <w:vMerge/>
            <w:tcBorders>
              <w:left w:val="dotted" w:sz="2" w:space="0" w:color="auto"/>
              <w:right w:val="dotted" w:sz="2" w:space="0" w:color="auto"/>
            </w:tcBorders>
            <w:vAlign w:val="center"/>
          </w:tcPr>
          <w:p w14:paraId="09019527"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465" w:type="pct"/>
            <w:vMerge/>
            <w:tcBorders>
              <w:left w:val="dotted" w:sz="2" w:space="0" w:color="auto"/>
              <w:bottom w:val="dotted" w:sz="2" w:space="0" w:color="auto"/>
              <w:right w:val="dotted" w:sz="2" w:space="0" w:color="auto"/>
            </w:tcBorders>
            <w:vAlign w:val="center"/>
          </w:tcPr>
          <w:p w14:paraId="1CC3B5A3"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1004" w:type="pct"/>
            <w:tcBorders>
              <w:top w:val="dotted" w:sz="2" w:space="0" w:color="auto"/>
              <w:left w:val="dotted" w:sz="2" w:space="0" w:color="auto"/>
              <w:bottom w:val="dotted" w:sz="2" w:space="0" w:color="auto"/>
              <w:right w:val="dotted" w:sz="2" w:space="0" w:color="auto"/>
            </w:tcBorders>
            <w:vAlign w:val="center"/>
          </w:tcPr>
          <w:p w14:paraId="1B1BF819"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1097" w:type="pct"/>
            <w:tcBorders>
              <w:top w:val="dotted" w:sz="2" w:space="0" w:color="auto"/>
              <w:left w:val="dotted" w:sz="2" w:space="0" w:color="auto"/>
              <w:bottom w:val="dotted" w:sz="2" w:space="0" w:color="auto"/>
              <w:right w:val="dotted" w:sz="2" w:space="0" w:color="auto"/>
            </w:tcBorders>
            <w:vAlign w:val="center"/>
          </w:tcPr>
          <w:p w14:paraId="1B098E4F"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2399.61 </w:t>
            </w:r>
          </w:p>
        </w:tc>
        <w:tc>
          <w:tcPr>
            <w:tcW w:w="974" w:type="pct"/>
            <w:tcBorders>
              <w:top w:val="dotted" w:sz="2" w:space="0" w:color="auto"/>
              <w:left w:val="dotted" w:sz="2" w:space="0" w:color="auto"/>
              <w:bottom w:val="dotted" w:sz="2" w:space="0" w:color="auto"/>
              <w:right w:val="dotted" w:sz="2" w:space="0" w:color="auto"/>
            </w:tcBorders>
            <w:vAlign w:val="center"/>
          </w:tcPr>
          <w:p w14:paraId="58A51B27"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2.04</w:t>
            </w:r>
          </w:p>
        </w:tc>
      </w:tr>
      <w:tr w:rsidR="00000000" w14:paraId="3ACF7240" w14:textId="77777777">
        <w:trPr>
          <w:cantSplit/>
          <w:trHeight w:val="315"/>
          <w:jc w:val="center"/>
        </w:trPr>
        <w:tc>
          <w:tcPr>
            <w:tcW w:w="1458" w:type="pct"/>
            <w:vMerge/>
            <w:tcBorders>
              <w:left w:val="dotted" w:sz="2" w:space="0" w:color="auto"/>
              <w:bottom w:val="dotted" w:sz="2" w:space="0" w:color="auto"/>
              <w:right w:val="dotted" w:sz="2" w:space="0" w:color="auto"/>
            </w:tcBorders>
            <w:vAlign w:val="center"/>
          </w:tcPr>
          <w:p w14:paraId="5E615288"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465" w:type="pct"/>
            <w:vMerge w:val="restart"/>
            <w:tcBorders>
              <w:top w:val="dotted" w:sz="2" w:space="0" w:color="auto"/>
              <w:left w:val="dotted" w:sz="2" w:space="0" w:color="auto"/>
              <w:right w:val="dotted" w:sz="2" w:space="0" w:color="auto"/>
            </w:tcBorders>
            <w:vAlign w:val="center"/>
          </w:tcPr>
          <w:p w14:paraId="56A806E5"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-1</w:t>
            </w:r>
          </w:p>
        </w:tc>
        <w:tc>
          <w:tcPr>
            <w:tcW w:w="1004" w:type="pct"/>
            <w:tcBorders>
              <w:top w:val="dotted" w:sz="2" w:space="0" w:color="auto"/>
              <w:left w:val="dotted" w:sz="2" w:space="0" w:color="auto"/>
              <w:bottom w:val="dotted" w:sz="2" w:space="0" w:color="auto"/>
              <w:right w:val="dotted" w:sz="2" w:space="0" w:color="auto"/>
            </w:tcBorders>
            <w:vAlign w:val="center"/>
          </w:tcPr>
          <w:p w14:paraId="071D50B8"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p>
        </w:tc>
        <w:tc>
          <w:tcPr>
            <w:tcW w:w="1097" w:type="pct"/>
            <w:tcBorders>
              <w:top w:val="dotted" w:sz="2" w:space="0" w:color="auto"/>
              <w:left w:val="dotted" w:sz="2" w:space="0" w:color="auto"/>
              <w:bottom w:val="dotted" w:sz="2" w:space="0" w:color="auto"/>
              <w:right w:val="dotted" w:sz="2" w:space="0" w:color="auto"/>
            </w:tcBorders>
            <w:vAlign w:val="center"/>
          </w:tcPr>
          <w:p w14:paraId="0AAE47F0"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8822.48 </w:t>
            </w:r>
          </w:p>
        </w:tc>
        <w:tc>
          <w:tcPr>
            <w:tcW w:w="974" w:type="pct"/>
            <w:tcBorders>
              <w:top w:val="dotted" w:sz="2" w:space="0" w:color="auto"/>
              <w:left w:val="dotted" w:sz="2" w:space="0" w:color="auto"/>
              <w:bottom w:val="dotted" w:sz="2" w:space="0" w:color="auto"/>
              <w:right w:val="dotted" w:sz="2" w:space="0" w:color="auto"/>
            </w:tcBorders>
            <w:vAlign w:val="center"/>
          </w:tcPr>
          <w:p w14:paraId="5B0A724A"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1.04</w:t>
            </w:r>
          </w:p>
        </w:tc>
      </w:tr>
      <w:tr w:rsidR="00000000" w14:paraId="695CC4AE" w14:textId="77777777">
        <w:trPr>
          <w:cantSplit/>
          <w:trHeight w:val="315"/>
          <w:jc w:val="center"/>
        </w:trPr>
        <w:tc>
          <w:tcPr>
            <w:tcW w:w="1458" w:type="pct"/>
            <w:vMerge/>
            <w:tcBorders>
              <w:left w:val="dotted" w:sz="2" w:space="0" w:color="auto"/>
              <w:bottom w:val="dotted" w:sz="2" w:space="0" w:color="auto"/>
              <w:right w:val="dotted" w:sz="2" w:space="0" w:color="auto"/>
            </w:tcBorders>
            <w:vAlign w:val="center"/>
          </w:tcPr>
          <w:p w14:paraId="435ED445"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465" w:type="pct"/>
            <w:vMerge/>
            <w:tcBorders>
              <w:left w:val="dotted" w:sz="2" w:space="0" w:color="auto"/>
              <w:bottom w:val="dotted" w:sz="2" w:space="0" w:color="auto"/>
              <w:right w:val="dotted" w:sz="2" w:space="0" w:color="auto"/>
            </w:tcBorders>
            <w:vAlign w:val="center"/>
          </w:tcPr>
          <w:p w14:paraId="28023ECC"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1004" w:type="pct"/>
            <w:tcBorders>
              <w:top w:val="dotted" w:sz="2" w:space="0" w:color="auto"/>
              <w:left w:val="dotted" w:sz="2" w:space="0" w:color="auto"/>
              <w:bottom w:val="dotted" w:sz="2" w:space="0" w:color="auto"/>
              <w:right w:val="dotted" w:sz="2" w:space="0" w:color="auto"/>
            </w:tcBorders>
            <w:vAlign w:val="center"/>
          </w:tcPr>
          <w:p w14:paraId="792FE8E1"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p>
        </w:tc>
        <w:tc>
          <w:tcPr>
            <w:tcW w:w="1097" w:type="pct"/>
            <w:tcBorders>
              <w:top w:val="dotted" w:sz="2" w:space="0" w:color="auto"/>
              <w:left w:val="dotted" w:sz="2" w:space="0" w:color="auto"/>
              <w:bottom w:val="dotted" w:sz="2" w:space="0" w:color="auto"/>
              <w:right w:val="dotted" w:sz="2" w:space="0" w:color="auto"/>
            </w:tcBorders>
            <w:vAlign w:val="center"/>
          </w:tcPr>
          <w:p w14:paraId="3E05F899"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5976.27 </w:t>
            </w:r>
          </w:p>
        </w:tc>
        <w:tc>
          <w:tcPr>
            <w:tcW w:w="974" w:type="pct"/>
            <w:tcBorders>
              <w:top w:val="dotted" w:sz="2" w:space="0" w:color="auto"/>
              <w:left w:val="dotted" w:sz="2" w:space="0" w:color="auto"/>
              <w:bottom w:val="dotted" w:sz="2" w:space="0" w:color="auto"/>
              <w:right w:val="dotted" w:sz="2" w:space="0" w:color="auto"/>
            </w:tcBorders>
            <w:vAlign w:val="center"/>
          </w:tcPr>
          <w:p w14:paraId="061EDEFA"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1.17</w:t>
            </w:r>
          </w:p>
        </w:tc>
      </w:tr>
      <w:tr w:rsidR="00000000" w14:paraId="49068A8D" w14:textId="77777777">
        <w:trPr>
          <w:cantSplit/>
          <w:trHeight w:val="307"/>
          <w:jc w:val="center"/>
        </w:trPr>
        <w:tc>
          <w:tcPr>
            <w:tcW w:w="2928" w:type="pct"/>
            <w:gridSpan w:val="3"/>
            <w:tcBorders>
              <w:top w:val="dotted" w:sz="2" w:space="0" w:color="auto"/>
              <w:left w:val="dotted" w:sz="2" w:space="0" w:color="auto"/>
              <w:bottom w:val="thinThickThinSmallGap" w:sz="12" w:space="0" w:color="auto"/>
              <w:right w:val="dotted" w:sz="2" w:space="0" w:color="auto"/>
            </w:tcBorders>
            <w:vAlign w:val="center"/>
          </w:tcPr>
          <w:p w14:paraId="26F23954"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合计</w:t>
            </w:r>
          </w:p>
        </w:tc>
        <w:tc>
          <w:tcPr>
            <w:tcW w:w="1097" w:type="pct"/>
            <w:tcBorders>
              <w:top w:val="dotted" w:sz="2" w:space="0" w:color="auto"/>
              <w:left w:val="dotted" w:sz="2" w:space="0" w:color="auto"/>
              <w:bottom w:val="thinThickThinSmallGap" w:sz="12" w:space="0" w:color="auto"/>
              <w:right w:val="dotted" w:sz="2" w:space="0" w:color="auto"/>
            </w:tcBorders>
            <w:vAlign w:val="center"/>
          </w:tcPr>
          <w:p w14:paraId="358E177E"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24871.67 </w:t>
            </w:r>
          </w:p>
        </w:tc>
        <w:tc>
          <w:tcPr>
            <w:tcW w:w="974" w:type="pct"/>
            <w:tcBorders>
              <w:top w:val="dotted" w:sz="2" w:space="0" w:color="auto"/>
              <w:left w:val="dotted" w:sz="2" w:space="0" w:color="auto"/>
              <w:bottom w:val="thinThickThinSmallGap" w:sz="12" w:space="0" w:color="auto"/>
              <w:right w:val="dotted" w:sz="2" w:space="0" w:color="auto"/>
            </w:tcBorders>
            <w:vAlign w:val="center"/>
          </w:tcPr>
          <w:p w14:paraId="27281DA8"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w:t>
            </w:r>
          </w:p>
        </w:tc>
      </w:tr>
    </w:tbl>
    <w:p w14:paraId="1AFE18DE" w14:textId="77777777" w:rsidR="00000000" w:rsidRDefault="00000000">
      <w:pPr>
        <w:widowControl/>
        <w:adjustRightInd/>
        <w:spacing w:line="240" w:lineRule="auto"/>
        <w:ind w:firstLineChars="100" w:firstLine="180"/>
        <w:jc w:val="both"/>
        <w:textAlignment w:val="auto"/>
        <w:rPr>
          <w:rFonts w:ascii="Arial" w:eastAsia="华文细黑" w:hAnsi="Arial" w:hint="eastAsia"/>
          <w:sz w:val="18"/>
        </w:rPr>
      </w:pPr>
      <w:r>
        <w:rPr>
          <w:rFonts w:ascii="Arial" w:eastAsia="华文细黑" w:hAnsi="Arial" w:hint="eastAsia"/>
          <w:sz w:val="18"/>
        </w:rPr>
        <w:t>单位：</w:t>
      </w:r>
      <w:r>
        <w:rPr>
          <w:rFonts w:ascii="Arial" w:eastAsia="华文细黑" w:hAnsi="Arial" w:cs="宋体" w:hint="eastAsia"/>
          <w:sz w:val="18"/>
          <w:szCs w:val="18"/>
        </w:rPr>
        <w:t>平方米、元</w:t>
      </w:r>
      <w:r>
        <w:rPr>
          <w:rFonts w:ascii="Arial" w:eastAsia="华文细黑" w:hAnsi="Arial" w:cs="宋体" w:hint="eastAsia"/>
          <w:sz w:val="18"/>
          <w:szCs w:val="18"/>
        </w:rPr>
        <w:t>/</w:t>
      </w:r>
      <w:r>
        <w:rPr>
          <w:rFonts w:ascii="Arial" w:eastAsia="华文细黑" w:hAnsi="Arial" w:cs="宋体" w:hint="eastAsia"/>
          <w:sz w:val="18"/>
          <w:szCs w:val="18"/>
        </w:rPr>
        <w:t>建筑</w:t>
      </w:r>
      <w:r>
        <w:rPr>
          <w:rFonts w:ascii="Arial" w:eastAsia="华文细黑" w:hAnsi="Arial" w:cs="宋体"/>
          <w:sz w:val="18"/>
          <w:szCs w:val="18"/>
        </w:rPr>
        <w:t>面积</w:t>
      </w:r>
      <w:r>
        <w:rPr>
          <w:rFonts w:ascii="Arial" w:eastAsia="华文细黑" w:hAnsi="Arial" w:cs="宋体" w:hint="eastAsia"/>
          <w:sz w:val="18"/>
          <w:szCs w:val="18"/>
        </w:rPr>
        <w:t>平方米·天</w:t>
      </w:r>
      <w:r>
        <w:rPr>
          <w:rFonts w:ascii="Arial" w:eastAsia="华文细黑" w:hAnsi="Arial" w:hint="eastAsia"/>
          <w:sz w:val="18"/>
        </w:rPr>
        <w:t>（币种：人民币）</w:t>
      </w:r>
    </w:p>
    <w:p w14:paraId="210CC7BB" w14:textId="77777777" w:rsidR="00000000" w:rsidRDefault="00000000">
      <w:pPr>
        <w:widowControl/>
        <w:adjustRightInd/>
        <w:spacing w:line="240" w:lineRule="auto"/>
        <w:ind w:firstLineChars="100" w:firstLine="180"/>
        <w:jc w:val="both"/>
        <w:textAlignment w:val="auto"/>
        <w:rPr>
          <w:rFonts w:ascii="Arial" w:eastAsia="华文细黑" w:hAnsi="Arial" w:cs="宋体" w:hint="eastAsia"/>
          <w:sz w:val="18"/>
          <w:szCs w:val="18"/>
        </w:rPr>
      </w:pPr>
      <w:r>
        <w:rPr>
          <w:rFonts w:ascii="Arial" w:eastAsia="华文细黑" w:hAnsi="Arial" w:cs="宋体" w:hint="eastAsia"/>
          <w:sz w:val="18"/>
          <w:szCs w:val="18"/>
        </w:rPr>
        <w:t>备注：因市场情况复杂，实际签订价格将受交易双方对项目心理预期的影响，会在估价结果的基础上出现一定范围内的上下浮动。</w:t>
      </w:r>
    </w:p>
    <w:p w14:paraId="02570490"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p>
    <w:p w14:paraId="5F56C18E" w14:textId="77777777" w:rsidR="00000000" w:rsidRDefault="00000000">
      <w:pPr>
        <w:spacing w:line="360" w:lineRule="auto"/>
        <w:jc w:val="both"/>
        <w:rPr>
          <w:rFonts w:ascii="Arial" w:eastAsia="楷体_GB2312" w:hAnsi="Arial" w:cs="Arial"/>
          <w:sz w:val="28"/>
        </w:rPr>
        <w:sectPr w:rsidR="00000000">
          <w:footerReference w:type="default" r:id="rId29"/>
          <w:pgSz w:w="11907" w:h="16840"/>
          <w:pgMar w:top="1843" w:right="1304" w:bottom="1134" w:left="1304" w:header="1134" w:footer="907" w:gutter="0"/>
          <w:cols w:space="720"/>
          <w:docGrid w:linePitch="326"/>
        </w:sectPr>
      </w:pPr>
    </w:p>
    <w:p w14:paraId="1E4C5C1A" w14:textId="77777777" w:rsidR="00000000" w:rsidRDefault="00000000">
      <w:pPr>
        <w:spacing w:line="240" w:lineRule="auto"/>
        <w:jc w:val="center"/>
        <w:rPr>
          <w:rFonts w:ascii="Arial" w:eastAsia="方正黑体简体" w:hAnsi="Arial"/>
          <w:szCs w:val="24"/>
        </w:rPr>
      </w:pPr>
    </w:p>
    <w:p w14:paraId="7276110F" w14:textId="77777777" w:rsidR="00000000" w:rsidRDefault="00000000">
      <w:pPr>
        <w:pStyle w:val="2"/>
        <w:numPr>
          <w:ilvl w:val="0"/>
          <w:numId w:val="0"/>
        </w:numPr>
        <w:overflowPunct w:val="0"/>
        <w:spacing w:line="480" w:lineRule="auto"/>
        <w:jc w:val="both"/>
        <w:textAlignment w:val="auto"/>
        <w:rPr>
          <w:rFonts w:eastAsia="宋体"/>
          <w:kern w:val="2"/>
          <w:sz w:val="21"/>
          <w:szCs w:val="21"/>
        </w:rPr>
      </w:pPr>
      <w:bookmarkStart w:id="44" w:name="_Toc168225824"/>
      <w:bookmarkStart w:id="45" w:name="_Toc477252451"/>
      <w:r>
        <w:rPr>
          <w:rFonts w:eastAsia="宋体"/>
          <w:kern w:val="2"/>
          <w:sz w:val="21"/>
          <w:szCs w:val="21"/>
        </w:rPr>
        <w:t>十</w:t>
      </w:r>
      <w:bookmarkEnd w:id="44"/>
      <w:r>
        <w:rPr>
          <w:rFonts w:eastAsia="宋体"/>
          <w:kern w:val="2"/>
          <w:sz w:val="21"/>
          <w:szCs w:val="21"/>
        </w:rPr>
        <w:t>一、</w:t>
      </w:r>
      <w:r>
        <w:rPr>
          <w:rFonts w:eastAsia="宋体" w:hint="eastAsia"/>
          <w:kern w:val="2"/>
          <w:sz w:val="21"/>
          <w:szCs w:val="21"/>
        </w:rPr>
        <w:t>评估专业</w:t>
      </w:r>
      <w:r>
        <w:rPr>
          <w:rFonts w:eastAsia="宋体"/>
          <w:kern w:val="2"/>
          <w:sz w:val="21"/>
          <w:szCs w:val="21"/>
        </w:rPr>
        <w:t>人员</w:t>
      </w:r>
      <w:bookmarkEnd w:id="45"/>
    </w:p>
    <w:tbl>
      <w:tblPr>
        <w:tblW w:w="9299" w:type="dxa"/>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000000" w14:paraId="66C3A875" w14:textId="77777777">
        <w:trPr>
          <w:cantSplit/>
          <w:trHeight w:hRule="exact" w:val="454"/>
          <w:jc w:val="center"/>
        </w:trPr>
        <w:tc>
          <w:tcPr>
            <w:tcW w:w="9027" w:type="dxa"/>
            <w:gridSpan w:val="4"/>
            <w:vAlign w:val="center"/>
          </w:tcPr>
          <w:p w14:paraId="36794E75" w14:textId="77777777" w:rsidR="00000000" w:rsidRDefault="00000000">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000000" w14:paraId="59582011" w14:textId="77777777">
        <w:trPr>
          <w:cantSplit/>
          <w:trHeight w:hRule="exact" w:val="454"/>
          <w:jc w:val="center"/>
        </w:trPr>
        <w:tc>
          <w:tcPr>
            <w:tcW w:w="1695" w:type="dxa"/>
            <w:vAlign w:val="center"/>
          </w:tcPr>
          <w:p w14:paraId="7B22750E" w14:textId="77777777" w:rsidR="00000000" w:rsidRDefault="00000000">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33" w:type="dxa"/>
            <w:vAlign w:val="center"/>
          </w:tcPr>
          <w:p w14:paraId="73F19125" w14:textId="77777777" w:rsidR="00000000" w:rsidRDefault="00000000">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693" w:type="dxa"/>
            <w:vAlign w:val="center"/>
          </w:tcPr>
          <w:p w14:paraId="155A2A69" w14:textId="77777777" w:rsidR="00000000" w:rsidRDefault="00000000">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06" w:type="dxa"/>
            <w:vAlign w:val="center"/>
          </w:tcPr>
          <w:p w14:paraId="3F19BC43" w14:textId="77777777" w:rsidR="00000000" w:rsidRDefault="00000000">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000000" w14:paraId="76C426B4" w14:textId="77777777">
        <w:trPr>
          <w:cantSplit/>
          <w:trHeight w:hRule="exact" w:val="1134"/>
          <w:jc w:val="center"/>
        </w:trPr>
        <w:tc>
          <w:tcPr>
            <w:tcW w:w="1695" w:type="dxa"/>
            <w:vAlign w:val="center"/>
          </w:tcPr>
          <w:p w14:paraId="24D32231" w14:textId="77777777" w:rsidR="00000000" w:rsidRDefault="0000000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常</w:t>
            </w:r>
            <w:r>
              <w:rPr>
                <w:rFonts w:ascii="Arial" w:hAnsi="Arial" w:cs="Arial" w:hint="eastAsia"/>
                <w:color w:val="000000"/>
                <w:sz w:val="21"/>
                <w:szCs w:val="21"/>
              </w:rPr>
              <w:t xml:space="preserve">  </w:t>
            </w:r>
            <w:r>
              <w:rPr>
                <w:rFonts w:ascii="Arial" w:hAnsi="Arial" w:cs="Arial" w:hint="eastAsia"/>
                <w:color w:val="000000"/>
                <w:sz w:val="21"/>
                <w:szCs w:val="21"/>
              </w:rPr>
              <w:t>畅</w:t>
            </w:r>
          </w:p>
        </w:tc>
        <w:tc>
          <w:tcPr>
            <w:tcW w:w="2133" w:type="dxa"/>
            <w:vAlign w:val="center"/>
          </w:tcPr>
          <w:p w14:paraId="52D3687F" w14:textId="77777777" w:rsidR="00000000" w:rsidRDefault="0000000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1120250061</w:t>
            </w:r>
          </w:p>
        </w:tc>
        <w:tc>
          <w:tcPr>
            <w:tcW w:w="2693" w:type="dxa"/>
            <w:vAlign w:val="center"/>
          </w:tcPr>
          <w:p w14:paraId="135CC0E8" w14:textId="77777777" w:rsidR="00000000" w:rsidRDefault="00000000">
            <w:pPr>
              <w:tabs>
                <w:tab w:val="left" w:pos="5160"/>
              </w:tabs>
              <w:overflowPunct w:val="0"/>
              <w:spacing w:line="240" w:lineRule="exact"/>
              <w:rPr>
                <w:rFonts w:ascii="Arial" w:hAnsi="Arial" w:cs="Arial"/>
                <w:color w:val="000000"/>
                <w:sz w:val="21"/>
                <w:szCs w:val="21"/>
              </w:rPr>
            </w:pPr>
          </w:p>
        </w:tc>
        <w:tc>
          <w:tcPr>
            <w:tcW w:w="2506" w:type="dxa"/>
            <w:vAlign w:val="center"/>
          </w:tcPr>
          <w:p w14:paraId="686145EB" w14:textId="77777777" w:rsidR="00000000" w:rsidRDefault="00000000">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000000" w14:paraId="4F5397CA" w14:textId="77777777">
        <w:trPr>
          <w:cantSplit/>
          <w:trHeight w:hRule="exact" w:val="1134"/>
          <w:jc w:val="center"/>
        </w:trPr>
        <w:tc>
          <w:tcPr>
            <w:tcW w:w="1695" w:type="dxa"/>
            <w:vAlign w:val="center"/>
          </w:tcPr>
          <w:p w14:paraId="5E0DBB87" w14:textId="77777777" w:rsidR="00000000" w:rsidRDefault="0000000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33" w:type="dxa"/>
            <w:vAlign w:val="center"/>
          </w:tcPr>
          <w:p w14:paraId="4FE018DC" w14:textId="77777777" w:rsidR="00000000" w:rsidRDefault="0000000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693" w:type="dxa"/>
            <w:vAlign w:val="center"/>
          </w:tcPr>
          <w:p w14:paraId="6326A28F" w14:textId="77777777" w:rsidR="00000000" w:rsidRDefault="00000000">
            <w:pPr>
              <w:tabs>
                <w:tab w:val="left" w:pos="5160"/>
              </w:tabs>
              <w:overflowPunct w:val="0"/>
              <w:spacing w:line="240" w:lineRule="exact"/>
              <w:rPr>
                <w:rFonts w:ascii="Arial" w:hAnsi="Arial" w:cs="Arial"/>
                <w:color w:val="000000"/>
                <w:sz w:val="21"/>
                <w:szCs w:val="21"/>
              </w:rPr>
            </w:pPr>
          </w:p>
        </w:tc>
        <w:tc>
          <w:tcPr>
            <w:tcW w:w="2506" w:type="dxa"/>
            <w:vAlign w:val="center"/>
          </w:tcPr>
          <w:p w14:paraId="5C3744B4" w14:textId="77777777" w:rsidR="00000000" w:rsidRDefault="00000000">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000000" w14:paraId="080EB30A" w14:textId="77777777">
        <w:trPr>
          <w:cantSplit/>
          <w:trHeight w:hRule="exact" w:val="454"/>
          <w:jc w:val="center"/>
        </w:trPr>
        <w:tc>
          <w:tcPr>
            <w:tcW w:w="9027" w:type="dxa"/>
            <w:gridSpan w:val="4"/>
            <w:vAlign w:val="center"/>
          </w:tcPr>
          <w:p w14:paraId="54F2F786" w14:textId="77777777" w:rsidR="00000000" w:rsidRDefault="00000000">
            <w:pPr>
              <w:tabs>
                <w:tab w:val="left" w:pos="5160"/>
              </w:tabs>
              <w:overflowPunct w:val="0"/>
              <w:spacing w:line="240" w:lineRule="exact"/>
              <w:rPr>
                <w:rFonts w:ascii="Arial" w:hAnsi="Arial" w:cs="Arial"/>
                <w:b/>
                <w:color w:val="000000"/>
                <w:kern w:val="2"/>
                <w:sz w:val="21"/>
                <w:szCs w:val="21"/>
              </w:rPr>
            </w:pPr>
            <w:r>
              <w:rPr>
                <w:rFonts w:ascii="Arial" w:hAnsi="Arial" w:cs="Arial" w:hint="eastAsia"/>
                <w:b/>
                <w:color w:val="000000"/>
                <w:kern w:val="2"/>
                <w:sz w:val="21"/>
                <w:szCs w:val="21"/>
              </w:rPr>
              <w:t>其他评估专业</w:t>
            </w:r>
            <w:r>
              <w:rPr>
                <w:rFonts w:ascii="Arial" w:hAnsi="Arial" w:cs="Arial"/>
                <w:b/>
                <w:color w:val="000000"/>
                <w:kern w:val="2"/>
                <w:sz w:val="21"/>
                <w:szCs w:val="21"/>
              </w:rPr>
              <w:t>人员</w:t>
            </w:r>
            <w:r>
              <w:rPr>
                <w:rFonts w:ascii="Arial" w:hAnsi="Arial" w:cs="Arial" w:hint="eastAsia"/>
                <w:b/>
                <w:color w:val="000000"/>
                <w:kern w:val="2"/>
                <w:sz w:val="21"/>
                <w:szCs w:val="21"/>
              </w:rPr>
              <w:t xml:space="preserve"> </w:t>
            </w:r>
          </w:p>
        </w:tc>
      </w:tr>
      <w:tr w:rsidR="00000000" w14:paraId="7F8DC23F" w14:textId="77777777">
        <w:trPr>
          <w:cantSplit/>
          <w:trHeight w:hRule="exact" w:val="454"/>
          <w:jc w:val="center"/>
        </w:trPr>
        <w:tc>
          <w:tcPr>
            <w:tcW w:w="1695" w:type="dxa"/>
            <w:vAlign w:val="center"/>
          </w:tcPr>
          <w:p w14:paraId="36F73491" w14:textId="77777777" w:rsidR="00000000" w:rsidRDefault="00000000">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33" w:type="dxa"/>
            <w:vAlign w:val="center"/>
          </w:tcPr>
          <w:p w14:paraId="44A85F6A" w14:textId="77777777" w:rsidR="00000000" w:rsidRDefault="00000000">
            <w:pPr>
              <w:tabs>
                <w:tab w:val="left" w:pos="5160"/>
              </w:tabs>
              <w:overflowPunct w:val="0"/>
              <w:spacing w:line="240" w:lineRule="exact"/>
              <w:rPr>
                <w:rFonts w:ascii="Arial" w:hAnsi="Arial" w:cs="Arial"/>
                <w:color w:val="000000"/>
                <w:sz w:val="21"/>
                <w:szCs w:val="21"/>
              </w:rPr>
            </w:pPr>
            <w:r>
              <w:rPr>
                <w:rFonts w:ascii="Arial" w:hAnsi="Arial" w:cs="Arial"/>
                <w:color w:val="000000"/>
                <w:kern w:val="2"/>
                <w:sz w:val="21"/>
                <w:szCs w:val="21"/>
              </w:rPr>
              <w:t>相关资格或职称</w:t>
            </w:r>
          </w:p>
        </w:tc>
        <w:tc>
          <w:tcPr>
            <w:tcW w:w="2693" w:type="dxa"/>
            <w:vAlign w:val="center"/>
          </w:tcPr>
          <w:p w14:paraId="0A613CF4" w14:textId="77777777" w:rsidR="00000000" w:rsidRDefault="00000000">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06" w:type="dxa"/>
            <w:vAlign w:val="center"/>
          </w:tcPr>
          <w:p w14:paraId="4F6C0F24" w14:textId="77777777" w:rsidR="00000000" w:rsidRDefault="00000000">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000000" w14:paraId="3047A336" w14:textId="77777777">
        <w:trPr>
          <w:cantSplit/>
          <w:trHeight w:hRule="exact" w:val="1134"/>
          <w:jc w:val="center"/>
        </w:trPr>
        <w:tc>
          <w:tcPr>
            <w:tcW w:w="1695" w:type="dxa"/>
            <w:vAlign w:val="center"/>
          </w:tcPr>
          <w:p w14:paraId="7C61F9D9" w14:textId="77777777" w:rsidR="00000000" w:rsidRDefault="0000000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李诗霖</w:t>
            </w:r>
          </w:p>
        </w:tc>
        <w:tc>
          <w:tcPr>
            <w:tcW w:w="2133" w:type="dxa"/>
            <w:vAlign w:val="center"/>
          </w:tcPr>
          <w:p w14:paraId="55BAE98D" w14:textId="77777777" w:rsidR="00000000" w:rsidRDefault="00000000">
            <w:pPr>
              <w:tabs>
                <w:tab w:val="left" w:pos="5160"/>
              </w:tabs>
              <w:overflowPunct w:val="0"/>
              <w:spacing w:line="240" w:lineRule="exact"/>
              <w:rPr>
                <w:rFonts w:ascii="Arial" w:hAnsi="Arial" w:cs="Arial" w:hint="eastAsia"/>
                <w:color w:val="000000"/>
                <w:sz w:val="21"/>
                <w:szCs w:val="21"/>
              </w:rPr>
            </w:pPr>
            <w:r>
              <w:rPr>
                <w:rFonts w:ascii="Arial" w:hAnsi="Arial" w:cs="Arial" w:hint="eastAsia"/>
                <w:color w:val="000000"/>
                <w:sz w:val="21"/>
                <w:szCs w:val="21"/>
              </w:rPr>
              <w:t>-</w:t>
            </w:r>
          </w:p>
        </w:tc>
        <w:tc>
          <w:tcPr>
            <w:tcW w:w="2693" w:type="dxa"/>
            <w:vAlign w:val="center"/>
          </w:tcPr>
          <w:p w14:paraId="7E9E9977" w14:textId="77777777" w:rsidR="00000000" w:rsidRDefault="00000000">
            <w:pPr>
              <w:tabs>
                <w:tab w:val="left" w:pos="5160"/>
              </w:tabs>
              <w:overflowPunct w:val="0"/>
              <w:spacing w:line="240" w:lineRule="exact"/>
              <w:rPr>
                <w:rFonts w:ascii="Arial" w:hAnsi="Arial" w:cs="Arial"/>
                <w:color w:val="000000"/>
                <w:sz w:val="21"/>
                <w:szCs w:val="21"/>
              </w:rPr>
            </w:pPr>
          </w:p>
        </w:tc>
        <w:tc>
          <w:tcPr>
            <w:tcW w:w="2506" w:type="dxa"/>
            <w:vAlign w:val="center"/>
          </w:tcPr>
          <w:p w14:paraId="257262DE" w14:textId="77777777" w:rsidR="00000000" w:rsidRDefault="00000000">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474D09CF" w14:textId="77777777" w:rsidR="00000000" w:rsidRDefault="00000000">
      <w:pPr>
        <w:overflowPunct w:val="0"/>
        <w:spacing w:line="480" w:lineRule="auto"/>
        <w:jc w:val="both"/>
        <w:textAlignment w:val="auto"/>
        <w:rPr>
          <w:rFonts w:ascii="Arial" w:hAnsi="Arial" w:cs="Arial"/>
          <w:kern w:val="2"/>
          <w:sz w:val="21"/>
          <w:szCs w:val="21"/>
        </w:rPr>
      </w:pPr>
    </w:p>
    <w:p w14:paraId="717E3711" w14:textId="77777777" w:rsidR="00000000" w:rsidRDefault="00000000">
      <w:pPr>
        <w:pStyle w:val="2"/>
        <w:numPr>
          <w:ilvl w:val="0"/>
          <w:numId w:val="0"/>
        </w:numPr>
        <w:overflowPunct w:val="0"/>
        <w:spacing w:line="480" w:lineRule="auto"/>
        <w:jc w:val="both"/>
        <w:textAlignment w:val="auto"/>
        <w:rPr>
          <w:rFonts w:eastAsia="宋体"/>
          <w:kern w:val="2"/>
          <w:sz w:val="21"/>
          <w:szCs w:val="21"/>
        </w:rPr>
      </w:pPr>
      <w:bookmarkStart w:id="46" w:name="_Toc477252452"/>
      <w:r>
        <w:rPr>
          <w:rFonts w:eastAsia="宋体"/>
          <w:kern w:val="2"/>
          <w:sz w:val="21"/>
          <w:szCs w:val="21"/>
        </w:rPr>
        <w:t>十二、实地查勘期</w:t>
      </w:r>
      <w:bookmarkEnd w:id="46"/>
    </w:p>
    <w:p w14:paraId="12138476" w14:textId="77777777" w:rsidR="00000000" w:rsidRDefault="00000000">
      <w:pPr>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p>
    <w:p w14:paraId="11CD4AF5" w14:textId="77777777" w:rsidR="00000000" w:rsidRDefault="00000000">
      <w:pPr>
        <w:overflowPunct w:val="0"/>
        <w:spacing w:line="480" w:lineRule="auto"/>
        <w:jc w:val="both"/>
        <w:textAlignment w:val="auto"/>
        <w:rPr>
          <w:rFonts w:ascii="Arial" w:hAnsi="Arial" w:cs="Arial"/>
          <w:kern w:val="2"/>
          <w:sz w:val="21"/>
          <w:szCs w:val="21"/>
        </w:rPr>
      </w:pPr>
    </w:p>
    <w:p w14:paraId="0BC1534D" w14:textId="77777777" w:rsidR="00000000" w:rsidRDefault="00000000">
      <w:pPr>
        <w:pStyle w:val="2"/>
        <w:numPr>
          <w:ilvl w:val="0"/>
          <w:numId w:val="0"/>
        </w:numPr>
        <w:overflowPunct w:val="0"/>
        <w:spacing w:line="480" w:lineRule="auto"/>
        <w:jc w:val="both"/>
        <w:textAlignment w:val="auto"/>
        <w:rPr>
          <w:rFonts w:eastAsia="宋体"/>
          <w:kern w:val="2"/>
          <w:sz w:val="21"/>
          <w:szCs w:val="21"/>
        </w:rPr>
      </w:pPr>
      <w:bookmarkStart w:id="47" w:name="_Toc168225825"/>
      <w:bookmarkStart w:id="48" w:name="_Toc477252453"/>
      <w:r>
        <w:rPr>
          <w:rFonts w:eastAsia="宋体"/>
          <w:kern w:val="2"/>
          <w:sz w:val="21"/>
          <w:szCs w:val="21"/>
        </w:rPr>
        <w:t>十三、估价作业期</w:t>
      </w:r>
      <w:bookmarkEnd w:id="47"/>
      <w:bookmarkEnd w:id="48"/>
      <w:r>
        <w:rPr>
          <w:rFonts w:eastAsia="宋体" w:hint="eastAsia"/>
          <w:kern w:val="2"/>
          <w:sz w:val="21"/>
          <w:szCs w:val="21"/>
        </w:rPr>
        <w:t xml:space="preserve">  </w:t>
      </w:r>
    </w:p>
    <w:p w14:paraId="12A57097" w14:textId="77777777" w:rsidR="00000000"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sz w:val="21"/>
          <w:szCs w:val="21"/>
        </w:rPr>
        <w:t>至</w:t>
      </w:r>
      <w:r>
        <w:rPr>
          <w:rFonts w:ascii="Arial" w:hAnsi="Arial" w:cs="Arial"/>
          <w:sz w:val="21"/>
          <w:szCs w:val="21"/>
        </w:rPr>
        <w:t>20</w:t>
      </w:r>
      <w:r>
        <w:rPr>
          <w:rFonts w:ascii="Arial" w:hAnsi="Arial" w:cs="Arial" w:hint="eastAsia"/>
          <w:sz w:val="21"/>
          <w:szCs w:val="21"/>
        </w:rPr>
        <w:t>26</w:t>
      </w:r>
      <w:r>
        <w:rPr>
          <w:rFonts w:ascii="Arial" w:hAnsi="Arial" w:cs="Arial"/>
          <w:sz w:val="21"/>
          <w:szCs w:val="21"/>
        </w:rPr>
        <w:t>年</w:t>
      </w:r>
      <w:r>
        <w:rPr>
          <w:rFonts w:ascii="Arial" w:hAnsi="Arial" w:cs="Arial" w:hint="eastAsia"/>
          <w:sz w:val="21"/>
          <w:szCs w:val="21"/>
        </w:rPr>
        <w:t>1</w:t>
      </w:r>
      <w:r>
        <w:rPr>
          <w:rFonts w:ascii="Arial" w:hAnsi="Arial" w:cs="Arial"/>
          <w:sz w:val="21"/>
          <w:szCs w:val="21"/>
        </w:rPr>
        <w:t>月</w:t>
      </w:r>
      <w:r>
        <w:rPr>
          <w:rFonts w:ascii="Arial" w:hAnsi="Arial" w:cs="Arial" w:hint="eastAsia"/>
          <w:sz w:val="21"/>
          <w:szCs w:val="21"/>
        </w:rPr>
        <w:t>30</w:t>
      </w:r>
      <w:r>
        <w:rPr>
          <w:rFonts w:ascii="Arial" w:hAnsi="Arial" w:cs="Arial"/>
          <w:sz w:val="21"/>
          <w:szCs w:val="21"/>
        </w:rPr>
        <w:t>日</w:t>
      </w:r>
    </w:p>
    <w:p w14:paraId="6FDD0C7F" w14:textId="77777777" w:rsidR="00000000" w:rsidRDefault="00000000">
      <w:pPr>
        <w:overflowPunct w:val="0"/>
        <w:spacing w:line="480" w:lineRule="auto"/>
        <w:jc w:val="both"/>
        <w:textAlignment w:val="auto"/>
        <w:outlineLvl w:val="0"/>
        <w:rPr>
          <w:rFonts w:ascii="Arial" w:hAnsi="Arial" w:cs="Arial"/>
          <w:b/>
          <w:kern w:val="2"/>
          <w:sz w:val="21"/>
          <w:szCs w:val="21"/>
        </w:rPr>
        <w:sectPr w:rsidR="00000000">
          <w:headerReference w:type="default" r:id="rId30"/>
          <w:footerReference w:type="even" r:id="rId31"/>
          <w:footerReference w:type="default" r:id="rId32"/>
          <w:pgSz w:w="11907" w:h="16840"/>
          <w:pgMar w:top="1843" w:right="1304" w:bottom="1134" w:left="1304" w:header="1134" w:footer="907" w:gutter="0"/>
          <w:cols w:space="720"/>
          <w:docGrid w:linePitch="326"/>
        </w:sectPr>
      </w:pPr>
    </w:p>
    <w:p w14:paraId="0E355475" w14:textId="77777777" w:rsidR="00000000" w:rsidRDefault="00000000">
      <w:pPr>
        <w:pStyle w:val="1"/>
        <w:spacing w:line="480" w:lineRule="auto"/>
        <w:jc w:val="center"/>
        <w:rPr>
          <w:rFonts w:eastAsia="方正黑体简体" w:hint="eastAsia"/>
          <w:b w:val="0"/>
          <w:kern w:val="2"/>
          <w:sz w:val="32"/>
          <w:szCs w:val="32"/>
        </w:rPr>
      </w:pPr>
      <w:bookmarkStart w:id="49" w:name="_Toc477252454"/>
      <w:r>
        <w:rPr>
          <w:rFonts w:eastAsia="方正黑体简体" w:hint="eastAsia"/>
          <w:b w:val="0"/>
          <w:kern w:val="2"/>
          <w:sz w:val="32"/>
          <w:szCs w:val="32"/>
        </w:rPr>
        <w:lastRenderedPageBreak/>
        <w:t>估价技术报告</w:t>
      </w:r>
      <w:bookmarkEnd w:id="49"/>
    </w:p>
    <w:p w14:paraId="2EF5CAC5" w14:textId="77777777" w:rsidR="00000000" w:rsidRDefault="00000000">
      <w:pPr>
        <w:pStyle w:val="2"/>
        <w:numPr>
          <w:ilvl w:val="0"/>
          <w:numId w:val="0"/>
        </w:numPr>
        <w:spacing w:line="480" w:lineRule="auto"/>
        <w:ind w:left="358" w:hangingChars="170" w:hanging="358"/>
        <w:jc w:val="both"/>
        <w:rPr>
          <w:rFonts w:eastAsia="宋体"/>
          <w:kern w:val="2"/>
          <w:sz w:val="21"/>
          <w:szCs w:val="21"/>
        </w:rPr>
      </w:pPr>
      <w:bookmarkStart w:id="50" w:name="_Toc477252455"/>
      <w:r>
        <w:rPr>
          <w:rFonts w:eastAsia="宋体"/>
          <w:kern w:val="2"/>
          <w:sz w:val="21"/>
          <w:szCs w:val="21"/>
        </w:rPr>
        <w:t>一、估价对象描述与分析</w:t>
      </w:r>
      <w:bookmarkEnd w:id="50"/>
    </w:p>
    <w:p w14:paraId="2670BF3C" w14:textId="77777777" w:rsidR="00000000" w:rsidRDefault="00000000">
      <w:pPr>
        <w:pStyle w:val="2"/>
        <w:numPr>
          <w:ilvl w:val="0"/>
          <w:numId w:val="0"/>
        </w:numPr>
        <w:spacing w:line="480" w:lineRule="auto"/>
        <w:ind w:left="360" w:hangingChars="171" w:hanging="360"/>
        <w:jc w:val="both"/>
        <w:rPr>
          <w:rFonts w:eastAsia="宋体"/>
          <w:kern w:val="2"/>
          <w:sz w:val="21"/>
          <w:szCs w:val="21"/>
        </w:rPr>
      </w:pPr>
      <w:bookmarkStart w:id="51" w:name="_Toc477252456"/>
      <w:r>
        <w:rPr>
          <w:rFonts w:eastAsia="宋体"/>
          <w:kern w:val="2"/>
          <w:sz w:val="21"/>
          <w:szCs w:val="21"/>
        </w:rPr>
        <w:t>（一）实物状况分析</w:t>
      </w:r>
      <w:bookmarkEnd w:id="51"/>
    </w:p>
    <w:p w14:paraId="4E652834" w14:textId="77777777" w:rsidR="00000000" w:rsidRDefault="00000000">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土地实物状况</w:t>
      </w:r>
    </w:p>
    <w:p w14:paraId="19C430B4" w14:textId="77777777" w:rsidR="00000000" w:rsidRDefault="00000000">
      <w:pPr>
        <w:spacing w:line="480" w:lineRule="auto"/>
        <w:ind w:firstLineChars="200" w:firstLine="420"/>
        <w:jc w:val="both"/>
        <w:rPr>
          <w:rFonts w:ascii="Arial" w:hAnsi="Arial" w:hint="eastAsia"/>
          <w:bCs/>
          <w:sz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土地面积：根据</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w:t>
      </w:r>
      <w:r>
        <w:rPr>
          <w:rFonts w:ascii="Arial" w:hAnsi="Arial" w:hint="eastAsia"/>
          <w:bCs/>
          <w:sz w:val="21"/>
        </w:rPr>
        <w:t>]</w:t>
      </w:r>
      <w:r>
        <w:rPr>
          <w:rFonts w:ascii="Arial" w:hAnsi="Arial" w:hint="eastAsia"/>
          <w:bCs/>
          <w:sz w:val="21"/>
        </w:rPr>
        <w:t>，估价对象所属房山区长于大街</w:t>
      </w:r>
      <w:r>
        <w:rPr>
          <w:rFonts w:ascii="Arial" w:hAnsi="Arial" w:hint="eastAsia"/>
          <w:bCs/>
          <w:sz w:val="21"/>
        </w:rPr>
        <w:t>28</w:t>
      </w:r>
      <w:r>
        <w:rPr>
          <w:rFonts w:ascii="Arial" w:hAnsi="Arial" w:hint="eastAsia"/>
          <w:bCs/>
          <w:sz w:val="21"/>
        </w:rPr>
        <w:t>号院</w:t>
      </w:r>
      <w:r>
        <w:rPr>
          <w:rFonts w:ascii="Arial" w:hAnsi="Arial" w:hint="eastAsia"/>
          <w:bCs/>
          <w:sz w:val="21"/>
        </w:rPr>
        <w:t>100</w:t>
      </w:r>
      <w:r>
        <w:rPr>
          <w:rFonts w:ascii="Arial" w:hAnsi="Arial" w:hint="eastAsia"/>
          <w:bCs/>
          <w:sz w:val="21"/>
        </w:rPr>
        <w:t>幢（</w:t>
      </w:r>
      <w:r>
        <w:rPr>
          <w:rFonts w:ascii="Arial" w:hAnsi="Arial" w:hint="eastAsia"/>
          <w:bCs/>
          <w:sz w:val="21"/>
        </w:rPr>
        <w:t>044</w:t>
      </w:r>
      <w:r>
        <w:rPr>
          <w:rFonts w:ascii="Arial" w:hAnsi="Arial" w:hint="eastAsia"/>
          <w:bCs/>
          <w:sz w:val="21"/>
        </w:rPr>
        <w:t>号地块）共有宗地面积</w:t>
      </w:r>
      <w:r>
        <w:rPr>
          <w:rFonts w:ascii="Arial" w:hAnsi="Arial" w:hint="eastAsia"/>
          <w:bCs/>
          <w:sz w:val="21"/>
        </w:rPr>
        <w:t>24641.28</w:t>
      </w:r>
      <w:r>
        <w:rPr>
          <w:rFonts w:ascii="Arial" w:hAnsi="Arial" w:hint="eastAsia"/>
          <w:bCs/>
          <w:sz w:val="21"/>
        </w:rPr>
        <w:t>平方米，用途为商业，土地使用期限自</w:t>
      </w:r>
      <w:r>
        <w:rPr>
          <w:rFonts w:ascii="Arial" w:hAnsi="Arial" w:hint="eastAsia"/>
          <w:bCs/>
          <w:sz w:val="21"/>
        </w:rPr>
        <w:t>2016</w:t>
      </w:r>
      <w:r>
        <w:rPr>
          <w:rFonts w:ascii="Arial" w:hAnsi="Arial" w:hint="eastAsia"/>
          <w:bCs/>
          <w:sz w:val="21"/>
        </w:rPr>
        <w:t>年</w:t>
      </w:r>
      <w:r>
        <w:rPr>
          <w:rFonts w:ascii="Arial" w:hAnsi="Arial" w:hint="eastAsia"/>
          <w:bCs/>
          <w:sz w:val="21"/>
        </w:rPr>
        <w:t>12</w:t>
      </w:r>
      <w:r>
        <w:rPr>
          <w:rFonts w:ascii="Arial" w:hAnsi="Arial" w:hint="eastAsia"/>
          <w:bCs/>
          <w:sz w:val="21"/>
        </w:rPr>
        <w:t>月</w:t>
      </w:r>
      <w:r>
        <w:rPr>
          <w:rFonts w:ascii="Arial" w:hAnsi="Arial" w:hint="eastAsia"/>
          <w:bCs/>
          <w:sz w:val="21"/>
        </w:rPr>
        <w:t>26</w:t>
      </w:r>
      <w:r>
        <w:rPr>
          <w:rFonts w:ascii="Arial" w:hAnsi="Arial" w:hint="eastAsia"/>
          <w:bCs/>
          <w:sz w:val="21"/>
        </w:rPr>
        <w:t>日起至</w:t>
      </w:r>
      <w:r>
        <w:rPr>
          <w:rFonts w:ascii="Arial" w:hAnsi="Arial" w:hint="eastAsia"/>
          <w:bCs/>
          <w:sz w:val="21"/>
        </w:rPr>
        <w:t>2056</w:t>
      </w:r>
      <w:r>
        <w:rPr>
          <w:rFonts w:ascii="Arial" w:hAnsi="Arial" w:hint="eastAsia"/>
          <w:bCs/>
          <w:sz w:val="21"/>
        </w:rPr>
        <w:t>年</w:t>
      </w:r>
      <w:r>
        <w:rPr>
          <w:rFonts w:ascii="Arial" w:hAnsi="Arial" w:hint="eastAsia"/>
          <w:bCs/>
          <w:sz w:val="21"/>
        </w:rPr>
        <w:t>12</w:t>
      </w:r>
      <w:r>
        <w:rPr>
          <w:rFonts w:ascii="Arial" w:hAnsi="Arial" w:hint="eastAsia"/>
          <w:bCs/>
          <w:sz w:val="21"/>
        </w:rPr>
        <w:t>月</w:t>
      </w:r>
      <w:r>
        <w:rPr>
          <w:rFonts w:ascii="Arial" w:hAnsi="Arial" w:hint="eastAsia"/>
          <w:bCs/>
          <w:sz w:val="21"/>
        </w:rPr>
        <w:t>25</w:t>
      </w:r>
      <w:r>
        <w:rPr>
          <w:rFonts w:ascii="Arial" w:hAnsi="Arial" w:hint="eastAsia"/>
          <w:bCs/>
          <w:sz w:val="21"/>
        </w:rPr>
        <w:t>日止。</w:t>
      </w:r>
    </w:p>
    <w:p w14:paraId="168D2CC1" w14:textId="77777777" w:rsidR="00000000" w:rsidRDefault="00000000">
      <w:pPr>
        <w:spacing w:line="480" w:lineRule="auto"/>
        <w:ind w:firstLineChars="200" w:firstLine="420"/>
        <w:jc w:val="both"/>
        <w:rPr>
          <w:rFonts w:ascii="Arial" w:hAnsi="Arial"/>
          <w:bCs/>
          <w:sz w:val="21"/>
        </w:rPr>
      </w:pPr>
      <w:r>
        <w:rPr>
          <w:rFonts w:ascii="Arial" w:hAnsi="Arial" w:cs="Arial"/>
          <w:sz w:val="21"/>
          <w:szCs w:val="21"/>
        </w:rPr>
        <w:t>根据</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，估价对象所属房山区阜盛西街</w:t>
      </w:r>
      <w:r>
        <w:rPr>
          <w:rFonts w:ascii="Arial" w:hAnsi="Arial" w:hint="eastAsia"/>
          <w:bCs/>
          <w:sz w:val="21"/>
        </w:rPr>
        <w:t>11</w:t>
      </w:r>
      <w:r>
        <w:rPr>
          <w:rFonts w:ascii="Arial" w:hAnsi="Arial" w:hint="eastAsia"/>
          <w:bCs/>
          <w:sz w:val="21"/>
        </w:rPr>
        <w:t>号院</w:t>
      </w:r>
      <w:r>
        <w:rPr>
          <w:rFonts w:ascii="Arial" w:hAnsi="Arial" w:hint="eastAsia"/>
          <w:bCs/>
          <w:sz w:val="21"/>
        </w:rPr>
        <w:t>3</w:t>
      </w:r>
      <w:r>
        <w:rPr>
          <w:rFonts w:ascii="Arial" w:hAnsi="Arial" w:hint="eastAsia"/>
          <w:bCs/>
          <w:sz w:val="21"/>
        </w:rPr>
        <w:t>、</w:t>
      </w:r>
      <w:r>
        <w:rPr>
          <w:rFonts w:ascii="Arial" w:hAnsi="Arial" w:hint="eastAsia"/>
          <w:bCs/>
          <w:sz w:val="21"/>
        </w:rPr>
        <w:t>6</w:t>
      </w:r>
      <w:r>
        <w:rPr>
          <w:rFonts w:ascii="Arial" w:hAnsi="Arial" w:hint="eastAsia"/>
          <w:bCs/>
          <w:sz w:val="21"/>
        </w:rPr>
        <w:t>号楼（</w:t>
      </w:r>
      <w:r>
        <w:rPr>
          <w:rFonts w:ascii="Arial" w:hAnsi="Arial" w:hint="eastAsia"/>
          <w:bCs/>
          <w:sz w:val="21"/>
        </w:rPr>
        <w:t>042</w:t>
      </w:r>
      <w:r>
        <w:rPr>
          <w:rFonts w:ascii="Arial" w:hAnsi="Arial" w:hint="eastAsia"/>
          <w:bCs/>
          <w:sz w:val="21"/>
        </w:rPr>
        <w:t>号地块）共有宗地面积</w:t>
      </w:r>
      <w:r>
        <w:rPr>
          <w:rFonts w:ascii="Arial" w:hAnsi="Arial" w:hint="eastAsia"/>
          <w:bCs/>
          <w:sz w:val="21"/>
        </w:rPr>
        <w:t>28738.33</w:t>
      </w:r>
      <w:r>
        <w:rPr>
          <w:rFonts w:ascii="Arial" w:hAnsi="Arial" w:hint="eastAsia"/>
          <w:bCs/>
          <w:sz w:val="21"/>
        </w:rPr>
        <w:t>平方米，用途为商业，土地使用期限自</w:t>
      </w:r>
      <w:r>
        <w:rPr>
          <w:rFonts w:ascii="Arial" w:hAnsi="Arial" w:hint="eastAsia"/>
          <w:bCs/>
          <w:sz w:val="21"/>
        </w:rPr>
        <w:t>2016</w:t>
      </w:r>
      <w:r>
        <w:rPr>
          <w:rFonts w:ascii="Arial" w:hAnsi="Arial" w:hint="eastAsia"/>
          <w:bCs/>
          <w:sz w:val="21"/>
        </w:rPr>
        <w:t>年</w:t>
      </w:r>
      <w:r>
        <w:rPr>
          <w:rFonts w:ascii="Arial" w:hAnsi="Arial" w:hint="eastAsia"/>
          <w:bCs/>
          <w:sz w:val="21"/>
        </w:rPr>
        <w:t>12</w:t>
      </w:r>
      <w:r>
        <w:rPr>
          <w:rFonts w:ascii="Arial" w:hAnsi="Arial" w:hint="eastAsia"/>
          <w:bCs/>
          <w:sz w:val="21"/>
        </w:rPr>
        <w:t>月</w:t>
      </w:r>
      <w:r>
        <w:rPr>
          <w:rFonts w:ascii="Arial" w:hAnsi="Arial" w:hint="eastAsia"/>
          <w:bCs/>
          <w:sz w:val="21"/>
        </w:rPr>
        <w:t>26</w:t>
      </w:r>
      <w:r>
        <w:rPr>
          <w:rFonts w:ascii="Arial" w:hAnsi="Arial" w:hint="eastAsia"/>
          <w:bCs/>
          <w:sz w:val="21"/>
        </w:rPr>
        <w:t>日起至</w:t>
      </w:r>
      <w:r>
        <w:rPr>
          <w:rFonts w:ascii="Arial" w:hAnsi="Arial" w:hint="eastAsia"/>
          <w:bCs/>
          <w:sz w:val="21"/>
        </w:rPr>
        <w:t>2056</w:t>
      </w:r>
      <w:r>
        <w:rPr>
          <w:rFonts w:ascii="Arial" w:hAnsi="Arial" w:hint="eastAsia"/>
          <w:bCs/>
          <w:sz w:val="21"/>
        </w:rPr>
        <w:t>年</w:t>
      </w:r>
      <w:r>
        <w:rPr>
          <w:rFonts w:ascii="Arial" w:hAnsi="Arial" w:hint="eastAsia"/>
          <w:bCs/>
          <w:sz w:val="21"/>
        </w:rPr>
        <w:t>12</w:t>
      </w:r>
      <w:r>
        <w:rPr>
          <w:rFonts w:ascii="Arial" w:hAnsi="Arial" w:hint="eastAsia"/>
          <w:bCs/>
          <w:sz w:val="21"/>
        </w:rPr>
        <w:t>月</w:t>
      </w:r>
      <w:r>
        <w:rPr>
          <w:rFonts w:ascii="Arial" w:hAnsi="Arial" w:hint="eastAsia"/>
          <w:bCs/>
          <w:sz w:val="21"/>
        </w:rPr>
        <w:t>25</w:t>
      </w:r>
      <w:r>
        <w:rPr>
          <w:rFonts w:ascii="Arial" w:hAnsi="Arial" w:hint="eastAsia"/>
          <w:bCs/>
          <w:sz w:val="21"/>
        </w:rPr>
        <w:t>日止。</w:t>
      </w:r>
    </w:p>
    <w:p w14:paraId="40FAA6E7" w14:textId="77777777" w:rsidR="00000000"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土地利用状况：</w:t>
      </w:r>
      <w:r>
        <w:rPr>
          <w:rFonts w:ascii="Arial" w:hAnsi="Arial" w:cs="Arial" w:hint="eastAsia"/>
          <w:sz w:val="21"/>
          <w:szCs w:val="21"/>
        </w:rPr>
        <w:t>估价对象</w:t>
      </w:r>
      <w:proofErr w:type="gramStart"/>
      <w:r>
        <w:rPr>
          <w:rFonts w:ascii="Arial" w:hAnsi="Arial" w:cs="Arial" w:hint="eastAsia"/>
          <w:sz w:val="21"/>
          <w:szCs w:val="21"/>
        </w:rPr>
        <w:t>属熙悦天</w:t>
      </w:r>
      <w:proofErr w:type="gramEnd"/>
      <w:r>
        <w:rPr>
          <w:rFonts w:ascii="Arial" w:hAnsi="Arial" w:cs="Arial" w:hint="eastAsia"/>
          <w:sz w:val="21"/>
          <w:szCs w:val="21"/>
        </w:rPr>
        <w:t>街项目，项目</w:t>
      </w:r>
      <w:r>
        <w:rPr>
          <w:rFonts w:ascii="Arial" w:hAnsi="Arial" w:cs="Arial"/>
          <w:sz w:val="21"/>
          <w:szCs w:val="21"/>
        </w:rPr>
        <w:t>现状已完成开发建设。项目用地呈近似规则形状，场地地势较平坦，水文状况良好，工程地质条件良好，无不良地质现象。估价对象</w:t>
      </w:r>
      <w:r>
        <w:rPr>
          <w:rFonts w:ascii="Arial" w:hAnsi="Arial" w:cs="Arial" w:hint="eastAsia"/>
          <w:sz w:val="21"/>
          <w:szCs w:val="21"/>
        </w:rPr>
        <w:t>所属项目紧邻长于大街</w:t>
      </w:r>
      <w:r>
        <w:rPr>
          <w:rFonts w:ascii="Arial" w:hAnsi="Arial" w:cs="Arial"/>
          <w:sz w:val="21"/>
          <w:szCs w:val="21"/>
        </w:rPr>
        <w:t>，宽度及深度比例</w:t>
      </w:r>
      <w:r>
        <w:rPr>
          <w:rFonts w:ascii="Arial" w:hAnsi="Arial" w:cs="Arial" w:hint="eastAsia"/>
          <w:sz w:val="21"/>
          <w:szCs w:val="21"/>
        </w:rPr>
        <w:t>较适宜</w:t>
      </w:r>
      <w:r>
        <w:rPr>
          <w:rFonts w:ascii="Arial" w:hAnsi="Arial" w:cs="Arial"/>
          <w:sz w:val="21"/>
          <w:szCs w:val="21"/>
        </w:rPr>
        <w:t>。综上，该</w:t>
      </w:r>
      <w:r>
        <w:rPr>
          <w:rFonts w:ascii="Arial" w:hAnsi="Arial" w:cs="Arial" w:hint="eastAsia"/>
          <w:sz w:val="21"/>
          <w:szCs w:val="21"/>
        </w:rPr>
        <w:t>项目</w:t>
      </w:r>
      <w:r>
        <w:rPr>
          <w:rFonts w:ascii="Arial" w:hAnsi="Arial" w:cs="Arial"/>
          <w:sz w:val="21"/>
          <w:szCs w:val="21"/>
        </w:rPr>
        <w:t>土地利用程度较好。</w:t>
      </w:r>
    </w:p>
    <w:p w14:paraId="6AE1CDFF" w14:textId="77777777" w:rsidR="00000000" w:rsidRDefault="00000000">
      <w:pPr>
        <w:spacing w:line="480" w:lineRule="auto"/>
        <w:ind w:right="205"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土地开发程度：估价对象现状市政基础设施达</w:t>
      </w:r>
      <w:r>
        <w:rPr>
          <w:rFonts w:ascii="Arial" w:hAnsi="Arial" w:hint="eastAsia"/>
          <w:sz w:val="21"/>
          <w:szCs w:val="21"/>
        </w:rPr>
        <w:t>“六通”（即通路、通电、通讯、通上水、通下水、通燃气）</w:t>
      </w:r>
      <w:r>
        <w:rPr>
          <w:rFonts w:ascii="Arial" w:hAnsi="Arial" w:cs="Arial"/>
          <w:sz w:val="21"/>
          <w:szCs w:val="21"/>
        </w:rPr>
        <w:t>，保障程度较高。</w:t>
      </w:r>
    </w:p>
    <w:p w14:paraId="73A8A6EB" w14:textId="77777777" w:rsidR="00000000" w:rsidRDefault="00000000">
      <w:pPr>
        <w:spacing w:line="480" w:lineRule="auto"/>
        <w:ind w:firstLineChars="200" w:firstLine="420"/>
        <w:jc w:val="both"/>
        <w:rPr>
          <w:rFonts w:ascii="Arial" w:hAnsi="Arial" w:cs="Arial"/>
          <w:sz w:val="21"/>
          <w:szCs w:val="21"/>
        </w:rPr>
      </w:pPr>
      <w:r>
        <w:rPr>
          <w:rFonts w:ascii="Arial" w:hAnsi="Arial" w:cs="Arial"/>
          <w:sz w:val="21"/>
          <w:szCs w:val="21"/>
        </w:rPr>
        <w:t>道路：城市主干道</w:t>
      </w:r>
      <w:r>
        <w:rPr>
          <w:rFonts w:ascii="Arial" w:hAnsi="Arial" w:cs="Arial"/>
          <w:sz w:val="21"/>
          <w:szCs w:val="21"/>
        </w:rPr>
        <w:t>——</w:t>
      </w:r>
      <w:r>
        <w:rPr>
          <w:rFonts w:ascii="Arial" w:hAnsi="Arial" w:cs="Arial" w:hint="eastAsia"/>
          <w:sz w:val="21"/>
          <w:szCs w:val="21"/>
        </w:rPr>
        <w:t>长于大街</w:t>
      </w:r>
      <w:r>
        <w:rPr>
          <w:rFonts w:ascii="Arial" w:hAnsi="Arial" w:cs="Arial"/>
          <w:sz w:val="21"/>
          <w:szCs w:val="21"/>
        </w:rPr>
        <w:t>；</w:t>
      </w:r>
    </w:p>
    <w:p w14:paraId="28188C2B" w14:textId="77777777" w:rsidR="00000000" w:rsidRDefault="00000000">
      <w:pPr>
        <w:spacing w:line="480" w:lineRule="auto"/>
        <w:ind w:right="205" w:firstLineChars="200" w:firstLine="420"/>
        <w:jc w:val="both"/>
        <w:rPr>
          <w:rFonts w:ascii="Arial" w:hAnsi="Arial" w:cs="Arial"/>
          <w:sz w:val="21"/>
          <w:szCs w:val="21"/>
        </w:rPr>
      </w:pPr>
      <w:r>
        <w:rPr>
          <w:rFonts w:ascii="Arial" w:hAnsi="Arial" w:cs="Arial"/>
          <w:sz w:val="21"/>
          <w:szCs w:val="21"/>
        </w:rPr>
        <w:t>电力：市政供电；</w:t>
      </w:r>
    </w:p>
    <w:p w14:paraId="50C61EC5" w14:textId="77777777" w:rsidR="00000000" w:rsidRDefault="00000000">
      <w:pPr>
        <w:spacing w:line="480" w:lineRule="auto"/>
        <w:ind w:right="205" w:firstLineChars="200" w:firstLine="420"/>
        <w:jc w:val="both"/>
        <w:rPr>
          <w:rFonts w:ascii="Arial" w:hAnsi="Arial" w:cs="Arial"/>
          <w:sz w:val="21"/>
          <w:szCs w:val="21"/>
        </w:rPr>
      </w:pPr>
      <w:r>
        <w:rPr>
          <w:rFonts w:ascii="Arial" w:hAnsi="Arial" w:cs="Arial"/>
          <w:sz w:val="21"/>
          <w:szCs w:val="21"/>
        </w:rPr>
        <w:t>通讯：电话线入楼、有线电视入楼、宽带入楼；</w:t>
      </w:r>
    </w:p>
    <w:p w14:paraId="5B973A8A" w14:textId="77777777" w:rsidR="00000000" w:rsidRDefault="00000000">
      <w:pPr>
        <w:spacing w:line="480" w:lineRule="auto"/>
        <w:ind w:right="205" w:firstLineChars="200" w:firstLine="420"/>
        <w:jc w:val="both"/>
        <w:rPr>
          <w:rFonts w:ascii="Arial" w:hAnsi="Arial" w:cs="Arial"/>
          <w:sz w:val="21"/>
          <w:szCs w:val="21"/>
        </w:rPr>
      </w:pPr>
      <w:r>
        <w:rPr>
          <w:rFonts w:ascii="Arial" w:hAnsi="Arial" w:cs="Arial"/>
          <w:sz w:val="21"/>
          <w:szCs w:val="21"/>
        </w:rPr>
        <w:t>上水：市政管网供水；</w:t>
      </w:r>
    </w:p>
    <w:p w14:paraId="53ADAB34" w14:textId="77777777" w:rsidR="00000000" w:rsidRDefault="00000000">
      <w:pPr>
        <w:spacing w:line="480" w:lineRule="auto"/>
        <w:ind w:right="205" w:firstLineChars="200" w:firstLine="420"/>
        <w:jc w:val="both"/>
        <w:rPr>
          <w:rFonts w:ascii="Arial" w:hAnsi="Arial" w:cs="Arial"/>
          <w:sz w:val="21"/>
          <w:szCs w:val="21"/>
        </w:rPr>
      </w:pPr>
      <w:r>
        <w:rPr>
          <w:rFonts w:ascii="Arial" w:hAnsi="Arial" w:cs="Arial"/>
          <w:sz w:val="21"/>
          <w:szCs w:val="21"/>
        </w:rPr>
        <w:t>下水：市政管网排水；</w:t>
      </w:r>
    </w:p>
    <w:p w14:paraId="488DD962" w14:textId="77777777" w:rsidR="00000000" w:rsidRDefault="00000000">
      <w:pPr>
        <w:spacing w:line="480" w:lineRule="auto"/>
        <w:ind w:right="205" w:firstLineChars="200" w:firstLine="420"/>
        <w:jc w:val="both"/>
        <w:rPr>
          <w:rFonts w:ascii="Arial" w:hAnsi="Arial" w:cs="Arial"/>
          <w:sz w:val="21"/>
          <w:szCs w:val="21"/>
        </w:rPr>
      </w:pPr>
      <w:r>
        <w:rPr>
          <w:rFonts w:ascii="Arial" w:hAnsi="Arial" w:cs="Arial"/>
          <w:sz w:val="21"/>
          <w:szCs w:val="21"/>
        </w:rPr>
        <w:t>天然气：管道天然气；</w:t>
      </w:r>
    </w:p>
    <w:p w14:paraId="04D9693C" w14:textId="77777777" w:rsidR="00000000" w:rsidRDefault="00000000">
      <w:pPr>
        <w:spacing w:line="480" w:lineRule="auto"/>
        <w:ind w:right="205" w:firstLineChars="200" w:firstLine="420"/>
        <w:jc w:val="both"/>
        <w:rPr>
          <w:rFonts w:ascii="Arial" w:hAnsi="Arial" w:cs="Arial"/>
          <w:sz w:val="21"/>
          <w:szCs w:val="21"/>
        </w:rPr>
      </w:pPr>
      <w:r>
        <w:rPr>
          <w:rFonts w:ascii="Arial" w:hAnsi="Arial" w:cs="Arial"/>
          <w:sz w:val="21"/>
          <w:szCs w:val="21"/>
        </w:rPr>
        <w:t>热力：</w:t>
      </w:r>
      <w:r>
        <w:rPr>
          <w:rFonts w:ascii="Arial" w:hAnsi="Arial" w:cs="Arial" w:hint="eastAsia"/>
          <w:sz w:val="21"/>
          <w:szCs w:val="21"/>
        </w:rPr>
        <w:t>中央空调</w:t>
      </w:r>
      <w:r>
        <w:rPr>
          <w:rFonts w:ascii="Arial" w:hAnsi="Arial" w:cs="Arial"/>
          <w:sz w:val="21"/>
          <w:szCs w:val="21"/>
        </w:rPr>
        <w:t>。</w:t>
      </w:r>
    </w:p>
    <w:p w14:paraId="23A6D41A" w14:textId="77777777" w:rsidR="00000000" w:rsidRDefault="00000000">
      <w:pPr>
        <w:spacing w:line="480" w:lineRule="auto"/>
        <w:ind w:firstLineChars="200" w:firstLine="420"/>
        <w:jc w:val="both"/>
        <w:rPr>
          <w:rFonts w:ascii="Arial" w:hAnsi="Arial" w:cs="Arial"/>
          <w:sz w:val="21"/>
          <w:szCs w:val="21"/>
        </w:rPr>
      </w:pPr>
      <w:r>
        <w:rPr>
          <w:rFonts w:ascii="Arial" w:hAnsi="Arial" w:cs="Arial"/>
          <w:sz w:val="21"/>
          <w:szCs w:val="21"/>
        </w:rPr>
        <w:lastRenderedPageBreak/>
        <w:t>2.</w:t>
      </w:r>
      <w:r>
        <w:rPr>
          <w:rFonts w:ascii="Arial" w:hAnsi="Arial" w:cs="Arial"/>
          <w:sz w:val="21"/>
          <w:szCs w:val="21"/>
        </w:rPr>
        <w:t>建筑物实物状况</w:t>
      </w:r>
    </w:p>
    <w:p w14:paraId="5223B0DA"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估价对象所属首开龙湖北京</w:t>
      </w:r>
      <w:proofErr w:type="gramStart"/>
      <w:r>
        <w:rPr>
          <w:rFonts w:ascii="Arial" w:hAnsi="Arial" w:cs="Arial" w:hint="eastAsia"/>
          <w:sz w:val="21"/>
          <w:szCs w:val="21"/>
        </w:rPr>
        <w:t>熙悦天</w:t>
      </w:r>
      <w:proofErr w:type="gramEnd"/>
      <w:r>
        <w:rPr>
          <w:rFonts w:ascii="Arial" w:hAnsi="Arial" w:cs="Arial" w:hint="eastAsia"/>
          <w:sz w:val="21"/>
          <w:szCs w:val="21"/>
        </w:rPr>
        <w:t>街项目，是龙湖集团在北京布局的第六座天</w:t>
      </w:r>
      <w:proofErr w:type="gramStart"/>
      <w:r>
        <w:rPr>
          <w:rFonts w:ascii="Arial" w:hAnsi="Arial" w:cs="Arial" w:hint="eastAsia"/>
          <w:sz w:val="21"/>
          <w:szCs w:val="21"/>
        </w:rPr>
        <w:t>街系列</w:t>
      </w:r>
      <w:proofErr w:type="gramEnd"/>
      <w:r>
        <w:rPr>
          <w:rFonts w:ascii="Arial" w:hAnsi="Arial" w:cs="Arial" w:hint="eastAsia"/>
          <w:sz w:val="21"/>
          <w:szCs w:val="21"/>
        </w:rPr>
        <w:t>项目，由北京首开龙湖盈泰置业有限公司开发运营。项目位于北京市房山区长阳镇，地处良乡大学城商圈与长阳休闲购物板块的交汇处，紧邻地铁房山线良乡大学城北站，交通便利。项目定位为“‌阳光生活新空间‌”，</w:t>
      </w:r>
      <w:r>
        <w:rPr>
          <w:rFonts w:ascii="Arial" w:hAnsi="Arial" w:hint="eastAsia"/>
          <w:kern w:val="2"/>
          <w:sz w:val="21"/>
        </w:rPr>
        <w:t>房山</w:t>
      </w:r>
      <w:proofErr w:type="gramStart"/>
      <w:r>
        <w:rPr>
          <w:rFonts w:ascii="Arial" w:hAnsi="Arial" w:hint="eastAsia"/>
          <w:kern w:val="2"/>
          <w:sz w:val="21"/>
        </w:rPr>
        <w:t>熙悦天街项目</w:t>
      </w:r>
      <w:proofErr w:type="gramEnd"/>
      <w:r>
        <w:rPr>
          <w:rFonts w:ascii="Arial" w:hAnsi="Arial" w:hint="eastAsia"/>
          <w:kern w:val="2"/>
          <w:sz w:val="21"/>
        </w:rPr>
        <w:t>由</w:t>
      </w:r>
      <w:r>
        <w:rPr>
          <w:rFonts w:ascii="Arial" w:hAnsi="Arial"/>
          <w:kern w:val="2"/>
          <w:sz w:val="21"/>
        </w:rPr>
        <w:t>042</w:t>
      </w:r>
      <w:r>
        <w:rPr>
          <w:rFonts w:ascii="Arial" w:hAnsi="Arial"/>
          <w:kern w:val="2"/>
          <w:sz w:val="21"/>
        </w:rPr>
        <w:t>、</w:t>
      </w:r>
      <w:r>
        <w:rPr>
          <w:rFonts w:ascii="Arial" w:hAnsi="Arial"/>
          <w:kern w:val="2"/>
          <w:sz w:val="21"/>
        </w:rPr>
        <w:t>044</w:t>
      </w:r>
      <w:r>
        <w:rPr>
          <w:rFonts w:ascii="Arial" w:hAnsi="Arial"/>
          <w:kern w:val="2"/>
          <w:sz w:val="21"/>
        </w:rPr>
        <w:t>、</w:t>
      </w:r>
      <w:r>
        <w:rPr>
          <w:rFonts w:ascii="Arial" w:hAnsi="Arial"/>
          <w:kern w:val="2"/>
          <w:sz w:val="21"/>
        </w:rPr>
        <w:t>047</w:t>
      </w:r>
      <w:r>
        <w:rPr>
          <w:rFonts w:ascii="Arial" w:hAnsi="Arial" w:hint="eastAsia"/>
          <w:kern w:val="2"/>
          <w:sz w:val="21"/>
        </w:rPr>
        <w:t>号三个地块组成，项目总建筑面积</w:t>
      </w:r>
      <w:r>
        <w:rPr>
          <w:rFonts w:ascii="Arial" w:hAnsi="Arial" w:hint="eastAsia"/>
          <w:kern w:val="2"/>
          <w:sz w:val="21"/>
        </w:rPr>
        <w:t>301466.92</w:t>
      </w:r>
      <w:r>
        <w:rPr>
          <w:rFonts w:ascii="Arial" w:hAnsi="Arial" w:hint="eastAsia"/>
          <w:kern w:val="2"/>
          <w:sz w:val="21"/>
        </w:rPr>
        <w:t>平方米，地上建筑面积</w:t>
      </w:r>
      <w:r>
        <w:rPr>
          <w:rFonts w:ascii="Arial" w:hAnsi="Arial" w:hint="eastAsia"/>
          <w:kern w:val="2"/>
          <w:sz w:val="21"/>
        </w:rPr>
        <w:t>179120.40</w:t>
      </w:r>
      <w:r>
        <w:rPr>
          <w:rFonts w:ascii="Arial" w:hAnsi="Arial" w:hint="eastAsia"/>
          <w:kern w:val="2"/>
          <w:sz w:val="21"/>
        </w:rPr>
        <w:t>平方米（包含</w:t>
      </w:r>
      <w:proofErr w:type="gramStart"/>
      <w:r>
        <w:rPr>
          <w:rFonts w:ascii="Arial" w:hAnsi="Arial" w:hint="eastAsia"/>
          <w:kern w:val="2"/>
          <w:sz w:val="21"/>
        </w:rPr>
        <w:t>自持</w:t>
      </w:r>
      <w:proofErr w:type="gramEnd"/>
      <w:r>
        <w:rPr>
          <w:rFonts w:ascii="Arial" w:hAnsi="Arial" w:hint="eastAsia"/>
          <w:kern w:val="2"/>
          <w:sz w:val="21"/>
        </w:rPr>
        <w:t>商业和销售商业），地下商业建筑面积</w:t>
      </w:r>
      <w:r>
        <w:rPr>
          <w:rFonts w:ascii="Arial" w:hAnsi="Arial" w:hint="eastAsia"/>
          <w:kern w:val="2"/>
          <w:sz w:val="21"/>
        </w:rPr>
        <w:t>37795.93</w:t>
      </w:r>
      <w:r>
        <w:rPr>
          <w:rFonts w:ascii="Arial" w:hAnsi="Arial" w:hint="eastAsia"/>
          <w:kern w:val="2"/>
          <w:sz w:val="21"/>
        </w:rPr>
        <w:t>平方米，地下车库建筑面积</w:t>
      </w:r>
      <w:r>
        <w:rPr>
          <w:rFonts w:ascii="Arial" w:hAnsi="Arial" w:hint="eastAsia"/>
          <w:kern w:val="2"/>
          <w:sz w:val="21"/>
        </w:rPr>
        <w:t>84550.59</w:t>
      </w:r>
      <w:r>
        <w:rPr>
          <w:rFonts w:ascii="Arial" w:hAnsi="Arial" w:hint="eastAsia"/>
          <w:kern w:val="2"/>
          <w:sz w:val="21"/>
        </w:rPr>
        <w:t>平方米，</w:t>
      </w:r>
      <w:r>
        <w:rPr>
          <w:rFonts w:ascii="Arial" w:hAnsi="Arial" w:cs="Arial" w:hint="eastAsia"/>
          <w:sz w:val="21"/>
          <w:szCs w:val="21"/>
        </w:rPr>
        <w:t>拥有超过‌</w:t>
      </w:r>
      <w:r>
        <w:rPr>
          <w:rFonts w:ascii="Arial" w:hAnsi="Arial" w:cs="Arial" w:hint="eastAsia"/>
          <w:sz w:val="21"/>
          <w:szCs w:val="21"/>
        </w:rPr>
        <w:t>1200</w:t>
      </w:r>
      <w:r>
        <w:rPr>
          <w:rFonts w:ascii="Arial" w:hAnsi="Arial" w:cs="Arial" w:hint="eastAsia"/>
          <w:sz w:val="21"/>
          <w:szCs w:val="21"/>
        </w:rPr>
        <w:t>个车位‌。‌</w:t>
      </w:r>
    </w:p>
    <w:p w14:paraId="3E447902" w14:textId="77777777" w:rsidR="00000000" w:rsidRDefault="00000000">
      <w:pPr>
        <w:wordWrap w:val="0"/>
        <w:overflowPunct w:val="0"/>
        <w:spacing w:line="480" w:lineRule="auto"/>
        <w:ind w:firstLineChars="200" w:firstLine="420"/>
        <w:jc w:val="both"/>
        <w:textAlignment w:val="auto"/>
        <w:rPr>
          <w:rFonts w:ascii="Arial" w:hAnsi="Arial" w:hint="eastAsia"/>
          <w:bCs/>
          <w:sz w:val="21"/>
        </w:rPr>
      </w:pPr>
      <w:r>
        <w:rPr>
          <w:rFonts w:ascii="Arial" w:hAnsi="Arial" w:hint="eastAsia"/>
          <w:kern w:val="2"/>
          <w:sz w:val="21"/>
        </w:rPr>
        <w:t>估价对象为</w:t>
      </w:r>
      <w:r>
        <w:rPr>
          <w:rFonts w:ascii="Arial" w:hAnsi="Arial" w:cs="Arial" w:hint="eastAsia"/>
          <w:kern w:val="2"/>
          <w:sz w:val="21"/>
          <w:szCs w:val="21"/>
        </w:rPr>
        <w:t>北京市房山区阜盛西街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号楼地上</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29</w:t>
      </w:r>
      <w:r>
        <w:rPr>
          <w:rFonts w:ascii="Arial" w:hAnsi="Arial" w:cs="Arial" w:hint="eastAsia"/>
          <w:kern w:val="2"/>
          <w:sz w:val="21"/>
          <w:szCs w:val="21"/>
        </w:rPr>
        <w:t>套商业用房，总建筑面积</w:t>
      </w:r>
      <w:r>
        <w:rPr>
          <w:rFonts w:ascii="Arial" w:hAnsi="Arial" w:cs="Arial" w:hint="eastAsia"/>
          <w:kern w:val="2"/>
          <w:sz w:val="21"/>
          <w:szCs w:val="21"/>
        </w:rPr>
        <w:t>24871.67</w:t>
      </w:r>
      <w:r>
        <w:rPr>
          <w:rFonts w:ascii="Arial" w:hAnsi="Arial" w:cs="Arial" w:hint="eastAsia"/>
          <w:kern w:val="2"/>
          <w:sz w:val="21"/>
          <w:szCs w:val="21"/>
        </w:rPr>
        <w:t>平方米，</w:t>
      </w:r>
      <w:r>
        <w:rPr>
          <w:rFonts w:ascii="Arial" w:hAnsi="Arial" w:hint="eastAsia"/>
          <w:kern w:val="2"/>
          <w:sz w:val="21"/>
        </w:rPr>
        <w:t>其中，</w:t>
      </w:r>
      <w:r>
        <w:rPr>
          <w:rFonts w:ascii="Arial" w:hAnsi="Arial" w:hint="eastAsia"/>
          <w:kern w:val="2"/>
          <w:sz w:val="21"/>
        </w:rPr>
        <w:t>042</w:t>
      </w:r>
      <w:r>
        <w:rPr>
          <w:rFonts w:ascii="Arial" w:hAnsi="Arial" w:hint="eastAsia"/>
          <w:kern w:val="2"/>
          <w:sz w:val="21"/>
        </w:rPr>
        <w:t>地块中包含</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号楼（总层数为</w:t>
      </w:r>
      <w:r>
        <w:rPr>
          <w:rFonts w:ascii="Arial" w:hAnsi="Arial" w:cs="Arial" w:hint="eastAsia"/>
          <w:kern w:val="2"/>
          <w:sz w:val="21"/>
          <w:szCs w:val="21"/>
        </w:rPr>
        <w:t>2</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）层），地上</w:t>
      </w:r>
      <w:r>
        <w:rPr>
          <w:rFonts w:ascii="Arial" w:hAnsi="Arial" w:cs="Arial" w:hint="eastAsia"/>
          <w:kern w:val="2"/>
          <w:sz w:val="21"/>
          <w:szCs w:val="21"/>
        </w:rPr>
        <w:t>1-2</w:t>
      </w:r>
      <w:r>
        <w:rPr>
          <w:rFonts w:ascii="Arial" w:hAnsi="Arial" w:cs="Arial" w:hint="eastAsia"/>
          <w:kern w:val="2"/>
          <w:sz w:val="21"/>
          <w:szCs w:val="21"/>
        </w:rPr>
        <w:t>层共</w:t>
      </w:r>
      <w:r>
        <w:rPr>
          <w:rFonts w:ascii="Arial" w:hAnsi="Arial" w:cs="Arial" w:hint="eastAsia"/>
          <w:kern w:val="2"/>
          <w:sz w:val="21"/>
          <w:szCs w:val="21"/>
        </w:rPr>
        <w:t>7</w:t>
      </w:r>
      <w:r>
        <w:rPr>
          <w:rFonts w:ascii="Arial" w:hAnsi="Arial" w:cs="Arial" w:hint="eastAsia"/>
          <w:kern w:val="2"/>
          <w:sz w:val="21"/>
          <w:szCs w:val="21"/>
        </w:rPr>
        <w:t>套商业用房，总建筑面积</w:t>
      </w:r>
      <w:r>
        <w:rPr>
          <w:rFonts w:ascii="Arial" w:hAnsi="Arial" w:cs="Arial" w:hint="eastAsia"/>
          <w:kern w:val="2"/>
          <w:sz w:val="21"/>
          <w:szCs w:val="21"/>
        </w:rPr>
        <w:t>5287.83</w:t>
      </w:r>
      <w:r>
        <w:rPr>
          <w:rFonts w:ascii="Arial" w:hAnsi="Arial" w:cs="Arial" w:hint="eastAsia"/>
          <w:kern w:val="2"/>
          <w:sz w:val="21"/>
          <w:szCs w:val="21"/>
        </w:rPr>
        <w:t>平方米；</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6</w:t>
      </w:r>
      <w:r>
        <w:rPr>
          <w:rFonts w:ascii="Arial" w:hAnsi="Arial" w:cs="Arial" w:hint="eastAsia"/>
          <w:kern w:val="2"/>
          <w:sz w:val="21"/>
          <w:szCs w:val="21"/>
        </w:rPr>
        <w:t>号楼（总层数为</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）层），地下</w:t>
      </w:r>
      <w:r>
        <w:rPr>
          <w:rFonts w:ascii="Arial" w:hAnsi="Arial" w:cs="Arial" w:hint="eastAsia"/>
          <w:kern w:val="2"/>
          <w:sz w:val="21"/>
          <w:szCs w:val="21"/>
        </w:rPr>
        <w:t>1</w:t>
      </w:r>
      <w:r>
        <w:rPr>
          <w:rFonts w:ascii="Arial" w:hAnsi="Arial" w:cs="Arial" w:hint="eastAsia"/>
          <w:kern w:val="2"/>
          <w:sz w:val="21"/>
          <w:szCs w:val="21"/>
        </w:rPr>
        <w:t>层共</w:t>
      </w:r>
      <w:r>
        <w:rPr>
          <w:rFonts w:ascii="Arial" w:hAnsi="Arial" w:cs="Arial" w:hint="eastAsia"/>
          <w:kern w:val="2"/>
          <w:sz w:val="21"/>
          <w:szCs w:val="21"/>
        </w:rPr>
        <w:t>9</w:t>
      </w:r>
      <w:r>
        <w:rPr>
          <w:rFonts w:ascii="Arial" w:hAnsi="Arial" w:cs="Arial" w:hint="eastAsia"/>
          <w:kern w:val="2"/>
          <w:sz w:val="21"/>
          <w:szCs w:val="21"/>
        </w:rPr>
        <w:t>套商业用房，总建筑面积</w:t>
      </w:r>
      <w:r>
        <w:rPr>
          <w:rFonts w:ascii="Arial" w:hAnsi="Arial" w:cs="Arial" w:hint="eastAsia"/>
          <w:kern w:val="2"/>
          <w:sz w:val="21"/>
          <w:szCs w:val="21"/>
        </w:rPr>
        <w:t>8822.48</w:t>
      </w:r>
      <w:r>
        <w:rPr>
          <w:rFonts w:ascii="Arial" w:hAnsi="Arial" w:cs="Arial" w:hint="eastAsia"/>
          <w:kern w:val="2"/>
          <w:sz w:val="21"/>
          <w:szCs w:val="21"/>
        </w:rPr>
        <w:t>平方米，于</w:t>
      </w:r>
      <w:r>
        <w:rPr>
          <w:rFonts w:ascii="Arial" w:hAnsi="Arial" w:cs="Arial" w:hint="eastAsia"/>
          <w:kern w:val="2"/>
          <w:sz w:val="21"/>
          <w:szCs w:val="21"/>
        </w:rPr>
        <w:t>2021</w:t>
      </w:r>
      <w:r>
        <w:rPr>
          <w:rFonts w:ascii="Arial" w:hAnsi="Arial" w:cs="Arial" w:hint="eastAsia"/>
          <w:kern w:val="2"/>
          <w:sz w:val="21"/>
          <w:szCs w:val="21"/>
        </w:rPr>
        <w:t>年办理竣工验收</w:t>
      </w:r>
      <w:r>
        <w:rPr>
          <w:rFonts w:ascii="Arial" w:hAnsi="Arial" w:hint="eastAsia"/>
          <w:bCs/>
          <w:sz w:val="21"/>
        </w:rPr>
        <w:t>。</w:t>
      </w:r>
      <w:r>
        <w:rPr>
          <w:rFonts w:ascii="Arial" w:hAnsi="Arial" w:hint="eastAsia"/>
          <w:bCs/>
          <w:sz w:val="21"/>
        </w:rPr>
        <w:t>0</w:t>
      </w:r>
      <w:r>
        <w:rPr>
          <w:rFonts w:ascii="Arial" w:hAnsi="Arial"/>
          <w:bCs/>
          <w:sz w:val="21"/>
        </w:rPr>
        <w:t>44</w:t>
      </w:r>
      <w:r>
        <w:rPr>
          <w:rFonts w:ascii="Arial" w:hAnsi="Arial" w:hint="eastAsia"/>
          <w:bCs/>
          <w:sz w:val="21"/>
        </w:rPr>
        <w:t>地块中包含</w:t>
      </w:r>
      <w:r>
        <w:rPr>
          <w:rFonts w:ascii="Arial" w:hAnsi="Arial" w:cs="Arial" w:hint="eastAsia"/>
          <w:kern w:val="2"/>
          <w:sz w:val="21"/>
          <w:szCs w:val="21"/>
        </w:rPr>
        <w:t>长于大街</w:t>
      </w:r>
      <w:r>
        <w:rPr>
          <w:rFonts w:ascii="Arial" w:hAnsi="Arial" w:cs="Arial" w:hint="eastAsia"/>
          <w:kern w:val="2"/>
          <w:sz w:val="21"/>
          <w:szCs w:val="21"/>
        </w:rPr>
        <w:t>28</w:t>
      </w:r>
      <w:r>
        <w:rPr>
          <w:rFonts w:ascii="Arial" w:hAnsi="Arial" w:cs="Arial" w:hint="eastAsia"/>
          <w:kern w:val="2"/>
          <w:sz w:val="21"/>
          <w:szCs w:val="21"/>
        </w:rPr>
        <w:t>号院</w:t>
      </w:r>
      <w:r>
        <w:rPr>
          <w:rFonts w:ascii="Arial" w:hAnsi="Arial" w:cs="Arial" w:hint="eastAsia"/>
          <w:kern w:val="2"/>
          <w:sz w:val="21"/>
          <w:szCs w:val="21"/>
        </w:rPr>
        <w:t>100</w:t>
      </w:r>
      <w:r>
        <w:rPr>
          <w:rFonts w:ascii="Arial" w:hAnsi="Arial" w:cs="Arial" w:hint="eastAsia"/>
          <w:kern w:val="2"/>
          <w:sz w:val="21"/>
          <w:szCs w:val="21"/>
        </w:rPr>
        <w:t>幢（总层数为</w:t>
      </w:r>
      <w:r>
        <w:rPr>
          <w:rFonts w:ascii="Arial" w:hAnsi="Arial" w:cs="Arial" w:hint="eastAsia"/>
          <w:kern w:val="2"/>
          <w:sz w:val="21"/>
          <w:szCs w:val="21"/>
        </w:rPr>
        <w:t>-2</w:t>
      </w:r>
      <w:r>
        <w:rPr>
          <w:rFonts w:ascii="Arial" w:hAnsi="Arial" w:cs="Arial" w:hint="eastAsia"/>
          <w:kern w:val="2"/>
          <w:sz w:val="21"/>
          <w:szCs w:val="21"/>
        </w:rPr>
        <w:t>层），地下</w:t>
      </w:r>
      <w:r>
        <w:rPr>
          <w:rFonts w:ascii="Arial" w:hAnsi="Arial" w:cs="Arial" w:hint="eastAsia"/>
          <w:kern w:val="2"/>
          <w:sz w:val="21"/>
          <w:szCs w:val="21"/>
        </w:rPr>
        <w:t>1</w:t>
      </w:r>
      <w:r>
        <w:rPr>
          <w:rFonts w:ascii="Arial" w:hAnsi="Arial" w:cs="Arial" w:hint="eastAsia"/>
          <w:kern w:val="2"/>
          <w:sz w:val="21"/>
          <w:szCs w:val="21"/>
        </w:rPr>
        <w:t>层共</w:t>
      </w:r>
      <w:r>
        <w:rPr>
          <w:rFonts w:ascii="Arial" w:hAnsi="Arial" w:cs="Arial" w:hint="eastAsia"/>
          <w:kern w:val="2"/>
          <w:sz w:val="21"/>
          <w:szCs w:val="21"/>
        </w:rPr>
        <w:t>7</w:t>
      </w:r>
      <w:r>
        <w:rPr>
          <w:rFonts w:ascii="Arial" w:hAnsi="Arial" w:cs="Arial" w:hint="eastAsia"/>
          <w:kern w:val="2"/>
          <w:sz w:val="21"/>
          <w:szCs w:val="21"/>
        </w:rPr>
        <w:t>套商业用房，总建筑面积</w:t>
      </w:r>
      <w:r>
        <w:rPr>
          <w:rFonts w:ascii="Arial" w:hAnsi="Arial" w:cs="Arial" w:hint="eastAsia"/>
          <w:kern w:val="2"/>
          <w:sz w:val="21"/>
          <w:szCs w:val="21"/>
        </w:rPr>
        <w:t>5976.27</w:t>
      </w:r>
      <w:r>
        <w:rPr>
          <w:rFonts w:ascii="Arial" w:hAnsi="Arial" w:cs="Arial" w:hint="eastAsia"/>
          <w:kern w:val="2"/>
          <w:sz w:val="21"/>
          <w:szCs w:val="21"/>
        </w:rPr>
        <w:t>平方米，于</w:t>
      </w:r>
      <w:r>
        <w:rPr>
          <w:rFonts w:ascii="Arial" w:hAnsi="Arial" w:cs="Arial" w:hint="eastAsia"/>
          <w:kern w:val="2"/>
          <w:sz w:val="21"/>
          <w:szCs w:val="21"/>
        </w:rPr>
        <w:t>2021</w:t>
      </w:r>
      <w:r>
        <w:rPr>
          <w:rFonts w:ascii="Arial" w:hAnsi="Arial" w:cs="Arial" w:hint="eastAsia"/>
          <w:kern w:val="2"/>
          <w:sz w:val="21"/>
          <w:szCs w:val="21"/>
        </w:rPr>
        <w:t>年办理竣工验收</w:t>
      </w:r>
      <w:r>
        <w:rPr>
          <w:rFonts w:ascii="Arial" w:hAnsi="Arial" w:hint="eastAsia"/>
          <w:bCs/>
          <w:sz w:val="21"/>
        </w:rPr>
        <w:t>。</w:t>
      </w:r>
      <w:r>
        <w:rPr>
          <w:rFonts w:ascii="Arial" w:hAnsi="Arial" w:hint="eastAsia"/>
          <w:color w:val="000000"/>
          <w:kern w:val="2"/>
          <w:sz w:val="21"/>
        </w:rPr>
        <w:t>长阳镇</w:t>
      </w:r>
      <w:r>
        <w:rPr>
          <w:rFonts w:ascii="Arial" w:hAnsi="Arial" w:hint="eastAsia"/>
          <w:color w:val="000000"/>
          <w:kern w:val="2"/>
          <w:sz w:val="21"/>
        </w:rPr>
        <w:t>FS00-LX10-0044</w:t>
      </w:r>
      <w:r>
        <w:rPr>
          <w:rFonts w:ascii="Arial" w:hAnsi="Arial" w:hint="eastAsia"/>
          <w:color w:val="000000"/>
          <w:kern w:val="2"/>
          <w:sz w:val="21"/>
        </w:rPr>
        <w:t>地块</w:t>
      </w:r>
      <w:r>
        <w:rPr>
          <w:rFonts w:ascii="Arial" w:hAnsi="Arial" w:hint="eastAsia"/>
          <w:color w:val="000000"/>
          <w:kern w:val="2"/>
          <w:sz w:val="21"/>
        </w:rPr>
        <w:t>6</w:t>
      </w:r>
      <w:r>
        <w:rPr>
          <w:rFonts w:ascii="Arial" w:hAnsi="Arial" w:hint="eastAsia"/>
          <w:color w:val="000000"/>
          <w:kern w:val="2"/>
          <w:sz w:val="21"/>
        </w:rPr>
        <w:t>号商业楼（测绘地址）（</w:t>
      </w:r>
      <w:r>
        <w:rPr>
          <w:rFonts w:ascii="Arial" w:hAnsi="Arial" w:cs="Arial" w:hint="eastAsia"/>
          <w:kern w:val="2"/>
          <w:sz w:val="21"/>
          <w:szCs w:val="21"/>
        </w:rPr>
        <w:t>总层数为</w:t>
      </w:r>
      <w:r>
        <w:rPr>
          <w:rFonts w:ascii="Arial" w:hAnsi="Arial" w:cs="Arial" w:hint="eastAsia"/>
          <w:kern w:val="2"/>
          <w:sz w:val="21"/>
          <w:szCs w:val="21"/>
        </w:rPr>
        <w:t>2</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）层），地上</w:t>
      </w:r>
      <w:r>
        <w:rPr>
          <w:rFonts w:ascii="Arial" w:hAnsi="Arial" w:cs="Arial" w:hint="eastAsia"/>
          <w:kern w:val="2"/>
          <w:sz w:val="21"/>
          <w:szCs w:val="21"/>
        </w:rPr>
        <w:t>1-2</w:t>
      </w:r>
      <w:r>
        <w:rPr>
          <w:rFonts w:ascii="Arial" w:hAnsi="Arial" w:cs="Arial" w:hint="eastAsia"/>
          <w:kern w:val="2"/>
          <w:sz w:val="21"/>
          <w:szCs w:val="21"/>
        </w:rPr>
        <w:t>层</w:t>
      </w:r>
      <w:r>
        <w:rPr>
          <w:rFonts w:ascii="Arial" w:hAnsi="Arial" w:hint="eastAsia"/>
          <w:bCs/>
          <w:sz w:val="21"/>
        </w:rPr>
        <w:t>共</w:t>
      </w:r>
      <w:r>
        <w:rPr>
          <w:rFonts w:ascii="Arial" w:hAnsi="Arial" w:hint="eastAsia"/>
          <w:bCs/>
          <w:sz w:val="21"/>
        </w:rPr>
        <w:t>6</w:t>
      </w:r>
      <w:r>
        <w:rPr>
          <w:rFonts w:ascii="Arial" w:hAnsi="Arial" w:hint="eastAsia"/>
          <w:bCs/>
          <w:sz w:val="21"/>
        </w:rPr>
        <w:t>套商业用房，总建筑面积</w:t>
      </w:r>
      <w:r>
        <w:rPr>
          <w:rFonts w:ascii="Arial" w:hAnsi="Arial" w:hint="eastAsia"/>
          <w:bCs/>
          <w:sz w:val="21"/>
        </w:rPr>
        <w:t>4785.09</w:t>
      </w:r>
      <w:r>
        <w:rPr>
          <w:rFonts w:ascii="Arial" w:hAnsi="Arial" w:hint="eastAsia"/>
          <w:bCs/>
          <w:sz w:val="21"/>
        </w:rPr>
        <w:t>平方米，现尚未办理不动产权证书，但已</w:t>
      </w:r>
      <w:proofErr w:type="gramStart"/>
      <w:r>
        <w:rPr>
          <w:rFonts w:ascii="Arial" w:hAnsi="Arial" w:hint="eastAsia"/>
          <w:bCs/>
          <w:sz w:val="21"/>
        </w:rPr>
        <w:t>具备竣备条件</w:t>
      </w:r>
      <w:proofErr w:type="gramEnd"/>
      <w:r>
        <w:rPr>
          <w:rFonts w:ascii="Arial" w:hAnsi="Arial" w:hint="eastAsia"/>
          <w:bCs/>
          <w:sz w:val="21"/>
        </w:rPr>
        <w:t>。估价对象地上商业多位于地块内部，主要分布在地上</w:t>
      </w:r>
      <w:r>
        <w:rPr>
          <w:rFonts w:ascii="Arial" w:hAnsi="Arial" w:hint="eastAsia"/>
          <w:bCs/>
          <w:sz w:val="21"/>
        </w:rPr>
        <w:t>1-2</w:t>
      </w:r>
      <w:r>
        <w:rPr>
          <w:rFonts w:ascii="Arial" w:hAnsi="Arial" w:hint="eastAsia"/>
          <w:bCs/>
          <w:sz w:val="21"/>
        </w:rPr>
        <w:t>层商业。地下商业多属于下沉式商业、封闭式地下商业，出入口有限，通达性较差，</w:t>
      </w:r>
      <w:proofErr w:type="gramStart"/>
      <w:r>
        <w:rPr>
          <w:rFonts w:ascii="Arial" w:hAnsi="Arial" w:hint="eastAsia"/>
          <w:bCs/>
          <w:sz w:val="21"/>
        </w:rPr>
        <w:t>展示面遮挡</w:t>
      </w:r>
      <w:proofErr w:type="gramEnd"/>
      <w:r>
        <w:rPr>
          <w:rFonts w:ascii="Arial" w:hAnsi="Arial" w:hint="eastAsia"/>
          <w:bCs/>
          <w:sz w:val="21"/>
        </w:rPr>
        <w:t>严重，可视性较差。所属</w:t>
      </w:r>
      <w:r>
        <w:rPr>
          <w:rFonts w:ascii="Arial" w:hAnsi="Arial" w:hint="eastAsia"/>
          <w:kern w:val="2"/>
          <w:sz w:val="21"/>
        </w:rPr>
        <w:t>楼栋建筑结构均为钢混，</w:t>
      </w:r>
      <w:r>
        <w:rPr>
          <w:rFonts w:ascii="Arial" w:hAnsi="Arial" w:hint="eastAsia"/>
          <w:bCs/>
          <w:sz w:val="21"/>
        </w:rPr>
        <w:t>项目外立面装修均以金属外挂板为主，层高约</w:t>
      </w:r>
      <w:r>
        <w:rPr>
          <w:rFonts w:ascii="Arial" w:hAnsi="Arial" w:hint="eastAsia"/>
          <w:bCs/>
          <w:sz w:val="21"/>
        </w:rPr>
        <w:t>6</w:t>
      </w:r>
      <w:r>
        <w:rPr>
          <w:rFonts w:ascii="Arial" w:hAnsi="Arial" w:hint="eastAsia"/>
          <w:bCs/>
          <w:sz w:val="21"/>
        </w:rPr>
        <w:t>米，地上商业用房使用率约</w:t>
      </w:r>
      <w:r>
        <w:rPr>
          <w:rFonts w:ascii="Arial" w:hAnsi="Arial" w:hint="eastAsia"/>
          <w:bCs/>
          <w:sz w:val="21"/>
        </w:rPr>
        <w:t>75%-85%</w:t>
      </w:r>
      <w:r>
        <w:rPr>
          <w:rFonts w:ascii="Arial" w:hAnsi="Arial" w:hint="eastAsia"/>
          <w:bCs/>
          <w:sz w:val="21"/>
        </w:rPr>
        <w:t>，地下商业用房使用率约</w:t>
      </w:r>
      <w:r>
        <w:rPr>
          <w:rFonts w:ascii="Arial" w:hAnsi="Arial" w:hint="eastAsia"/>
          <w:bCs/>
          <w:sz w:val="21"/>
        </w:rPr>
        <w:t>60%-65%</w:t>
      </w:r>
      <w:r>
        <w:rPr>
          <w:rFonts w:ascii="Arial" w:hAnsi="Arial" w:hint="eastAsia"/>
          <w:bCs/>
          <w:sz w:val="21"/>
        </w:rPr>
        <w:t>，内部装修均为毛坯。</w:t>
      </w:r>
    </w:p>
    <w:p w14:paraId="63E30516" w14:textId="77777777" w:rsidR="00000000" w:rsidRDefault="00000000">
      <w:pPr>
        <w:spacing w:line="480" w:lineRule="auto"/>
        <w:ind w:firstLineChars="200" w:firstLine="420"/>
        <w:jc w:val="both"/>
        <w:rPr>
          <w:rFonts w:ascii="Arial" w:hAnsi="Arial" w:cs="Arial" w:hint="eastAsia"/>
          <w:sz w:val="21"/>
          <w:szCs w:val="21"/>
        </w:rPr>
      </w:pPr>
      <w:r>
        <w:rPr>
          <w:rFonts w:ascii="Arial" w:hAnsi="Arial" w:cs="Arial" w:hint="eastAsia"/>
          <w:sz w:val="21"/>
          <w:szCs w:val="21"/>
        </w:rPr>
        <w:t>根据评估专业人员实地查勘，估价对象地面、墙面平整；门窗开启关闭灵活；墙面、顶棚面层涂料完好，设备、管道通畅，水卫、电</w:t>
      </w:r>
      <w:proofErr w:type="gramStart"/>
      <w:r>
        <w:rPr>
          <w:rFonts w:ascii="Arial" w:hAnsi="Arial" w:cs="Arial" w:hint="eastAsia"/>
          <w:sz w:val="21"/>
          <w:szCs w:val="21"/>
        </w:rPr>
        <w:t>照设备</w:t>
      </w:r>
      <w:proofErr w:type="gramEnd"/>
      <w:r>
        <w:rPr>
          <w:rFonts w:ascii="Arial" w:hAnsi="Arial" w:cs="Arial" w:hint="eastAsia"/>
          <w:sz w:val="21"/>
          <w:szCs w:val="21"/>
        </w:rPr>
        <w:t>完好，维护情况良好。结合估价对象的建成年代、建筑结构，采用直线折旧法计算估价对象成新率：</w:t>
      </w:r>
    </w:p>
    <w:p w14:paraId="17470226" w14:textId="77777777" w:rsidR="00000000" w:rsidRDefault="00000000">
      <w:pPr>
        <w:spacing w:line="480" w:lineRule="auto"/>
        <w:ind w:firstLineChars="200" w:firstLine="420"/>
        <w:jc w:val="both"/>
        <w:rPr>
          <w:rFonts w:ascii="Arial" w:hAnsi="Arial" w:cs="Arial"/>
          <w:sz w:val="21"/>
          <w:szCs w:val="21"/>
        </w:rPr>
      </w:pPr>
      <w:r>
        <w:rPr>
          <w:rFonts w:ascii="Arial" w:hAnsi="Arial" w:cs="Arial" w:hint="eastAsia"/>
          <w:kern w:val="2"/>
          <w:sz w:val="21"/>
          <w:szCs w:val="21"/>
        </w:rPr>
        <w:t>房山区阜盛西街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地上</w:t>
      </w:r>
      <w:r>
        <w:rPr>
          <w:rFonts w:ascii="Arial" w:hAnsi="Arial" w:cs="Arial" w:hint="eastAsia"/>
          <w:kern w:val="2"/>
          <w:sz w:val="21"/>
          <w:szCs w:val="21"/>
        </w:rPr>
        <w:t>1-2</w:t>
      </w:r>
      <w:r>
        <w:rPr>
          <w:rFonts w:ascii="Arial" w:hAnsi="Arial" w:cs="Arial" w:hint="eastAsia"/>
          <w:kern w:val="2"/>
          <w:sz w:val="21"/>
          <w:szCs w:val="21"/>
        </w:rPr>
        <w:t>层、</w:t>
      </w:r>
      <w:r>
        <w:rPr>
          <w:rFonts w:ascii="Arial" w:hAnsi="Arial" w:cs="Arial" w:hint="eastAsia"/>
          <w:kern w:val="2"/>
          <w:sz w:val="21"/>
          <w:szCs w:val="21"/>
        </w:rPr>
        <w:t>6</w:t>
      </w:r>
      <w:r>
        <w:rPr>
          <w:rFonts w:ascii="Arial" w:hAnsi="Arial" w:cs="Arial" w:hint="eastAsia"/>
          <w:kern w:val="2"/>
          <w:sz w:val="21"/>
          <w:szCs w:val="21"/>
        </w:rPr>
        <w:t>号楼地下</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044</w:t>
      </w:r>
      <w:r>
        <w:rPr>
          <w:rFonts w:ascii="Arial" w:hAnsi="Arial" w:cs="Arial" w:hint="eastAsia"/>
          <w:kern w:val="2"/>
          <w:sz w:val="21"/>
          <w:szCs w:val="21"/>
        </w:rPr>
        <w:t>地块地下</w:t>
      </w:r>
      <w:r>
        <w:rPr>
          <w:rFonts w:ascii="Arial" w:hAnsi="Arial" w:cs="Arial" w:hint="eastAsia"/>
          <w:kern w:val="2"/>
          <w:sz w:val="21"/>
          <w:szCs w:val="21"/>
        </w:rPr>
        <w:t>1</w:t>
      </w:r>
      <w:r>
        <w:rPr>
          <w:rFonts w:ascii="Arial" w:hAnsi="Arial" w:cs="Arial" w:hint="eastAsia"/>
          <w:kern w:val="2"/>
          <w:sz w:val="21"/>
          <w:szCs w:val="21"/>
        </w:rPr>
        <w:t>层商业用房</w:t>
      </w:r>
      <w:r>
        <w:rPr>
          <w:rFonts w:ascii="Arial" w:hAnsi="Arial" w:cs="Arial"/>
          <w:color w:val="000000"/>
          <w:sz w:val="21"/>
          <w:szCs w:val="21"/>
        </w:rPr>
        <w:t>成新率＝</w:t>
      </w:r>
      <w:r>
        <w:rPr>
          <w:rFonts w:ascii="Arial" w:hAnsi="Arial" w:cs="Arial"/>
          <w:color w:val="000000"/>
          <w:sz w:val="21"/>
          <w:szCs w:val="21"/>
        </w:rPr>
        <w:t>1-</w:t>
      </w:r>
      <w:r>
        <w:rPr>
          <w:rFonts w:ascii="Arial" w:hAnsi="Arial" w:cs="Arial"/>
          <w:color w:val="000000"/>
          <w:sz w:val="21"/>
          <w:szCs w:val="21"/>
        </w:rPr>
        <w:lastRenderedPageBreak/>
        <w:t>（</w:t>
      </w:r>
      <w:r>
        <w:rPr>
          <w:rFonts w:ascii="Arial" w:hAnsi="Arial" w:cs="Arial"/>
          <w:color w:val="000000"/>
          <w:sz w:val="21"/>
          <w:szCs w:val="21"/>
        </w:rPr>
        <w:t>1-</w:t>
      </w:r>
      <w:r>
        <w:rPr>
          <w:rFonts w:ascii="Arial" w:hAnsi="Arial" w:cs="Arial"/>
          <w:color w:val="000000"/>
          <w:sz w:val="21"/>
          <w:szCs w:val="21"/>
        </w:rPr>
        <w:t>残值率）</w:t>
      </w:r>
      <w:r>
        <w:rPr>
          <w:rFonts w:ascii="Arial" w:hAnsi="Arial" w:cs="Arial"/>
          <w:color w:val="000000"/>
          <w:sz w:val="21"/>
          <w:szCs w:val="21"/>
        </w:rPr>
        <w:t>×</w:t>
      </w:r>
      <w:r>
        <w:rPr>
          <w:rFonts w:ascii="Arial" w:hAnsi="Arial" w:cs="Arial"/>
          <w:color w:val="000000"/>
          <w:sz w:val="21"/>
          <w:szCs w:val="21"/>
        </w:rPr>
        <w:t>已经使</w:t>
      </w:r>
      <w:r>
        <w:rPr>
          <w:rFonts w:ascii="Arial" w:hAnsi="Arial" w:cs="Arial"/>
          <w:sz w:val="21"/>
          <w:szCs w:val="21"/>
        </w:rPr>
        <w:t>用年限</w:t>
      </w:r>
      <w:r>
        <w:rPr>
          <w:rFonts w:ascii="Arial" w:hAnsi="Arial" w:cs="Arial"/>
          <w:sz w:val="21"/>
          <w:szCs w:val="21"/>
        </w:rPr>
        <w:t>÷</w:t>
      </w:r>
      <w:r>
        <w:rPr>
          <w:rFonts w:ascii="Arial" w:hAnsi="Arial" w:cs="Arial"/>
          <w:sz w:val="21"/>
          <w:szCs w:val="21"/>
        </w:rPr>
        <w:t>经济耐用年限＝</w:t>
      </w:r>
      <w:r>
        <w:rPr>
          <w:rFonts w:ascii="Arial" w:hAnsi="Arial" w:cs="Arial"/>
          <w:sz w:val="21"/>
          <w:szCs w:val="21"/>
        </w:rPr>
        <w:t>1-</w:t>
      </w:r>
      <w:r>
        <w:rPr>
          <w:rFonts w:ascii="Arial" w:hAnsi="Arial" w:cs="Arial"/>
          <w:sz w:val="21"/>
          <w:szCs w:val="21"/>
        </w:rPr>
        <w:t>（</w:t>
      </w:r>
      <w:r>
        <w:rPr>
          <w:rFonts w:ascii="Arial" w:hAnsi="Arial" w:cs="Arial"/>
          <w:sz w:val="21"/>
          <w:szCs w:val="21"/>
        </w:rPr>
        <w:t>1-</w:t>
      </w:r>
      <w:r>
        <w:rPr>
          <w:rFonts w:ascii="Arial" w:hAnsi="Arial" w:cs="Arial" w:hint="eastAsia"/>
          <w:sz w:val="21"/>
          <w:szCs w:val="21"/>
        </w:rPr>
        <w:t>0</w:t>
      </w:r>
      <w:r>
        <w:rPr>
          <w:rFonts w:ascii="Arial" w:hAnsi="Arial" w:cs="Arial"/>
          <w:sz w:val="21"/>
          <w:szCs w:val="21"/>
        </w:rPr>
        <w:t>%</w:t>
      </w:r>
      <w:r>
        <w:rPr>
          <w:rFonts w:ascii="Arial" w:hAnsi="Arial" w:cs="Arial"/>
          <w:sz w:val="21"/>
          <w:szCs w:val="21"/>
        </w:rPr>
        <w:t>）</w:t>
      </w:r>
      <w:r>
        <w:rPr>
          <w:rFonts w:ascii="Arial" w:hAnsi="Arial" w:cs="Arial"/>
          <w:sz w:val="21"/>
          <w:szCs w:val="21"/>
        </w:rPr>
        <w:t>×</w:t>
      </w:r>
      <w:r>
        <w:rPr>
          <w:rFonts w:ascii="Arial" w:hAnsi="Arial" w:cs="Arial" w:hint="eastAsia"/>
          <w:sz w:val="21"/>
          <w:szCs w:val="21"/>
        </w:rPr>
        <w:t>5</w:t>
      </w:r>
      <w:r>
        <w:rPr>
          <w:rFonts w:ascii="Arial" w:hAnsi="Arial" w:cs="Arial"/>
          <w:sz w:val="21"/>
          <w:szCs w:val="21"/>
        </w:rPr>
        <w:t>÷</w:t>
      </w:r>
      <w:r>
        <w:rPr>
          <w:rFonts w:ascii="Arial" w:hAnsi="Arial" w:cs="Arial" w:hint="eastAsia"/>
          <w:sz w:val="21"/>
          <w:szCs w:val="21"/>
        </w:rPr>
        <w:t>60</w:t>
      </w:r>
      <w:r>
        <w:rPr>
          <w:rFonts w:ascii="Arial" w:hAnsi="Arial" w:cs="Arial"/>
          <w:sz w:val="21"/>
          <w:szCs w:val="21"/>
        </w:rPr>
        <w:t>＝</w:t>
      </w:r>
      <w:r>
        <w:rPr>
          <w:rFonts w:ascii="Arial" w:hAnsi="Arial" w:cs="Arial" w:hint="eastAsia"/>
          <w:sz w:val="21"/>
          <w:szCs w:val="21"/>
        </w:rPr>
        <w:t>92</w:t>
      </w:r>
      <w:r>
        <w:rPr>
          <w:rFonts w:ascii="Arial" w:hAnsi="Arial" w:cs="Arial"/>
          <w:sz w:val="21"/>
          <w:szCs w:val="21"/>
        </w:rPr>
        <w:t>%</w:t>
      </w:r>
    </w:p>
    <w:p w14:paraId="1A2A2786" w14:textId="77777777" w:rsidR="00000000" w:rsidRDefault="00000000">
      <w:pPr>
        <w:spacing w:line="480" w:lineRule="auto"/>
        <w:ind w:firstLineChars="200" w:firstLine="420"/>
        <w:jc w:val="both"/>
        <w:rPr>
          <w:rFonts w:ascii="Arial" w:hAnsi="Arial" w:cs="Arial"/>
          <w:sz w:val="21"/>
          <w:szCs w:val="21"/>
        </w:rPr>
      </w:pPr>
      <w:r>
        <w:rPr>
          <w:rFonts w:ascii="Arial" w:hAnsi="Arial" w:cs="Arial" w:hint="eastAsia"/>
          <w:kern w:val="2"/>
          <w:sz w:val="21"/>
          <w:szCs w:val="21"/>
        </w:rPr>
        <w:t>044</w:t>
      </w:r>
      <w:r>
        <w:rPr>
          <w:rFonts w:ascii="Arial" w:hAnsi="Arial" w:cs="Arial" w:hint="eastAsia"/>
          <w:kern w:val="2"/>
          <w:sz w:val="21"/>
          <w:szCs w:val="21"/>
        </w:rPr>
        <w:t>地块地上</w:t>
      </w:r>
      <w:r>
        <w:rPr>
          <w:rFonts w:ascii="Arial" w:hAnsi="Arial" w:cs="Arial" w:hint="eastAsia"/>
          <w:kern w:val="2"/>
          <w:sz w:val="21"/>
          <w:szCs w:val="21"/>
        </w:rPr>
        <w:t>1-2</w:t>
      </w:r>
      <w:r>
        <w:rPr>
          <w:rFonts w:ascii="Arial" w:hAnsi="Arial" w:cs="Arial" w:hint="eastAsia"/>
          <w:kern w:val="2"/>
          <w:sz w:val="21"/>
          <w:szCs w:val="21"/>
        </w:rPr>
        <w:t>层商业用房</w:t>
      </w:r>
      <w:r>
        <w:rPr>
          <w:rFonts w:ascii="Arial" w:hAnsi="Arial" w:cs="Arial"/>
          <w:color w:val="000000"/>
          <w:sz w:val="21"/>
          <w:szCs w:val="21"/>
        </w:rPr>
        <w:t>成新率</w:t>
      </w:r>
      <w:r>
        <w:rPr>
          <w:rFonts w:ascii="Arial" w:hAnsi="Arial" w:cs="Arial" w:hint="eastAsia"/>
          <w:color w:val="000000"/>
          <w:sz w:val="21"/>
          <w:szCs w:val="21"/>
        </w:rPr>
        <w:t>为</w:t>
      </w:r>
      <w:r>
        <w:rPr>
          <w:rFonts w:ascii="Arial" w:hAnsi="Arial" w:cs="Arial" w:hint="eastAsia"/>
          <w:color w:val="000000"/>
          <w:sz w:val="21"/>
          <w:szCs w:val="21"/>
        </w:rPr>
        <w:t>100%</w:t>
      </w:r>
      <w:r>
        <w:rPr>
          <w:rFonts w:ascii="Arial" w:hAnsi="Arial" w:cs="Arial" w:hint="eastAsia"/>
          <w:color w:val="000000"/>
          <w:sz w:val="21"/>
          <w:szCs w:val="21"/>
        </w:rPr>
        <w:t>。</w:t>
      </w:r>
    </w:p>
    <w:p w14:paraId="5E3B109A" w14:textId="77777777" w:rsidR="00000000" w:rsidRDefault="00000000">
      <w:pPr>
        <w:pStyle w:val="2"/>
        <w:numPr>
          <w:ilvl w:val="0"/>
          <w:numId w:val="0"/>
        </w:numPr>
        <w:spacing w:line="480" w:lineRule="auto"/>
        <w:ind w:left="360" w:hangingChars="171" w:hanging="360"/>
        <w:jc w:val="both"/>
        <w:rPr>
          <w:rFonts w:eastAsia="宋体"/>
          <w:kern w:val="2"/>
          <w:sz w:val="21"/>
          <w:szCs w:val="21"/>
        </w:rPr>
      </w:pPr>
      <w:bookmarkStart w:id="52" w:name="_Toc477252457"/>
      <w:r>
        <w:rPr>
          <w:rFonts w:eastAsia="宋体"/>
          <w:kern w:val="2"/>
          <w:sz w:val="21"/>
          <w:szCs w:val="21"/>
        </w:rPr>
        <w:t>（二）权益状况分析</w:t>
      </w:r>
      <w:bookmarkEnd w:id="52"/>
    </w:p>
    <w:p w14:paraId="1AF8C461" w14:textId="77777777" w:rsidR="00000000" w:rsidRDefault="00000000">
      <w:pPr>
        <w:spacing w:line="480" w:lineRule="auto"/>
        <w:ind w:right="205" w:firstLineChars="200" w:firstLine="420"/>
        <w:jc w:val="both"/>
        <w:rPr>
          <w:rFonts w:ascii="Arial" w:hAnsi="Arial" w:cs="Arial" w:hint="eastAsia"/>
          <w:sz w:val="21"/>
          <w:szCs w:val="21"/>
        </w:rPr>
      </w:pPr>
      <w:r>
        <w:rPr>
          <w:rFonts w:ascii="Arial" w:hAnsi="Arial" w:cs="Arial" w:hint="eastAsia"/>
          <w:sz w:val="21"/>
          <w:szCs w:val="21"/>
        </w:rPr>
        <w:t>1.</w:t>
      </w:r>
      <w:r>
        <w:rPr>
          <w:rFonts w:ascii="Arial" w:hAnsi="Arial" w:cs="Arial" w:hint="eastAsia"/>
          <w:sz w:val="21"/>
          <w:szCs w:val="21"/>
        </w:rPr>
        <w:t>用途及规划条件</w:t>
      </w:r>
    </w:p>
    <w:p w14:paraId="54928E4F" w14:textId="77777777" w:rsidR="00000000" w:rsidRDefault="00000000">
      <w:pPr>
        <w:spacing w:line="480" w:lineRule="auto"/>
        <w:ind w:right="205" w:firstLineChars="200" w:firstLine="420"/>
        <w:jc w:val="both"/>
        <w:rPr>
          <w:rFonts w:ascii="Arial" w:hAnsi="Arial" w:cs="Arial" w:hint="eastAsia"/>
          <w:sz w:val="21"/>
          <w:szCs w:val="21"/>
        </w:rPr>
      </w:pPr>
      <w:r>
        <w:rPr>
          <w:rFonts w:ascii="Arial" w:hAnsi="Arial" w:cs="Arial"/>
          <w:sz w:val="21"/>
          <w:szCs w:val="21"/>
        </w:rPr>
        <w:t>根据</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及《估价委托书》</w:t>
      </w:r>
      <w:r>
        <w:rPr>
          <w:rFonts w:ascii="Arial" w:hAnsi="Arial" w:cs="Arial"/>
          <w:sz w:val="21"/>
          <w:szCs w:val="21"/>
        </w:rPr>
        <w:t>，</w:t>
      </w:r>
      <w:r>
        <w:rPr>
          <w:rFonts w:ascii="Arial" w:hAnsi="Arial" w:cs="Arial" w:hint="eastAsia"/>
          <w:sz w:val="21"/>
          <w:szCs w:val="21"/>
        </w:rPr>
        <w:t>估价对象土地用途为商业</w:t>
      </w:r>
      <w:r>
        <w:rPr>
          <w:rFonts w:ascii="Arial" w:hAnsi="Arial" w:cs="Arial" w:hint="eastAsia"/>
          <w:color w:val="E36C0A"/>
          <w:sz w:val="21"/>
          <w:szCs w:val="21"/>
        </w:rPr>
        <w:t>，</w:t>
      </w:r>
      <w:r>
        <w:rPr>
          <w:rFonts w:ascii="Arial" w:hAnsi="Arial" w:cs="Arial" w:hint="eastAsia"/>
          <w:sz w:val="21"/>
          <w:szCs w:val="21"/>
        </w:rPr>
        <w:t>房屋用途为商业，已完成建筑物信息登记，其现状利用符合规划要求。</w:t>
      </w:r>
    </w:p>
    <w:p w14:paraId="156A5B12" w14:textId="77777777" w:rsidR="00000000" w:rsidRDefault="00000000">
      <w:pPr>
        <w:spacing w:line="480" w:lineRule="auto"/>
        <w:ind w:right="205" w:firstLineChars="200" w:firstLine="420"/>
        <w:jc w:val="both"/>
        <w:rPr>
          <w:rFonts w:ascii="Arial" w:hAnsi="Arial" w:cs="Arial" w:hint="eastAsia"/>
          <w:sz w:val="21"/>
          <w:szCs w:val="21"/>
        </w:rPr>
      </w:pPr>
      <w:r>
        <w:rPr>
          <w:rFonts w:ascii="Arial" w:hAnsi="Arial" w:cs="Arial" w:hint="eastAsia"/>
          <w:sz w:val="21"/>
          <w:szCs w:val="21"/>
        </w:rPr>
        <w:t>2.</w:t>
      </w:r>
      <w:r>
        <w:rPr>
          <w:rFonts w:ascii="Arial" w:hAnsi="Arial" w:cs="Arial" w:hint="eastAsia"/>
          <w:sz w:val="21"/>
          <w:szCs w:val="21"/>
        </w:rPr>
        <w:t>所有权</w:t>
      </w:r>
    </w:p>
    <w:p w14:paraId="2C348A5F" w14:textId="77777777" w:rsidR="00000000" w:rsidRDefault="00000000">
      <w:pPr>
        <w:spacing w:line="480" w:lineRule="auto"/>
        <w:ind w:right="205" w:firstLineChars="200" w:firstLine="420"/>
        <w:jc w:val="both"/>
        <w:rPr>
          <w:rFonts w:ascii="Arial" w:hAnsi="Arial" w:hint="eastAsia"/>
          <w:bCs/>
          <w:sz w:val="21"/>
        </w:rPr>
      </w:pPr>
      <w:r>
        <w:rPr>
          <w:rFonts w:ascii="Arial" w:hAnsi="Arial" w:cs="Arial"/>
          <w:sz w:val="21"/>
          <w:szCs w:val="21"/>
        </w:rPr>
        <w:t>根据</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及《估价委托书》</w:t>
      </w:r>
      <w:r>
        <w:rPr>
          <w:rFonts w:ascii="Arial" w:hAnsi="Arial" w:cs="Arial" w:hint="eastAsia"/>
          <w:sz w:val="21"/>
          <w:szCs w:val="21"/>
        </w:rPr>
        <w:t>，</w:t>
      </w:r>
      <w:r>
        <w:rPr>
          <w:rFonts w:ascii="Arial" w:hAnsi="Arial" w:cs="Arial"/>
          <w:sz w:val="21"/>
          <w:szCs w:val="21"/>
        </w:rPr>
        <w:t>估价对象土</w:t>
      </w:r>
      <w:r>
        <w:rPr>
          <w:rFonts w:ascii="Arial" w:hAnsi="Arial" w:hint="eastAsia"/>
          <w:bCs/>
          <w:sz w:val="21"/>
        </w:rPr>
        <w:t>地为国有土地，土地所有权归国家所有，估价对象房屋所有权为北京首开龙湖盈泰置业有限公司单独所有。</w:t>
      </w:r>
    </w:p>
    <w:p w14:paraId="76AD2744" w14:textId="77777777" w:rsidR="00000000" w:rsidRDefault="00000000">
      <w:pPr>
        <w:spacing w:line="480" w:lineRule="auto"/>
        <w:ind w:right="205" w:firstLineChars="200" w:firstLine="420"/>
        <w:jc w:val="both"/>
        <w:rPr>
          <w:rFonts w:ascii="Arial" w:hAnsi="Arial" w:cs="Arial" w:hint="eastAsia"/>
          <w:sz w:val="21"/>
          <w:szCs w:val="21"/>
        </w:rPr>
      </w:pPr>
      <w:r>
        <w:rPr>
          <w:rFonts w:ascii="Arial" w:hAnsi="Arial" w:cs="Arial" w:hint="eastAsia"/>
          <w:sz w:val="21"/>
          <w:szCs w:val="21"/>
        </w:rPr>
        <w:t>3.</w:t>
      </w:r>
      <w:r>
        <w:rPr>
          <w:rFonts w:ascii="Arial" w:hAnsi="Arial" w:cs="Arial" w:hint="eastAsia"/>
          <w:sz w:val="21"/>
          <w:szCs w:val="21"/>
        </w:rPr>
        <w:t>用益物权</w:t>
      </w:r>
    </w:p>
    <w:p w14:paraId="6BC843DA" w14:textId="77777777" w:rsidR="00000000" w:rsidRDefault="00000000">
      <w:pPr>
        <w:spacing w:line="480" w:lineRule="auto"/>
        <w:ind w:right="205" w:firstLineChars="200" w:firstLine="420"/>
        <w:jc w:val="both"/>
        <w:rPr>
          <w:rFonts w:ascii="Arial" w:hAnsi="Arial" w:cs="Arial" w:hint="eastAsia"/>
          <w:sz w:val="21"/>
          <w:szCs w:val="21"/>
        </w:rPr>
      </w:pPr>
      <w:r>
        <w:rPr>
          <w:rFonts w:ascii="Arial" w:hAnsi="Arial" w:cs="Arial" w:hint="eastAsia"/>
          <w:sz w:val="21"/>
          <w:szCs w:val="21"/>
        </w:rPr>
        <w:t>建设用地使用权：</w:t>
      </w:r>
      <w:r>
        <w:rPr>
          <w:rFonts w:ascii="Arial" w:hAnsi="Arial" w:cs="Arial"/>
          <w:sz w:val="21"/>
          <w:szCs w:val="21"/>
        </w:rPr>
        <w:t>根据</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及《估价委托书》</w:t>
      </w:r>
      <w:r>
        <w:rPr>
          <w:rFonts w:ascii="Arial" w:hAnsi="Arial" w:cs="Arial"/>
          <w:sz w:val="21"/>
          <w:szCs w:val="21"/>
        </w:rPr>
        <w:t>，</w:t>
      </w:r>
      <w:r>
        <w:rPr>
          <w:rFonts w:ascii="Arial" w:hAnsi="Arial" w:hint="eastAsia"/>
          <w:bCs/>
          <w:sz w:val="21"/>
        </w:rPr>
        <w:t>北京首开龙湖盈泰置业有限公司</w:t>
      </w:r>
      <w:r>
        <w:rPr>
          <w:rFonts w:ascii="Arial" w:hAnsi="Arial" w:cs="Arial"/>
          <w:sz w:val="21"/>
          <w:szCs w:val="21"/>
        </w:rPr>
        <w:t>拥有估价对象出让国有建设用地使用权，土地用途为</w:t>
      </w:r>
      <w:r>
        <w:rPr>
          <w:rFonts w:ascii="Arial" w:hAnsi="Arial" w:cs="Arial" w:hint="eastAsia"/>
          <w:sz w:val="21"/>
          <w:szCs w:val="21"/>
        </w:rPr>
        <w:t>商业</w:t>
      </w:r>
      <w:r>
        <w:rPr>
          <w:rFonts w:ascii="Arial" w:hAnsi="Arial" w:cs="Arial"/>
          <w:sz w:val="21"/>
          <w:szCs w:val="21"/>
        </w:rPr>
        <w:t>，</w:t>
      </w:r>
      <w:r>
        <w:rPr>
          <w:rFonts w:ascii="Arial" w:hAnsi="Arial" w:hint="eastAsia"/>
          <w:bCs/>
          <w:sz w:val="21"/>
        </w:rPr>
        <w:t>土地使用年限为</w:t>
      </w:r>
      <w:r>
        <w:rPr>
          <w:rFonts w:ascii="Arial" w:hAnsi="Arial" w:hint="eastAsia"/>
          <w:bCs/>
          <w:sz w:val="21"/>
        </w:rPr>
        <w:t>4</w:t>
      </w:r>
      <w:r>
        <w:rPr>
          <w:rFonts w:ascii="Arial" w:hAnsi="Arial"/>
          <w:bCs/>
          <w:sz w:val="21"/>
        </w:rPr>
        <w:t>0</w:t>
      </w:r>
      <w:r>
        <w:rPr>
          <w:rFonts w:ascii="Arial" w:hAnsi="Arial" w:hint="eastAsia"/>
          <w:bCs/>
          <w:sz w:val="21"/>
        </w:rPr>
        <w:t>年，自</w:t>
      </w:r>
      <w:r>
        <w:rPr>
          <w:rFonts w:ascii="Arial" w:hAnsi="Arial" w:hint="eastAsia"/>
          <w:bCs/>
          <w:sz w:val="21"/>
        </w:rPr>
        <w:t>2</w:t>
      </w:r>
      <w:r>
        <w:rPr>
          <w:rFonts w:ascii="Arial" w:hAnsi="Arial"/>
          <w:bCs/>
          <w:sz w:val="21"/>
        </w:rPr>
        <w:t>016</w:t>
      </w:r>
      <w:r>
        <w:rPr>
          <w:rFonts w:ascii="Arial" w:hAnsi="Arial" w:hint="eastAsia"/>
          <w:bCs/>
          <w:sz w:val="21"/>
        </w:rPr>
        <w:t>年</w:t>
      </w:r>
      <w:r>
        <w:rPr>
          <w:rFonts w:ascii="Arial" w:hAnsi="Arial"/>
          <w:bCs/>
          <w:sz w:val="21"/>
        </w:rPr>
        <w:t>12</w:t>
      </w:r>
      <w:r>
        <w:rPr>
          <w:rFonts w:ascii="Arial" w:hAnsi="Arial" w:hint="eastAsia"/>
          <w:bCs/>
          <w:sz w:val="21"/>
        </w:rPr>
        <w:t>月</w:t>
      </w:r>
      <w:r>
        <w:rPr>
          <w:rFonts w:ascii="Arial" w:hAnsi="Arial" w:hint="eastAsia"/>
          <w:bCs/>
          <w:sz w:val="21"/>
        </w:rPr>
        <w:t>2</w:t>
      </w:r>
      <w:r>
        <w:rPr>
          <w:rFonts w:ascii="Arial" w:hAnsi="Arial"/>
          <w:bCs/>
          <w:sz w:val="21"/>
        </w:rPr>
        <w:t>6</w:t>
      </w:r>
      <w:r>
        <w:rPr>
          <w:rFonts w:ascii="Arial" w:hAnsi="Arial" w:hint="eastAsia"/>
          <w:bCs/>
          <w:sz w:val="21"/>
        </w:rPr>
        <w:t>日起</w:t>
      </w:r>
      <w:r>
        <w:rPr>
          <w:rFonts w:ascii="Arial" w:hAnsi="Arial" w:hint="eastAsia"/>
          <w:bCs/>
          <w:sz w:val="21"/>
        </w:rPr>
        <w:t>20</w:t>
      </w:r>
      <w:r>
        <w:rPr>
          <w:rFonts w:ascii="Arial" w:hAnsi="Arial"/>
          <w:bCs/>
          <w:sz w:val="21"/>
        </w:rPr>
        <w:t>56</w:t>
      </w:r>
      <w:r>
        <w:rPr>
          <w:rFonts w:ascii="Arial" w:hAnsi="Arial" w:hint="eastAsia"/>
          <w:bCs/>
          <w:sz w:val="21"/>
        </w:rPr>
        <w:t>年</w:t>
      </w:r>
      <w:r>
        <w:rPr>
          <w:rFonts w:ascii="Arial" w:hAnsi="Arial"/>
          <w:bCs/>
          <w:sz w:val="21"/>
        </w:rPr>
        <w:t>12</w:t>
      </w:r>
      <w:r>
        <w:rPr>
          <w:rFonts w:ascii="Arial" w:hAnsi="Arial" w:hint="eastAsia"/>
          <w:bCs/>
          <w:sz w:val="21"/>
        </w:rPr>
        <w:t>月</w:t>
      </w:r>
      <w:r>
        <w:rPr>
          <w:rFonts w:ascii="Arial" w:hAnsi="Arial" w:hint="eastAsia"/>
          <w:bCs/>
          <w:sz w:val="21"/>
        </w:rPr>
        <w:t>2</w:t>
      </w:r>
      <w:r>
        <w:rPr>
          <w:rFonts w:ascii="Arial" w:hAnsi="Arial"/>
          <w:bCs/>
          <w:sz w:val="21"/>
        </w:rPr>
        <w:t>5</w:t>
      </w:r>
      <w:r>
        <w:rPr>
          <w:rFonts w:ascii="Arial" w:hAnsi="Arial" w:hint="eastAsia"/>
          <w:bCs/>
          <w:sz w:val="21"/>
        </w:rPr>
        <w:t>日止，</w:t>
      </w:r>
      <w:r>
        <w:rPr>
          <w:rFonts w:ascii="Arial" w:hAnsi="Arial" w:cs="Arial"/>
          <w:sz w:val="21"/>
          <w:szCs w:val="21"/>
        </w:rPr>
        <w:t>出让国有建设用地使用权剩余土地使用年限为</w:t>
      </w:r>
      <w:commentRangeStart w:id="53"/>
      <w:r>
        <w:rPr>
          <w:rFonts w:ascii="Arial" w:hAnsi="Arial" w:cs="Arial" w:hint="eastAsia"/>
          <w:sz w:val="21"/>
          <w:szCs w:val="21"/>
        </w:rPr>
        <w:t>30.98</w:t>
      </w:r>
      <w:commentRangeEnd w:id="53"/>
      <w:r w:rsidR="00C540FB">
        <w:rPr>
          <w:rStyle w:val="af9"/>
        </w:rPr>
        <w:commentReference w:id="53"/>
      </w:r>
      <w:r>
        <w:rPr>
          <w:rFonts w:ascii="Arial" w:hAnsi="Arial" w:cs="Arial"/>
          <w:sz w:val="21"/>
          <w:szCs w:val="21"/>
        </w:rPr>
        <w:t>年。</w:t>
      </w:r>
    </w:p>
    <w:p w14:paraId="7CDFEE9D" w14:textId="77777777" w:rsidR="00000000" w:rsidRDefault="00000000">
      <w:pPr>
        <w:spacing w:line="480" w:lineRule="auto"/>
        <w:ind w:right="205" w:firstLineChars="200" w:firstLine="420"/>
        <w:jc w:val="both"/>
        <w:rPr>
          <w:rFonts w:ascii="Arial" w:hAnsi="Arial" w:cs="Arial" w:hint="eastAsia"/>
          <w:sz w:val="21"/>
          <w:szCs w:val="21"/>
        </w:rPr>
      </w:pPr>
      <w:r>
        <w:rPr>
          <w:rFonts w:ascii="Arial" w:hAnsi="Arial" w:cs="Arial" w:hint="eastAsia"/>
          <w:sz w:val="21"/>
          <w:szCs w:val="21"/>
        </w:rPr>
        <w:t>地役权：根据不动产权利人介绍及评估专业人员实地查勘，估价对象未设定地役权。</w:t>
      </w:r>
    </w:p>
    <w:p w14:paraId="35D1F6F2" w14:textId="77777777" w:rsidR="00000000" w:rsidRDefault="00000000">
      <w:pPr>
        <w:spacing w:line="480" w:lineRule="auto"/>
        <w:ind w:right="205" w:firstLineChars="200" w:firstLine="420"/>
        <w:jc w:val="both"/>
        <w:rPr>
          <w:rFonts w:ascii="Arial" w:hAnsi="Arial" w:cs="Arial" w:hint="eastAsia"/>
          <w:sz w:val="21"/>
          <w:szCs w:val="21"/>
        </w:rPr>
      </w:pPr>
      <w:r>
        <w:rPr>
          <w:rFonts w:ascii="Arial" w:hAnsi="Arial" w:cs="Arial" w:hint="eastAsia"/>
          <w:sz w:val="21"/>
          <w:szCs w:val="21"/>
        </w:rPr>
        <w:t>4.</w:t>
      </w:r>
      <w:r>
        <w:rPr>
          <w:rFonts w:ascii="Arial" w:hAnsi="Arial" w:cs="Arial" w:hint="eastAsia"/>
          <w:sz w:val="21"/>
          <w:szCs w:val="21"/>
        </w:rPr>
        <w:t>担保物权</w:t>
      </w:r>
    </w:p>
    <w:p w14:paraId="52FB69C5" w14:textId="77777777" w:rsidR="00000000" w:rsidRDefault="00000000">
      <w:pPr>
        <w:spacing w:line="480" w:lineRule="auto"/>
        <w:ind w:right="205" w:firstLineChars="200" w:firstLine="420"/>
        <w:jc w:val="both"/>
        <w:rPr>
          <w:rFonts w:ascii="Arial" w:hAnsi="Arial" w:cs="Arial" w:hint="eastAsia"/>
          <w:sz w:val="21"/>
          <w:szCs w:val="21"/>
        </w:rPr>
      </w:pPr>
      <w:r>
        <w:rPr>
          <w:rFonts w:ascii="Arial" w:hAnsi="Arial" w:cs="Arial"/>
          <w:sz w:val="21"/>
          <w:szCs w:val="21"/>
        </w:rPr>
        <w:t>根据</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及《估价委托书》</w:t>
      </w:r>
      <w:r>
        <w:rPr>
          <w:rFonts w:ascii="Arial" w:hAnsi="Arial" w:cs="Arial"/>
          <w:sz w:val="21"/>
          <w:szCs w:val="21"/>
        </w:rPr>
        <w:t>，</w:t>
      </w:r>
      <w:r>
        <w:rPr>
          <w:rFonts w:ascii="Arial" w:hAnsi="Arial" w:cs="Arial"/>
          <w:bCs/>
          <w:sz w:val="21"/>
          <w:szCs w:val="21"/>
        </w:rPr>
        <w:t>截至价值时点，估价对象</w:t>
      </w:r>
      <w:r>
        <w:rPr>
          <w:rFonts w:ascii="Arial" w:hAnsi="Arial" w:cs="Arial" w:hint="eastAsia"/>
          <w:bCs/>
          <w:sz w:val="21"/>
          <w:szCs w:val="21"/>
        </w:rPr>
        <w:t>未设定</w:t>
      </w:r>
      <w:r>
        <w:rPr>
          <w:rFonts w:ascii="Arial" w:hAnsi="Arial" w:cs="Arial"/>
          <w:bCs/>
          <w:sz w:val="21"/>
          <w:szCs w:val="21"/>
        </w:rPr>
        <w:t>抵押权。</w:t>
      </w:r>
    </w:p>
    <w:p w14:paraId="12158BD4" w14:textId="77777777" w:rsidR="00000000" w:rsidRDefault="00000000">
      <w:pPr>
        <w:spacing w:line="480" w:lineRule="auto"/>
        <w:ind w:right="205" w:firstLineChars="200" w:firstLine="420"/>
        <w:jc w:val="both"/>
        <w:rPr>
          <w:rFonts w:ascii="Arial" w:hAnsi="Arial" w:cs="Arial" w:hint="eastAsia"/>
          <w:sz w:val="21"/>
          <w:szCs w:val="21"/>
        </w:rPr>
      </w:pPr>
      <w:r>
        <w:rPr>
          <w:rFonts w:ascii="Arial" w:hAnsi="Arial" w:cs="Arial" w:hint="eastAsia"/>
          <w:sz w:val="21"/>
          <w:szCs w:val="21"/>
        </w:rPr>
        <w:t>5.</w:t>
      </w:r>
      <w:r>
        <w:rPr>
          <w:rFonts w:ascii="Arial" w:hAnsi="Arial" w:cs="Arial" w:hint="eastAsia"/>
          <w:sz w:val="21"/>
          <w:szCs w:val="21"/>
        </w:rPr>
        <w:t>租赁或占用情况</w:t>
      </w:r>
    </w:p>
    <w:p w14:paraId="5FA1EEA6" w14:textId="77777777" w:rsidR="00000000" w:rsidRDefault="00000000">
      <w:pPr>
        <w:spacing w:line="480" w:lineRule="auto"/>
        <w:ind w:right="205" w:firstLineChars="200" w:firstLine="420"/>
        <w:jc w:val="both"/>
        <w:rPr>
          <w:rFonts w:ascii="Arial" w:hAnsi="Arial" w:cs="Arial"/>
          <w:sz w:val="21"/>
          <w:szCs w:val="21"/>
        </w:rPr>
      </w:pPr>
      <w:r>
        <w:rPr>
          <w:rFonts w:ascii="Arial" w:hAnsi="Arial" w:cs="Arial"/>
          <w:sz w:val="21"/>
          <w:szCs w:val="21"/>
        </w:rPr>
        <w:t>根据不动产权利人介绍</w:t>
      </w:r>
      <w:r>
        <w:rPr>
          <w:rFonts w:ascii="Arial" w:hAnsi="Arial" w:cs="Arial" w:hint="eastAsia"/>
          <w:sz w:val="21"/>
          <w:szCs w:val="21"/>
        </w:rPr>
        <w:t>及评估专业人员实地查勘</w:t>
      </w:r>
      <w:r>
        <w:rPr>
          <w:rFonts w:ascii="Arial" w:hAnsi="Arial" w:cs="Arial"/>
          <w:sz w:val="21"/>
          <w:szCs w:val="21"/>
        </w:rPr>
        <w:t>，截至价值时点，估价对象北京市房山区阜盛</w:t>
      </w:r>
      <w:r>
        <w:rPr>
          <w:rFonts w:ascii="Arial" w:hAnsi="Arial" w:cs="Arial"/>
          <w:sz w:val="21"/>
          <w:szCs w:val="21"/>
        </w:rPr>
        <w:lastRenderedPageBreak/>
        <w:t>西街</w:t>
      </w:r>
      <w:r>
        <w:rPr>
          <w:rFonts w:ascii="Arial" w:hAnsi="Arial" w:cs="Arial"/>
          <w:sz w:val="21"/>
          <w:szCs w:val="21"/>
        </w:rPr>
        <w:t>11</w:t>
      </w:r>
      <w:r>
        <w:rPr>
          <w:rFonts w:ascii="Arial" w:hAnsi="Arial" w:cs="Arial"/>
          <w:sz w:val="21"/>
          <w:szCs w:val="21"/>
        </w:rPr>
        <w:t>号院</w:t>
      </w:r>
      <w:r>
        <w:rPr>
          <w:rFonts w:ascii="Arial" w:hAnsi="Arial" w:cs="Arial"/>
          <w:sz w:val="21"/>
          <w:szCs w:val="21"/>
        </w:rPr>
        <w:t>3</w:t>
      </w:r>
      <w:r>
        <w:rPr>
          <w:rFonts w:ascii="Arial" w:hAnsi="Arial" w:cs="Arial"/>
          <w:sz w:val="21"/>
          <w:szCs w:val="21"/>
        </w:rPr>
        <w:t>号楼地上</w:t>
      </w:r>
      <w:r>
        <w:rPr>
          <w:rFonts w:ascii="Arial" w:hAnsi="Arial" w:cs="Arial"/>
          <w:sz w:val="21"/>
          <w:szCs w:val="21"/>
        </w:rPr>
        <w:t>1</w:t>
      </w:r>
      <w:r>
        <w:rPr>
          <w:rFonts w:ascii="Arial" w:hAnsi="Arial" w:cs="Arial"/>
          <w:sz w:val="21"/>
          <w:szCs w:val="21"/>
        </w:rPr>
        <w:t>层</w:t>
      </w:r>
      <w:r>
        <w:rPr>
          <w:rFonts w:ascii="Arial" w:hAnsi="Arial" w:cs="Arial"/>
          <w:sz w:val="21"/>
          <w:szCs w:val="21"/>
        </w:rPr>
        <w:t>101</w:t>
      </w:r>
      <w:r>
        <w:rPr>
          <w:rFonts w:ascii="Arial" w:hAnsi="Arial" w:cs="Arial"/>
          <w:sz w:val="21"/>
          <w:szCs w:val="21"/>
        </w:rPr>
        <w:t>号</w:t>
      </w:r>
      <w:r>
        <w:rPr>
          <w:rFonts w:ascii="Arial" w:hAnsi="Arial" w:cs="Arial" w:hint="eastAsia"/>
          <w:sz w:val="21"/>
          <w:szCs w:val="21"/>
        </w:rPr>
        <w:t>商业用房已出租作为售楼处使用，其余房源均未出租，本次评估是</w:t>
      </w:r>
      <w:r>
        <w:rPr>
          <w:rFonts w:ascii="Arial" w:hAnsi="Arial" w:hint="eastAsia"/>
          <w:kern w:val="2"/>
          <w:sz w:val="21"/>
        </w:rPr>
        <w:t>为估价委托人了解估价对象房地产市场租金水平提供参考依据，经与估价委托人确认，本次评估不考虑上述租赁情况对估价结果的影响</w:t>
      </w:r>
      <w:r>
        <w:rPr>
          <w:rFonts w:ascii="Arial" w:hAnsi="Arial" w:cs="Arial"/>
          <w:sz w:val="21"/>
          <w:szCs w:val="21"/>
        </w:rPr>
        <w:t>。</w:t>
      </w:r>
    </w:p>
    <w:p w14:paraId="624D3DB4" w14:textId="77777777" w:rsidR="00000000" w:rsidRDefault="00000000">
      <w:pPr>
        <w:spacing w:line="480" w:lineRule="auto"/>
        <w:ind w:right="205" w:firstLineChars="200" w:firstLine="420"/>
        <w:jc w:val="both"/>
        <w:rPr>
          <w:rFonts w:ascii="Arial" w:hAnsi="Arial" w:cs="Arial" w:hint="eastAsia"/>
          <w:sz w:val="21"/>
          <w:szCs w:val="21"/>
        </w:rPr>
      </w:pPr>
      <w:r>
        <w:rPr>
          <w:rFonts w:ascii="Arial" w:hAnsi="Arial" w:cs="Arial" w:hint="eastAsia"/>
          <w:sz w:val="21"/>
          <w:szCs w:val="21"/>
        </w:rPr>
        <w:t>6.</w:t>
      </w:r>
      <w:r>
        <w:rPr>
          <w:rFonts w:ascii="Arial" w:hAnsi="Arial" w:cs="Arial" w:hint="eastAsia"/>
          <w:sz w:val="21"/>
          <w:szCs w:val="21"/>
        </w:rPr>
        <w:t>拖欠税费情况</w:t>
      </w:r>
    </w:p>
    <w:p w14:paraId="484515B5" w14:textId="77777777" w:rsidR="00000000" w:rsidRDefault="00000000">
      <w:pPr>
        <w:spacing w:line="480" w:lineRule="auto"/>
        <w:ind w:right="205" w:firstLineChars="200" w:firstLine="420"/>
        <w:jc w:val="both"/>
        <w:rPr>
          <w:rFonts w:ascii="Arial" w:hAnsi="Arial" w:cs="Arial"/>
          <w:sz w:val="21"/>
          <w:szCs w:val="21"/>
        </w:rPr>
      </w:pPr>
      <w:r>
        <w:rPr>
          <w:rFonts w:ascii="Arial" w:hAnsi="Arial" w:cs="Arial" w:hint="eastAsia"/>
          <w:sz w:val="21"/>
          <w:szCs w:val="21"/>
        </w:rPr>
        <w:t>估价对象出让国有建设用地使用权和建筑物所有权均为合法方式取得，并支付相关税费，已取得</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，根据《估价委托书》</w:t>
      </w:r>
      <w:r>
        <w:rPr>
          <w:rFonts w:ascii="Arial" w:hAnsi="Arial" w:cs="Arial" w:hint="eastAsia"/>
          <w:sz w:val="21"/>
          <w:szCs w:val="21"/>
        </w:rPr>
        <w:t>，估价对象不存在拖欠税费的情况。</w:t>
      </w:r>
    </w:p>
    <w:p w14:paraId="1D5E8923" w14:textId="77777777" w:rsidR="00000000" w:rsidRDefault="00000000">
      <w:pPr>
        <w:spacing w:line="480" w:lineRule="auto"/>
        <w:ind w:right="205" w:firstLineChars="200" w:firstLine="420"/>
        <w:jc w:val="both"/>
        <w:rPr>
          <w:rFonts w:ascii="Arial" w:hAnsi="Arial" w:cs="Arial" w:hint="eastAsia"/>
          <w:sz w:val="21"/>
          <w:szCs w:val="21"/>
        </w:rPr>
      </w:pPr>
      <w:r>
        <w:rPr>
          <w:rFonts w:ascii="Arial" w:hAnsi="Arial" w:cs="Arial" w:hint="eastAsia"/>
          <w:sz w:val="21"/>
          <w:szCs w:val="21"/>
        </w:rPr>
        <w:t>综上，估价对象不动产权属合法、清晰且无争议，可正常上市交易。</w:t>
      </w:r>
    </w:p>
    <w:p w14:paraId="4EBFC906" w14:textId="77777777" w:rsidR="00000000" w:rsidRDefault="00000000">
      <w:pPr>
        <w:pStyle w:val="2"/>
        <w:numPr>
          <w:ilvl w:val="0"/>
          <w:numId w:val="0"/>
        </w:numPr>
        <w:spacing w:line="480" w:lineRule="auto"/>
        <w:ind w:left="360" w:hangingChars="171" w:hanging="360"/>
        <w:jc w:val="both"/>
        <w:rPr>
          <w:rFonts w:eastAsia="宋体"/>
          <w:kern w:val="2"/>
          <w:sz w:val="21"/>
          <w:szCs w:val="21"/>
        </w:rPr>
      </w:pPr>
      <w:bookmarkStart w:id="54" w:name="_Toc477252458"/>
      <w:r>
        <w:rPr>
          <w:rFonts w:eastAsia="宋体"/>
          <w:kern w:val="2"/>
          <w:sz w:val="21"/>
          <w:szCs w:val="21"/>
        </w:rPr>
        <w:t>（三）区位状况分析</w:t>
      </w:r>
      <w:bookmarkEnd w:id="54"/>
    </w:p>
    <w:p w14:paraId="2E8FC5B2" w14:textId="77777777" w:rsidR="00000000" w:rsidRDefault="00000000">
      <w:pPr>
        <w:spacing w:line="480" w:lineRule="auto"/>
        <w:ind w:firstLineChars="200" w:firstLine="420"/>
        <w:jc w:val="both"/>
        <w:rPr>
          <w:rFonts w:ascii="Arial" w:hAnsi="Arial"/>
          <w:sz w:val="21"/>
          <w:szCs w:val="21"/>
        </w:rPr>
      </w:pPr>
      <w:r>
        <w:rPr>
          <w:rFonts w:ascii="Arial" w:hAnsi="Arial"/>
          <w:sz w:val="21"/>
          <w:szCs w:val="21"/>
        </w:rPr>
        <w:t>1.</w:t>
      </w:r>
      <w:r>
        <w:rPr>
          <w:rFonts w:ascii="Arial" w:hAnsi="Arial"/>
          <w:sz w:val="21"/>
          <w:szCs w:val="21"/>
        </w:rPr>
        <w:t>位置状况</w:t>
      </w:r>
    </w:p>
    <w:p w14:paraId="5CA00153" w14:textId="77777777" w:rsidR="00000000" w:rsidRDefault="00000000">
      <w:pPr>
        <w:spacing w:line="480" w:lineRule="auto"/>
        <w:ind w:firstLineChars="200" w:firstLine="420"/>
        <w:jc w:val="both"/>
        <w:rPr>
          <w:rFonts w:ascii="Arial" w:hAnsi="Arial" w:cs="Arial"/>
          <w:bCs/>
          <w:sz w:val="21"/>
        </w:rPr>
      </w:pPr>
      <w:r>
        <w:rPr>
          <w:rFonts w:ascii="Arial" w:hAnsi="Arial" w:hint="eastAsia"/>
          <w:kern w:val="2"/>
          <w:sz w:val="21"/>
        </w:rPr>
        <w:t>估价对象所属项目位于</w:t>
      </w:r>
      <w:r>
        <w:rPr>
          <w:rFonts w:ascii="Arial" w:hAnsi="Arial" w:hint="eastAsia"/>
          <w:bCs/>
          <w:sz w:val="21"/>
        </w:rPr>
        <w:t>北京市房山区长于大街与良乡东路交口东北角</w:t>
      </w:r>
      <w:r>
        <w:rPr>
          <w:rFonts w:ascii="Arial" w:hAnsi="Arial" w:hint="eastAsia"/>
          <w:kern w:val="2"/>
          <w:sz w:val="21"/>
        </w:rPr>
        <w:t>，地处良乡大学城商</w:t>
      </w:r>
      <w:proofErr w:type="gramStart"/>
      <w:r>
        <w:rPr>
          <w:rFonts w:ascii="Arial" w:hAnsi="Arial" w:hint="eastAsia"/>
          <w:kern w:val="2"/>
          <w:sz w:val="21"/>
        </w:rPr>
        <w:t>圈核心</w:t>
      </w:r>
      <w:proofErr w:type="gramEnd"/>
      <w:r>
        <w:rPr>
          <w:rFonts w:ascii="Arial" w:hAnsi="Arial" w:hint="eastAsia"/>
          <w:kern w:val="2"/>
          <w:sz w:val="21"/>
        </w:rPr>
        <w:t>位置，紧邻城市次主干道——长于大街，直通地铁房山线——良乡大学城北站。</w:t>
      </w:r>
      <w:r>
        <w:rPr>
          <w:rFonts w:ascii="Arial" w:hAnsi="Arial" w:cs="Arial"/>
          <w:bCs/>
          <w:sz w:val="21"/>
        </w:rPr>
        <w:t>估价对象</w:t>
      </w:r>
      <w:r>
        <w:rPr>
          <w:rFonts w:ascii="Arial" w:hAnsi="Arial" w:cs="Arial"/>
          <w:kern w:val="2"/>
          <w:sz w:val="21"/>
        </w:rPr>
        <w:t>所在区域地理</w:t>
      </w:r>
      <w:r>
        <w:rPr>
          <w:rFonts w:ascii="Arial" w:hAnsi="Arial" w:cs="Arial"/>
          <w:bCs/>
          <w:sz w:val="21"/>
        </w:rPr>
        <w:t>位置状况</w:t>
      </w:r>
      <w:r>
        <w:rPr>
          <w:rFonts w:ascii="Arial" w:hAnsi="Arial" w:cs="Arial" w:hint="eastAsia"/>
          <w:bCs/>
          <w:sz w:val="21"/>
        </w:rPr>
        <w:t>较好</w:t>
      </w:r>
      <w:r>
        <w:rPr>
          <w:rFonts w:ascii="Arial" w:hAnsi="Arial" w:cs="Arial"/>
          <w:bCs/>
          <w:sz w:val="21"/>
        </w:rPr>
        <w:t>。</w:t>
      </w:r>
    </w:p>
    <w:p w14:paraId="015FA7D2" w14:textId="77777777" w:rsidR="00000000" w:rsidRDefault="00000000">
      <w:pPr>
        <w:spacing w:line="480" w:lineRule="auto"/>
        <w:ind w:firstLineChars="200" w:firstLine="420"/>
        <w:jc w:val="both"/>
        <w:rPr>
          <w:rFonts w:ascii="Arial" w:hAnsi="Arial" w:cs="Arial"/>
          <w:kern w:val="2"/>
          <w:sz w:val="21"/>
        </w:rPr>
      </w:pPr>
      <w:r>
        <w:rPr>
          <w:rFonts w:ascii="Arial" w:hAnsi="Arial" w:cs="Arial"/>
          <w:sz w:val="21"/>
          <w:szCs w:val="21"/>
        </w:rPr>
        <w:t>2.</w:t>
      </w:r>
      <w:r>
        <w:rPr>
          <w:rFonts w:ascii="Arial" w:hAnsi="Arial" w:cs="Arial"/>
          <w:sz w:val="21"/>
          <w:szCs w:val="21"/>
        </w:rPr>
        <w:t>商业繁华度</w:t>
      </w:r>
    </w:p>
    <w:p w14:paraId="4DB5CE86" w14:textId="77777777" w:rsidR="00000000" w:rsidRDefault="00000000">
      <w:pPr>
        <w:spacing w:line="480" w:lineRule="auto"/>
        <w:ind w:firstLineChars="200" w:firstLine="420"/>
        <w:rPr>
          <w:rFonts w:ascii="Arial" w:hAnsi="Arial" w:cs="Arial"/>
          <w:color w:val="548DD4"/>
          <w:sz w:val="21"/>
          <w:szCs w:val="21"/>
        </w:rPr>
      </w:pPr>
      <w:r>
        <w:rPr>
          <w:rFonts w:ascii="Arial" w:hAnsi="Arial" w:cs="Arial" w:hint="eastAsia"/>
          <w:bCs/>
          <w:sz w:val="21"/>
        </w:rPr>
        <w:t>估价对象周边</w:t>
      </w:r>
      <w:r>
        <w:rPr>
          <w:rFonts w:ascii="Arial" w:hAnsi="Arial" w:cs="Arial" w:hint="eastAsia"/>
          <w:bCs/>
          <w:sz w:val="21"/>
        </w:rPr>
        <w:t>3</w:t>
      </w:r>
      <w:r>
        <w:rPr>
          <w:rFonts w:ascii="Arial" w:hAnsi="Arial" w:cs="Arial" w:hint="eastAsia"/>
          <w:bCs/>
          <w:sz w:val="21"/>
        </w:rPr>
        <w:t>公里范围内无大型购物中心，多以社区底商为主</w:t>
      </w:r>
      <w:r>
        <w:rPr>
          <w:rFonts w:ascii="Arial" w:hAnsi="Arial" w:cs="Arial" w:hint="eastAsia"/>
          <w:sz w:val="21"/>
          <w:szCs w:val="21"/>
        </w:rPr>
        <w:t>，</w:t>
      </w:r>
      <w:r>
        <w:rPr>
          <w:rFonts w:ascii="Arial" w:hAnsi="Arial" w:cs="Arial"/>
          <w:sz w:val="21"/>
          <w:szCs w:val="21"/>
        </w:rPr>
        <w:t>人流量</w:t>
      </w:r>
      <w:r>
        <w:rPr>
          <w:rFonts w:ascii="Arial" w:hAnsi="Arial" w:cs="Arial" w:hint="eastAsia"/>
          <w:sz w:val="21"/>
          <w:szCs w:val="21"/>
        </w:rPr>
        <w:t>较少</w:t>
      </w:r>
      <w:r>
        <w:rPr>
          <w:rFonts w:ascii="Arial" w:hAnsi="Arial" w:cs="Arial"/>
          <w:sz w:val="21"/>
          <w:szCs w:val="21"/>
        </w:rPr>
        <w:t>，商业繁华度</w:t>
      </w:r>
      <w:r>
        <w:rPr>
          <w:rFonts w:ascii="Arial" w:hAnsi="Arial" w:cs="Arial" w:hint="eastAsia"/>
          <w:sz w:val="21"/>
          <w:szCs w:val="21"/>
        </w:rPr>
        <w:t>一般</w:t>
      </w:r>
      <w:r>
        <w:rPr>
          <w:rFonts w:ascii="Arial" w:hAnsi="Arial" w:cs="Arial"/>
          <w:sz w:val="21"/>
          <w:szCs w:val="21"/>
        </w:rPr>
        <w:t>。</w:t>
      </w:r>
    </w:p>
    <w:p w14:paraId="52C0BD1A" w14:textId="77777777" w:rsidR="00000000" w:rsidRDefault="00000000">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hint="eastAsia"/>
          <w:sz w:val="21"/>
          <w:szCs w:val="21"/>
        </w:rPr>
        <w:t>交</w:t>
      </w:r>
      <w:r>
        <w:rPr>
          <w:rFonts w:ascii="Arial" w:hAnsi="Arial" w:cs="Arial"/>
          <w:sz w:val="21"/>
          <w:szCs w:val="21"/>
        </w:rPr>
        <w:t>通状况</w:t>
      </w:r>
    </w:p>
    <w:p w14:paraId="47236C41" w14:textId="77777777" w:rsidR="00000000" w:rsidRDefault="00000000">
      <w:pPr>
        <w:spacing w:line="480" w:lineRule="auto"/>
        <w:ind w:firstLineChars="200" w:firstLine="420"/>
        <w:jc w:val="both"/>
        <w:rPr>
          <w:rFonts w:ascii="Arial" w:hAnsi="Arial" w:cs="Arial" w:hint="eastAsia"/>
          <w:sz w:val="21"/>
          <w:szCs w:val="21"/>
        </w:rPr>
      </w:pPr>
      <w:r>
        <w:rPr>
          <w:rFonts w:ascii="Arial" w:hAnsi="Arial" w:cs="Arial"/>
          <w:kern w:val="2"/>
          <w:sz w:val="21"/>
          <w:szCs w:val="21"/>
        </w:rPr>
        <w:t>估价对象周边有</w:t>
      </w:r>
      <w:r>
        <w:rPr>
          <w:rFonts w:ascii="Arial" w:hAnsi="Arial" w:cs="Arial"/>
          <w:kern w:val="2"/>
          <w:sz w:val="21"/>
          <w:szCs w:val="21"/>
        </w:rPr>
        <w:t>832</w:t>
      </w:r>
      <w:r>
        <w:rPr>
          <w:rFonts w:ascii="Arial" w:hAnsi="Arial" w:cs="Arial" w:hint="eastAsia"/>
          <w:kern w:val="2"/>
          <w:sz w:val="21"/>
          <w:szCs w:val="21"/>
        </w:rPr>
        <w:t>路、</w:t>
      </w:r>
      <w:r>
        <w:rPr>
          <w:rFonts w:ascii="Arial" w:hAnsi="Arial" w:cs="Arial"/>
          <w:kern w:val="2"/>
          <w:sz w:val="21"/>
          <w:szCs w:val="21"/>
        </w:rPr>
        <w:t>F12</w:t>
      </w:r>
      <w:r>
        <w:rPr>
          <w:rFonts w:ascii="Arial" w:hAnsi="Arial" w:cs="Arial" w:hint="eastAsia"/>
          <w:kern w:val="2"/>
          <w:sz w:val="21"/>
          <w:szCs w:val="21"/>
        </w:rPr>
        <w:t>路、</w:t>
      </w:r>
      <w:r>
        <w:rPr>
          <w:rFonts w:ascii="Arial" w:hAnsi="Arial" w:cs="Arial"/>
          <w:kern w:val="2"/>
          <w:sz w:val="21"/>
          <w:szCs w:val="21"/>
        </w:rPr>
        <w:t>F1</w:t>
      </w:r>
      <w:r>
        <w:rPr>
          <w:rFonts w:ascii="Arial" w:hAnsi="Arial" w:cs="Arial" w:hint="eastAsia"/>
          <w:kern w:val="2"/>
          <w:sz w:val="21"/>
          <w:szCs w:val="21"/>
        </w:rPr>
        <w:t>路内环、</w:t>
      </w:r>
      <w:r>
        <w:rPr>
          <w:rFonts w:ascii="Arial" w:hAnsi="Arial" w:cs="Arial" w:hint="eastAsia"/>
          <w:kern w:val="2"/>
          <w:sz w:val="21"/>
          <w:szCs w:val="21"/>
        </w:rPr>
        <w:t>F</w:t>
      </w:r>
      <w:r>
        <w:rPr>
          <w:rFonts w:ascii="Arial" w:hAnsi="Arial" w:cs="Arial"/>
          <w:kern w:val="2"/>
          <w:sz w:val="21"/>
          <w:szCs w:val="21"/>
        </w:rPr>
        <w:t>1</w:t>
      </w:r>
      <w:r>
        <w:rPr>
          <w:rFonts w:ascii="Arial" w:hAnsi="Arial" w:cs="Arial" w:hint="eastAsia"/>
          <w:kern w:val="2"/>
          <w:sz w:val="21"/>
          <w:szCs w:val="21"/>
        </w:rPr>
        <w:t>路外环、</w:t>
      </w:r>
      <w:r>
        <w:rPr>
          <w:rFonts w:ascii="Arial" w:hAnsi="Arial" w:cs="Arial" w:hint="eastAsia"/>
          <w:kern w:val="2"/>
          <w:sz w:val="21"/>
          <w:szCs w:val="21"/>
        </w:rPr>
        <w:t>F</w:t>
      </w:r>
      <w:r>
        <w:rPr>
          <w:rFonts w:ascii="Arial" w:hAnsi="Arial" w:cs="Arial"/>
          <w:kern w:val="2"/>
          <w:sz w:val="21"/>
          <w:szCs w:val="21"/>
        </w:rPr>
        <w:t>46</w:t>
      </w:r>
      <w:r>
        <w:rPr>
          <w:rFonts w:ascii="Arial" w:hAnsi="Arial" w:cs="Arial" w:hint="eastAsia"/>
          <w:kern w:val="2"/>
          <w:sz w:val="21"/>
          <w:szCs w:val="21"/>
        </w:rPr>
        <w:t>路、</w:t>
      </w:r>
      <w:r>
        <w:rPr>
          <w:rFonts w:ascii="Arial" w:hAnsi="Arial" w:cs="Arial" w:hint="eastAsia"/>
          <w:kern w:val="2"/>
          <w:sz w:val="21"/>
          <w:szCs w:val="21"/>
        </w:rPr>
        <w:t>F</w:t>
      </w:r>
      <w:r>
        <w:rPr>
          <w:rFonts w:ascii="Arial" w:hAnsi="Arial" w:cs="Arial"/>
          <w:kern w:val="2"/>
          <w:sz w:val="21"/>
          <w:szCs w:val="21"/>
        </w:rPr>
        <w:t>81</w:t>
      </w:r>
      <w:r>
        <w:rPr>
          <w:rFonts w:ascii="Arial" w:hAnsi="Arial" w:cs="Arial" w:hint="eastAsia"/>
          <w:kern w:val="2"/>
          <w:sz w:val="21"/>
          <w:szCs w:val="21"/>
        </w:rPr>
        <w:t>路</w:t>
      </w:r>
      <w:r>
        <w:rPr>
          <w:rFonts w:ascii="Arial" w:hAnsi="Arial" w:cs="Arial"/>
          <w:kern w:val="2"/>
          <w:sz w:val="21"/>
          <w:szCs w:val="21"/>
        </w:rPr>
        <w:t>等多条公交线路</w:t>
      </w:r>
      <w:r>
        <w:rPr>
          <w:rFonts w:ascii="Arial" w:hAnsi="Arial" w:cs="Arial" w:hint="eastAsia"/>
          <w:kern w:val="2"/>
          <w:sz w:val="21"/>
          <w:szCs w:val="21"/>
        </w:rPr>
        <w:t>，</w:t>
      </w:r>
      <w:r>
        <w:rPr>
          <w:rFonts w:ascii="Arial" w:hAnsi="Arial" w:hint="eastAsia"/>
          <w:kern w:val="2"/>
          <w:sz w:val="21"/>
        </w:rPr>
        <w:t>直通地铁房山线——良乡大学城北站，</w:t>
      </w:r>
      <w:r>
        <w:rPr>
          <w:rFonts w:ascii="Arial" w:hAnsi="Arial" w:cs="Arial" w:hint="eastAsia"/>
          <w:kern w:val="2"/>
          <w:sz w:val="21"/>
          <w:szCs w:val="21"/>
        </w:rPr>
        <w:t>道路通达度较好</w:t>
      </w:r>
      <w:r>
        <w:rPr>
          <w:rFonts w:ascii="Arial" w:hAnsi="Arial" w:cs="Arial"/>
          <w:kern w:val="2"/>
          <w:sz w:val="21"/>
          <w:szCs w:val="21"/>
        </w:rPr>
        <w:t>。综合评价</w:t>
      </w:r>
      <w:r>
        <w:rPr>
          <w:rFonts w:ascii="Arial" w:hAnsi="Arial" w:cs="Arial"/>
          <w:sz w:val="21"/>
          <w:szCs w:val="21"/>
        </w:rPr>
        <w:t>交通便捷度较好</w:t>
      </w:r>
      <w:r>
        <w:rPr>
          <w:rFonts w:ascii="Arial" w:hAnsi="Arial" w:cs="Arial" w:hint="eastAsia"/>
          <w:sz w:val="21"/>
          <w:szCs w:val="21"/>
        </w:rPr>
        <w:t>。</w:t>
      </w:r>
    </w:p>
    <w:p w14:paraId="34FCE357" w14:textId="77777777" w:rsidR="00000000" w:rsidRDefault="00000000">
      <w:pPr>
        <w:spacing w:line="480" w:lineRule="auto"/>
        <w:ind w:firstLineChars="200" w:firstLine="420"/>
        <w:jc w:val="both"/>
        <w:rPr>
          <w:rFonts w:ascii="Arial" w:hAnsi="Arial" w:cs="Arial"/>
          <w:color w:val="000000"/>
          <w:sz w:val="21"/>
          <w:szCs w:val="21"/>
        </w:rPr>
      </w:pPr>
      <w:r>
        <w:rPr>
          <w:rFonts w:ascii="Arial" w:hAnsi="Arial" w:cs="Arial"/>
          <w:sz w:val="21"/>
          <w:szCs w:val="21"/>
        </w:rPr>
        <w:t>4.</w:t>
      </w:r>
      <w:r>
        <w:rPr>
          <w:rFonts w:ascii="Arial" w:hAnsi="Arial" w:cs="Arial"/>
          <w:color w:val="000000"/>
          <w:sz w:val="21"/>
          <w:szCs w:val="21"/>
        </w:rPr>
        <w:t>环境状况</w:t>
      </w:r>
    </w:p>
    <w:p w14:paraId="64AA3F65" w14:textId="77777777" w:rsidR="00000000" w:rsidRDefault="00000000">
      <w:pPr>
        <w:spacing w:line="480" w:lineRule="auto"/>
        <w:ind w:firstLineChars="200" w:firstLine="420"/>
        <w:jc w:val="both"/>
        <w:rPr>
          <w:rFonts w:ascii="Arial" w:hAnsi="Arial" w:cs="Arial"/>
          <w:color w:val="548DD4"/>
          <w:sz w:val="21"/>
          <w:szCs w:val="21"/>
        </w:rPr>
      </w:pPr>
      <w:r>
        <w:rPr>
          <w:rFonts w:ascii="Arial" w:hAnsi="Arial" w:hint="eastAsia"/>
          <w:sz w:val="21"/>
          <w:szCs w:val="21"/>
        </w:rPr>
        <w:t>估价对象周边有广阳城森林公园、金隅公园、郊野生态区公园、小清河等绿化景观，有北京理工大学、中国社会科学院大学、北京工商大学、首都师范大学等高等学校，综合</w:t>
      </w:r>
      <w:r>
        <w:rPr>
          <w:rFonts w:ascii="Arial" w:hAnsi="Arial" w:cs="Arial" w:hint="eastAsia"/>
          <w:sz w:val="21"/>
          <w:szCs w:val="21"/>
        </w:rPr>
        <w:t>评价环境状况</w:t>
      </w:r>
      <w:r>
        <w:rPr>
          <w:rFonts w:ascii="Arial" w:hAnsi="Arial" w:hint="eastAsia"/>
          <w:sz w:val="21"/>
          <w:szCs w:val="21"/>
        </w:rPr>
        <w:t>较好。</w:t>
      </w:r>
    </w:p>
    <w:p w14:paraId="724EE7C5" w14:textId="77777777" w:rsidR="00000000" w:rsidRDefault="00000000">
      <w:pPr>
        <w:spacing w:line="480" w:lineRule="auto"/>
        <w:ind w:firstLineChars="200" w:firstLine="420"/>
        <w:jc w:val="both"/>
        <w:rPr>
          <w:rFonts w:ascii="Arial" w:hAnsi="Arial" w:cs="Arial"/>
          <w:color w:val="548DD4"/>
          <w:sz w:val="21"/>
          <w:szCs w:val="21"/>
        </w:rPr>
      </w:pPr>
      <w:r>
        <w:rPr>
          <w:rFonts w:ascii="Arial" w:hAnsi="Arial" w:cs="Arial"/>
          <w:color w:val="000000"/>
          <w:sz w:val="21"/>
          <w:szCs w:val="21"/>
        </w:rPr>
        <w:lastRenderedPageBreak/>
        <w:t>5</w:t>
      </w:r>
      <w:r>
        <w:rPr>
          <w:rFonts w:ascii="Arial" w:hAnsi="Arial" w:cs="Arial"/>
          <w:sz w:val="21"/>
          <w:szCs w:val="21"/>
        </w:rPr>
        <w:t>.</w:t>
      </w:r>
      <w:r>
        <w:rPr>
          <w:rFonts w:ascii="Arial" w:hAnsi="Arial" w:cs="Arial"/>
          <w:sz w:val="21"/>
          <w:szCs w:val="21"/>
        </w:rPr>
        <w:t>外部配套设施状况</w:t>
      </w:r>
    </w:p>
    <w:p w14:paraId="581E67DA" w14:textId="77777777" w:rsidR="00000000" w:rsidRDefault="00000000">
      <w:pPr>
        <w:spacing w:line="480" w:lineRule="auto"/>
        <w:ind w:firstLineChars="200" w:firstLine="420"/>
        <w:rPr>
          <w:rFonts w:ascii="Arial" w:hAnsi="Arial"/>
          <w:sz w:val="21"/>
          <w:szCs w:val="21"/>
        </w:rPr>
      </w:pPr>
      <w:r>
        <w:rPr>
          <w:rFonts w:ascii="Arial" w:hAnsi="Arial"/>
          <w:sz w:val="21"/>
          <w:szCs w:val="21"/>
        </w:rPr>
        <w:t>估价对象所处区域目前已拥有</w:t>
      </w:r>
      <w:r>
        <w:rPr>
          <w:rFonts w:ascii="Arial" w:hAnsi="Arial" w:hint="eastAsia"/>
          <w:sz w:val="21"/>
          <w:szCs w:val="21"/>
        </w:rPr>
        <w:t>较</w:t>
      </w:r>
      <w:r>
        <w:rPr>
          <w:rFonts w:ascii="Arial" w:hAnsi="Arial"/>
          <w:sz w:val="21"/>
          <w:szCs w:val="21"/>
        </w:rPr>
        <w:t>完善的基础设施配套保障，区内大部分区域基础设施配套目前可达到</w:t>
      </w:r>
      <w:r>
        <w:rPr>
          <w:rFonts w:ascii="Arial" w:hAnsi="Arial" w:hint="eastAsia"/>
          <w:sz w:val="21"/>
          <w:szCs w:val="21"/>
        </w:rPr>
        <w:t>“七</w:t>
      </w:r>
      <w:r>
        <w:rPr>
          <w:rFonts w:ascii="Arial" w:hAnsi="Arial"/>
          <w:sz w:val="21"/>
          <w:szCs w:val="21"/>
        </w:rPr>
        <w:t>通</w:t>
      </w:r>
      <w:r>
        <w:rPr>
          <w:rFonts w:ascii="Arial" w:hAnsi="Arial" w:hint="eastAsia"/>
          <w:sz w:val="21"/>
          <w:szCs w:val="21"/>
        </w:rPr>
        <w:t>”</w:t>
      </w:r>
      <w:r>
        <w:rPr>
          <w:rFonts w:ascii="Arial" w:hAnsi="Arial"/>
          <w:sz w:val="21"/>
          <w:szCs w:val="21"/>
        </w:rPr>
        <w:t>（</w:t>
      </w:r>
      <w:r>
        <w:rPr>
          <w:rFonts w:ascii="Arial" w:hAnsi="Arial" w:hint="eastAsia"/>
          <w:kern w:val="2"/>
          <w:sz w:val="21"/>
        </w:rPr>
        <w:t xml:space="preserve"> </w:t>
      </w:r>
      <w:r>
        <w:rPr>
          <w:rFonts w:ascii="Arial" w:hAnsi="Arial" w:hint="eastAsia"/>
          <w:kern w:val="2"/>
          <w:sz w:val="21"/>
        </w:rPr>
        <w:t>通路、通电、通讯、通上水、通下水、通燃气、通热</w:t>
      </w:r>
      <w:r>
        <w:rPr>
          <w:rFonts w:ascii="Arial" w:hAnsi="Arial"/>
          <w:sz w:val="21"/>
          <w:szCs w:val="21"/>
        </w:rPr>
        <w:t>）条件，且保证程度高。</w:t>
      </w:r>
    </w:p>
    <w:p w14:paraId="2182F6A1" w14:textId="77777777" w:rsidR="00000000" w:rsidRDefault="00000000">
      <w:pPr>
        <w:spacing w:line="480" w:lineRule="auto"/>
        <w:ind w:firstLineChars="200" w:firstLine="420"/>
        <w:jc w:val="both"/>
        <w:rPr>
          <w:rFonts w:ascii="Arial" w:eastAsia="楷体_GB2312" w:hAnsi="Arial" w:cs="Arial"/>
          <w:sz w:val="28"/>
        </w:rPr>
      </w:pPr>
      <w:r>
        <w:rPr>
          <w:rFonts w:ascii="Arial" w:hAnsi="Arial"/>
          <w:sz w:val="21"/>
          <w:szCs w:val="21"/>
        </w:rPr>
        <w:t>周边</w:t>
      </w:r>
      <w:r>
        <w:rPr>
          <w:rFonts w:ascii="Arial" w:hAnsi="Arial"/>
          <w:sz w:val="21"/>
          <w:szCs w:val="21"/>
        </w:rPr>
        <w:t>3</w:t>
      </w:r>
      <w:r>
        <w:rPr>
          <w:rFonts w:ascii="Arial" w:hAnsi="Arial"/>
          <w:sz w:val="21"/>
          <w:szCs w:val="21"/>
        </w:rPr>
        <w:t>公里内的公共服务配套设施齐备</w:t>
      </w:r>
      <w:r>
        <w:rPr>
          <w:rFonts w:ascii="Arial" w:hAnsi="Arial" w:hint="eastAsia"/>
          <w:sz w:val="21"/>
          <w:szCs w:val="21"/>
        </w:rPr>
        <w:t>度一般</w:t>
      </w:r>
      <w:r>
        <w:rPr>
          <w:rFonts w:ascii="Arial" w:hAnsi="Arial"/>
          <w:sz w:val="21"/>
          <w:szCs w:val="21"/>
        </w:rPr>
        <w:t>，医院（</w:t>
      </w:r>
      <w:r>
        <w:rPr>
          <w:rFonts w:ascii="Arial" w:hAnsi="Arial" w:hint="eastAsia"/>
          <w:sz w:val="21"/>
          <w:szCs w:val="21"/>
        </w:rPr>
        <w:t>北京理工大学良乡校区门诊部、北京中医药大学良乡校区门诊部、北京市房山</w:t>
      </w:r>
      <w:proofErr w:type="gramStart"/>
      <w:r>
        <w:rPr>
          <w:rFonts w:ascii="Arial" w:hAnsi="Arial" w:hint="eastAsia"/>
          <w:sz w:val="21"/>
          <w:szCs w:val="21"/>
        </w:rPr>
        <w:t>区鹏园</w:t>
      </w:r>
      <w:proofErr w:type="gramEnd"/>
      <w:r>
        <w:rPr>
          <w:rFonts w:ascii="Arial" w:hAnsi="Arial" w:hint="eastAsia"/>
          <w:sz w:val="21"/>
          <w:szCs w:val="21"/>
        </w:rPr>
        <w:t>医院</w:t>
      </w:r>
      <w:r>
        <w:rPr>
          <w:rFonts w:ascii="Arial" w:hAnsi="Arial"/>
          <w:sz w:val="21"/>
          <w:szCs w:val="21"/>
        </w:rPr>
        <w:t>）、银行（</w:t>
      </w:r>
      <w:r>
        <w:rPr>
          <w:rFonts w:ascii="Arial" w:hAnsi="Arial" w:hint="eastAsia"/>
          <w:sz w:val="21"/>
          <w:szCs w:val="21"/>
        </w:rPr>
        <w:t>北京农商银行、中国农业银行等</w:t>
      </w:r>
      <w:r>
        <w:rPr>
          <w:rFonts w:ascii="Arial" w:hAnsi="Arial"/>
          <w:sz w:val="21"/>
          <w:szCs w:val="21"/>
        </w:rPr>
        <w:t>）、学校（</w:t>
      </w:r>
      <w:r>
        <w:rPr>
          <w:rFonts w:ascii="Arial" w:hAnsi="Arial" w:hint="eastAsia"/>
          <w:sz w:val="21"/>
          <w:szCs w:val="21"/>
        </w:rPr>
        <w:t>北京理工大学附属实验学校、北京四中、长阳中心小学、北京市房山</w:t>
      </w:r>
      <w:proofErr w:type="gramStart"/>
      <w:r>
        <w:rPr>
          <w:rFonts w:ascii="Arial" w:hAnsi="Arial" w:hint="eastAsia"/>
          <w:sz w:val="21"/>
          <w:szCs w:val="21"/>
        </w:rPr>
        <w:t>区首实中兴广悦居</w:t>
      </w:r>
      <w:proofErr w:type="gramEnd"/>
      <w:r>
        <w:rPr>
          <w:rFonts w:ascii="Arial" w:hAnsi="Arial" w:hint="eastAsia"/>
          <w:sz w:val="21"/>
          <w:szCs w:val="21"/>
        </w:rPr>
        <w:t>幼儿园等</w:t>
      </w:r>
      <w:r>
        <w:rPr>
          <w:rFonts w:ascii="Arial" w:hAnsi="Arial"/>
          <w:sz w:val="21"/>
          <w:szCs w:val="21"/>
        </w:rPr>
        <w:t>）等公共服务配套设施。</w:t>
      </w:r>
    </w:p>
    <w:p w14:paraId="383C4F90" w14:textId="77777777" w:rsidR="00000000" w:rsidRDefault="00000000">
      <w:pPr>
        <w:spacing w:line="480" w:lineRule="auto"/>
        <w:ind w:firstLineChars="200" w:firstLine="420"/>
        <w:jc w:val="both"/>
        <w:rPr>
          <w:rFonts w:ascii="Arial" w:hAnsi="Arial" w:cs="Arial"/>
          <w:b/>
          <w:bCs/>
          <w:sz w:val="21"/>
          <w:szCs w:val="21"/>
        </w:rPr>
      </w:pPr>
      <w:r>
        <w:rPr>
          <w:rFonts w:ascii="Arial" w:hAnsi="Arial"/>
          <w:sz w:val="21"/>
          <w:szCs w:val="21"/>
        </w:rPr>
        <w:t>综上，</w:t>
      </w:r>
      <w:r>
        <w:rPr>
          <w:rFonts w:ascii="Arial" w:hAnsi="Arial" w:hint="eastAsia"/>
          <w:sz w:val="21"/>
          <w:szCs w:val="21"/>
        </w:rPr>
        <w:t>估价对象位置状况较好，商业繁华度一般，交通便捷度较好，环境状况较好，外部配套设施齐备度一般，区域市政基础设施达“七通”，估价对象总体区位状况一般。</w:t>
      </w:r>
    </w:p>
    <w:p w14:paraId="7CC50F51" w14:textId="77777777" w:rsidR="00000000" w:rsidRDefault="00000000">
      <w:pPr>
        <w:pStyle w:val="2"/>
        <w:numPr>
          <w:ilvl w:val="0"/>
          <w:numId w:val="0"/>
        </w:numPr>
        <w:spacing w:line="480" w:lineRule="auto"/>
        <w:ind w:left="358" w:hangingChars="170" w:hanging="358"/>
        <w:jc w:val="both"/>
        <w:rPr>
          <w:rFonts w:eastAsia="宋体"/>
          <w:kern w:val="2"/>
          <w:sz w:val="21"/>
          <w:szCs w:val="21"/>
        </w:rPr>
      </w:pPr>
      <w:bookmarkStart w:id="55" w:name="_Toc477252459"/>
      <w:r>
        <w:rPr>
          <w:rFonts w:eastAsia="宋体"/>
          <w:kern w:val="2"/>
          <w:sz w:val="21"/>
          <w:szCs w:val="21"/>
        </w:rPr>
        <w:t>二、市场背景描述与分析</w:t>
      </w:r>
      <w:bookmarkEnd w:id="55"/>
    </w:p>
    <w:p w14:paraId="2EE9859F" w14:textId="77777777" w:rsidR="00000000" w:rsidRDefault="00000000">
      <w:pPr>
        <w:spacing w:line="480" w:lineRule="auto"/>
        <w:jc w:val="both"/>
        <w:rPr>
          <w:rFonts w:ascii="Arial" w:hAnsi="Arial"/>
          <w:b/>
          <w:bCs/>
          <w:color w:val="548DD4"/>
          <w:sz w:val="21"/>
          <w:szCs w:val="28"/>
        </w:rPr>
      </w:pPr>
      <w:r>
        <w:rPr>
          <w:rFonts w:ascii="Arial" w:hAnsi="Arial" w:hint="eastAsia"/>
          <w:b/>
          <w:bCs/>
          <w:sz w:val="21"/>
          <w:szCs w:val="28"/>
        </w:rPr>
        <w:t>（一）北京市商业及办公用房房地产市场状况</w:t>
      </w:r>
    </w:p>
    <w:p w14:paraId="4FB7ED84" w14:textId="77777777" w:rsidR="00000000" w:rsidRDefault="00000000">
      <w:pPr>
        <w:spacing w:line="480" w:lineRule="auto"/>
        <w:ind w:right="-187" w:firstLineChars="200" w:firstLine="420"/>
        <w:jc w:val="both"/>
        <w:rPr>
          <w:rFonts w:ascii="Arial" w:hAnsi="Arial" w:cs="Arial" w:hint="eastAsia"/>
          <w:sz w:val="21"/>
        </w:rPr>
      </w:pPr>
      <w:r>
        <w:rPr>
          <w:rFonts w:ascii="Arial" w:hAnsi="Arial" w:cs="Arial" w:hint="eastAsia"/>
          <w:sz w:val="21"/>
        </w:rPr>
        <w:t>1.</w:t>
      </w:r>
      <w:r>
        <w:rPr>
          <w:rFonts w:ascii="Arial" w:hAnsi="Arial" w:cs="Arial" w:hint="eastAsia"/>
          <w:sz w:val="21"/>
        </w:rPr>
        <w:t>宏观环境</w:t>
      </w:r>
    </w:p>
    <w:p w14:paraId="5E1FC91A" w14:textId="77777777" w:rsidR="00000000" w:rsidRDefault="00000000">
      <w:pPr>
        <w:widowControl/>
        <w:adjustRightInd/>
        <w:spacing w:line="480" w:lineRule="auto"/>
        <w:ind w:firstLineChars="200" w:firstLine="420"/>
        <w:jc w:val="both"/>
        <w:rPr>
          <w:rFonts w:ascii="Arial" w:hAnsi="Arial" w:hint="eastAsia"/>
          <w:color w:val="000000"/>
          <w:sz w:val="21"/>
          <w:szCs w:val="21"/>
        </w:rPr>
      </w:pPr>
      <w:bookmarkStart w:id="56" w:name="OLE_LINK41"/>
      <w:bookmarkStart w:id="57" w:name="OLE_LINK42"/>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0472D6B8" w14:textId="77777777" w:rsidR="00000000" w:rsidRDefault="00000000">
      <w:pPr>
        <w:widowControl/>
        <w:adjustRightInd/>
        <w:spacing w:line="480" w:lineRule="auto"/>
        <w:ind w:firstLineChars="200" w:firstLine="420"/>
        <w:jc w:val="both"/>
        <w:rPr>
          <w:rFonts w:ascii="Arial" w:hAnsi="Arial" w:hint="eastAsia"/>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14:paraId="44A41661" w14:textId="77777777" w:rsidR="00000000" w:rsidRDefault="00000000">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14:paraId="65FB504B" w14:textId="20558533" w:rsidR="00000000" w:rsidRDefault="00690E7D">
      <w:pPr>
        <w:widowControl/>
        <w:adjustRightInd/>
        <w:spacing w:line="480" w:lineRule="auto"/>
        <w:jc w:val="center"/>
        <w:rPr>
          <w:rFonts w:ascii="Arial" w:hAnsi="Arial" w:hint="eastAsia"/>
          <w:color w:val="000000"/>
          <w:sz w:val="21"/>
          <w:szCs w:val="21"/>
        </w:rPr>
      </w:pPr>
      <w:r>
        <w:rPr>
          <w:rFonts w:ascii="Arial" w:eastAsia="仿宋" w:hAnsi="Arial" w:cs="Arial"/>
          <w:noProof/>
          <w:sz w:val="28"/>
          <w:szCs w:val="28"/>
        </w:rPr>
        <w:lastRenderedPageBreak/>
        <w:drawing>
          <wp:inline distT="0" distB="0" distL="0" distR="0" wp14:anchorId="56D61D63" wp14:editId="3C0ED6DC">
            <wp:extent cx="5904865" cy="2171700"/>
            <wp:effectExtent l="0" t="0" r="0" b="0"/>
            <wp:docPr id="5" name="图片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5442AE7"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bookmarkStart w:id="58" w:name="OLE_LINK39"/>
      <w:bookmarkEnd w:id="56"/>
      <w:bookmarkEnd w:id="57"/>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年全年，北京市实现地区生产总值</w:t>
      </w:r>
      <w:r>
        <w:rPr>
          <w:rFonts w:ascii="Arial" w:hAnsi="Arial" w:hint="eastAsia"/>
          <w:color w:val="000000"/>
          <w:sz w:val="21"/>
          <w:szCs w:val="21"/>
        </w:rPr>
        <w:t>52073.4</w:t>
      </w:r>
      <w:r>
        <w:rPr>
          <w:rFonts w:ascii="Arial" w:hAnsi="Arial" w:hint="eastAsia"/>
          <w:color w:val="000000"/>
          <w:sz w:val="21"/>
          <w:szCs w:val="21"/>
        </w:rPr>
        <w:t>亿元，按不变价格计算，比上年增长</w:t>
      </w:r>
      <w:r>
        <w:rPr>
          <w:rFonts w:ascii="Arial" w:hAnsi="Arial" w:hint="eastAsia"/>
          <w:color w:val="000000"/>
          <w:sz w:val="21"/>
          <w:szCs w:val="21"/>
        </w:rPr>
        <w:t>5.4%</w:t>
      </w:r>
      <w:r>
        <w:rPr>
          <w:rFonts w:ascii="Arial" w:hAnsi="Arial" w:hint="eastAsia"/>
          <w:color w:val="000000"/>
          <w:sz w:val="21"/>
          <w:szCs w:val="21"/>
        </w:rPr>
        <w:t>。分产业看，第一产业实现增加值</w:t>
      </w:r>
      <w:r>
        <w:rPr>
          <w:rFonts w:ascii="Arial" w:hAnsi="Arial" w:hint="eastAsia"/>
          <w:color w:val="000000"/>
          <w:sz w:val="21"/>
          <w:szCs w:val="21"/>
        </w:rPr>
        <w:t>109.2</w:t>
      </w:r>
      <w:r>
        <w:rPr>
          <w:rFonts w:ascii="Arial" w:hAnsi="Arial" w:hint="eastAsia"/>
          <w:color w:val="000000"/>
          <w:sz w:val="21"/>
          <w:szCs w:val="21"/>
        </w:rPr>
        <w:t>亿元，下降</w:t>
      </w:r>
      <w:r>
        <w:rPr>
          <w:rFonts w:ascii="Arial" w:hAnsi="Arial" w:hint="eastAsia"/>
          <w:color w:val="000000"/>
          <w:sz w:val="21"/>
          <w:szCs w:val="21"/>
        </w:rPr>
        <w:t>0.7%</w:t>
      </w:r>
      <w:r>
        <w:rPr>
          <w:rFonts w:ascii="Arial" w:hAnsi="Arial" w:hint="eastAsia"/>
          <w:color w:val="000000"/>
          <w:sz w:val="21"/>
          <w:szCs w:val="21"/>
        </w:rPr>
        <w:t>；第二产业实现增加值</w:t>
      </w:r>
      <w:r>
        <w:rPr>
          <w:rFonts w:ascii="Arial" w:hAnsi="Arial" w:hint="eastAsia"/>
          <w:color w:val="000000"/>
          <w:sz w:val="21"/>
          <w:szCs w:val="21"/>
        </w:rPr>
        <w:t>7187.4</w:t>
      </w:r>
      <w:r>
        <w:rPr>
          <w:rFonts w:ascii="Arial" w:hAnsi="Arial" w:hint="eastAsia"/>
          <w:color w:val="000000"/>
          <w:sz w:val="21"/>
          <w:szCs w:val="21"/>
        </w:rPr>
        <w:t>亿元，增长</w:t>
      </w:r>
      <w:r>
        <w:rPr>
          <w:rFonts w:ascii="Arial" w:hAnsi="Arial" w:hint="eastAsia"/>
          <w:color w:val="000000"/>
          <w:sz w:val="21"/>
          <w:szCs w:val="21"/>
        </w:rPr>
        <w:t>3.5%</w:t>
      </w:r>
      <w:r>
        <w:rPr>
          <w:rFonts w:ascii="Arial" w:hAnsi="Arial" w:hint="eastAsia"/>
          <w:color w:val="000000"/>
          <w:sz w:val="21"/>
          <w:szCs w:val="21"/>
        </w:rPr>
        <w:t>；第三产业实现增加值</w:t>
      </w:r>
      <w:r>
        <w:rPr>
          <w:rFonts w:ascii="Arial" w:hAnsi="Arial" w:hint="eastAsia"/>
          <w:color w:val="000000"/>
          <w:sz w:val="21"/>
          <w:szCs w:val="21"/>
        </w:rPr>
        <w:t>44776.9</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14:paraId="532EE211"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hint="eastAsia"/>
          <w:color w:val="000000"/>
          <w:sz w:val="21"/>
          <w:szCs w:val="21"/>
        </w:rPr>
        <w:t>2025</w:t>
      </w:r>
      <w:r>
        <w:rPr>
          <w:rFonts w:ascii="Arial" w:hAnsi="Arial" w:hint="eastAsia"/>
          <w:color w:val="000000"/>
          <w:sz w:val="21"/>
          <w:szCs w:val="21"/>
        </w:rPr>
        <w:t>年，北京市固定资产投资（不含农户）比上年增长</w:t>
      </w:r>
      <w:r>
        <w:rPr>
          <w:rFonts w:ascii="Arial" w:hAnsi="Arial" w:hint="eastAsia"/>
          <w:color w:val="000000"/>
          <w:sz w:val="21"/>
          <w:szCs w:val="21"/>
        </w:rPr>
        <w:t>5.5%</w:t>
      </w:r>
      <w:r>
        <w:rPr>
          <w:rFonts w:ascii="Arial" w:hAnsi="Arial" w:hint="eastAsia"/>
          <w:color w:val="000000"/>
          <w:sz w:val="21"/>
          <w:szCs w:val="21"/>
        </w:rPr>
        <w:t>。其中，反映企业生产能力扩大的设备购置投资增长</w:t>
      </w:r>
      <w:r>
        <w:rPr>
          <w:rFonts w:ascii="Arial" w:hAnsi="Arial" w:hint="eastAsia"/>
          <w:color w:val="000000"/>
          <w:sz w:val="21"/>
          <w:szCs w:val="21"/>
        </w:rPr>
        <w:t>66.0%</w:t>
      </w:r>
      <w:r>
        <w:rPr>
          <w:rFonts w:ascii="Arial" w:hAnsi="Arial" w:hint="eastAsia"/>
          <w:color w:val="000000"/>
          <w:sz w:val="21"/>
          <w:szCs w:val="21"/>
        </w:rPr>
        <w:t>，占固定资产投资的比重为</w:t>
      </w:r>
      <w:r>
        <w:rPr>
          <w:rFonts w:ascii="Arial" w:hAnsi="Arial" w:hint="eastAsia"/>
          <w:color w:val="000000"/>
          <w:sz w:val="21"/>
          <w:szCs w:val="21"/>
        </w:rPr>
        <w:t>32.3%</w:t>
      </w:r>
      <w:r>
        <w:rPr>
          <w:rFonts w:ascii="Arial" w:hAnsi="Arial" w:hint="eastAsia"/>
          <w:color w:val="000000"/>
          <w:sz w:val="21"/>
          <w:szCs w:val="21"/>
        </w:rPr>
        <w:t>，同比提高</w:t>
      </w:r>
      <w:r>
        <w:rPr>
          <w:rFonts w:ascii="Arial" w:hAnsi="Arial" w:hint="eastAsia"/>
          <w:color w:val="000000"/>
          <w:sz w:val="21"/>
          <w:szCs w:val="21"/>
        </w:rPr>
        <w:t>11.7</w:t>
      </w:r>
      <w:r>
        <w:rPr>
          <w:rFonts w:ascii="Arial" w:hAnsi="Arial" w:hint="eastAsia"/>
          <w:color w:val="000000"/>
          <w:sz w:val="21"/>
          <w:szCs w:val="21"/>
        </w:rPr>
        <w:t>个百分点，新一代信息技术、集成电路领域相关项目是主要带动力量。分领域看，基础设施投资下降</w:t>
      </w:r>
      <w:r>
        <w:rPr>
          <w:rFonts w:ascii="Arial" w:hAnsi="Arial" w:hint="eastAsia"/>
          <w:color w:val="000000"/>
          <w:sz w:val="21"/>
          <w:szCs w:val="21"/>
        </w:rPr>
        <w:t>1.6%</w:t>
      </w:r>
      <w:r>
        <w:rPr>
          <w:rFonts w:ascii="Arial" w:hAnsi="Arial" w:hint="eastAsia"/>
          <w:color w:val="000000"/>
          <w:sz w:val="21"/>
          <w:szCs w:val="21"/>
        </w:rPr>
        <w:t>，房地产开发投资下降</w:t>
      </w:r>
      <w:r>
        <w:rPr>
          <w:rFonts w:ascii="Arial" w:hAnsi="Arial" w:hint="eastAsia"/>
          <w:color w:val="000000"/>
          <w:sz w:val="21"/>
          <w:szCs w:val="21"/>
        </w:rPr>
        <w:t>15.5%</w:t>
      </w:r>
      <w:r>
        <w:rPr>
          <w:rFonts w:ascii="Arial" w:hAnsi="Arial" w:hint="eastAsia"/>
          <w:color w:val="000000"/>
          <w:sz w:val="21"/>
          <w:szCs w:val="21"/>
        </w:rPr>
        <w:t>。分产业看，第一产业投资增长</w:t>
      </w:r>
      <w:r>
        <w:rPr>
          <w:rFonts w:ascii="Arial" w:hAnsi="Arial" w:hint="eastAsia"/>
          <w:color w:val="000000"/>
          <w:sz w:val="21"/>
          <w:szCs w:val="21"/>
        </w:rPr>
        <w:t>6.3%</w:t>
      </w:r>
      <w:r>
        <w:rPr>
          <w:rFonts w:ascii="Arial" w:hAnsi="Arial" w:hint="eastAsia"/>
          <w:color w:val="000000"/>
          <w:sz w:val="21"/>
          <w:szCs w:val="21"/>
        </w:rPr>
        <w:t>；第二产业投资增长</w:t>
      </w:r>
      <w:r>
        <w:rPr>
          <w:rFonts w:ascii="Arial" w:hAnsi="Arial" w:hint="eastAsia"/>
          <w:color w:val="000000"/>
          <w:sz w:val="21"/>
          <w:szCs w:val="21"/>
        </w:rPr>
        <w:t>4.3%</w:t>
      </w:r>
      <w:r>
        <w:rPr>
          <w:rFonts w:ascii="Arial" w:hAnsi="Arial" w:hint="eastAsia"/>
          <w:color w:val="000000"/>
          <w:sz w:val="21"/>
          <w:szCs w:val="21"/>
        </w:rPr>
        <w:t>；第三产业投资增长</w:t>
      </w:r>
      <w:r>
        <w:rPr>
          <w:rFonts w:ascii="Arial" w:hAnsi="Arial" w:hint="eastAsia"/>
          <w:color w:val="000000"/>
          <w:sz w:val="21"/>
          <w:szCs w:val="21"/>
        </w:rPr>
        <w:t>5.6%</w:t>
      </w:r>
      <w:r>
        <w:rPr>
          <w:rFonts w:ascii="Arial" w:hAnsi="Arial" w:hint="eastAsia"/>
          <w:color w:val="000000"/>
          <w:sz w:val="21"/>
          <w:szCs w:val="21"/>
        </w:rPr>
        <w:t>，其中，信息传输、软件和信息技术服务业，科学研究和技术服务业投资分别增长</w:t>
      </w:r>
      <w:r>
        <w:rPr>
          <w:rFonts w:ascii="Arial" w:hAnsi="Arial" w:hint="eastAsia"/>
          <w:color w:val="000000"/>
          <w:sz w:val="21"/>
          <w:szCs w:val="21"/>
        </w:rPr>
        <w:t>83.0%</w:t>
      </w:r>
      <w:r>
        <w:rPr>
          <w:rFonts w:ascii="Arial" w:hAnsi="Arial" w:hint="eastAsia"/>
          <w:color w:val="000000"/>
          <w:sz w:val="21"/>
          <w:szCs w:val="21"/>
        </w:rPr>
        <w:t>和</w:t>
      </w:r>
      <w:r>
        <w:rPr>
          <w:rFonts w:ascii="Arial" w:hAnsi="Arial" w:hint="eastAsia"/>
          <w:color w:val="000000"/>
          <w:sz w:val="21"/>
          <w:szCs w:val="21"/>
        </w:rPr>
        <w:t>8.5%</w:t>
      </w:r>
      <w:r>
        <w:rPr>
          <w:rFonts w:ascii="Arial" w:hAnsi="Arial" w:hint="eastAsia"/>
          <w:color w:val="000000"/>
          <w:sz w:val="21"/>
          <w:szCs w:val="21"/>
        </w:rPr>
        <w:t>；“投资于人”稳步推进，教育、文化体育和娱乐业投资分别增长</w:t>
      </w:r>
      <w:r>
        <w:rPr>
          <w:rFonts w:ascii="Arial" w:hAnsi="Arial" w:hint="eastAsia"/>
          <w:color w:val="000000"/>
          <w:sz w:val="21"/>
          <w:szCs w:val="21"/>
        </w:rPr>
        <w:t>30.7%</w:t>
      </w:r>
      <w:r>
        <w:rPr>
          <w:rFonts w:ascii="Arial" w:hAnsi="Arial" w:hint="eastAsia"/>
          <w:color w:val="000000"/>
          <w:sz w:val="21"/>
          <w:szCs w:val="21"/>
        </w:rPr>
        <w:t>和</w:t>
      </w:r>
      <w:r>
        <w:rPr>
          <w:rFonts w:ascii="Arial" w:hAnsi="Arial" w:hint="eastAsia"/>
          <w:color w:val="000000"/>
          <w:sz w:val="21"/>
          <w:szCs w:val="21"/>
        </w:rPr>
        <w:t>30.1%</w:t>
      </w:r>
      <w:r>
        <w:rPr>
          <w:rFonts w:ascii="Arial" w:hAnsi="Arial" w:hint="eastAsia"/>
          <w:color w:val="000000"/>
          <w:sz w:val="21"/>
          <w:szCs w:val="21"/>
        </w:rPr>
        <w:t>。高技术产业投资保持活跃，增长</w:t>
      </w:r>
      <w:r>
        <w:rPr>
          <w:rFonts w:ascii="Arial" w:hAnsi="Arial" w:hint="eastAsia"/>
          <w:color w:val="000000"/>
          <w:sz w:val="21"/>
          <w:szCs w:val="21"/>
        </w:rPr>
        <w:t>40.1%</w:t>
      </w:r>
      <w:r>
        <w:rPr>
          <w:rFonts w:ascii="Arial" w:hAnsi="Arial" w:hint="eastAsia"/>
          <w:color w:val="000000"/>
          <w:sz w:val="21"/>
          <w:szCs w:val="21"/>
        </w:rPr>
        <w:t>，其中高技术服务业投资增长</w:t>
      </w:r>
      <w:r>
        <w:rPr>
          <w:rFonts w:ascii="Arial" w:hAnsi="Arial" w:hint="eastAsia"/>
          <w:color w:val="000000"/>
          <w:sz w:val="21"/>
          <w:szCs w:val="21"/>
        </w:rPr>
        <w:t>64.9%</w:t>
      </w:r>
      <w:r>
        <w:rPr>
          <w:rFonts w:ascii="Arial" w:hAnsi="Arial" w:hint="eastAsia"/>
          <w:color w:val="000000"/>
          <w:sz w:val="21"/>
          <w:szCs w:val="21"/>
        </w:rPr>
        <w:t>，互联网</w:t>
      </w:r>
      <w:proofErr w:type="gramStart"/>
      <w:r>
        <w:rPr>
          <w:rFonts w:ascii="Arial" w:hAnsi="Arial" w:hint="eastAsia"/>
          <w:color w:val="000000"/>
          <w:sz w:val="21"/>
          <w:szCs w:val="21"/>
        </w:rPr>
        <w:t>企业算力设备更新</w:t>
      </w:r>
      <w:proofErr w:type="gramEnd"/>
      <w:r>
        <w:rPr>
          <w:rFonts w:ascii="Arial" w:hAnsi="Arial" w:hint="eastAsia"/>
          <w:color w:val="000000"/>
          <w:sz w:val="21"/>
          <w:szCs w:val="21"/>
        </w:rPr>
        <w:t>等领域加大投入。</w:t>
      </w:r>
    </w:p>
    <w:p w14:paraId="48A393A5"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hint="eastAsia"/>
          <w:color w:val="000000"/>
          <w:sz w:val="21"/>
          <w:szCs w:val="21"/>
        </w:rPr>
        <w:t>2025</w:t>
      </w:r>
      <w:r>
        <w:rPr>
          <w:rFonts w:ascii="Arial" w:hAnsi="Arial" w:hint="eastAsia"/>
          <w:color w:val="000000"/>
          <w:sz w:val="21"/>
          <w:szCs w:val="21"/>
        </w:rPr>
        <w:t>年末，北京市房屋施工面积</w:t>
      </w:r>
      <w:r>
        <w:rPr>
          <w:rFonts w:ascii="Arial" w:hAnsi="Arial" w:hint="eastAsia"/>
          <w:color w:val="000000"/>
          <w:sz w:val="21"/>
          <w:szCs w:val="21"/>
        </w:rPr>
        <w:t>10307.8</w:t>
      </w:r>
      <w:r>
        <w:rPr>
          <w:rFonts w:ascii="Arial" w:hAnsi="Arial" w:hint="eastAsia"/>
          <w:color w:val="000000"/>
          <w:sz w:val="21"/>
          <w:szCs w:val="21"/>
        </w:rPr>
        <w:t>万平方米，比上年末下降</w:t>
      </w:r>
      <w:r>
        <w:rPr>
          <w:rFonts w:ascii="Arial" w:hAnsi="Arial" w:hint="eastAsia"/>
          <w:color w:val="000000"/>
          <w:sz w:val="21"/>
          <w:szCs w:val="21"/>
        </w:rPr>
        <w:t>8.9%</w:t>
      </w:r>
      <w:r>
        <w:rPr>
          <w:rFonts w:ascii="Arial" w:hAnsi="Arial" w:hint="eastAsia"/>
          <w:color w:val="000000"/>
          <w:sz w:val="21"/>
          <w:szCs w:val="21"/>
        </w:rPr>
        <w:t>，其中，住宅施工面积</w:t>
      </w:r>
      <w:r>
        <w:rPr>
          <w:rFonts w:ascii="Arial" w:hAnsi="Arial" w:hint="eastAsia"/>
          <w:color w:val="000000"/>
          <w:sz w:val="21"/>
          <w:szCs w:val="21"/>
        </w:rPr>
        <w:t>5149.6</w:t>
      </w:r>
      <w:r>
        <w:rPr>
          <w:rFonts w:ascii="Arial" w:hAnsi="Arial" w:hint="eastAsia"/>
          <w:color w:val="000000"/>
          <w:sz w:val="21"/>
          <w:szCs w:val="21"/>
        </w:rPr>
        <w:t>万平方米，下降</w:t>
      </w:r>
      <w:r>
        <w:rPr>
          <w:rFonts w:ascii="Arial" w:hAnsi="Arial" w:hint="eastAsia"/>
          <w:color w:val="000000"/>
          <w:sz w:val="21"/>
          <w:szCs w:val="21"/>
        </w:rPr>
        <w:t>9.1%</w:t>
      </w:r>
      <w:r>
        <w:rPr>
          <w:rFonts w:ascii="Arial" w:hAnsi="Arial" w:hint="eastAsia"/>
          <w:color w:val="000000"/>
          <w:sz w:val="21"/>
          <w:szCs w:val="21"/>
        </w:rPr>
        <w:t>。全年商品房销售面积</w:t>
      </w:r>
      <w:r>
        <w:rPr>
          <w:rFonts w:ascii="Arial" w:hAnsi="Arial" w:hint="eastAsia"/>
          <w:color w:val="000000"/>
          <w:sz w:val="21"/>
          <w:szCs w:val="21"/>
        </w:rPr>
        <w:t>1041.0</w:t>
      </w:r>
      <w:r>
        <w:rPr>
          <w:rFonts w:ascii="Arial" w:hAnsi="Arial" w:hint="eastAsia"/>
          <w:color w:val="000000"/>
          <w:sz w:val="21"/>
          <w:szCs w:val="21"/>
        </w:rPr>
        <w:t>万平方米，下降</w:t>
      </w:r>
      <w:r>
        <w:rPr>
          <w:rFonts w:ascii="Arial" w:hAnsi="Arial" w:hint="eastAsia"/>
          <w:color w:val="000000"/>
          <w:sz w:val="21"/>
          <w:szCs w:val="21"/>
        </w:rPr>
        <w:t>6.9%</w:t>
      </w:r>
      <w:r>
        <w:rPr>
          <w:rFonts w:ascii="Arial" w:hAnsi="Arial" w:hint="eastAsia"/>
          <w:color w:val="000000"/>
          <w:sz w:val="21"/>
          <w:szCs w:val="21"/>
        </w:rPr>
        <w:t>，其中，住宅销售面积</w:t>
      </w:r>
      <w:r>
        <w:rPr>
          <w:rFonts w:ascii="Arial" w:hAnsi="Arial" w:hint="eastAsia"/>
          <w:color w:val="000000"/>
          <w:sz w:val="21"/>
          <w:szCs w:val="21"/>
        </w:rPr>
        <w:t>724.0</w:t>
      </w:r>
      <w:r>
        <w:rPr>
          <w:rFonts w:ascii="Arial" w:hAnsi="Arial" w:hint="eastAsia"/>
          <w:color w:val="000000"/>
          <w:sz w:val="21"/>
          <w:szCs w:val="21"/>
        </w:rPr>
        <w:t>万平方米，下降</w:t>
      </w:r>
      <w:r>
        <w:rPr>
          <w:rFonts w:ascii="Arial" w:hAnsi="Arial" w:hint="eastAsia"/>
          <w:color w:val="000000"/>
          <w:sz w:val="21"/>
          <w:szCs w:val="21"/>
        </w:rPr>
        <w:t>7.9%</w:t>
      </w:r>
      <w:r>
        <w:rPr>
          <w:rFonts w:ascii="Arial" w:hAnsi="Arial" w:hint="eastAsia"/>
          <w:color w:val="000000"/>
          <w:sz w:val="21"/>
          <w:szCs w:val="21"/>
        </w:rPr>
        <w:t>。</w:t>
      </w:r>
    </w:p>
    <w:p w14:paraId="4664093E" w14:textId="77777777" w:rsidR="00000000"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年，北京市房地产开发企业房屋新开工面积</w:t>
      </w:r>
      <w:r>
        <w:rPr>
          <w:rFonts w:ascii="Arial" w:hAnsi="Arial" w:hint="eastAsia"/>
          <w:color w:val="000000"/>
          <w:sz w:val="21"/>
          <w:szCs w:val="21"/>
        </w:rPr>
        <w:t>1156.6</w:t>
      </w:r>
      <w:r>
        <w:rPr>
          <w:rFonts w:ascii="Arial" w:hAnsi="Arial" w:hint="eastAsia"/>
          <w:color w:val="000000"/>
          <w:sz w:val="21"/>
          <w:szCs w:val="21"/>
        </w:rPr>
        <w:t>万平方米，同比下降</w:t>
      </w:r>
      <w:r>
        <w:rPr>
          <w:rFonts w:ascii="Arial" w:hAnsi="Arial" w:hint="eastAsia"/>
          <w:color w:val="000000"/>
          <w:sz w:val="21"/>
          <w:szCs w:val="21"/>
        </w:rPr>
        <w:t>10.1%</w:t>
      </w:r>
      <w:r>
        <w:rPr>
          <w:rFonts w:ascii="Arial" w:hAnsi="Arial" w:hint="eastAsia"/>
          <w:color w:val="000000"/>
          <w:sz w:val="21"/>
          <w:szCs w:val="21"/>
        </w:rPr>
        <w:t>。其中，住宅新开工面积</w:t>
      </w:r>
      <w:r>
        <w:rPr>
          <w:rFonts w:ascii="Arial" w:hAnsi="Arial" w:hint="eastAsia"/>
          <w:color w:val="000000"/>
          <w:sz w:val="21"/>
          <w:szCs w:val="21"/>
        </w:rPr>
        <w:t>727.8</w:t>
      </w:r>
      <w:r>
        <w:rPr>
          <w:rFonts w:ascii="Arial" w:hAnsi="Arial" w:hint="eastAsia"/>
          <w:color w:val="000000"/>
          <w:sz w:val="21"/>
          <w:szCs w:val="21"/>
        </w:rPr>
        <w:t>万平方米，下降</w:t>
      </w:r>
      <w:r>
        <w:rPr>
          <w:rFonts w:ascii="Arial" w:hAnsi="Arial" w:hint="eastAsia"/>
          <w:color w:val="000000"/>
          <w:sz w:val="21"/>
          <w:szCs w:val="21"/>
        </w:rPr>
        <w:t>4.5%</w:t>
      </w:r>
      <w:r>
        <w:rPr>
          <w:rFonts w:ascii="Arial" w:hAnsi="Arial" w:hint="eastAsia"/>
          <w:color w:val="000000"/>
          <w:sz w:val="21"/>
          <w:szCs w:val="21"/>
        </w:rPr>
        <w:t>；办公楼</w:t>
      </w:r>
      <w:r>
        <w:rPr>
          <w:rFonts w:ascii="Arial" w:hAnsi="Arial" w:hint="eastAsia"/>
          <w:color w:val="000000"/>
          <w:sz w:val="21"/>
          <w:szCs w:val="21"/>
        </w:rPr>
        <w:t>35.1</w:t>
      </w:r>
      <w:r>
        <w:rPr>
          <w:rFonts w:ascii="Arial" w:hAnsi="Arial" w:hint="eastAsia"/>
          <w:color w:val="000000"/>
          <w:sz w:val="21"/>
          <w:szCs w:val="21"/>
        </w:rPr>
        <w:t>万平方米，下降</w:t>
      </w:r>
      <w:r>
        <w:rPr>
          <w:rFonts w:ascii="Arial" w:hAnsi="Arial" w:hint="eastAsia"/>
          <w:color w:val="000000"/>
          <w:sz w:val="21"/>
          <w:szCs w:val="21"/>
        </w:rPr>
        <w:t>40.2%</w:t>
      </w:r>
      <w:r>
        <w:rPr>
          <w:rFonts w:ascii="Arial" w:hAnsi="Arial" w:hint="eastAsia"/>
          <w:color w:val="000000"/>
          <w:sz w:val="21"/>
          <w:szCs w:val="21"/>
        </w:rPr>
        <w:t>；商业营业用房</w:t>
      </w:r>
      <w:r>
        <w:rPr>
          <w:rFonts w:ascii="Arial" w:hAnsi="Arial" w:hint="eastAsia"/>
          <w:color w:val="000000"/>
          <w:sz w:val="21"/>
          <w:szCs w:val="21"/>
        </w:rPr>
        <w:t>58</w:t>
      </w:r>
      <w:r>
        <w:rPr>
          <w:rFonts w:ascii="Arial" w:hAnsi="Arial" w:hint="eastAsia"/>
          <w:color w:val="000000"/>
          <w:sz w:val="21"/>
          <w:szCs w:val="21"/>
        </w:rPr>
        <w:t>万平方米，下降</w:t>
      </w:r>
      <w:r>
        <w:rPr>
          <w:rFonts w:ascii="Arial" w:hAnsi="Arial" w:hint="eastAsia"/>
          <w:color w:val="000000"/>
          <w:sz w:val="21"/>
          <w:szCs w:val="21"/>
        </w:rPr>
        <w:t>11.2%</w:t>
      </w:r>
      <w:r>
        <w:rPr>
          <w:rFonts w:ascii="Arial" w:hAnsi="Arial" w:hint="eastAsia"/>
          <w:color w:val="000000"/>
          <w:sz w:val="21"/>
          <w:szCs w:val="21"/>
        </w:rPr>
        <w:t>。</w:t>
      </w:r>
    </w:p>
    <w:p w14:paraId="06C3635F" w14:textId="77777777" w:rsidR="00000000"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lastRenderedPageBreak/>
        <w:t>北京市房屋竣工面积</w:t>
      </w:r>
      <w:r>
        <w:rPr>
          <w:rFonts w:ascii="Arial" w:hAnsi="Arial" w:hint="eastAsia"/>
          <w:color w:val="000000"/>
          <w:sz w:val="21"/>
          <w:szCs w:val="21"/>
        </w:rPr>
        <w:t>1464.8</w:t>
      </w:r>
      <w:r>
        <w:rPr>
          <w:rFonts w:ascii="Arial" w:hAnsi="Arial" w:hint="eastAsia"/>
          <w:color w:val="000000"/>
          <w:sz w:val="21"/>
          <w:szCs w:val="21"/>
        </w:rPr>
        <w:t>万平方米，同比下降</w:t>
      </w:r>
      <w:r>
        <w:rPr>
          <w:rFonts w:ascii="Arial" w:hAnsi="Arial" w:hint="eastAsia"/>
          <w:color w:val="000000"/>
          <w:sz w:val="21"/>
          <w:szCs w:val="21"/>
        </w:rPr>
        <w:t>11.4%</w:t>
      </w:r>
      <w:r>
        <w:rPr>
          <w:rFonts w:ascii="Arial" w:hAnsi="Arial" w:hint="eastAsia"/>
          <w:color w:val="000000"/>
          <w:sz w:val="21"/>
          <w:szCs w:val="21"/>
        </w:rPr>
        <w:t>。其中，住宅竣工面积</w:t>
      </w:r>
      <w:r>
        <w:rPr>
          <w:rFonts w:ascii="Arial" w:hAnsi="Arial" w:hint="eastAsia"/>
          <w:color w:val="000000"/>
          <w:sz w:val="21"/>
          <w:szCs w:val="21"/>
        </w:rPr>
        <w:t>746.7</w:t>
      </w:r>
      <w:r>
        <w:rPr>
          <w:rFonts w:ascii="Arial" w:hAnsi="Arial" w:hint="eastAsia"/>
          <w:color w:val="000000"/>
          <w:sz w:val="21"/>
          <w:szCs w:val="21"/>
        </w:rPr>
        <w:t>万平方米，下降</w:t>
      </w:r>
      <w:r>
        <w:rPr>
          <w:rFonts w:ascii="Arial" w:hAnsi="Arial" w:hint="eastAsia"/>
          <w:color w:val="000000"/>
          <w:sz w:val="21"/>
          <w:szCs w:val="21"/>
        </w:rPr>
        <w:t>18.2%</w:t>
      </w:r>
      <w:r>
        <w:rPr>
          <w:rFonts w:ascii="Arial" w:hAnsi="Arial" w:hint="eastAsia"/>
          <w:color w:val="000000"/>
          <w:sz w:val="21"/>
          <w:szCs w:val="21"/>
        </w:rPr>
        <w:t>；办公楼</w:t>
      </w:r>
      <w:r>
        <w:rPr>
          <w:rFonts w:ascii="Arial" w:hAnsi="Arial" w:hint="eastAsia"/>
          <w:color w:val="000000"/>
          <w:sz w:val="21"/>
          <w:szCs w:val="21"/>
        </w:rPr>
        <w:t>53.4</w:t>
      </w:r>
      <w:r>
        <w:rPr>
          <w:rFonts w:ascii="Arial" w:hAnsi="Arial" w:hint="eastAsia"/>
          <w:color w:val="000000"/>
          <w:sz w:val="21"/>
          <w:szCs w:val="21"/>
        </w:rPr>
        <w:t>万平方米，下降</w:t>
      </w:r>
      <w:r>
        <w:rPr>
          <w:rFonts w:ascii="Arial" w:hAnsi="Arial" w:hint="eastAsia"/>
          <w:color w:val="000000"/>
          <w:sz w:val="21"/>
          <w:szCs w:val="21"/>
        </w:rPr>
        <w:t>35%</w:t>
      </w:r>
      <w:r>
        <w:rPr>
          <w:rFonts w:ascii="Arial" w:hAnsi="Arial" w:hint="eastAsia"/>
          <w:color w:val="000000"/>
          <w:sz w:val="21"/>
          <w:szCs w:val="21"/>
        </w:rPr>
        <w:t>；商业营业用房</w:t>
      </w:r>
      <w:r>
        <w:rPr>
          <w:rFonts w:ascii="Arial" w:hAnsi="Arial" w:hint="eastAsia"/>
          <w:color w:val="000000"/>
          <w:sz w:val="21"/>
          <w:szCs w:val="21"/>
        </w:rPr>
        <w:t>123.8</w:t>
      </w:r>
      <w:r>
        <w:rPr>
          <w:rFonts w:ascii="Arial" w:hAnsi="Arial" w:hint="eastAsia"/>
          <w:color w:val="000000"/>
          <w:sz w:val="21"/>
          <w:szCs w:val="21"/>
        </w:rPr>
        <w:t>万平方米，增长</w:t>
      </w:r>
      <w:r>
        <w:rPr>
          <w:rFonts w:ascii="Arial" w:hAnsi="Arial" w:hint="eastAsia"/>
          <w:color w:val="000000"/>
          <w:sz w:val="21"/>
          <w:szCs w:val="21"/>
        </w:rPr>
        <w:t>98.3%</w:t>
      </w:r>
      <w:r>
        <w:rPr>
          <w:rFonts w:ascii="Arial" w:hAnsi="Arial" w:hint="eastAsia"/>
          <w:color w:val="000000"/>
          <w:sz w:val="21"/>
          <w:szCs w:val="21"/>
        </w:rPr>
        <w:t>。</w:t>
      </w:r>
    </w:p>
    <w:p w14:paraId="10C7F0CE"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年北京市坚持稳中求进工作总基调，完整准确全面贯彻新发展理念，落实</w:t>
      </w:r>
      <w:proofErr w:type="gramStart"/>
      <w:r>
        <w:rPr>
          <w:rFonts w:ascii="Arial" w:hAnsi="Arial" w:hint="eastAsia"/>
          <w:color w:val="000000"/>
          <w:sz w:val="21"/>
          <w:szCs w:val="21"/>
        </w:rPr>
        <w:t>落细稳经济</w:t>
      </w:r>
      <w:proofErr w:type="gramEnd"/>
      <w:r>
        <w:rPr>
          <w:rFonts w:ascii="Arial" w:hAnsi="Arial" w:hint="eastAsia"/>
          <w:color w:val="000000"/>
          <w:sz w:val="21"/>
          <w:szCs w:val="21"/>
        </w:rPr>
        <w:t>系列政策措施，积极应对各类风险挑战，全市经济保持平稳运行，生产需求稳中向好，就业物价保持稳定，居民收入稳步增加，新质生产力培育壮大，高质量发展取得积极成效，实现“十四五”圆满收官。</w:t>
      </w:r>
    </w:p>
    <w:bookmarkEnd w:id="58"/>
    <w:p w14:paraId="616DD8A3" w14:textId="77777777" w:rsidR="00000000" w:rsidRDefault="00000000">
      <w:pPr>
        <w:spacing w:line="480" w:lineRule="auto"/>
        <w:ind w:firstLineChars="200" w:firstLine="420"/>
        <w:jc w:val="both"/>
        <w:rPr>
          <w:rFonts w:ascii="Arial" w:hAnsi="Arial"/>
          <w:bCs/>
          <w:color w:val="000000"/>
          <w:sz w:val="21"/>
          <w:szCs w:val="28"/>
        </w:rPr>
      </w:pPr>
      <w:r>
        <w:rPr>
          <w:rFonts w:ascii="Arial" w:hAnsi="Arial" w:hint="eastAsia"/>
          <w:bCs/>
          <w:sz w:val="21"/>
          <w:szCs w:val="28"/>
        </w:rPr>
        <w:t>2.</w:t>
      </w:r>
      <w:r>
        <w:rPr>
          <w:rFonts w:ascii="Arial" w:hAnsi="Arial" w:hint="eastAsia"/>
          <w:bCs/>
          <w:color w:val="000000"/>
          <w:sz w:val="21"/>
          <w:szCs w:val="28"/>
        </w:rPr>
        <w:t>土地市场</w:t>
      </w:r>
    </w:p>
    <w:p w14:paraId="4E1CE232"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hint="eastAsia"/>
          <w:color w:val="000000"/>
          <w:sz w:val="21"/>
          <w:szCs w:val="21"/>
        </w:rPr>
        <w:t>2025</w:t>
      </w:r>
      <w:r>
        <w:rPr>
          <w:rFonts w:ascii="Arial" w:hAnsi="Arial" w:hint="eastAsia"/>
          <w:color w:val="000000"/>
          <w:sz w:val="21"/>
          <w:szCs w:val="21"/>
        </w:rPr>
        <w:t>年，北京市累计推出</w:t>
      </w:r>
      <w:r>
        <w:rPr>
          <w:rFonts w:ascii="Arial" w:hAnsi="Arial" w:hint="eastAsia"/>
          <w:color w:val="000000"/>
          <w:sz w:val="21"/>
          <w:szCs w:val="21"/>
        </w:rPr>
        <w:t>12</w:t>
      </w:r>
      <w:r>
        <w:rPr>
          <w:rFonts w:ascii="Arial" w:hAnsi="Arial" w:hint="eastAsia"/>
          <w:color w:val="000000"/>
          <w:sz w:val="21"/>
          <w:szCs w:val="21"/>
        </w:rPr>
        <w:t>宗商办用地（不含集体土地，下同），推出</w:t>
      </w:r>
      <w:proofErr w:type="gramStart"/>
      <w:r>
        <w:rPr>
          <w:rFonts w:ascii="Arial" w:hAnsi="Arial" w:hint="eastAsia"/>
          <w:color w:val="000000"/>
          <w:sz w:val="21"/>
          <w:szCs w:val="21"/>
        </w:rPr>
        <w:t>规划建面</w:t>
      </w:r>
      <w:proofErr w:type="gramEnd"/>
      <w:r>
        <w:rPr>
          <w:rFonts w:ascii="Arial" w:hAnsi="Arial" w:hint="eastAsia"/>
          <w:color w:val="000000"/>
          <w:sz w:val="21"/>
          <w:szCs w:val="21"/>
        </w:rPr>
        <w:t>78.75</w:t>
      </w:r>
      <w:r>
        <w:rPr>
          <w:rFonts w:ascii="Arial" w:hAnsi="Arial" w:hint="eastAsia"/>
          <w:color w:val="000000"/>
          <w:sz w:val="21"/>
          <w:szCs w:val="21"/>
        </w:rPr>
        <w:t>万㎡，同比增长</w:t>
      </w:r>
      <w:r>
        <w:rPr>
          <w:rFonts w:ascii="Arial" w:hAnsi="Arial" w:hint="eastAsia"/>
          <w:color w:val="000000"/>
          <w:sz w:val="21"/>
          <w:szCs w:val="21"/>
        </w:rPr>
        <w:t>14.6%</w:t>
      </w:r>
      <w:r>
        <w:rPr>
          <w:rFonts w:ascii="Arial" w:hAnsi="Arial" w:hint="eastAsia"/>
          <w:color w:val="000000"/>
          <w:sz w:val="21"/>
          <w:szCs w:val="21"/>
        </w:rPr>
        <w:t>；累计成交</w:t>
      </w:r>
      <w:r>
        <w:rPr>
          <w:rFonts w:ascii="Arial" w:hAnsi="Arial" w:hint="eastAsia"/>
          <w:color w:val="000000"/>
          <w:sz w:val="21"/>
          <w:szCs w:val="21"/>
        </w:rPr>
        <w:t>12</w:t>
      </w:r>
      <w:r>
        <w:rPr>
          <w:rFonts w:ascii="Arial" w:hAnsi="Arial" w:hint="eastAsia"/>
          <w:color w:val="000000"/>
          <w:sz w:val="21"/>
          <w:szCs w:val="21"/>
        </w:rPr>
        <w:t>宗商办用地，成交</w:t>
      </w:r>
      <w:proofErr w:type="gramStart"/>
      <w:r>
        <w:rPr>
          <w:rFonts w:ascii="Arial" w:hAnsi="Arial" w:hint="eastAsia"/>
          <w:color w:val="000000"/>
          <w:sz w:val="21"/>
          <w:szCs w:val="21"/>
        </w:rPr>
        <w:t>规划建面</w:t>
      </w:r>
      <w:proofErr w:type="gramEnd"/>
      <w:r>
        <w:rPr>
          <w:rFonts w:ascii="Arial" w:hAnsi="Arial" w:hint="eastAsia"/>
          <w:color w:val="000000"/>
          <w:sz w:val="21"/>
          <w:szCs w:val="21"/>
        </w:rPr>
        <w:t>78.75</w:t>
      </w:r>
      <w:r>
        <w:rPr>
          <w:rFonts w:ascii="Arial" w:hAnsi="Arial" w:hint="eastAsia"/>
          <w:color w:val="000000"/>
          <w:sz w:val="21"/>
          <w:szCs w:val="21"/>
        </w:rPr>
        <w:t>万㎡，同比下降</w:t>
      </w:r>
      <w:r>
        <w:rPr>
          <w:rFonts w:ascii="Arial" w:hAnsi="Arial" w:hint="eastAsia"/>
          <w:color w:val="000000"/>
          <w:sz w:val="21"/>
          <w:szCs w:val="21"/>
        </w:rPr>
        <w:t>23.4%</w:t>
      </w:r>
      <w:r>
        <w:rPr>
          <w:rFonts w:ascii="Arial" w:hAnsi="Arial" w:hint="eastAsia"/>
          <w:color w:val="000000"/>
          <w:sz w:val="21"/>
          <w:szCs w:val="21"/>
        </w:rPr>
        <w:t>；从区域分布来看，通州成交</w:t>
      </w:r>
      <w:r>
        <w:rPr>
          <w:rFonts w:ascii="Arial" w:hAnsi="Arial" w:hint="eastAsia"/>
          <w:color w:val="000000"/>
          <w:sz w:val="21"/>
          <w:szCs w:val="21"/>
        </w:rPr>
        <w:t>4</w:t>
      </w:r>
      <w:r>
        <w:rPr>
          <w:rFonts w:ascii="Arial" w:hAnsi="Arial" w:hint="eastAsia"/>
          <w:color w:val="000000"/>
          <w:sz w:val="21"/>
          <w:szCs w:val="21"/>
        </w:rPr>
        <w:t>宗，大兴（</w:t>
      </w:r>
      <w:proofErr w:type="gramStart"/>
      <w:r>
        <w:rPr>
          <w:rFonts w:ascii="Arial" w:hAnsi="Arial" w:hint="eastAsia"/>
          <w:color w:val="000000"/>
          <w:sz w:val="21"/>
          <w:szCs w:val="21"/>
        </w:rPr>
        <w:t>含亦庄</w:t>
      </w:r>
      <w:proofErr w:type="gramEnd"/>
      <w:r>
        <w:rPr>
          <w:rFonts w:ascii="Arial" w:hAnsi="Arial" w:hint="eastAsia"/>
          <w:color w:val="000000"/>
          <w:sz w:val="21"/>
          <w:szCs w:val="21"/>
        </w:rPr>
        <w:t>）成交</w:t>
      </w:r>
      <w:r>
        <w:rPr>
          <w:rFonts w:ascii="Arial" w:hAnsi="Arial" w:hint="eastAsia"/>
          <w:color w:val="000000"/>
          <w:sz w:val="21"/>
          <w:szCs w:val="21"/>
        </w:rPr>
        <w:t>3</w:t>
      </w:r>
      <w:r>
        <w:rPr>
          <w:rFonts w:ascii="Arial" w:hAnsi="Arial" w:hint="eastAsia"/>
          <w:color w:val="000000"/>
          <w:sz w:val="21"/>
          <w:szCs w:val="21"/>
        </w:rPr>
        <w:t>宗，西城成交</w:t>
      </w:r>
      <w:r>
        <w:rPr>
          <w:rFonts w:ascii="Arial" w:hAnsi="Arial" w:hint="eastAsia"/>
          <w:color w:val="000000"/>
          <w:sz w:val="21"/>
          <w:szCs w:val="21"/>
        </w:rPr>
        <w:t>2</w:t>
      </w:r>
      <w:r>
        <w:rPr>
          <w:rFonts w:ascii="Arial" w:hAnsi="Arial" w:hint="eastAsia"/>
          <w:color w:val="000000"/>
          <w:sz w:val="21"/>
          <w:szCs w:val="21"/>
        </w:rPr>
        <w:t>宗，海淀、石景山、顺义</w:t>
      </w:r>
      <w:proofErr w:type="gramStart"/>
      <w:r>
        <w:rPr>
          <w:rFonts w:ascii="Arial" w:hAnsi="Arial" w:hint="eastAsia"/>
          <w:color w:val="000000"/>
          <w:sz w:val="21"/>
          <w:szCs w:val="21"/>
        </w:rPr>
        <w:t>各成交</w:t>
      </w:r>
      <w:proofErr w:type="gramEnd"/>
      <w:r>
        <w:rPr>
          <w:rFonts w:ascii="Arial" w:hAnsi="Arial" w:hint="eastAsia"/>
          <w:color w:val="000000"/>
          <w:sz w:val="21"/>
          <w:szCs w:val="21"/>
        </w:rPr>
        <w:t>1</w:t>
      </w:r>
      <w:r>
        <w:rPr>
          <w:rFonts w:ascii="Arial" w:hAnsi="Arial" w:hint="eastAsia"/>
          <w:color w:val="000000"/>
          <w:sz w:val="21"/>
          <w:szCs w:val="21"/>
        </w:rPr>
        <w:t>宗。</w:t>
      </w:r>
    </w:p>
    <w:p w14:paraId="451E711B" w14:textId="77777777" w:rsidR="00000000" w:rsidRDefault="00000000">
      <w:pPr>
        <w:overflowPunct w:val="0"/>
        <w:spacing w:line="240" w:lineRule="auto"/>
        <w:jc w:val="center"/>
        <w:rPr>
          <w:rFonts w:ascii="Arial" w:eastAsia="方正黑体简体" w:hAnsi="Arial" w:hint="eastAsia"/>
          <w:bCs/>
          <w:color w:val="000000"/>
          <w:szCs w:val="24"/>
        </w:rPr>
      </w:pPr>
      <w:r>
        <w:rPr>
          <w:rFonts w:ascii="Arial" w:eastAsia="方正黑体简体" w:hAnsi="Arial" w:hint="eastAsia"/>
          <w:bCs/>
          <w:color w:val="000000"/>
          <w:szCs w:val="24"/>
        </w:rPr>
        <w:t>2020-2025</w:t>
      </w:r>
      <w:r>
        <w:rPr>
          <w:rFonts w:ascii="Arial" w:eastAsia="方正黑体简体" w:hAnsi="Arial" w:hint="eastAsia"/>
          <w:bCs/>
          <w:color w:val="000000"/>
          <w:szCs w:val="24"/>
        </w:rPr>
        <w:t>北京商办用地供求规模（</w:t>
      </w:r>
      <w:proofErr w:type="gramStart"/>
      <w:r>
        <w:rPr>
          <w:rFonts w:ascii="Arial" w:eastAsia="方正黑体简体" w:hAnsi="Arial" w:hint="eastAsia"/>
          <w:bCs/>
          <w:color w:val="000000"/>
          <w:szCs w:val="24"/>
        </w:rPr>
        <w:t>万平方米</w:t>
      </w:r>
      <w:proofErr w:type="gramEnd"/>
      <w:r>
        <w:rPr>
          <w:rFonts w:ascii="Arial" w:eastAsia="方正黑体简体" w:hAnsi="Arial" w:hint="eastAsia"/>
          <w:bCs/>
          <w:color w:val="000000"/>
          <w:szCs w:val="24"/>
        </w:rPr>
        <w:t>）</w:t>
      </w:r>
    </w:p>
    <w:p w14:paraId="3BE5E396" w14:textId="3B5A51D3" w:rsidR="00000000" w:rsidRDefault="00690E7D">
      <w:pPr>
        <w:widowControl/>
        <w:spacing w:line="480" w:lineRule="auto"/>
        <w:jc w:val="center"/>
        <w:rPr>
          <w:rFonts w:ascii="Arial" w:hAnsi="Arial" w:hint="eastAsia"/>
          <w:sz w:val="21"/>
          <w:szCs w:val="28"/>
        </w:rPr>
      </w:pPr>
      <w:r>
        <w:rPr>
          <w:noProof/>
        </w:rPr>
        <w:drawing>
          <wp:inline distT="0" distB="0" distL="0" distR="0" wp14:anchorId="76FBCE83" wp14:editId="48E604FE">
            <wp:extent cx="5544185" cy="2743200"/>
            <wp:effectExtent l="0" t="0" r="0" b="0"/>
            <wp:docPr id="7" name="图片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D58D5F8"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hint="eastAsia"/>
          <w:color w:val="000000"/>
          <w:sz w:val="21"/>
          <w:szCs w:val="21"/>
        </w:rPr>
        <w:t>年，北京商办用地成交楼面价</w:t>
      </w:r>
      <w:r>
        <w:rPr>
          <w:rFonts w:ascii="Arial" w:hAnsi="Arial"/>
          <w:color w:val="000000"/>
          <w:sz w:val="21"/>
          <w:szCs w:val="21"/>
        </w:rPr>
        <w:t>1</w:t>
      </w:r>
      <w:r>
        <w:rPr>
          <w:rFonts w:ascii="Arial" w:hAnsi="Arial" w:hint="eastAsia"/>
          <w:color w:val="000000"/>
          <w:sz w:val="21"/>
          <w:szCs w:val="21"/>
        </w:rPr>
        <w:t>4986</w:t>
      </w:r>
      <w:r>
        <w:rPr>
          <w:rFonts w:ascii="Arial" w:hAnsi="Arial" w:hint="eastAsia"/>
          <w:color w:val="000000"/>
          <w:sz w:val="21"/>
          <w:szCs w:val="21"/>
        </w:rPr>
        <w:t>元</w:t>
      </w:r>
      <w:r>
        <w:rPr>
          <w:rFonts w:ascii="Arial" w:hAnsi="Arial"/>
          <w:color w:val="000000"/>
          <w:sz w:val="21"/>
          <w:szCs w:val="21"/>
        </w:rPr>
        <w:t>/</w:t>
      </w:r>
      <w:r>
        <w:rPr>
          <w:rFonts w:ascii="Arial" w:hAnsi="Arial" w:hint="eastAsia"/>
          <w:color w:val="000000"/>
          <w:sz w:val="21"/>
          <w:szCs w:val="21"/>
        </w:rPr>
        <w:t>平方米，同比增长</w:t>
      </w:r>
      <w:r>
        <w:rPr>
          <w:rFonts w:ascii="Arial" w:hAnsi="Arial" w:hint="eastAsia"/>
          <w:color w:val="000000"/>
          <w:sz w:val="21"/>
          <w:szCs w:val="21"/>
        </w:rPr>
        <w:t>2.2</w:t>
      </w:r>
      <w:r>
        <w:rPr>
          <w:rFonts w:ascii="Arial" w:hAnsi="Arial"/>
          <w:color w:val="000000"/>
          <w:sz w:val="21"/>
          <w:szCs w:val="21"/>
        </w:rPr>
        <w:t>%</w:t>
      </w:r>
      <w:r>
        <w:rPr>
          <w:rFonts w:ascii="Arial" w:hAnsi="Arial" w:hint="eastAsia"/>
          <w:color w:val="000000"/>
          <w:sz w:val="21"/>
          <w:szCs w:val="21"/>
        </w:rPr>
        <w:t>；溢价率方面，自</w:t>
      </w:r>
      <w:r>
        <w:rPr>
          <w:rFonts w:ascii="Arial" w:hAnsi="Arial" w:hint="eastAsia"/>
          <w:color w:val="000000"/>
          <w:sz w:val="21"/>
          <w:szCs w:val="21"/>
        </w:rPr>
        <w:t>2018</w:t>
      </w:r>
      <w:r>
        <w:rPr>
          <w:rFonts w:ascii="Arial" w:hAnsi="Arial" w:hint="eastAsia"/>
          <w:color w:val="000000"/>
          <w:sz w:val="21"/>
          <w:szCs w:val="21"/>
        </w:rPr>
        <w:t>年以来北京商办用地多以底价成交，溢价率降至冰点。</w:t>
      </w:r>
      <w:r>
        <w:rPr>
          <w:rFonts w:ascii="Arial" w:hAnsi="Arial"/>
          <w:color w:val="000000"/>
          <w:sz w:val="21"/>
          <w:szCs w:val="21"/>
        </w:rPr>
        <w:t>202</w:t>
      </w:r>
      <w:r>
        <w:rPr>
          <w:rFonts w:ascii="Arial" w:hAnsi="Arial" w:hint="eastAsia"/>
          <w:color w:val="000000"/>
          <w:sz w:val="21"/>
          <w:szCs w:val="21"/>
        </w:rPr>
        <w:t>5</w:t>
      </w:r>
      <w:r>
        <w:rPr>
          <w:rFonts w:ascii="Arial" w:hAnsi="Arial" w:hint="eastAsia"/>
          <w:color w:val="000000"/>
          <w:sz w:val="21"/>
          <w:szCs w:val="21"/>
        </w:rPr>
        <w:t>年北京</w:t>
      </w:r>
      <w:r>
        <w:rPr>
          <w:rFonts w:ascii="Arial" w:hAnsi="Arial" w:hint="eastAsia"/>
          <w:color w:val="000000"/>
          <w:sz w:val="21"/>
          <w:szCs w:val="21"/>
        </w:rPr>
        <w:t>12</w:t>
      </w:r>
      <w:r>
        <w:rPr>
          <w:rFonts w:ascii="Arial" w:hAnsi="Arial" w:hint="eastAsia"/>
          <w:color w:val="000000"/>
          <w:sz w:val="21"/>
          <w:szCs w:val="21"/>
        </w:rPr>
        <w:t>宗商办地块均以底价成交，市场热度持续低位运行。</w:t>
      </w:r>
    </w:p>
    <w:p w14:paraId="54157B30" w14:textId="77777777" w:rsidR="00000000" w:rsidRDefault="00000000">
      <w:pPr>
        <w:overflowPunct w:val="0"/>
        <w:spacing w:line="240" w:lineRule="auto"/>
        <w:jc w:val="center"/>
        <w:rPr>
          <w:rFonts w:ascii="Arial" w:eastAsia="方正黑体简体" w:hAnsi="Arial" w:hint="eastAsia"/>
          <w:bCs/>
          <w:color w:val="000000"/>
          <w:szCs w:val="24"/>
        </w:rPr>
      </w:pPr>
      <w:r>
        <w:rPr>
          <w:rFonts w:ascii="Arial" w:eastAsia="方正黑体简体" w:hAnsi="Arial" w:hint="eastAsia"/>
          <w:bCs/>
          <w:color w:val="000000"/>
          <w:szCs w:val="24"/>
        </w:rPr>
        <w:t>2020-2025</w:t>
      </w:r>
      <w:r>
        <w:rPr>
          <w:rFonts w:ascii="Arial" w:eastAsia="方正黑体简体" w:hAnsi="Arial" w:hint="eastAsia"/>
          <w:bCs/>
          <w:color w:val="000000"/>
          <w:szCs w:val="24"/>
        </w:rPr>
        <w:t>北京商办用地成交楼价与溢价率走势</w:t>
      </w:r>
    </w:p>
    <w:p w14:paraId="5723B016" w14:textId="32FD4230" w:rsidR="00000000" w:rsidRDefault="00690E7D">
      <w:pPr>
        <w:widowControl/>
        <w:spacing w:line="480" w:lineRule="auto"/>
        <w:jc w:val="center"/>
        <w:rPr>
          <w:rFonts w:ascii="Arial" w:hAnsi="Arial" w:hint="eastAsia"/>
          <w:sz w:val="21"/>
          <w:szCs w:val="28"/>
        </w:rPr>
      </w:pPr>
      <w:r>
        <w:rPr>
          <w:noProof/>
        </w:rPr>
        <w:lastRenderedPageBreak/>
        <w:drawing>
          <wp:inline distT="0" distB="0" distL="0" distR="0" wp14:anchorId="352E60B7" wp14:editId="0A4277DE">
            <wp:extent cx="5084445" cy="2743200"/>
            <wp:effectExtent l="0" t="0" r="0" b="0"/>
            <wp:docPr id="8" name="图片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27190E" w14:textId="77777777" w:rsidR="00000000"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年全年商办用地具体成交信息如下：</w:t>
      </w:r>
    </w:p>
    <w:tbl>
      <w:tblPr>
        <w:tblW w:w="92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85"/>
        <w:gridCol w:w="1134"/>
        <w:gridCol w:w="992"/>
        <w:gridCol w:w="992"/>
        <w:gridCol w:w="993"/>
        <w:gridCol w:w="1170"/>
        <w:gridCol w:w="1016"/>
        <w:gridCol w:w="1017"/>
      </w:tblGrid>
      <w:tr w:rsidR="00000000" w14:paraId="031D38D6" w14:textId="77777777">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9F8F87D" w14:textId="77777777" w:rsidR="00000000" w:rsidRDefault="00000000">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tcPr>
          <w:p w14:paraId="0F61BB6A" w14:textId="77777777" w:rsidR="00000000" w:rsidRDefault="00000000">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14:paraId="335F897B" w14:textId="77777777" w:rsidR="00000000" w:rsidRDefault="00000000">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建设用地面积</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732A0175" w14:textId="77777777" w:rsidR="00000000" w:rsidRDefault="00000000">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规划建筑面积</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2D86D42D" w14:textId="77777777" w:rsidR="00000000" w:rsidRDefault="00000000">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tcPr>
          <w:p w14:paraId="288680C4" w14:textId="77777777" w:rsidR="00000000" w:rsidRDefault="00000000">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tcPr>
          <w:p w14:paraId="4B069E71" w14:textId="77777777" w:rsidR="00000000" w:rsidRDefault="00000000">
            <w:pPr>
              <w:widowControl/>
              <w:kinsoku w:val="0"/>
              <w:overflowPunct w:val="0"/>
              <w:adjustRightInd/>
              <w:spacing w:line="240" w:lineRule="exact"/>
              <w:rPr>
                <w:rFonts w:ascii="Arial" w:eastAsia="华文细黑" w:hAnsi="Arial" w:cs="Arial" w:hint="eastAsia"/>
                <w:sz w:val="18"/>
                <w:szCs w:val="18"/>
              </w:rPr>
            </w:pPr>
            <w:r>
              <w:rPr>
                <w:rFonts w:ascii="Arial" w:eastAsia="华文细黑" w:hAnsi="Arial" w:cs="Arial" w:hint="eastAsia"/>
                <w:sz w:val="18"/>
                <w:szCs w:val="18"/>
              </w:rPr>
              <w:t>成交价</w:t>
            </w:r>
          </w:p>
          <w:p w14:paraId="57F93A94" w14:textId="77777777" w:rsidR="00000000" w:rsidRDefault="00000000">
            <w:pPr>
              <w:widowControl/>
              <w:kinsoku w:val="0"/>
              <w:overflowPunct w:val="0"/>
              <w:adjustRightInd/>
              <w:spacing w:line="240" w:lineRule="exact"/>
              <w:rPr>
                <w:rFonts w:ascii="Arial" w:eastAsia="华文细黑" w:hAnsi="Arial" w:cs="Arial"/>
                <w:sz w:val="18"/>
                <w:szCs w:val="18"/>
              </w:rPr>
            </w:pPr>
            <w:r>
              <w:rPr>
                <w:rFonts w:ascii="Arial" w:eastAsia="华文细黑" w:hAnsi="Arial" w:cs="Arial"/>
                <w:sz w:val="18"/>
                <w:szCs w:val="18"/>
              </w:rPr>
              <w:t>(</w:t>
            </w:r>
            <w:r>
              <w:rPr>
                <w:rFonts w:ascii="Arial" w:eastAsia="华文细黑" w:hAnsi="Arial" w:cs="Arial" w:hint="eastAsia"/>
                <w:sz w:val="18"/>
                <w:szCs w:val="18"/>
              </w:rPr>
              <w:t>万元</w:t>
            </w:r>
            <w:r>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tcPr>
          <w:p w14:paraId="0F491E54" w14:textId="77777777" w:rsidR="00000000" w:rsidRDefault="00000000">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成交楼面价</w:t>
            </w:r>
            <w:r>
              <w:rPr>
                <w:rFonts w:ascii="Arial" w:eastAsia="华文细黑" w:hAnsi="Arial" w:cs="Arial"/>
                <w:sz w:val="18"/>
                <w:szCs w:val="18"/>
              </w:rPr>
              <w:t>(</w:t>
            </w:r>
            <w:r>
              <w:rPr>
                <w:rFonts w:ascii="Arial" w:eastAsia="华文细黑" w:hAnsi="Arial" w:cs="Arial" w:hint="eastAsia"/>
                <w:sz w:val="18"/>
                <w:szCs w:val="18"/>
              </w:rPr>
              <w:t>元</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r>
      <w:tr w:rsidR="00000000" w14:paraId="0DE08620"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31A25B0"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北京市海淀区六</w:t>
            </w:r>
            <w:proofErr w:type="gramStart"/>
            <w:r>
              <w:rPr>
                <w:rFonts w:ascii="Arial" w:eastAsia="华文细黑" w:hAnsi="Arial" w:cs="Arial" w:hint="eastAsia"/>
                <w:sz w:val="18"/>
                <w:szCs w:val="18"/>
              </w:rPr>
              <w:t>郎庄项目</w:t>
            </w:r>
            <w:proofErr w:type="gramEnd"/>
            <w:r>
              <w:rPr>
                <w:rFonts w:ascii="Arial" w:eastAsia="华文细黑" w:hAnsi="Arial" w:cs="Arial" w:hint="eastAsia"/>
                <w:sz w:val="18"/>
                <w:szCs w:val="18"/>
              </w:rPr>
              <w:t>HD00-1010-0002</w:t>
            </w:r>
            <w:r>
              <w:rPr>
                <w:rFonts w:ascii="Arial" w:eastAsia="华文细黑" w:hAnsi="Arial" w:cs="Arial" w:hint="eastAsia"/>
                <w:sz w:val="18"/>
                <w:szCs w:val="18"/>
              </w:rPr>
              <w:t>、</w:t>
            </w:r>
            <w:r>
              <w:rPr>
                <w:rFonts w:ascii="Arial" w:eastAsia="华文细黑" w:hAnsi="Arial" w:cs="Arial" w:hint="eastAsia"/>
                <w:sz w:val="18"/>
                <w:szCs w:val="18"/>
              </w:rPr>
              <w:t>0003</w:t>
            </w:r>
            <w:r>
              <w:rPr>
                <w:rFonts w:ascii="Arial" w:eastAsia="华文细黑" w:hAnsi="Arial" w:cs="Arial" w:hint="eastAsia"/>
                <w:sz w:val="18"/>
                <w:szCs w:val="18"/>
              </w:rPr>
              <w:t>、</w:t>
            </w:r>
            <w:r>
              <w:rPr>
                <w:rFonts w:ascii="Arial" w:eastAsia="华文细黑" w:hAnsi="Arial" w:cs="Arial" w:hint="eastAsia"/>
                <w:sz w:val="18"/>
                <w:szCs w:val="18"/>
              </w:rPr>
              <w:t>0004</w:t>
            </w:r>
            <w:r>
              <w:rPr>
                <w:rFonts w:ascii="Arial" w:eastAsia="华文细黑" w:hAnsi="Arial" w:cs="Arial" w:hint="eastAsia"/>
                <w:sz w:val="18"/>
                <w:szCs w:val="18"/>
              </w:rPr>
              <w:t>地块</w:t>
            </w: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D249067"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EC4AA7E"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49CD6CFA"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14:paraId="68DA9E6A"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14:paraId="25FC426B"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2</w:t>
            </w:r>
            <w:r>
              <w:rPr>
                <w:rFonts w:ascii="Arial" w:eastAsia="华文细黑" w:hAnsi="Arial" w:cs="Arial" w:hint="eastAsia"/>
                <w:sz w:val="18"/>
                <w:szCs w:val="18"/>
              </w:rPr>
              <w:t>月</w:t>
            </w:r>
            <w:r>
              <w:rPr>
                <w:rFonts w:ascii="Arial" w:eastAsia="华文细黑" w:hAnsi="Arial" w:cs="Arial" w:hint="eastAsia"/>
                <w:sz w:val="18"/>
                <w:szCs w:val="18"/>
              </w:rPr>
              <w:t>18</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98CCAA7" w14:textId="77777777" w:rsidR="00000000" w:rsidRDefault="00000000">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94742F6" w14:textId="77777777" w:rsidR="00000000" w:rsidRDefault="00000000">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23006</w:t>
            </w:r>
          </w:p>
        </w:tc>
      </w:tr>
      <w:tr w:rsidR="00000000" w14:paraId="1B8F6E60"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9863A49"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hint="eastAsia"/>
                <w:sz w:val="18"/>
                <w:szCs w:val="18"/>
              </w:rPr>
              <w:t xml:space="preserve"> FZX-0101-03</w:t>
            </w:r>
            <w:r>
              <w:rPr>
                <w:rFonts w:ascii="Arial" w:eastAsia="华文细黑" w:hAnsi="Arial" w:cs="Arial" w:hint="eastAsia"/>
                <w:sz w:val="18"/>
                <w:szCs w:val="18"/>
              </w:rPr>
              <w:t>单元</w:t>
            </w:r>
            <w:r>
              <w:rPr>
                <w:rFonts w:ascii="Arial" w:eastAsia="华文细黑" w:hAnsi="Arial" w:cs="Arial" w:hint="eastAsia"/>
                <w:sz w:val="18"/>
                <w:szCs w:val="18"/>
              </w:rPr>
              <w:t>FZX-0101-0307 (3)</w:t>
            </w:r>
            <w:r>
              <w:rPr>
                <w:rFonts w:ascii="Arial" w:eastAsia="华文细黑" w:hAnsi="Arial" w:cs="Arial" w:hint="eastAsia"/>
                <w:sz w:val="18"/>
                <w:szCs w:val="18"/>
              </w:rPr>
              <w:t>地块</w:t>
            </w: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D76F95B"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848F532"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31F3508A"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14:paraId="5E657BA6"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76456E03"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2</w:t>
            </w:r>
            <w:r>
              <w:rPr>
                <w:rFonts w:ascii="Arial" w:eastAsia="华文细黑" w:hAnsi="Arial" w:cs="Arial" w:hint="eastAsia"/>
                <w:sz w:val="18"/>
                <w:szCs w:val="18"/>
              </w:rPr>
              <w:t>月</w:t>
            </w:r>
            <w:r>
              <w:rPr>
                <w:rFonts w:ascii="Arial" w:eastAsia="华文细黑" w:hAnsi="Arial" w:cs="Arial" w:hint="eastAsia"/>
                <w:sz w:val="18"/>
                <w:szCs w:val="18"/>
              </w:rPr>
              <w:t>25</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09A59B5" w14:textId="77777777" w:rsidR="00000000" w:rsidRDefault="00000000">
            <w:pPr>
              <w:widowControl/>
              <w:kinsoku w:val="0"/>
              <w:overflowPunct w:val="0"/>
              <w:adjustRightInd/>
              <w:spacing w:line="240" w:lineRule="exact"/>
              <w:jc w:val="right"/>
              <w:rPr>
                <w:rFonts w:ascii="Arial" w:eastAsia="华文细黑" w:hAnsi="Arial" w:cs="Arial" w:hint="eastAsia"/>
                <w:sz w:val="18"/>
                <w:szCs w:val="18"/>
              </w:rPr>
            </w:pPr>
            <w:r>
              <w:rPr>
                <w:rFonts w:ascii="Arial" w:eastAsia="华文细黑"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1C704EE5" w14:textId="77777777" w:rsidR="00000000" w:rsidRDefault="00000000">
            <w:pPr>
              <w:widowControl/>
              <w:kinsoku w:val="0"/>
              <w:overflowPunct w:val="0"/>
              <w:adjustRightInd/>
              <w:spacing w:line="240" w:lineRule="exact"/>
              <w:jc w:val="right"/>
              <w:rPr>
                <w:rFonts w:ascii="Arial" w:eastAsia="华文细黑" w:hAnsi="Arial" w:cs="Arial" w:hint="eastAsia"/>
                <w:sz w:val="18"/>
                <w:szCs w:val="18"/>
              </w:rPr>
            </w:pPr>
            <w:r>
              <w:rPr>
                <w:rFonts w:ascii="Arial" w:eastAsia="华文细黑" w:hAnsi="Arial" w:cs="Arial" w:hint="eastAsia"/>
                <w:sz w:val="18"/>
                <w:szCs w:val="18"/>
              </w:rPr>
              <w:t>13363</w:t>
            </w:r>
          </w:p>
        </w:tc>
      </w:tr>
      <w:tr w:rsidR="00000000" w14:paraId="08F7223B"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88A21C7"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北京市顺义区顺义新城</w:t>
            </w:r>
            <w:r>
              <w:rPr>
                <w:rFonts w:ascii="Arial" w:eastAsia="华文细黑" w:hAnsi="Arial" w:cs="Arial" w:hint="eastAsia"/>
                <w:sz w:val="18"/>
                <w:szCs w:val="18"/>
              </w:rPr>
              <w:t>0201</w:t>
            </w:r>
            <w:r>
              <w:rPr>
                <w:rFonts w:ascii="Arial" w:eastAsia="华文细黑" w:hAnsi="Arial" w:cs="Arial" w:hint="eastAsia"/>
                <w:sz w:val="18"/>
                <w:szCs w:val="18"/>
              </w:rPr>
              <w:t>街区东风商场片区项目</w:t>
            </w:r>
            <w:r>
              <w:rPr>
                <w:rFonts w:ascii="Arial" w:eastAsia="华文细黑" w:hAnsi="Arial" w:cs="Arial" w:hint="eastAsia"/>
                <w:sz w:val="18"/>
                <w:szCs w:val="18"/>
              </w:rPr>
              <w:t>SY00-0201-116</w:t>
            </w:r>
            <w:r>
              <w:rPr>
                <w:rFonts w:ascii="Arial" w:eastAsia="华文细黑" w:hAnsi="Arial" w:cs="Arial" w:hint="eastAsia"/>
                <w:sz w:val="18"/>
                <w:szCs w:val="18"/>
              </w:rPr>
              <w:t>地块</w:t>
            </w:r>
            <w:r>
              <w:rPr>
                <w:rFonts w:ascii="Arial" w:eastAsia="华文细黑" w:hAnsi="Arial" w:cs="Arial" w:hint="eastAsia"/>
                <w:sz w:val="18"/>
                <w:szCs w:val="18"/>
              </w:rPr>
              <w:t>B1</w:t>
            </w:r>
            <w:r>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63EC562"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B1</w:t>
            </w:r>
            <w:r>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126FE46"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4FF56359"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14:paraId="13F135B6"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14:paraId="27A64708"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2</w:t>
            </w:r>
            <w:r>
              <w:rPr>
                <w:rFonts w:ascii="Arial" w:eastAsia="华文细黑" w:hAnsi="Arial" w:cs="Arial" w:hint="eastAsia"/>
                <w:sz w:val="18"/>
                <w:szCs w:val="18"/>
              </w:rPr>
              <w:t>月</w:t>
            </w:r>
            <w:r>
              <w:rPr>
                <w:rFonts w:ascii="Arial" w:eastAsia="华文细黑" w:hAnsi="Arial" w:cs="Arial" w:hint="eastAsia"/>
                <w:sz w:val="18"/>
                <w:szCs w:val="18"/>
              </w:rPr>
              <w:t>26</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30FFD56C" w14:textId="77777777" w:rsidR="00000000" w:rsidRDefault="00000000">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1AB7011" w14:textId="77777777" w:rsidR="00000000" w:rsidRDefault="00000000">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6958</w:t>
            </w:r>
          </w:p>
        </w:tc>
      </w:tr>
      <w:tr w:rsidR="00000000" w14:paraId="6B78C3EB"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0BE8F40C"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hint="eastAsia"/>
                <w:sz w:val="18"/>
                <w:szCs w:val="18"/>
              </w:rPr>
              <w:t xml:space="preserve"> FZX-0101-03</w:t>
            </w:r>
            <w:r>
              <w:rPr>
                <w:rFonts w:ascii="Arial" w:eastAsia="华文细黑" w:hAnsi="Arial" w:cs="Arial" w:hint="eastAsia"/>
                <w:sz w:val="18"/>
                <w:szCs w:val="18"/>
              </w:rPr>
              <w:t>单元</w:t>
            </w:r>
            <w:r>
              <w:rPr>
                <w:rFonts w:ascii="Arial" w:eastAsia="华文细黑" w:hAnsi="Arial" w:cs="Arial" w:hint="eastAsia"/>
                <w:sz w:val="18"/>
                <w:szCs w:val="18"/>
              </w:rPr>
              <w:t>FZX-0101-0306</w:t>
            </w:r>
            <w:r>
              <w:rPr>
                <w:rFonts w:ascii="Arial" w:eastAsia="华文细黑" w:hAnsi="Arial" w:cs="Arial" w:hint="eastAsia"/>
                <w:sz w:val="18"/>
                <w:szCs w:val="18"/>
              </w:rPr>
              <w:t>、</w:t>
            </w:r>
            <w:r>
              <w:rPr>
                <w:rFonts w:ascii="Arial" w:eastAsia="华文细黑" w:hAnsi="Arial" w:cs="Arial" w:hint="eastAsia"/>
                <w:sz w:val="18"/>
                <w:szCs w:val="18"/>
              </w:rPr>
              <w:t xml:space="preserve"> 0307(2)</w:t>
            </w:r>
            <w:r>
              <w:rPr>
                <w:rFonts w:ascii="Arial" w:eastAsia="华文细黑" w:hAnsi="Arial" w:cs="Arial" w:hint="eastAsia"/>
                <w:sz w:val="18"/>
                <w:szCs w:val="18"/>
              </w:rPr>
              <w:t>、</w:t>
            </w:r>
            <w:r>
              <w:rPr>
                <w:rFonts w:ascii="Arial" w:eastAsia="华文细黑" w:hAnsi="Arial" w:cs="Arial" w:hint="eastAsia"/>
                <w:sz w:val="18"/>
                <w:szCs w:val="18"/>
              </w:rPr>
              <w:t>0309</w:t>
            </w:r>
            <w:r>
              <w:rPr>
                <w:rFonts w:ascii="Arial" w:eastAsia="华文细黑" w:hAnsi="Arial" w:cs="Arial" w:hint="eastAsia"/>
                <w:sz w:val="18"/>
                <w:szCs w:val="18"/>
              </w:rPr>
              <w:t>地块</w:t>
            </w:r>
            <w:r>
              <w:rPr>
                <w:rFonts w:ascii="Arial" w:eastAsia="华文细黑" w:hAnsi="Arial" w:cs="Arial" w:hint="eastAsia"/>
                <w:sz w:val="18"/>
                <w:szCs w:val="18"/>
              </w:rPr>
              <w:t xml:space="preserve"> 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2E73632"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B16DABA"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36D2051D"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14:paraId="321AF789"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14:paraId="4F971FFB"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3</w:t>
            </w:r>
            <w:r>
              <w:rPr>
                <w:rFonts w:ascii="Arial" w:eastAsia="华文细黑" w:hAnsi="Arial" w:cs="Arial" w:hint="eastAsia"/>
                <w:sz w:val="18"/>
                <w:szCs w:val="18"/>
              </w:rPr>
              <w:t>月</w:t>
            </w:r>
            <w:r>
              <w:rPr>
                <w:rFonts w:ascii="Arial" w:eastAsia="华文细黑" w:hAnsi="Arial" w:cs="Arial" w:hint="eastAsia"/>
                <w:sz w:val="18"/>
                <w:szCs w:val="18"/>
              </w:rPr>
              <w:t>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3B2B885" w14:textId="77777777" w:rsidR="00000000" w:rsidRDefault="00000000">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2A5DCC71" w14:textId="77777777" w:rsidR="00000000" w:rsidRDefault="00000000">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13369</w:t>
            </w:r>
          </w:p>
        </w:tc>
      </w:tr>
      <w:tr w:rsidR="00000000" w14:paraId="29316C49"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3010968"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hint="eastAsia"/>
                <w:sz w:val="18"/>
                <w:szCs w:val="18"/>
              </w:rPr>
              <w:t xml:space="preserve"> FZX-0101-03</w:t>
            </w:r>
            <w:r>
              <w:rPr>
                <w:rFonts w:ascii="Arial" w:eastAsia="华文细黑" w:hAnsi="Arial" w:cs="Arial" w:hint="eastAsia"/>
                <w:sz w:val="18"/>
                <w:szCs w:val="18"/>
              </w:rPr>
              <w:t>单元</w:t>
            </w:r>
            <w:r>
              <w:rPr>
                <w:rFonts w:ascii="Arial" w:eastAsia="华文细黑" w:hAnsi="Arial" w:cs="Arial" w:hint="eastAsia"/>
                <w:sz w:val="18"/>
                <w:szCs w:val="18"/>
              </w:rPr>
              <w:t>FZX-0101-0307 (1)</w:t>
            </w:r>
            <w:r>
              <w:rPr>
                <w:rFonts w:ascii="Arial" w:eastAsia="华文细黑" w:hAnsi="Arial" w:cs="Arial" w:hint="eastAsia"/>
                <w:sz w:val="18"/>
                <w:szCs w:val="18"/>
              </w:rPr>
              <w:t>地块</w:t>
            </w: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9D29826"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F23BA95"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68B99242"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14:paraId="322CEDA8"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14:paraId="00A60D4B" w14:textId="77777777" w:rsidR="00000000" w:rsidRDefault="00000000">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3</w:t>
            </w:r>
            <w:r>
              <w:rPr>
                <w:rFonts w:ascii="Arial" w:eastAsia="华文细黑" w:hAnsi="Arial" w:cs="Arial" w:hint="eastAsia"/>
                <w:sz w:val="18"/>
                <w:szCs w:val="18"/>
              </w:rPr>
              <w:t>月</w:t>
            </w:r>
            <w:r>
              <w:rPr>
                <w:rFonts w:ascii="Arial" w:eastAsia="华文细黑" w:hAnsi="Arial" w:cs="Arial" w:hint="eastAsia"/>
                <w:sz w:val="18"/>
                <w:szCs w:val="18"/>
              </w:rPr>
              <w:t>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D589FC1" w14:textId="77777777" w:rsidR="00000000" w:rsidRDefault="00000000">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4BF5A114" w14:textId="77777777" w:rsidR="00000000" w:rsidRDefault="00000000">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13374</w:t>
            </w:r>
          </w:p>
        </w:tc>
      </w:tr>
      <w:tr w:rsidR="00000000" w14:paraId="56E2D494"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813F533"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北京市西城区新兴盛危改项目一级开发地块</w:t>
            </w:r>
            <w:r>
              <w:rPr>
                <w:rFonts w:ascii="Arial" w:eastAsia="华文细黑" w:hAnsi="Arial" w:cs="Arial" w:hint="eastAsia"/>
                <w:sz w:val="18"/>
                <w:szCs w:val="18"/>
              </w:rPr>
              <w:t>(0111-077</w:t>
            </w:r>
            <w:r>
              <w:rPr>
                <w:rFonts w:ascii="Arial" w:eastAsia="华文细黑" w:hAnsi="Arial" w:cs="Arial" w:hint="eastAsia"/>
                <w:sz w:val="18"/>
                <w:szCs w:val="18"/>
              </w:rPr>
              <w:t>、</w:t>
            </w:r>
            <w:r>
              <w:rPr>
                <w:rFonts w:ascii="Arial" w:eastAsia="华文细黑" w:hAnsi="Arial" w:cs="Arial" w:hint="eastAsia"/>
                <w:sz w:val="18"/>
                <w:szCs w:val="18"/>
              </w:rPr>
              <w:t>0111-084</w:t>
            </w:r>
            <w:r>
              <w:rPr>
                <w:rFonts w:ascii="Arial" w:eastAsia="华文细黑" w:hAnsi="Arial" w:cs="Arial" w:hint="eastAsia"/>
                <w:sz w:val="18"/>
                <w:szCs w:val="18"/>
              </w:rPr>
              <w:t>、</w:t>
            </w:r>
            <w:r>
              <w:rPr>
                <w:rFonts w:ascii="Arial" w:eastAsia="华文细黑" w:hAnsi="Arial" w:cs="Arial" w:hint="eastAsia"/>
                <w:sz w:val="18"/>
                <w:szCs w:val="18"/>
              </w:rPr>
              <w:t>0111-085)B2</w:t>
            </w:r>
            <w:r>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0B286B5"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B2</w:t>
            </w:r>
            <w:r>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BE6BE26"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1E197CF7"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14:paraId="52DBDC4E" w14:textId="77777777" w:rsidR="00000000" w:rsidRDefault="00000000">
            <w:pPr>
              <w:widowControl/>
              <w:adjustRightInd/>
              <w:spacing w:line="240" w:lineRule="auto"/>
              <w:jc w:val="both"/>
              <w:textAlignment w:val="auto"/>
              <w:rPr>
                <w:rFonts w:ascii="Arial" w:eastAsia="华文细黑" w:hAnsi="Arial" w:cs="Arial" w:hint="eastAsia"/>
                <w:sz w:val="18"/>
                <w:szCs w:val="18"/>
              </w:rPr>
            </w:pPr>
            <w:r>
              <w:rPr>
                <w:rFonts w:ascii="Arial" w:eastAsia="华文细黑"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14:paraId="579F8E9A"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6</w:t>
            </w:r>
            <w:r>
              <w:rPr>
                <w:rFonts w:ascii="Arial" w:eastAsia="华文细黑" w:hAnsi="Arial" w:cs="Arial" w:hint="eastAsia"/>
                <w:sz w:val="18"/>
                <w:szCs w:val="18"/>
              </w:rPr>
              <w:t>月</w:t>
            </w:r>
            <w:r>
              <w:rPr>
                <w:rFonts w:ascii="Arial" w:eastAsia="华文细黑" w:hAnsi="Arial" w:cs="Arial" w:hint="eastAsia"/>
                <w:sz w:val="18"/>
                <w:szCs w:val="18"/>
              </w:rPr>
              <w:t>13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F2E83DD" w14:textId="77777777" w:rsidR="00000000" w:rsidRDefault="00000000">
            <w:pPr>
              <w:widowControl/>
              <w:kinsoku w:val="0"/>
              <w:overflowPunct w:val="0"/>
              <w:adjustRightInd/>
              <w:spacing w:line="240" w:lineRule="exact"/>
              <w:jc w:val="right"/>
              <w:rPr>
                <w:rFonts w:ascii="Arial" w:eastAsia="华文细黑" w:hAnsi="Arial" w:cs="Arial" w:hint="eastAsia"/>
                <w:sz w:val="18"/>
                <w:szCs w:val="18"/>
              </w:rPr>
            </w:pPr>
            <w:r>
              <w:rPr>
                <w:rFonts w:ascii="Arial" w:eastAsia="华文细黑"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6856790" w14:textId="77777777" w:rsidR="00000000" w:rsidRDefault="00000000">
            <w:pPr>
              <w:widowControl/>
              <w:kinsoku w:val="0"/>
              <w:overflowPunct w:val="0"/>
              <w:adjustRightInd/>
              <w:spacing w:line="240" w:lineRule="exact"/>
              <w:jc w:val="right"/>
              <w:rPr>
                <w:rFonts w:ascii="Arial" w:eastAsia="华文细黑" w:hAnsi="Arial" w:cs="Arial" w:hint="eastAsia"/>
                <w:sz w:val="18"/>
                <w:szCs w:val="18"/>
              </w:rPr>
            </w:pPr>
            <w:r>
              <w:rPr>
                <w:rFonts w:ascii="Arial" w:eastAsia="华文细黑" w:hAnsi="Arial" w:cs="Arial" w:hint="eastAsia"/>
                <w:sz w:val="18"/>
                <w:szCs w:val="18"/>
              </w:rPr>
              <w:t>45634</w:t>
            </w:r>
          </w:p>
        </w:tc>
      </w:tr>
      <w:tr w:rsidR="00000000" w14:paraId="215ECBDF"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70226BA"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lastRenderedPageBreak/>
              <w:t>北京经济技术开发区亦庄新城</w:t>
            </w:r>
            <w:r>
              <w:rPr>
                <w:rFonts w:ascii="Arial" w:eastAsia="华文细黑" w:hAnsi="Arial" w:cs="Arial" w:hint="eastAsia"/>
                <w:sz w:val="18"/>
                <w:szCs w:val="18"/>
              </w:rPr>
              <w:t>YZ00-0302</w:t>
            </w:r>
            <w:r>
              <w:rPr>
                <w:rFonts w:ascii="Arial" w:eastAsia="华文细黑" w:hAnsi="Arial" w:cs="Arial" w:hint="eastAsia"/>
                <w:sz w:val="18"/>
                <w:szCs w:val="18"/>
              </w:rPr>
              <w:t>街区</w:t>
            </w:r>
            <w:r>
              <w:rPr>
                <w:rFonts w:ascii="Arial" w:eastAsia="华文细黑" w:hAnsi="Arial" w:cs="Arial" w:hint="eastAsia"/>
                <w:sz w:val="18"/>
                <w:szCs w:val="18"/>
              </w:rPr>
              <w:t xml:space="preserve"> C4F1</w:t>
            </w:r>
            <w:r>
              <w:rPr>
                <w:rFonts w:ascii="Arial" w:eastAsia="华文细黑" w:hAnsi="Arial" w:cs="Arial" w:hint="eastAsia"/>
                <w:sz w:val="18"/>
                <w:szCs w:val="18"/>
              </w:rPr>
              <w:t>地块</w:t>
            </w: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8949C2B"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837D4FE"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21545.6</w:t>
            </w:r>
          </w:p>
        </w:tc>
        <w:tc>
          <w:tcPr>
            <w:tcW w:w="992" w:type="dxa"/>
            <w:tcBorders>
              <w:top w:val="single" w:sz="4" w:space="0" w:color="auto"/>
              <w:left w:val="single" w:sz="4" w:space="0" w:color="auto"/>
              <w:bottom w:val="single" w:sz="4" w:space="0" w:color="auto"/>
              <w:right w:val="single" w:sz="4" w:space="0" w:color="auto"/>
            </w:tcBorders>
            <w:noWrap/>
            <w:vAlign w:val="center"/>
          </w:tcPr>
          <w:p w14:paraId="20F2F708"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40505.73</w:t>
            </w:r>
          </w:p>
        </w:tc>
        <w:tc>
          <w:tcPr>
            <w:tcW w:w="993" w:type="dxa"/>
            <w:tcBorders>
              <w:top w:val="single" w:sz="4" w:space="0" w:color="auto"/>
              <w:left w:val="single" w:sz="4" w:space="0" w:color="auto"/>
              <w:bottom w:val="single" w:sz="4" w:space="0" w:color="auto"/>
              <w:right w:val="single" w:sz="4" w:space="0" w:color="auto"/>
            </w:tcBorders>
            <w:noWrap/>
            <w:vAlign w:val="center"/>
          </w:tcPr>
          <w:p w14:paraId="23FBB0D2" w14:textId="77777777" w:rsidR="00000000" w:rsidRDefault="00000000">
            <w:pPr>
              <w:widowControl/>
              <w:adjustRightInd/>
              <w:spacing w:line="240" w:lineRule="auto"/>
              <w:jc w:val="both"/>
              <w:textAlignment w:val="auto"/>
              <w:rPr>
                <w:rFonts w:ascii="Arial" w:eastAsia="华文细黑" w:hAnsi="Arial" w:cs="Arial" w:hint="eastAsia"/>
                <w:sz w:val="18"/>
                <w:szCs w:val="18"/>
              </w:rPr>
            </w:pPr>
            <w:r>
              <w:rPr>
                <w:rFonts w:ascii="Arial" w:eastAsia="华文细黑" w:hAnsi="Arial" w:cs="Arial" w:hint="eastAsia"/>
                <w:sz w:val="18"/>
                <w:szCs w:val="18"/>
              </w:rPr>
              <w:t>1.88</w:t>
            </w:r>
          </w:p>
        </w:tc>
        <w:tc>
          <w:tcPr>
            <w:tcW w:w="1170" w:type="dxa"/>
            <w:tcBorders>
              <w:top w:val="single" w:sz="4" w:space="0" w:color="auto"/>
              <w:left w:val="single" w:sz="4" w:space="0" w:color="auto"/>
              <w:bottom w:val="single" w:sz="4" w:space="0" w:color="auto"/>
              <w:right w:val="single" w:sz="4" w:space="0" w:color="auto"/>
            </w:tcBorders>
            <w:noWrap/>
            <w:vAlign w:val="center"/>
          </w:tcPr>
          <w:p w14:paraId="09BB23A3"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10</w:t>
            </w:r>
            <w:r>
              <w:rPr>
                <w:rFonts w:ascii="Arial" w:eastAsia="华文细黑" w:hAnsi="Arial" w:cs="Arial" w:hint="eastAsia"/>
                <w:sz w:val="18"/>
                <w:szCs w:val="18"/>
              </w:rPr>
              <w:t>月</w:t>
            </w:r>
            <w:r>
              <w:rPr>
                <w:rFonts w:ascii="Arial" w:eastAsia="华文细黑" w:hAnsi="Arial" w:cs="Arial" w:hint="eastAsia"/>
                <w:sz w:val="18"/>
                <w:szCs w:val="18"/>
              </w:rPr>
              <w:t>11</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B52D24B" w14:textId="77777777" w:rsidR="00000000" w:rsidRDefault="00000000">
            <w:pPr>
              <w:widowControl/>
              <w:kinsoku w:val="0"/>
              <w:overflowPunct w:val="0"/>
              <w:adjustRightInd/>
              <w:spacing w:line="240" w:lineRule="exact"/>
              <w:jc w:val="right"/>
              <w:rPr>
                <w:rFonts w:ascii="Arial" w:eastAsia="华文细黑" w:hAnsi="Arial" w:cs="Arial" w:hint="eastAsia"/>
                <w:sz w:val="18"/>
                <w:szCs w:val="18"/>
              </w:rPr>
            </w:pPr>
            <w:r>
              <w:rPr>
                <w:rFonts w:ascii="Arial" w:eastAsia="华文细黑" w:hAnsi="Arial" w:cs="Arial" w:hint="eastAsia"/>
                <w:sz w:val="18"/>
                <w:szCs w:val="18"/>
              </w:rPr>
              <w:t>37500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35A7C48" w14:textId="77777777" w:rsidR="00000000" w:rsidRDefault="00000000">
            <w:pPr>
              <w:widowControl/>
              <w:kinsoku w:val="0"/>
              <w:overflowPunct w:val="0"/>
              <w:adjustRightInd/>
              <w:spacing w:line="240" w:lineRule="exact"/>
              <w:jc w:val="right"/>
              <w:rPr>
                <w:rFonts w:ascii="Arial" w:eastAsia="华文细黑" w:hAnsi="Arial" w:cs="Arial" w:hint="eastAsia"/>
                <w:sz w:val="18"/>
                <w:szCs w:val="18"/>
              </w:rPr>
            </w:pPr>
            <w:r>
              <w:rPr>
                <w:rFonts w:ascii="Arial" w:eastAsia="华文细黑" w:hAnsi="Arial" w:cs="Arial" w:hint="eastAsia"/>
                <w:sz w:val="18"/>
                <w:szCs w:val="18"/>
              </w:rPr>
              <w:t>9258</w:t>
            </w:r>
          </w:p>
        </w:tc>
      </w:tr>
      <w:tr w:rsidR="00000000" w14:paraId="0B891651"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4CBFEB33"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北京经济技术开发区亦庄新城</w:t>
            </w:r>
            <w:r>
              <w:rPr>
                <w:rFonts w:ascii="Arial" w:eastAsia="华文细黑" w:hAnsi="Arial" w:cs="Arial" w:hint="eastAsia"/>
                <w:sz w:val="18"/>
                <w:szCs w:val="18"/>
              </w:rPr>
              <w:t>YZ00-0206</w:t>
            </w:r>
            <w:r>
              <w:rPr>
                <w:rFonts w:ascii="Arial" w:eastAsia="华文细黑" w:hAnsi="Arial" w:cs="Arial" w:hint="eastAsia"/>
                <w:sz w:val="18"/>
                <w:szCs w:val="18"/>
              </w:rPr>
              <w:t>街区</w:t>
            </w:r>
            <w:r>
              <w:rPr>
                <w:rFonts w:ascii="Arial" w:eastAsia="华文细黑" w:hAnsi="Arial" w:cs="Arial" w:hint="eastAsia"/>
                <w:sz w:val="18"/>
                <w:szCs w:val="18"/>
              </w:rPr>
              <w:t>X44B2</w:t>
            </w:r>
            <w:r>
              <w:rPr>
                <w:rFonts w:ascii="Arial" w:eastAsia="华文细黑" w:hAnsi="Arial" w:cs="Arial" w:hint="eastAsia"/>
                <w:sz w:val="18"/>
                <w:szCs w:val="18"/>
              </w:rPr>
              <w:t>地块</w:t>
            </w:r>
            <w:r>
              <w:rPr>
                <w:rFonts w:ascii="Arial" w:eastAsia="华文细黑" w:hAnsi="Arial" w:cs="Arial" w:hint="eastAsia"/>
                <w:sz w:val="18"/>
                <w:szCs w:val="18"/>
              </w:rPr>
              <w:t>B4</w:t>
            </w:r>
            <w:r>
              <w:rPr>
                <w:rFonts w:ascii="Arial" w:eastAsia="华文细黑"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79AEDE6A"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B4</w:t>
            </w:r>
            <w:r>
              <w:rPr>
                <w:rFonts w:ascii="Arial" w:eastAsia="华文细黑"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4976F02"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10200.06</w:t>
            </w:r>
          </w:p>
        </w:tc>
        <w:tc>
          <w:tcPr>
            <w:tcW w:w="992" w:type="dxa"/>
            <w:tcBorders>
              <w:top w:val="single" w:sz="4" w:space="0" w:color="auto"/>
              <w:left w:val="single" w:sz="4" w:space="0" w:color="auto"/>
              <w:bottom w:val="single" w:sz="4" w:space="0" w:color="auto"/>
              <w:right w:val="single" w:sz="4" w:space="0" w:color="auto"/>
            </w:tcBorders>
            <w:noWrap/>
            <w:vAlign w:val="center"/>
          </w:tcPr>
          <w:p w14:paraId="008A8C27"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20400.12</w:t>
            </w:r>
          </w:p>
        </w:tc>
        <w:tc>
          <w:tcPr>
            <w:tcW w:w="993" w:type="dxa"/>
            <w:tcBorders>
              <w:top w:val="single" w:sz="4" w:space="0" w:color="auto"/>
              <w:left w:val="single" w:sz="4" w:space="0" w:color="auto"/>
              <w:bottom w:val="single" w:sz="4" w:space="0" w:color="auto"/>
              <w:right w:val="single" w:sz="4" w:space="0" w:color="auto"/>
            </w:tcBorders>
            <w:noWrap/>
            <w:vAlign w:val="center"/>
          </w:tcPr>
          <w:p w14:paraId="5E2F6146" w14:textId="77777777" w:rsidR="00000000" w:rsidRDefault="00000000">
            <w:pPr>
              <w:widowControl/>
              <w:adjustRightInd/>
              <w:spacing w:line="240" w:lineRule="auto"/>
              <w:jc w:val="both"/>
              <w:textAlignment w:val="auto"/>
              <w:rPr>
                <w:rFonts w:ascii="Arial" w:eastAsia="华文细黑" w:hAnsi="Arial" w:cs="Arial" w:hint="eastAsia"/>
                <w:sz w:val="18"/>
                <w:szCs w:val="18"/>
              </w:rPr>
            </w:pPr>
            <w:r>
              <w:rPr>
                <w:rFonts w:ascii="Arial" w:eastAsia="华文细黑" w:hAnsi="Arial" w:cs="Arial" w:hint="eastAsia"/>
                <w:sz w:val="18"/>
                <w:szCs w:val="18"/>
              </w:rPr>
              <w:t>2</w:t>
            </w:r>
          </w:p>
        </w:tc>
        <w:tc>
          <w:tcPr>
            <w:tcW w:w="1170" w:type="dxa"/>
            <w:tcBorders>
              <w:top w:val="single" w:sz="4" w:space="0" w:color="auto"/>
              <w:left w:val="single" w:sz="4" w:space="0" w:color="auto"/>
              <w:bottom w:val="single" w:sz="4" w:space="0" w:color="auto"/>
              <w:right w:val="single" w:sz="4" w:space="0" w:color="auto"/>
            </w:tcBorders>
            <w:noWrap/>
            <w:vAlign w:val="center"/>
          </w:tcPr>
          <w:p w14:paraId="5AB3A19B"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10</w:t>
            </w:r>
            <w:r>
              <w:rPr>
                <w:rFonts w:ascii="Arial" w:eastAsia="华文细黑" w:hAnsi="Arial" w:cs="Arial" w:hint="eastAsia"/>
                <w:sz w:val="18"/>
                <w:szCs w:val="18"/>
              </w:rPr>
              <w:t>月</w:t>
            </w:r>
            <w:r>
              <w:rPr>
                <w:rFonts w:ascii="Arial" w:eastAsia="华文细黑" w:hAnsi="Arial" w:cs="Arial" w:hint="eastAsia"/>
                <w:sz w:val="18"/>
                <w:szCs w:val="18"/>
              </w:rPr>
              <w:t>22</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384BA12F" w14:textId="77777777" w:rsidR="00000000" w:rsidRDefault="00000000">
            <w:pPr>
              <w:widowControl/>
              <w:kinsoku w:val="0"/>
              <w:overflowPunct w:val="0"/>
              <w:adjustRightInd/>
              <w:spacing w:line="240" w:lineRule="exact"/>
              <w:jc w:val="right"/>
              <w:rPr>
                <w:rFonts w:ascii="Arial" w:eastAsia="华文细黑" w:hAnsi="Arial" w:cs="Arial" w:hint="eastAsia"/>
                <w:sz w:val="18"/>
                <w:szCs w:val="18"/>
              </w:rPr>
            </w:pPr>
            <w:r>
              <w:rPr>
                <w:rFonts w:ascii="Arial" w:eastAsia="华文细黑" w:hAnsi="Arial" w:cs="Arial" w:hint="eastAsia"/>
                <w:sz w:val="18"/>
                <w:szCs w:val="18"/>
              </w:rPr>
              <w:t>14800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87354CD" w14:textId="77777777" w:rsidR="00000000" w:rsidRDefault="00000000">
            <w:pPr>
              <w:widowControl/>
              <w:kinsoku w:val="0"/>
              <w:overflowPunct w:val="0"/>
              <w:adjustRightInd/>
              <w:spacing w:line="240" w:lineRule="exact"/>
              <w:jc w:val="right"/>
              <w:rPr>
                <w:rFonts w:ascii="Arial" w:eastAsia="华文细黑" w:hAnsi="Arial" w:cs="Arial" w:hint="eastAsia"/>
                <w:sz w:val="18"/>
                <w:szCs w:val="18"/>
              </w:rPr>
            </w:pPr>
            <w:r>
              <w:rPr>
                <w:rFonts w:ascii="Arial" w:eastAsia="华文细黑" w:hAnsi="Arial" w:cs="Arial" w:hint="eastAsia"/>
                <w:sz w:val="18"/>
                <w:szCs w:val="18"/>
              </w:rPr>
              <w:t>7255</w:t>
            </w:r>
          </w:p>
        </w:tc>
      </w:tr>
      <w:tr w:rsidR="00000000" w14:paraId="36BDB9BD"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529CCBC"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北京城市副中心</w:t>
            </w:r>
            <w:r>
              <w:rPr>
                <w:rFonts w:ascii="Arial" w:eastAsia="华文细黑" w:hAnsi="Arial" w:cs="Arial" w:hint="eastAsia"/>
                <w:sz w:val="18"/>
                <w:szCs w:val="18"/>
              </w:rPr>
              <w:t>0101</w:t>
            </w:r>
            <w:r>
              <w:rPr>
                <w:rFonts w:ascii="Arial" w:eastAsia="华文细黑" w:hAnsi="Arial" w:cs="Arial" w:hint="eastAsia"/>
                <w:sz w:val="18"/>
                <w:szCs w:val="18"/>
              </w:rPr>
              <w:t>街区</w:t>
            </w:r>
            <w:r>
              <w:rPr>
                <w:rFonts w:ascii="Arial" w:eastAsia="华文细黑" w:hAnsi="Arial" w:cs="Arial" w:hint="eastAsia"/>
                <w:sz w:val="18"/>
                <w:szCs w:val="18"/>
              </w:rPr>
              <w:t>FZX-0101-0607</w:t>
            </w:r>
            <w:r>
              <w:rPr>
                <w:rFonts w:ascii="Arial" w:eastAsia="华文细黑" w:hAnsi="Arial" w:cs="Arial" w:hint="eastAsia"/>
                <w:sz w:val="18"/>
                <w:szCs w:val="18"/>
              </w:rPr>
              <w:t>地块</w:t>
            </w: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4FA021B0"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D392B2A"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11304.48</w:t>
            </w:r>
          </w:p>
        </w:tc>
        <w:tc>
          <w:tcPr>
            <w:tcW w:w="992" w:type="dxa"/>
            <w:tcBorders>
              <w:top w:val="single" w:sz="4" w:space="0" w:color="auto"/>
              <w:left w:val="single" w:sz="4" w:space="0" w:color="auto"/>
              <w:bottom w:val="single" w:sz="4" w:space="0" w:color="auto"/>
              <w:right w:val="single" w:sz="4" w:space="0" w:color="auto"/>
            </w:tcBorders>
            <w:noWrap/>
            <w:vAlign w:val="center"/>
          </w:tcPr>
          <w:p w14:paraId="2539B603"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71783.47</w:t>
            </w:r>
          </w:p>
        </w:tc>
        <w:tc>
          <w:tcPr>
            <w:tcW w:w="993" w:type="dxa"/>
            <w:tcBorders>
              <w:top w:val="single" w:sz="4" w:space="0" w:color="auto"/>
              <w:left w:val="single" w:sz="4" w:space="0" w:color="auto"/>
              <w:bottom w:val="single" w:sz="4" w:space="0" w:color="auto"/>
              <w:right w:val="single" w:sz="4" w:space="0" w:color="auto"/>
            </w:tcBorders>
            <w:noWrap/>
            <w:vAlign w:val="center"/>
          </w:tcPr>
          <w:p w14:paraId="32085D11" w14:textId="77777777" w:rsidR="00000000" w:rsidRDefault="00000000">
            <w:pPr>
              <w:widowControl/>
              <w:adjustRightInd/>
              <w:spacing w:line="240" w:lineRule="auto"/>
              <w:jc w:val="both"/>
              <w:textAlignment w:val="auto"/>
              <w:rPr>
                <w:rFonts w:ascii="Arial" w:eastAsia="华文细黑" w:hAnsi="Arial" w:cs="Arial" w:hint="eastAsia"/>
                <w:sz w:val="18"/>
                <w:szCs w:val="18"/>
              </w:rPr>
            </w:pPr>
            <w:r>
              <w:rPr>
                <w:rFonts w:ascii="Arial" w:eastAsia="华文细黑" w:hAnsi="Arial" w:cs="Arial" w:hint="eastAsia"/>
                <w:sz w:val="18"/>
                <w:szCs w:val="18"/>
              </w:rPr>
              <w:t>≤</w:t>
            </w:r>
            <w:r>
              <w:rPr>
                <w:rFonts w:ascii="Arial" w:eastAsia="华文细黑" w:hAnsi="Arial" w:cs="Arial" w:hint="eastAsia"/>
                <w:sz w:val="18"/>
                <w:szCs w:val="18"/>
              </w:rPr>
              <w:t>6.35</w:t>
            </w:r>
          </w:p>
        </w:tc>
        <w:tc>
          <w:tcPr>
            <w:tcW w:w="1170" w:type="dxa"/>
            <w:tcBorders>
              <w:top w:val="single" w:sz="4" w:space="0" w:color="auto"/>
              <w:left w:val="single" w:sz="4" w:space="0" w:color="auto"/>
              <w:bottom w:val="single" w:sz="4" w:space="0" w:color="auto"/>
              <w:right w:val="single" w:sz="4" w:space="0" w:color="auto"/>
            </w:tcBorders>
            <w:noWrap/>
            <w:vAlign w:val="center"/>
          </w:tcPr>
          <w:p w14:paraId="05E73610"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10</w:t>
            </w:r>
            <w:r>
              <w:rPr>
                <w:rFonts w:ascii="Arial" w:eastAsia="华文细黑" w:hAnsi="Arial" w:cs="Arial" w:hint="eastAsia"/>
                <w:sz w:val="18"/>
                <w:szCs w:val="18"/>
              </w:rPr>
              <w:t>月</w:t>
            </w:r>
            <w:r>
              <w:rPr>
                <w:rFonts w:ascii="Arial" w:eastAsia="华文细黑" w:hAnsi="Arial" w:cs="Arial" w:hint="eastAsia"/>
                <w:sz w:val="18"/>
                <w:szCs w:val="18"/>
              </w:rPr>
              <w:t>28</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211B1F9" w14:textId="77777777" w:rsidR="00000000" w:rsidRDefault="00000000">
            <w:pPr>
              <w:widowControl/>
              <w:kinsoku w:val="0"/>
              <w:overflowPunct w:val="0"/>
              <w:adjustRightInd/>
              <w:spacing w:line="240" w:lineRule="exact"/>
              <w:jc w:val="right"/>
              <w:rPr>
                <w:rFonts w:ascii="Arial" w:eastAsia="华文细黑" w:hAnsi="Arial" w:cs="Arial" w:hint="eastAsia"/>
                <w:sz w:val="18"/>
                <w:szCs w:val="18"/>
              </w:rPr>
            </w:pPr>
            <w:r>
              <w:rPr>
                <w:rFonts w:ascii="Arial" w:eastAsia="华文细黑" w:hAnsi="Arial" w:cs="Arial" w:hint="eastAsia"/>
                <w:sz w:val="18"/>
                <w:szCs w:val="18"/>
              </w:rPr>
              <w:t>93950</w:t>
            </w:r>
          </w:p>
        </w:tc>
        <w:tc>
          <w:tcPr>
            <w:tcW w:w="1017" w:type="dxa"/>
            <w:tcBorders>
              <w:top w:val="single" w:sz="4" w:space="0" w:color="auto"/>
              <w:left w:val="single" w:sz="4" w:space="0" w:color="auto"/>
              <w:bottom w:val="single" w:sz="4" w:space="0" w:color="auto"/>
              <w:right w:val="single" w:sz="4" w:space="0" w:color="auto"/>
            </w:tcBorders>
            <w:noWrap/>
            <w:vAlign w:val="center"/>
          </w:tcPr>
          <w:p w14:paraId="4BE54CBD" w14:textId="77777777" w:rsidR="00000000" w:rsidRDefault="00000000">
            <w:pPr>
              <w:widowControl/>
              <w:kinsoku w:val="0"/>
              <w:overflowPunct w:val="0"/>
              <w:adjustRightInd/>
              <w:spacing w:line="240" w:lineRule="exact"/>
              <w:jc w:val="right"/>
              <w:rPr>
                <w:rFonts w:ascii="Arial" w:eastAsia="华文细黑" w:hAnsi="Arial" w:cs="Arial" w:hint="eastAsia"/>
                <w:sz w:val="18"/>
                <w:szCs w:val="18"/>
              </w:rPr>
            </w:pPr>
            <w:r>
              <w:rPr>
                <w:rFonts w:ascii="Arial" w:eastAsia="华文细黑" w:hAnsi="Arial" w:cs="Arial" w:hint="eastAsia"/>
                <w:sz w:val="18"/>
                <w:szCs w:val="18"/>
              </w:rPr>
              <w:t>13088</w:t>
            </w:r>
          </w:p>
        </w:tc>
      </w:tr>
      <w:tr w:rsidR="00000000" w14:paraId="7D30E184"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78B61A7"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北京市西城区广安一期</w:t>
            </w:r>
            <w:r>
              <w:rPr>
                <w:rFonts w:ascii="Arial" w:eastAsia="华文细黑" w:hAnsi="Arial" w:cs="Arial" w:hint="eastAsia"/>
                <w:sz w:val="18"/>
                <w:szCs w:val="18"/>
              </w:rPr>
              <w:t>0128-149</w:t>
            </w:r>
            <w:r>
              <w:rPr>
                <w:rFonts w:ascii="Arial" w:eastAsia="华文细黑" w:hAnsi="Arial" w:cs="Arial" w:hint="eastAsia"/>
                <w:sz w:val="18"/>
                <w:szCs w:val="18"/>
              </w:rPr>
              <w:t>地块</w:t>
            </w: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92DFCEA"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44C6E27"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36579</w:t>
            </w:r>
          </w:p>
        </w:tc>
        <w:tc>
          <w:tcPr>
            <w:tcW w:w="992" w:type="dxa"/>
            <w:tcBorders>
              <w:top w:val="single" w:sz="4" w:space="0" w:color="auto"/>
              <w:left w:val="single" w:sz="4" w:space="0" w:color="auto"/>
              <w:bottom w:val="single" w:sz="4" w:space="0" w:color="auto"/>
              <w:right w:val="single" w:sz="4" w:space="0" w:color="auto"/>
            </w:tcBorders>
            <w:noWrap/>
            <w:vAlign w:val="center"/>
          </w:tcPr>
          <w:p w14:paraId="632AC381"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38000</w:t>
            </w:r>
          </w:p>
        </w:tc>
        <w:tc>
          <w:tcPr>
            <w:tcW w:w="993" w:type="dxa"/>
            <w:tcBorders>
              <w:top w:val="single" w:sz="4" w:space="0" w:color="auto"/>
              <w:left w:val="single" w:sz="4" w:space="0" w:color="auto"/>
              <w:bottom w:val="single" w:sz="4" w:space="0" w:color="auto"/>
              <w:right w:val="single" w:sz="4" w:space="0" w:color="auto"/>
            </w:tcBorders>
            <w:noWrap/>
            <w:vAlign w:val="center"/>
          </w:tcPr>
          <w:p w14:paraId="7A9B16EF" w14:textId="77777777" w:rsidR="00000000" w:rsidRDefault="00000000">
            <w:pPr>
              <w:widowControl/>
              <w:adjustRightInd/>
              <w:spacing w:line="240" w:lineRule="auto"/>
              <w:jc w:val="both"/>
              <w:textAlignment w:val="auto"/>
              <w:rPr>
                <w:rFonts w:ascii="Arial" w:eastAsia="华文细黑" w:hAnsi="Arial" w:cs="Arial" w:hint="eastAsia"/>
                <w:sz w:val="18"/>
                <w:szCs w:val="18"/>
              </w:rPr>
            </w:pPr>
            <w:r>
              <w:rPr>
                <w:rFonts w:ascii="Arial" w:eastAsia="华文细黑" w:hAnsi="Arial" w:cs="Arial" w:hint="eastAsia"/>
                <w:sz w:val="18"/>
                <w:szCs w:val="18"/>
              </w:rPr>
              <w:t>1.04</w:t>
            </w:r>
          </w:p>
        </w:tc>
        <w:tc>
          <w:tcPr>
            <w:tcW w:w="1170" w:type="dxa"/>
            <w:tcBorders>
              <w:top w:val="single" w:sz="4" w:space="0" w:color="auto"/>
              <w:left w:val="single" w:sz="4" w:space="0" w:color="auto"/>
              <w:bottom w:val="single" w:sz="4" w:space="0" w:color="auto"/>
              <w:right w:val="single" w:sz="4" w:space="0" w:color="auto"/>
            </w:tcBorders>
            <w:noWrap/>
            <w:vAlign w:val="center"/>
          </w:tcPr>
          <w:p w14:paraId="2ACBBE52"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12</w:t>
            </w:r>
            <w:r>
              <w:rPr>
                <w:rFonts w:ascii="Arial" w:eastAsia="华文细黑" w:hAnsi="Arial" w:cs="Arial" w:hint="eastAsia"/>
                <w:sz w:val="18"/>
                <w:szCs w:val="18"/>
              </w:rPr>
              <w:t>月</w:t>
            </w:r>
            <w:r>
              <w:rPr>
                <w:rFonts w:ascii="Arial" w:eastAsia="华文细黑" w:hAnsi="Arial" w:cs="Arial" w:hint="eastAsia"/>
                <w:sz w:val="18"/>
                <w:szCs w:val="18"/>
              </w:rPr>
              <w:t>23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5510E0D" w14:textId="77777777" w:rsidR="00000000" w:rsidRDefault="00000000">
            <w:pPr>
              <w:widowControl/>
              <w:kinsoku w:val="0"/>
              <w:overflowPunct w:val="0"/>
              <w:adjustRightInd/>
              <w:spacing w:line="240" w:lineRule="exact"/>
              <w:jc w:val="right"/>
              <w:rPr>
                <w:rFonts w:ascii="Arial" w:eastAsia="华文细黑" w:hAnsi="Arial" w:cs="Arial" w:hint="eastAsia"/>
                <w:sz w:val="18"/>
                <w:szCs w:val="18"/>
              </w:rPr>
            </w:pPr>
            <w:r>
              <w:rPr>
                <w:rFonts w:ascii="Arial" w:eastAsia="华文细黑" w:hAnsi="Arial" w:cs="Arial" w:hint="eastAsia"/>
                <w:sz w:val="18"/>
                <w:szCs w:val="18"/>
              </w:rPr>
              <w:t>134400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19506C0" w14:textId="77777777" w:rsidR="00000000" w:rsidRDefault="00000000">
            <w:pPr>
              <w:widowControl/>
              <w:kinsoku w:val="0"/>
              <w:overflowPunct w:val="0"/>
              <w:adjustRightInd/>
              <w:spacing w:line="240" w:lineRule="exact"/>
              <w:jc w:val="right"/>
              <w:rPr>
                <w:rFonts w:ascii="Arial" w:eastAsia="华文细黑" w:hAnsi="Arial" w:cs="Arial" w:hint="eastAsia"/>
                <w:sz w:val="18"/>
                <w:szCs w:val="18"/>
              </w:rPr>
            </w:pPr>
            <w:r>
              <w:rPr>
                <w:rFonts w:ascii="Arial" w:eastAsia="华文细黑" w:hAnsi="Arial" w:cs="Arial" w:hint="eastAsia"/>
                <w:sz w:val="18"/>
                <w:szCs w:val="18"/>
              </w:rPr>
              <w:t>35368</w:t>
            </w:r>
          </w:p>
        </w:tc>
      </w:tr>
      <w:tr w:rsidR="00000000" w14:paraId="096F72E3"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7488933"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北京经济技术开发区亦庄新城</w:t>
            </w:r>
            <w:r>
              <w:rPr>
                <w:rFonts w:ascii="Arial" w:eastAsia="华文细黑" w:hAnsi="Arial" w:cs="Arial" w:hint="eastAsia"/>
                <w:sz w:val="18"/>
                <w:szCs w:val="18"/>
              </w:rPr>
              <w:t>YZ00-0302</w:t>
            </w:r>
            <w:r>
              <w:rPr>
                <w:rFonts w:ascii="Arial" w:eastAsia="华文细黑" w:hAnsi="Arial" w:cs="Arial" w:hint="eastAsia"/>
                <w:sz w:val="18"/>
                <w:szCs w:val="18"/>
              </w:rPr>
              <w:t>街区</w:t>
            </w:r>
            <w:r>
              <w:rPr>
                <w:rFonts w:ascii="Arial" w:eastAsia="华文细黑" w:hAnsi="Arial" w:cs="Arial" w:hint="eastAsia"/>
                <w:sz w:val="18"/>
                <w:szCs w:val="18"/>
              </w:rPr>
              <w:t>B4B2</w:t>
            </w:r>
            <w:r>
              <w:rPr>
                <w:rFonts w:ascii="Arial" w:eastAsia="华文细黑" w:hAnsi="Arial" w:cs="Arial" w:hint="eastAsia"/>
                <w:sz w:val="18"/>
                <w:szCs w:val="18"/>
              </w:rPr>
              <w:t>地块商务金融用地</w:t>
            </w:r>
            <w:r>
              <w:rPr>
                <w:rFonts w:ascii="Arial" w:eastAsia="华文细黑" w:hAnsi="Arial" w:cs="Arial" w:hint="eastAsia"/>
                <w:sz w:val="18"/>
                <w:szCs w:val="18"/>
              </w:rPr>
              <w:t>(B2)</w:t>
            </w:r>
          </w:p>
        </w:tc>
        <w:tc>
          <w:tcPr>
            <w:tcW w:w="1134" w:type="dxa"/>
            <w:tcBorders>
              <w:top w:val="single" w:sz="4" w:space="0" w:color="auto"/>
              <w:left w:val="single" w:sz="4" w:space="0" w:color="auto"/>
              <w:bottom w:val="single" w:sz="4" w:space="0" w:color="auto"/>
              <w:right w:val="single" w:sz="4" w:space="0" w:color="auto"/>
            </w:tcBorders>
            <w:noWrap/>
            <w:vAlign w:val="center"/>
          </w:tcPr>
          <w:p w14:paraId="14C45A4C"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商务金融用地</w:t>
            </w:r>
            <w:r>
              <w:rPr>
                <w:rFonts w:ascii="Arial" w:eastAsia="华文细黑" w:hAnsi="Arial" w:cs="Arial" w:hint="eastAsia"/>
                <w:sz w:val="18"/>
                <w:szCs w:val="18"/>
              </w:rPr>
              <w:t>(B2)</w:t>
            </w:r>
          </w:p>
        </w:tc>
        <w:tc>
          <w:tcPr>
            <w:tcW w:w="992" w:type="dxa"/>
            <w:tcBorders>
              <w:top w:val="single" w:sz="4" w:space="0" w:color="auto"/>
              <w:left w:val="single" w:sz="4" w:space="0" w:color="auto"/>
              <w:bottom w:val="single" w:sz="4" w:space="0" w:color="auto"/>
              <w:right w:val="single" w:sz="4" w:space="0" w:color="auto"/>
            </w:tcBorders>
            <w:noWrap/>
            <w:vAlign w:val="center"/>
          </w:tcPr>
          <w:p w14:paraId="4BC8D73F"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9550.32</w:t>
            </w:r>
          </w:p>
        </w:tc>
        <w:tc>
          <w:tcPr>
            <w:tcW w:w="992" w:type="dxa"/>
            <w:tcBorders>
              <w:top w:val="single" w:sz="4" w:space="0" w:color="auto"/>
              <w:left w:val="single" w:sz="4" w:space="0" w:color="auto"/>
              <w:bottom w:val="single" w:sz="4" w:space="0" w:color="auto"/>
              <w:right w:val="single" w:sz="4" w:space="0" w:color="auto"/>
            </w:tcBorders>
            <w:noWrap/>
            <w:vAlign w:val="center"/>
          </w:tcPr>
          <w:p w14:paraId="72F66A38"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19100.64</w:t>
            </w:r>
          </w:p>
        </w:tc>
        <w:tc>
          <w:tcPr>
            <w:tcW w:w="993" w:type="dxa"/>
            <w:tcBorders>
              <w:top w:val="single" w:sz="4" w:space="0" w:color="auto"/>
              <w:left w:val="single" w:sz="4" w:space="0" w:color="auto"/>
              <w:bottom w:val="single" w:sz="4" w:space="0" w:color="auto"/>
              <w:right w:val="single" w:sz="4" w:space="0" w:color="auto"/>
            </w:tcBorders>
            <w:noWrap/>
            <w:vAlign w:val="center"/>
          </w:tcPr>
          <w:p w14:paraId="7255DA7B" w14:textId="77777777" w:rsidR="00000000" w:rsidRDefault="00000000">
            <w:pPr>
              <w:widowControl/>
              <w:adjustRightInd/>
              <w:spacing w:line="240" w:lineRule="auto"/>
              <w:jc w:val="both"/>
              <w:textAlignment w:val="auto"/>
              <w:rPr>
                <w:rFonts w:ascii="Arial" w:eastAsia="华文细黑" w:hAnsi="Arial" w:cs="Arial" w:hint="eastAsia"/>
                <w:sz w:val="18"/>
                <w:szCs w:val="18"/>
              </w:rPr>
            </w:pPr>
            <w:r>
              <w:rPr>
                <w:rFonts w:ascii="Arial" w:eastAsia="华文细黑" w:hAnsi="Arial" w:cs="Arial" w:hint="eastAsia"/>
                <w:sz w:val="18"/>
                <w:szCs w:val="18"/>
              </w:rPr>
              <w:t>2</w:t>
            </w:r>
          </w:p>
        </w:tc>
        <w:tc>
          <w:tcPr>
            <w:tcW w:w="1170" w:type="dxa"/>
            <w:tcBorders>
              <w:top w:val="single" w:sz="4" w:space="0" w:color="auto"/>
              <w:left w:val="single" w:sz="4" w:space="0" w:color="auto"/>
              <w:bottom w:val="single" w:sz="4" w:space="0" w:color="auto"/>
              <w:right w:val="single" w:sz="4" w:space="0" w:color="auto"/>
            </w:tcBorders>
            <w:noWrap/>
            <w:vAlign w:val="center"/>
          </w:tcPr>
          <w:p w14:paraId="62AB8F80"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12</w:t>
            </w:r>
            <w:r>
              <w:rPr>
                <w:rFonts w:ascii="Arial" w:eastAsia="华文细黑" w:hAnsi="Arial" w:cs="Arial" w:hint="eastAsia"/>
                <w:sz w:val="18"/>
                <w:szCs w:val="18"/>
              </w:rPr>
              <w:t>月</w:t>
            </w:r>
            <w:r>
              <w:rPr>
                <w:rFonts w:ascii="Arial" w:eastAsia="华文细黑" w:hAnsi="Arial" w:cs="Arial" w:hint="eastAsia"/>
                <w:sz w:val="18"/>
                <w:szCs w:val="18"/>
              </w:rPr>
              <w:t>29</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AAD1437" w14:textId="77777777" w:rsidR="00000000" w:rsidRDefault="00000000">
            <w:pPr>
              <w:widowControl/>
              <w:kinsoku w:val="0"/>
              <w:overflowPunct w:val="0"/>
              <w:adjustRightInd/>
              <w:spacing w:line="240" w:lineRule="exact"/>
              <w:jc w:val="right"/>
              <w:rPr>
                <w:rFonts w:ascii="Arial" w:eastAsia="华文细黑" w:hAnsi="Arial" w:cs="Arial" w:hint="eastAsia"/>
                <w:sz w:val="18"/>
                <w:szCs w:val="18"/>
              </w:rPr>
            </w:pPr>
            <w:r>
              <w:rPr>
                <w:rFonts w:ascii="Arial" w:eastAsia="华文细黑" w:hAnsi="Arial" w:cs="Arial" w:hint="eastAsia"/>
                <w:sz w:val="18"/>
                <w:szCs w:val="18"/>
              </w:rPr>
              <w:t>15600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CED5F58" w14:textId="77777777" w:rsidR="00000000" w:rsidRDefault="00000000">
            <w:pPr>
              <w:widowControl/>
              <w:kinsoku w:val="0"/>
              <w:overflowPunct w:val="0"/>
              <w:adjustRightInd/>
              <w:spacing w:line="240" w:lineRule="exact"/>
              <w:jc w:val="right"/>
              <w:rPr>
                <w:rFonts w:ascii="Arial" w:eastAsia="华文细黑" w:hAnsi="Arial" w:cs="Arial" w:hint="eastAsia"/>
                <w:sz w:val="18"/>
                <w:szCs w:val="18"/>
              </w:rPr>
            </w:pPr>
            <w:r>
              <w:rPr>
                <w:rFonts w:ascii="Arial" w:eastAsia="华文细黑" w:hAnsi="Arial" w:cs="Arial" w:hint="eastAsia"/>
                <w:sz w:val="18"/>
                <w:szCs w:val="18"/>
              </w:rPr>
              <w:t>8167</w:t>
            </w:r>
          </w:p>
        </w:tc>
      </w:tr>
      <w:tr w:rsidR="00000000" w14:paraId="6D3AE969"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3971F9F"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北京市石景山区衙门口棚户区改造土地开发项目</w:t>
            </w:r>
            <w:r>
              <w:rPr>
                <w:rFonts w:ascii="Arial" w:eastAsia="华文细黑" w:hAnsi="Arial" w:cs="Arial" w:hint="eastAsia"/>
                <w:sz w:val="18"/>
                <w:szCs w:val="18"/>
              </w:rPr>
              <w:t>1616-613</w:t>
            </w:r>
            <w:r>
              <w:rPr>
                <w:rFonts w:ascii="Arial" w:eastAsia="华文细黑" w:hAnsi="Arial" w:cs="Arial" w:hint="eastAsia"/>
                <w:sz w:val="18"/>
                <w:szCs w:val="18"/>
              </w:rPr>
              <w:t>、</w:t>
            </w:r>
            <w:r>
              <w:rPr>
                <w:rFonts w:ascii="Arial" w:eastAsia="华文细黑" w:hAnsi="Arial" w:cs="Arial" w:hint="eastAsia"/>
                <w:sz w:val="18"/>
                <w:szCs w:val="18"/>
              </w:rPr>
              <w:t>616</w:t>
            </w:r>
            <w:r>
              <w:rPr>
                <w:rFonts w:ascii="Arial" w:eastAsia="华文细黑" w:hAnsi="Arial" w:cs="Arial" w:hint="eastAsia"/>
                <w:sz w:val="18"/>
                <w:szCs w:val="18"/>
              </w:rPr>
              <w:t>、</w:t>
            </w:r>
            <w:r>
              <w:rPr>
                <w:rFonts w:ascii="Arial" w:eastAsia="华文细黑" w:hAnsi="Arial" w:cs="Arial" w:hint="eastAsia"/>
                <w:sz w:val="18"/>
                <w:szCs w:val="18"/>
              </w:rPr>
              <w:t>617</w:t>
            </w:r>
            <w:r>
              <w:rPr>
                <w:rFonts w:ascii="Arial" w:eastAsia="华文细黑" w:hAnsi="Arial" w:cs="Arial" w:hint="eastAsia"/>
                <w:sz w:val="18"/>
                <w:szCs w:val="18"/>
              </w:rPr>
              <w:t>地块</w:t>
            </w:r>
            <w:r>
              <w:rPr>
                <w:rFonts w:ascii="Arial" w:eastAsia="华文细黑" w:hAnsi="Arial" w:cs="Arial" w:hint="eastAsia"/>
                <w:sz w:val="18"/>
                <w:szCs w:val="18"/>
              </w:rPr>
              <w:t>B4</w:t>
            </w:r>
            <w:r>
              <w:rPr>
                <w:rFonts w:ascii="Arial" w:eastAsia="华文细黑" w:hAnsi="Arial" w:cs="Arial" w:hint="eastAsia"/>
                <w:sz w:val="18"/>
                <w:szCs w:val="18"/>
              </w:rPr>
              <w:t>综合性商业金融服务业用地、</w:t>
            </w: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7A4D03C"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B4</w:t>
            </w:r>
            <w:r>
              <w:rPr>
                <w:rFonts w:ascii="Arial" w:eastAsia="华文细黑" w:hAnsi="Arial" w:cs="Arial" w:hint="eastAsia"/>
                <w:sz w:val="18"/>
                <w:szCs w:val="18"/>
              </w:rPr>
              <w:t>综合性商业金融服务业用地、</w:t>
            </w: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8D54D7C"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79959.07</w:t>
            </w:r>
          </w:p>
        </w:tc>
        <w:tc>
          <w:tcPr>
            <w:tcW w:w="992" w:type="dxa"/>
            <w:tcBorders>
              <w:top w:val="single" w:sz="4" w:space="0" w:color="auto"/>
              <w:left w:val="single" w:sz="4" w:space="0" w:color="auto"/>
              <w:bottom w:val="single" w:sz="4" w:space="0" w:color="auto"/>
              <w:right w:val="single" w:sz="4" w:space="0" w:color="auto"/>
            </w:tcBorders>
            <w:noWrap/>
            <w:vAlign w:val="center"/>
          </w:tcPr>
          <w:p w14:paraId="2A0A7706"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266129</w:t>
            </w:r>
          </w:p>
        </w:tc>
        <w:tc>
          <w:tcPr>
            <w:tcW w:w="993" w:type="dxa"/>
            <w:tcBorders>
              <w:top w:val="single" w:sz="4" w:space="0" w:color="auto"/>
              <w:left w:val="single" w:sz="4" w:space="0" w:color="auto"/>
              <w:bottom w:val="single" w:sz="4" w:space="0" w:color="auto"/>
              <w:right w:val="single" w:sz="4" w:space="0" w:color="auto"/>
            </w:tcBorders>
            <w:noWrap/>
            <w:vAlign w:val="center"/>
          </w:tcPr>
          <w:p w14:paraId="6E84E716" w14:textId="77777777" w:rsidR="00000000" w:rsidRDefault="00000000">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b4:2.7</w:t>
            </w:r>
          </w:p>
          <w:p w14:paraId="7BA222E3" w14:textId="77777777" w:rsidR="00000000" w:rsidRDefault="00000000">
            <w:pPr>
              <w:widowControl/>
              <w:adjustRightInd/>
              <w:spacing w:line="240" w:lineRule="auto"/>
              <w:jc w:val="both"/>
              <w:textAlignment w:val="auto"/>
              <w:rPr>
                <w:rFonts w:ascii="Arial" w:eastAsia="华文细黑" w:hAnsi="Arial" w:cs="Arial" w:hint="eastAsia"/>
                <w:sz w:val="18"/>
                <w:szCs w:val="18"/>
              </w:rPr>
            </w:pPr>
            <w:r>
              <w:rPr>
                <w:rFonts w:ascii="Arial" w:eastAsia="华文细黑" w:hAnsi="Arial" w:cs="Arial" w:hint="eastAsia"/>
                <w:sz w:val="18"/>
                <w:szCs w:val="18"/>
              </w:rPr>
              <w:t>f3:3.3-3.9</w:t>
            </w:r>
          </w:p>
        </w:tc>
        <w:tc>
          <w:tcPr>
            <w:tcW w:w="1170" w:type="dxa"/>
            <w:tcBorders>
              <w:top w:val="single" w:sz="4" w:space="0" w:color="auto"/>
              <w:left w:val="single" w:sz="4" w:space="0" w:color="auto"/>
              <w:bottom w:val="single" w:sz="4" w:space="0" w:color="auto"/>
              <w:right w:val="single" w:sz="4" w:space="0" w:color="auto"/>
            </w:tcBorders>
            <w:noWrap/>
            <w:vAlign w:val="center"/>
          </w:tcPr>
          <w:p w14:paraId="16214DE3" w14:textId="77777777" w:rsidR="00000000" w:rsidRDefault="00000000">
            <w:pPr>
              <w:widowControl/>
              <w:kinsoku w:val="0"/>
              <w:overflowPunct w:val="0"/>
              <w:adjustRightInd/>
              <w:spacing w:line="240" w:lineRule="exact"/>
              <w:jc w:val="both"/>
              <w:rPr>
                <w:rFonts w:ascii="Arial" w:eastAsia="华文细黑" w:hAnsi="Arial" w:cs="Arial" w:hint="eastAsia"/>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12</w:t>
            </w:r>
            <w:r>
              <w:rPr>
                <w:rFonts w:ascii="Arial" w:eastAsia="华文细黑" w:hAnsi="Arial" w:cs="Arial" w:hint="eastAsia"/>
                <w:sz w:val="18"/>
                <w:szCs w:val="18"/>
              </w:rPr>
              <w:t>月</w:t>
            </w:r>
            <w:r>
              <w:rPr>
                <w:rFonts w:ascii="Arial" w:eastAsia="华文细黑" w:hAnsi="Arial" w:cs="Arial" w:hint="eastAsia"/>
                <w:sz w:val="18"/>
                <w:szCs w:val="18"/>
              </w:rPr>
              <w:t>30</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6B5B4D7" w14:textId="77777777" w:rsidR="00000000" w:rsidRDefault="00000000">
            <w:pPr>
              <w:widowControl/>
              <w:kinsoku w:val="0"/>
              <w:overflowPunct w:val="0"/>
              <w:adjustRightInd/>
              <w:spacing w:line="240" w:lineRule="exact"/>
              <w:jc w:val="right"/>
              <w:rPr>
                <w:rFonts w:ascii="Arial" w:eastAsia="华文细黑" w:hAnsi="Arial" w:cs="Arial" w:hint="eastAsia"/>
                <w:sz w:val="18"/>
                <w:szCs w:val="18"/>
              </w:rPr>
            </w:pPr>
            <w:r>
              <w:rPr>
                <w:rFonts w:ascii="Arial" w:eastAsia="华文细黑" w:hAnsi="Arial" w:cs="Arial" w:hint="eastAsia"/>
                <w:sz w:val="18"/>
                <w:szCs w:val="18"/>
              </w:rPr>
              <w:t>294800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3E7587F" w14:textId="77777777" w:rsidR="00000000" w:rsidRDefault="00000000">
            <w:pPr>
              <w:widowControl/>
              <w:kinsoku w:val="0"/>
              <w:overflowPunct w:val="0"/>
              <w:adjustRightInd/>
              <w:spacing w:line="240" w:lineRule="exact"/>
              <w:jc w:val="right"/>
              <w:rPr>
                <w:rFonts w:ascii="Arial" w:eastAsia="华文细黑" w:hAnsi="Arial" w:cs="Arial" w:hint="eastAsia"/>
                <w:sz w:val="18"/>
                <w:szCs w:val="18"/>
              </w:rPr>
            </w:pPr>
            <w:r>
              <w:rPr>
                <w:rFonts w:ascii="Arial" w:eastAsia="华文细黑" w:hAnsi="Arial" w:cs="Arial" w:hint="eastAsia"/>
                <w:sz w:val="18"/>
                <w:szCs w:val="18"/>
              </w:rPr>
              <w:t>11077</w:t>
            </w:r>
          </w:p>
        </w:tc>
      </w:tr>
    </w:tbl>
    <w:p w14:paraId="081942DB" w14:textId="77777777" w:rsidR="00000000" w:rsidRDefault="00000000">
      <w:pPr>
        <w:widowControl/>
        <w:adjustRightInd/>
        <w:spacing w:line="240" w:lineRule="exact"/>
        <w:rPr>
          <w:rFonts w:ascii="Arial" w:eastAsia="仿宋" w:hAnsi="Arial" w:cs="Arial" w:hint="eastAsia"/>
          <w:color w:val="C00000"/>
          <w:sz w:val="18"/>
          <w:szCs w:val="18"/>
        </w:rPr>
      </w:pPr>
    </w:p>
    <w:p w14:paraId="4C2679A4" w14:textId="77777777" w:rsidR="00000000" w:rsidRDefault="00000000">
      <w:pPr>
        <w:spacing w:line="480" w:lineRule="auto"/>
        <w:ind w:firstLineChars="200" w:firstLine="420"/>
        <w:jc w:val="both"/>
        <w:rPr>
          <w:rFonts w:ascii="Arial" w:hAnsi="Arial" w:hint="eastAsia"/>
          <w:color w:val="000000"/>
          <w:sz w:val="21"/>
          <w:szCs w:val="21"/>
        </w:rPr>
      </w:pPr>
      <w:r>
        <w:rPr>
          <w:rFonts w:ascii="Arial" w:hAnsi="Arial" w:hint="eastAsia"/>
          <w:color w:val="000000"/>
          <w:sz w:val="21"/>
          <w:szCs w:val="21"/>
        </w:rPr>
        <w:t>根据</w:t>
      </w:r>
      <w:r>
        <w:rPr>
          <w:rFonts w:ascii="Arial" w:hAnsi="Arial" w:hint="eastAsia"/>
          <w:color w:val="000000"/>
          <w:sz w:val="21"/>
          <w:szCs w:val="21"/>
        </w:rPr>
        <w:t>2025</w:t>
      </w:r>
      <w:r>
        <w:rPr>
          <w:rFonts w:ascii="Arial" w:hAnsi="Arial" w:hint="eastAsia"/>
          <w:color w:val="000000"/>
          <w:sz w:val="21"/>
          <w:szCs w:val="21"/>
        </w:rPr>
        <w:t>年</w:t>
      </w:r>
      <w:r>
        <w:rPr>
          <w:rFonts w:ascii="Arial" w:hAnsi="Arial" w:hint="eastAsia"/>
          <w:color w:val="000000"/>
          <w:sz w:val="21"/>
          <w:szCs w:val="21"/>
        </w:rPr>
        <w:t>4</w:t>
      </w:r>
      <w:r>
        <w:rPr>
          <w:rFonts w:ascii="Arial" w:hAnsi="Arial" w:hint="eastAsia"/>
          <w:color w:val="000000"/>
          <w:sz w:val="21"/>
          <w:szCs w:val="21"/>
        </w:rPr>
        <w:t>季度北京市城市地价监测结果显示，北京市监测地价整体表现为整体趋稳态势，环比增长率为</w:t>
      </w:r>
      <w:r>
        <w:rPr>
          <w:rFonts w:ascii="Arial" w:hAnsi="Arial" w:hint="eastAsia"/>
          <w:color w:val="000000"/>
          <w:sz w:val="21"/>
          <w:szCs w:val="21"/>
        </w:rPr>
        <w:t>-0.61%</w:t>
      </w:r>
      <w:r>
        <w:rPr>
          <w:rFonts w:ascii="Arial" w:hAnsi="Arial" w:hint="eastAsia"/>
          <w:color w:val="000000"/>
          <w:sz w:val="21"/>
          <w:szCs w:val="21"/>
        </w:rPr>
        <w:t>。</w:t>
      </w:r>
      <w:r>
        <w:rPr>
          <w:rFonts w:ascii="Arial" w:hAnsi="Arial" w:hint="eastAsia"/>
          <w:color w:val="000000"/>
          <w:sz w:val="21"/>
          <w:szCs w:val="21"/>
        </w:rPr>
        <w:t>2025</w:t>
      </w:r>
      <w:r>
        <w:rPr>
          <w:rFonts w:ascii="Arial" w:hAnsi="Arial" w:hint="eastAsia"/>
          <w:color w:val="000000"/>
          <w:sz w:val="21"/>
          <w:szCs w:val="21"/>
        </w:rPr>
        <w:t>年</w:t>
      </w:r>
      <w:r>
        <w:rPr>
          <w:rFonts w:ascii="Arial" w:hAnsi="Arial" w:hint="eastAsia"/>
          <w:color w:val="000000"/>
          <w:sz w:val="21"/>
          <w:szCs w:val="21"/>
        </w:rPr>
        <w:t>4</w:t>
      </w:r>
      <w:r>
        <w:rPr>
          <w:rFonts w:ascii="Arial" w:hAnsi="Arial" w:hint="eastAsia"/>
          <w:color w:val="000000"/>
          <w:sz w:val="21"/>
          <w:szCs w:val="21"/>
        </w:rPr>
        <w:t>季度商服</w:t>
      </w:r>
      <w:proofErr w:type="gramStart"/>
      <w:r>
        <w:rPr>
          <w:rFonts w:ascii="Arial" w:hAnsi="Arial" w:hint="eastAsia"/>
          <w:color w:val="000000"/>
          <w:sz w:val="21"/>
          <w:szCs w:val="21"/>
        </w:rPr>
        <w:t>用途环</w:t>
      </w:r>
      <w:proofErr w:type="gramEnd"/>
      <w:r>
        <w:rPr>
          <w:rFonts w:ascii="Arial" w:hAnsi="Arial" w:hint="eastAsia"/>
          <w:color w:val="000000"/>
          <w:sz w:val="21"/>
          <w:szCs w:val="21"/>
        </w:rPr>
        <w:t>比增长率为</w:t>
      </w:r>
      <w:r>
        <w:rPr>
          <w:rFonts w:ascii="Arial" w:hAnsi="Arial" w:hint="eastAsia"/>
          <w:color w:val="000000"/>
          <w:sz w:val="21"/>
          <w:szCs w:val="21"/>
        </w:rPr>
        <w:t>-0.90%</w:t>
      </w:r>
      <w:r>
        <w:rPr>
          <w:rFonts w:ascii="Arial" w:hAnsi="Arial" w:hint="eastAsia"/>
          <w:color w:val="000000"/>
          <w:sz w:val="21"/>
          <w:szCs w:val="21"/>
        </w:rPr>
        <w:t>，较上季度减少约</w:t>
      </w:r>
      <w:r>
        <w:rPr>
          <w:rFonts w:ascii="Arial" w:hAnsi="Arial" w:hint="eastAsia"/>
          <w:color w:val="000000"/>
          <w:sz w:val="21"/>
          <w:szCs w:val="21"/>
        </w:rPr>
        <w:t>0.7</w:t>
      </w:r>
      <w:r>
        <w:rPr>
          <w:rFonts w:ascii="Arial" w:hAnsi="Arial" w:hint="eastAsia"/>
          <w:color w:val="000000"/>
          <w:sz w:val="21"/>
          <w:szCs w:val="21"/>
        </w:rPr>
        <w:t>个点位。</w:t>
      </w:r>
    </w:p>
    <w:p w14:paraId="7B155740" w14:textId="77777777" w:rsidR="00000000" w:rsidRDefault="00000000">
      <w:pPr>
        <w:overflowPunct w:val="0"/>
        <w:spacing w:line="240" w:lineRule="auto"/>
        <w:jc w:val="center"/>
        <w:rPr>
          <w:rFonts w:ascii="Arial" w:eastAsia="方正黑体简体" w:hAnsi="Arial" w:hint="eastAsia"/>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23</w:t>
      </w:r>
      <w:r>
        <w:rPr>
          <w:rFonts w:ascii="Arial" w:eastAsia="方正黑体简体" w:hAnsi="Arial" w:hint="eastAsia"/>
          <w:bCs/>
          <w:color w:val="000000"/>
          <w:szCs w:val="24"/>
        </w:rPr>
        <w:t>年</w:t>
      </w:r>
      <w:r>
        <w:rPr>
          <w:rFonts w:ascii="Arial" w:eastAsia="方正黑体简体" w:hAnsi="Arial" w:hint="eastAsia"/>
          <w:bCs/>
          <w:color w:val="000000"/>
          <w:szCs w:val="24"/>
        </w:rPr>
        <w:t>3</w:t>
      </w:r>
      <w:r>
        <w:rPr>
          <w:rFonts w:ascii="Arial" w:eastAsia="方正黑体简体" w:hAnsi="Arial" w:hint="eastAsia"/>
          <w:bCs/>
          <w:color w:val="000000"/>
          <w:szCs w:val="24"/>
        </w:rPr>
        <w:t>季度至</w:t>
      </w:r>
      <w:r>
        <w:rPr>
          <w:rFonts w:ascii="Arial" w:eastAsia="方正黑体简体" w:hAnsi="Arial"/>
          <w:bCs/>
          <w:color w:val="000000"/>
          <w:szCs w:val="24"/>
        </w:rPr>
        <w:t>20</w:t>
      </w:r>
      <w:r>
        <w:rPr>
          <w:rFonts w:ascii="Arial" w:eastAsia="方正黑体简体" w:hAnsi="Arial" w:hint="eastAsia"/>
          <w:bCs/>
          <w:color w:val="000000"/>
          <w:szCs w:val="24"/>
        </w:rPr>
        <w:t>25</w:t>
      </w:r>
      <w:r>
        <w:rPr>
          <w:rFonts w:ascii="Arial" w:eastAsia="方正黑体简体" w:hAnsi="Arial" w:hint="eastAsia"/>
          <w:bCs/>
          <w:color w:val="000000"/>
          <w:szCs w:val="24"/>
        </w:rPr>
        <w:t>年</w:t>
      </w:r>
      <w:r>
        <w:rPr>
          <w:rFonts w:ascii="Arial" w:eastAsia="方正黑体简体" w:hAnsi="Arial" w:hint="eastAsia"/>
          <w:bCs/>
          <w:color w:val="000000"/>
          <w:szCs w:val="24"/>
        </w:rPr>
        <w:t>4</w:t>
      </w:r>
      <w:r>
        <w:rPr>
          <w:rFonts w:ascii="Arial" w:eastAsia="方正黑体简体" w:hAnsi="Arial" w:hint="eastAsia"/>
          <w:bCs/>
          <w:color w:val="000000"/>
          <w:szCs w:val="24"/>
        </w:rPr>
        <w:t>季度北京市商办用地地价增长率走势图</w:t>
      </w:r>
    </w:p>
    <w:p w14:paraId="7CC127CF" w14:textId="4A8BFCE7" w:rsidR="00000000" w:rsidRDefault="00690E7D">
      <w:pPr>
        <w:widowControl/>
        <w:overflowPunct w:val="0"/>
        <w:spacing w:line="360" w:lineRule="auto"/>
        <w:jc w:val="center"/>
        <w:rPr>
          <w:rFonts w:ascii="Arial" w:eastAsia="仿宋" w:hAnsi="Arial" w:hint="eastAsia"/>
          <w:b/>
          <w:bCs/>
          <w:szCs w:val="24"/>
        </w:rPr>
      </w:pPr>
      <w:r>
        <w:rPr>
          <w:noProof/>
        </w:rPr>
        <w:drawing>
          <wp:inline distT="0" distB="0" distL="0" distR="0" wp14:anchorId="4F412053" wp14:editId="24902FF1">
            <wp:extent cx="5487670" cy="2737485"/>
            <wp:effectExtent l="0" t="0" r="0" b="0"/>
            <wp:docPr id="9" name="图片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213041" w14:textId="41F74329" w:rsidR="00000000" w:rsidRDefault="00690E7D">
      <w:pPr>
        <w:widowControl/>
        <w:spacing w:line="480" w:lineRule="auto"/>
        <w:jc w:val="center"/>
        <w:rPr>
          <w:rFonts w:hint="eastAsia"/>
        </w:rPr>
      </w:pPr>
      <w:r>
        <w:rPr>
          <w:noProof/>
        </w:rPr>
        <w:lastRenderedPageBreak/>
        <w:drawing>
          <wp:inline distT="0" distB="0" distL="0" distR="0" wp14:anchorId="2E1FFAFB" wp14:editId="3F873B35">
            <wp:extent cx="5500370" cy="3240405"/>
            <wp:effectExtent l="0" t="0" r="0" b="0"/>
            <wp:docPr id="12" name="图片 6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44F16D" w14:textId="77777777" w:rsidR="00000000" w:rsidRDefault="00000000">
      <w:pPr>
        <w:widowControl/>
        <w:spacing w:line="480" w:lineRule="auto"/>
        <w:ind w:firstLineChars="200" w:firstLine="420"/>
        <w:jc w:val="both"/>
        <w:rPr>
          <w:rFonts w:ascii="Arial" w:hAnsi="Arial" w:hint="eastAsia"/>
          <w:bCs/>
          <w:color w:val="000000"/>
          <w:sz w:val="21"/>
          <w:szCs w:val="28"/>
        </w:rPr>
      </w:pPr>
      <w:r>
        <w:rPr>
          <w:rFonts w:ascii="Arial" w:hAnsi="Arial" w:hint="eastAsia"/>
          <w:bCs/>
          <w:color w:val="000000"/>
          <w:sz w:val="21"/>
          <w:szCs w:val="28"/>
        </w:rPr>
        <w:t>3.</w:t>
      </w:r>
      <w:r>
        <w:rPr>
          <w:rFonts w:ascii="Arial" w:hAnsi="Arial" w:hint="eastAsia"/>
          <w:bCs/>
          <w:color w:val="000000"/>
          <w:sz w:val="21"/>
          <w:szCs w:val="28"/>
        </w:rPr>
        <w:t>房地产开发</w:t>
      </w:r>
    </w:p>
    <w:p w14:paraId="54EEA4D5" w14:textId="77777777" w:rsidR="00000000"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年，北京市房地产开发企业房屋新开工面积</w:t>
      </w:r>
      <w:r>
        <w:rPr>
          <w:rFonts w:ascii="Arial" w:hAnsi="Arial" w:hint="eastAsia"/>
          <w:color w:val="000000"/>
          <w:sz w:val="21"/>
          <w:szCs w:val="21"/>
        </w:rPr>
        <w:t>1156.6</w:t>
      </w:r>
      <w:r>
        <w:rPr>
          <w:rFonts w:ascii="Arial" w:hAnsi="Arial" w:hint="eastAsia"/>
          <w:color w:val="000000"/>
          <w:sz w:val="21"/>
          <w:szCs w:val="21"/>
        </w:rPr>
        <w:t>万平方米，同比下降</w:t>
      </w:r>
      <w:r>
        <w:rPr>
          <w:rFonts w:ascii="Arial" w:hAnsi="Arial" w:hint="eastAsia"/>
          <w:color w:val="000000"/>
          <w:sz w:val="21"/>
          <w:szCs w:val="21"/>
        </w:rPr>
        <w:t>10.1%</w:t>
      </w:r>
      <w:r>
        <w:rPr>
          <w:rFonts w:ascii="Arial" w:hAnsi="Arial" w:hint="eastAsia"/>
          <w:color w:val="000000"/>
          <w:sz w:val="21"/>
          <w:szCs w:val="21"/>
        </w:rPr>
        <w:t>。其中，住宅新开工面积</w:t>
      </w:r>
      <w:r>
        <w:rPr>
          <w:rFonts w:ascii="Arial" w:hAnsi="Arial" w:hint="eastAsia"/>
          <w:color w:val="000000"/>
          <w:sz w:val="21"/>
          <w:szCs w:val="21"/>
        </w:rPr>
        <w:t>727.8</w:t>
      </w:r>
      <w:r>
        <w:rPr>
          <w:rFonts w:ascii="Arial" w:hAnsi="Arial" w:hint="eastAsia"/>
          <w:color w:val="000000"/>
          <w:sz w:val="21"/>
          <w:szCs w:val="21"/>
        </w:rPr>
        <w:t>万平方米，下降</w:t>
      </w:r>
      <w:r>
        <w:rPr>
          <w:rFonts w:ascii="Arial" w:hAnsi="Arial" w:hint="eastAsia"/>
          <w:color w:val="000000"/>
          <w:sz w:val="21"/>
          <w:szCs w:val="21"/>
        </w:rPr>
        <w:t>4.5%</w:t>
      </w:r>
      <w:r>
        <w:rPr>
          <w:rFonts w:ascii="Arial" w:hAnsi="Arial" w:hint="eastAsia"/>
          <w:color w:val="000000"/>
          <w:sz w:val="21"/>
          <w:szCs w:val="21"/>
        </w:rPr>
        <w:t>；办公楼</w:t>
      </w:r>
      <w:r>
        <w:rPr>
          <w:rFonts w:ascii="Arial" w:hAnsi="Arial" w:hint="eastAsia"/>
          <w:color w:val="000000"/>
          <w:sz w:val="21"/>
          <w:szCs w:val="21"/>
        </w:rPr>
        <w:t>35.1</w:t>
      </w:r>
      <w:r>
        <w:rPr>
          <w:rFonts w:ascii="Arial" w:hAnsi="Arial" w:hint="eastAsia"/>
          <w:color w:val="000000"/>
          <w:sz w:val="21"/>
          <w:szCs w:val="21"/>
        </w:rPr>
        <w:t>万平方米，下降</w:t>
      </w:r>
      <w:r>
        <w:rPr>
          <w:rFonts w:ascii="Arial" w:hAnsi="Arial" w:hint="eastAsia"/>
          <w:color w:val="000000"/>
          <w:sz w:val="21"/>
          <w:szCs w:val="21"/>
        </w:rPr>
        <w:t>40.2%</w:t>
      </w:r>
      <w:r>
        <w:rPr>
          <w:rFonts w:ascii="Arial" w:hAnsi="Arial" w:hint="eastAsia"/>
          <w:color w:val="000000"/>
          <w:sz w:val="21"/>
          <w:szCs w:val="21"/>
        </w:rPr>
        <w:t>；商业营业用房</w:t>
      </w:r>
      <w:r>
        <w:rPr>
          <w:rFonts w:ascii="Arial" w:hAnsi="Arial" w:hint="eastAsia"/>
          <w:color w:val="000000"/>
          <w:sz w:val="21"/>
          <w:szCs w:val="21"/>
        </w:rPr>
        <w:t>58</w:t>
      </w:r>
      <w:r>
        <w:rPr>
          <w:rFonts w:ascii="Arial" w:hAnsi="Arial" w:hint="eastAsia"/>
          <w:color w:val="000000"/>
          <w:sz w:val="21"/>
          <w:szCs w:val="21"/>
        </w:rPr>
        <w:t>万平方米，下降</w:t>
      </w:r>
      <w:r>
        <w:rPr>
          <w:rFonts w:ascii="Arial" w:hAnsi="Arial" w:hint="eastAsia"/>
          <w:color w:val="000000"/>
          <w:sz w:val="21"/>
          <w:szCs w:val="21"/>
        </w:rPr>
        <w:t>11.2%</w:t>
      </w:r>
      <w:r>
        <w:rPr>
          <w:rFonts w:ascii="Arial" w:hAnsi="Arial" w:hint="eastAsia"/>
          <w:color w:val="000000"/>
          <w:sz w:val="21"/>
          <w:szCs w:val="21"/>
        </w:rPr>
        <w:t>。</w:t>
      </w:r>
    </w:p>
    <w:p w14:paraId="62366F18" w14:textId="77777777" w:rsidR="00000000" w:rsidRDefault="00000000">
      <w:pPr>
        <w:spacing w:line="480" w:lineRule="auto"/>
        <w:ind w:firstLineChars="200" w:firstLine="420"/>
        <w:jc w:val="both"/>
        <w:rPr>
          <w:rFonts w:ascii="Arial" w:hAnsi="Arial" w:hint="eastAsia"/>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1464.8</w:t>
      </w:r>
      <w:r>
        <w:rPr>
          <w:rFonts w:ascii="Arial" w:hAnsi="Arial" w:hint="eastAsia"/>
          <w:color w:val="000000"/>
          <w:sz w:val="21"/>
          <w:szCs w:val="21"/>
        </w:rPr>
        <w:t>万平方米，同比下降</w:t>
      </w:r>
      <w:r>
        <w:rPr>
          <w:rFonts w:ascii="Arial" w:hAnsi="Arial" w:hint="eastAsia"/>
          <w:color w:val="000000"/>
          <w:sz w:val="21"/>
          <w:szCs w:val="21"/>
        </w:rPr>
        <w:t>11.4%</w:t>
      </w:r>
      <w:r>
        <w:rPr>
          <w:rFonts w:ascii="Arial" w:hAnsi="Arial" w:hint="eastAsia"/>
          <w:color w:val="000000"/>
          <w:sz w:val="21"/>
          <w:szCs w:val="21"/>
        </w:rPr>
        <w:t>。其中，住宅竣工面积</w:t>
      </w:r>
      <w:r>
        <w:rPr>
          <w:rFonts w:ascii="Arial" w:hAnsi="Arial" w:hint="eastAsia"/>
          <w:color w:val="000000"/>
          <w:sz w:val="21"/>
          <w:szCs w:val="21"/>
        </w:rPr>
        <w:t>746.7</w:t>
      </w:r>
      <w:r>
        <w:rPr>
          <w:rFonts w:ascii="Arial" w:hAnsi="Arial" w:hint="eastAsia"/>
          <w:color w:val="000000"/>
          <w:sz w:val="21"/>
          <w:szCs w:val="21"/>
        </w:rPr>
        <w:t>万平方米，下降</w:t>
      </w:r>
      <w:r>
        <w:rPr>
          <w:rFonts w:ascii="Arial" w:hAnsi="Arial" w:hint="eastAsia"/>
          <w:color w:val="000000"/>
          <w:sz w:val="21"/>
          <w:szCs w:val="21"/>
        </w:rPr>
        <w:t>18.2%</w:t>
      </w:r>
      <w:r>
        <w:rPr>
          <w:rFonts w:ascii="Arial" w:hAnsi="Arial" w:hint="eastAsia"/>
          <w:color w:val="000000"/>
          <w:sz w:val="21"/>
          <w:szCs w:val="21"/>
        </w:rPr>
        <w:t>；办公楼</w:t>
      </w:r>
      <w:r>
        <w:rPr>
          <w:rFonts w:ascii="Arial" w:hAnsi="Arial" w:hint="eastAsia"/>
          <w:color w:val="000000"/>
          <w:sz w:val="21"/>
          <w:szCs w:val="21"/>
        </w:rPr>
        <w:t>53.4</w:t>
      </w:r>
      <w:r>
        <w:rPr>
          <w:rFonts w:ascii="Arial" w:hAnsi="Arial" w:hint="eastAsia"/>
          <w:color w:val="000000"/>
          <w:sz w:val="21"/>
          <w:szCs w:val="21"/>
        </w:rPr>
        <w:t>万平方米，下降</w:t>
      </w:r>
      <w:r>
        <w:rPr>
          <w:rFonts w:ascii="Arial" w:hAnsi="Arial" w:hint="eastAsia"/>
          <w:color w:val="000000"/>
          <w:sz w:val="21"/>
          <w:szCs w:val="21"/>
        </w:rPr>
        <w:t>35%</w:t>
      </w:r>
      <w:r>
        <w:rPr>
          <w:rFonts w:ascii="Arial" w:hAnsi="Arial" w:hint="eastAsia"/>
          <w:color w:val="000000"/>
          <w:sz w:val="21"/>
          <w:szCs w:val="21"/>
        </w:rPr>
        <w:t>；商业营业用房</w:t>
      </w:r>
      <w:r>
        <w:rPr>
          <w:rFonts w:ascii="Arial" w:hAnsi="Arial" w:hint="eastAsia"/>
          <w:color w:val="000000"/>
          <w:sz w:val="21"/>
          <w:szCs w:val="21"/>
        </w:rPr>
        <w:t>123.8</w:t>
      </w:r>
      <w:r>
        <w:rPr>
          <w:rFonts w:ascii="Arial" w:hAnsi="Arial" w:hint="eastAsia"/>
          <w:color w:val="000000"/>
          <w:sz w:val="21"/>
          <w:szCs w:val="21"/>
        </w:rPr>
        <w:t>万平方米，增长</w:t>
      </w:r>
      <w:r>
        <w:rPr>
          <w:rFonts w:ascii="Arial" w:hAnsi="Arial" w:hint="eastAsia"/>
          <w:color w:val="000000"/>
          <w:sz w:val="21"/>
          <w:szCs w:val="21"/>
        </w:rPr>
        <w:t>98.3%</w:t>
      </w:r>
      <w:r>
        <w:rPr>
          <w:rFonts w:ascii="Arial" w:hAnsi="Arial" w:hint="eastAsia"/>
          <w:color w:val="000000"/>
          <w:sz w:val="21"/>
          <w:szCs w:val="21"/>
        </w:rPr>
        <w:t>。</w:t>
      </w:r>
    </w:p>
    <w:p w14:paraId="5D50E540" w14:textId="77777777" w:rsidR="00000000" w:rsidRDefault="00000000">
      <w:pPr>
        <w:widowControl/>
        <w:adjustRightInd/>
        <w:spacing w:line="480" w:lineRule="auto"/>
        <w:ind w:firstLineChars="200" w:firstLine="420"/>
        <w:jc w:val="both"/>
        <w:rPr>
          <w:rFonts w:ascii="Arial" w:hAnsi="Arial"/>
          <w:bCs/>
          <w:color w:val="000000"/>
          <w:sz w:val="21"/>
          <w:szCs w:val="28"/>
        </w:rPr>
      </w:pPr>
      <w:r>
        <w:rPr>
          <w:rFonts w:ascii="Arial" w:hAnsi="Arial" w:hint="eastAsia"/>
          <w:bCs/>
          <w:color w:val="000000"/>
          <w:sz w:val="21"/>
          <w:szCs w:val="28"/>
        </w:rPr>
        <w:t>4.</w:t>
      </w:r>
      <w:r>
        <w:rPr>
          <w:rFonts w:ascii="Arial" w:hAnsi="Arial" w:hint="eastAsia"/>
          <w:bCs/>
          <w:color w:val="000000"/>
          <w:sz w:val="21"/>
          <w:szCs w:val="28"/>
        </w:rPr>
        <w:t>房地产市场供需情况</w:t>
      </w:r>
    </w:p>
    <w:p w14:paraId="0377B9EC" w14:textId="77777777" w:rsidR="00000000" w:rsidRDefault="00000000">
      <w:pPr>
        <w:spacing w:line="480" w:lineRule="auto"/>
        <w:ind w:firstLineChars="200" w:firstLine="420"/>
        <w:jc w:val="both"/>
        <w:rPr>
          <w:rFonts w:ascii="Arial" w:hAnsi="Arial" w:hint="eastAsia"/>
          <w:color w:val="000000"/>
          <w:sz w:val="21"/>
          <w:szCs w:val="21"/>
        </w:rPr>
      </w:pPr>
      <w:r>
        <w:rPr>
          <w:rFonts w:ascii="Arial" w:hAnsi="Arial" w:hint="eastAsia"/>
          <w:color w:val="000000"/>
          <w:sz w:val="21"/>
          <w:szCs w:val="21"/>
        </w:rPr>
        <w:t>2025</w:t>
      </w:r>
      <w:r>
        <w:rPr>
          <w:rFonts w:ascii="Arial" w:hAnsi="Arial" w:hint="eastAsia"/>
          <w:color w:val="000000"/>
          <w:sz w:val="21"/>
          <w:szCs w:val="21"/>
        </w:rPr>
        <w:t>年北京市</w:t>
      </w:r>
      <w:r>
        <w:rPr>
          <w:rFonts w:ascii="Arial" w:hAnsi="Arial"/>
          <w:color w:val="000000"/>
          <w:sz w:val="21"/>
          <w:szCs w:val="21"/>
        </w:rPr>
        <w:t>商办市场供应回升，成交量价齐跌</w:t>
      </w:r>
      <w:r>
        <w:rPr>
          <w:rFonts w:ascii="Arial" w:hAnsi="Arial" w:hint="eastAsia"/>
          <w:color w:val="000000"/>
          <w:sz w:val="21"/>
          <w:szCs w:val="21"/>
        </w:rPr>
        <w:t>。根据中指研究院统计的数据，</w:t>
      </w:r>
      <w:r>
        <w:rPr>
          <w:rFonts w:ascii="Arial" w:hAnsi="Arial"/>
          <w:color w:val="000000"/>
          <w:sz w:val="21"/>
          <w:szCs w:val="21"/>
        </w:rPr>
        <w:t>2025</w:t>
      </w:r>
      <w:r>
        <w:rPr>
          <w:rFonts w:ascii="Arial" w:hAnsi="Arial"/>
          <w:color w:val="000000"/>
          <w:sz w:val="21"/>
          <w:szCs w:val="21"/>
        </w:rPr>
        <w:t>年北京商办类市场累计成交</w:t>
      </w:r>
      <w:r>
        <w:rPr>
          <w:rFonts w:ascii="Arial" w:hAnsi="Arial" w:hint="eastAsia"/>
          <w:color w:val="000000"/>
          <w:sz w:val="21"/>
          <w:szCs w:val="21"/>
        </w:rPr>
        <w:t>121.66</w:t>
      </w:r>
      <w:r>
        <w:rPr>
          <w:rFonts w:ascii="Arial" w:hAnsi="Arial"/>
          <w:color w:val="000000"/>
          <w:sz w:val="21"/>
          <w:szCs w:val="21"/>
        </w:rPr>
        <w:t>万平方米，同比下降</w:t>
      </w:r>
      <w:r>
        <w:rPr>
          <w:rFonts w:ascii="Arial" w:hAnsi="Arial" w:hint="eastAsia"/>
          <w:color w:val="000000"/>
          <w:sz w:val="21"/>
          <w:szCs w:val="21"/>
        </w:rPr>
        <w:t>31.3</w:t>
      </w:r>
      <w:r>
        <w:rPr>
          <w:rFonts w:ascii="Arial" w:hAnsi="Arial"/>
          <w:color w:val="000000"/>
          <w:sz w:val="21"/>
          <w:szCs w:val="21"/>
        </w:rPr>
        <w:t>%</w:t>
      </w:r>
      <w:r>
        <w:rPr>
          <w:rFonts w:ascii="Arial" w:hAnsi="Arial"/>
          <w:color w:val="000000"/>
          <w:sz w:val="21"/>
          <w:szCs w:val="21"/>
        </w:rPr>
        <w:t>，月均成交约</w:t>
      </w:r>
      <w:r>
        <w:rPr>
          <w:rFonts w:ascii="Arial" w:hAnsi="Arial"/>
          <w:color w:val="000000"/>
          <w:sz w:val="21"/>
          <w:szCs w:val="21"/>
        </w:rPr>
        <w:t>1</w:t>
      </w:r>
      <w:r>
        <w:rPr>
          <w:rFonts w:ascii="Arial" w:hAnsi="Arial" w:hint="eastAsia"/>
          <w:color w:val="000000"/>
          <w:sz w:val="21"/>
          <w:szCs w:val="21"/>
        </w:rPr>
        <w:t>0.14</w:t>
      </w:r>
      <w:r>
        <w:rPr>
          <w:rFonts w:ascii="Arial" w:hAnsi="Arial"/>
          <w:color w:val="000000"/>
          <w:sz w:val="21"/>
          <w:szCs w:val="21"/>
        </w:rPr>
        <w:t>万平方米，成交规模</w:t>
      </w:r>
      <w:r>
        <w:rPr>
          <w:rFonts w:ascii="Arial" w:hAnsi="Arial" w:hint="eastAsia"/>
          <w:color w:val="000000"/>
          <w:sz w:val="21"/>
          <w:szCs w:val="21"/>
        </w:rPr>
        <w:t>为近</w:t>
      </w:r>
      <w:r>
        <w:rPr>
          <w:rFonts w:ascii="Arial" w:hAnsi="Arial"/>
          <w:color w:val="000000"/>
          <w:sz w:val="21"/>
          <w:szCs w:val="21"/>
        </w:rPr>
        <w:t>年</w:t>
      </w:r>
      <w:r>
        <w:rPr>
          <w:rFonts w:ascii="Arial" w:hAnsi="Arial" w:hint="eastAsia"/>
          <w:color w:val="000000"/>
          <w:sz w:val="21"/>
          <w:szCs w:val="21"/>
        </w:rPr>
        <w:t>同期低位</w:t>
      </w:r>
      <w:r>
        <w:rPr>
          <w:rFonts w:ascii="Arial" w:hAnsi="Arial"/>
          <w:color w:val="000000"/>
          <w:sz w:val="21"/>
          <w:szCs w:val="21"/>
        </w:rPr>
        <w:t>。</w:t>
      </w:r>
      <w:r>
        <w:rPr>
          <w:rFonts w:ascii="Arial" w:hAnsi="Arial" w:hint="eastAsia"/>
          <w:color w:val="000000"/>
          <w:sz w:val="21"/>
          <w:szCs w:val="21"/>
        </w:rPr>
        <w:t>其中，密云区的绿地·朗山国际健康产业园、石景山区的首</w:t>
      </w:r>
      <w:proofErr w:type="gramStart"/>
      <w:r>
        <w:rPr>
          <w:rFonts w:ascii="Arial" w:hAnsi="Arial" w:hint="eastAsia"/>
          <w:color w:val="000000"/>
          <w:sz w:val="21"/>
          <w:szCs w:val="21"/>
        </w:rPr>
        <w:t>程时代</w:t>
      </w:r>
      <w:proofErr w:type="gramEnd"/>
      <w:r>
        <w:rPr>
          <w:rFonts w:ascii="Arial" w:hAnsi="Arial" w:hint="eastAsia"/>
          <w:color w:val="000000"/>
          <w:sz w:val="21"/>
          <w:szCs w:val="21"/>
        </w:rPr>
        <w:t>中心、朝阳区的</w:t>
      </w:r>
      <w:proofErr w:type="gramStart"/>
      <w:r>
        <w:rPr>
          <w:rFonts w:ascii="Arial" w:hAnsi="Arial" w:hint="eastAsia"/>
          <w:color w:val="000000"/>
          <w:sz w:val="21"/>
          <w:szCs w:val="21"/>
        </w:rPr>
        <w:t>鲲意熙园</w:t>
      </w:r>
      <w:proofErr w:type="gramEnd"/>
      <w:r>
        <w:rPr>
          <w:rFonts w:ascii="Arial" w:hAnsi="Arial" w:hint="eastAsia"/>
          <w:color w:val="000000"/>
          <w:sz w:val="21"/>
          <w:szCs w:val="21"/>
        </w:rPr>
        <w:t>等项目去化速度较快，销售面积均超</w:t>
      </w:r>
      <w:r>
        <w:rPr>
          <w:rFonts w:ascii="Arial" w:hAnsi="Arial" w:hint="eastAsia"/>
          <w:color w:val="000000"/>
          <w:sz w:val="21"/>
          <w:szCs w:val="21"/>
        </w:rPr>
        <w:t>8.3</w:t>
      </w:r>
      <w:r>
        <w:rPr>
          <w:rFonts w:ascii="Arial" w:hAnsi="Arial" w:hint="eastAsia"/>
          <w:color w:val="000000"/>
          <w:sz w:val="21"/>
          <w:szCs w:val="21"/>
        </w:rPr>
        <w:t>万平方米。</w:t>
      </w:r>
      <w:r>
        <w:rPr>
          <w:rFonts w:ascii="Arial" w:hAnsi="Arial"/>
          <w:color w:val="000000"/>
          <w:sz w:val="21"/>
          <w:szCs w:val="21"/>
        </w:rPr>
        <w:t>价格方面，</w:t>
      </w: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北京</w:t>
      </w:r>
      <w:r>
        <w:rPr>
          <w:rFonts w:ascii="Arial" w:hAnsi="Arial"/>
          <w:color w:val="000000"/>
          <w:sz w:val="21"/>
          <w:szCs w:val="21"/>
        </w:rPr>
        <w:t>商办产品整体成交均价为</w:t>
      </w:r>
      <w:r>
        <w:rPr>
          <w:rFonts w:ascii="Arial" w:hAnsi="Arial" w:hint="eastAsia"/>
          <w:color w:val="000000"/>
          <w:sz w:val="21"/>
          <w:szCs w:val="21"/>
        </w:rPr>
        <w:t>25071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w:t>
      </w:r>
      <w:r>
        <w:rPr>
          <w:rFonts w:ascii="Arial" w:hAnsi="Arial" w:hint="eastAsia"/>
          <w:color w:val="000000"/>
          <w:sz w:val="21"/>
          <w:szCs w:val="21"/>
        </w:rPr>
        <w:t>结构性下跌</w:t>
      </w:r>
      <w:r>
        <w:rPr>
          <w:rFonts w:ascii="Arial" w:hAnsi="Arial" w:hint="eastAsia"/>
          <w:color w:val="000000"/>
          <w:sz w:val="21"/>
          <w:szCs w:val="21"/>
        </w:rPr>
        <w:t>9.9</w:t>
      </w:r>
      <w:r>
        <w:rPr>
          <w:rFonts w:ascii="Arial" w:hAnsi="Arial"/>
          <w:color w:val="000000"/>
          <w:sz w:val="21"/>
          <w:szCs w:val="21"/>
        </w:rPr>
        <w:t>%</w:t>
      </w:r>
      <w:r>
        <w:rPr>
          <w:rFonts w:ascii="Arial" w:hAnsi="Arial"/>
          <w:color w:val="000000"/>
          <w:sz w:val="21"/>
          <w:szCs w:val="21"/>
        </w:rPr>
        <w:t>。供应方面，</w:t>
      </w:r>
      <w:r>
        <w:rPr>
          <w:rFonts w:ascii="Arial" w:hAnsi="Arial"/>
          <w:color w:val="000000"/>
          <w:sz w:val="21"/>
          <w:szCs w:val="21"/>
        </w:rPr>
        <w:t>2025</w:t>
      </w:r>
      <w:r>
        <w:rPr>
          <w:rFonts w:ascii="Arial" w:hAnsi="Arial"/>
          <w:color w:val="000000"/>
          <w:sz w:val="21"/>
          <w:szCs w:val="21"/>
        </w:rPr>
        <w:t>年北京商办类产品</w:t>
      </w:r>
      <w:r>
        <w:rPr>
          <w:rFonts w:ascii="Arial" w:hAnsi="Arial" w:hint="eastAsia"/>
          <w:color w:val="000000"/>
          <w:sz w:val="21"/>
          <w:szCs w:val="21"/>
        </w:rPr>
        <w:t>累计供应规模为</w:t>
      </w:r>
      <w:r>
        <w:rPr>
          <w:rFonts w:ascii="Arial" w:hAnsi="Arial" w:hint="eastAsia"/>
          <w:color w:val="000000"/>
          <w:sz w:val="21"/>
          <w:szCs w:val="21"/>
        </w:rPr>
        <w:t>132.58</w:t>
      </w:r>
      <w:r>
        <w:rPr>
          <w:rFonts w:ascii="Arial" w:hAnsi="Arial" w:hint="eastAsia"/>
          <w:color w:val="000000"/>
          <w:sz w:val="21"/>
          <w:szCs w:val="21"/>
        </w:rPr>
        <w:t>万平方米，同比增长</w:t>
      </w:r>
      <w:r>
        <w:rPr>
          <w:rFonts w:ascii="Arial" w:hAnsi="Arial" w:hint="eastAsia"/>
          <w:color w:val="000000"/>
          <w:sz w:val="21"/>
          <w:szCs w:val="21"/>
        </w:rPr>
        <w:t>85.3%</w:t>
      </w:r>
      <w:r>
        <w:rPr>
          <w:rFonts w:ascii="Arial" w:hAnsi="Arial"/>
          <w:color w:val="000000"/>
          <w:sz w:val="21"/>
          <w:szCs w:val="21"/>
        </w:rPr>
        <w:t>。</w:t>
      </w:r>
    </w:p>
    <w:p w14:paraId="232434E7" w14:textId="0EB56269" w:rsidR="00000000" w:rsidRDefault="00690E7D">
      <w:pPr>
        <w:widowControl/>
        <w:adjustRightInd/>
        <w:spacing w:line="480" w:lineRule="auto"/>
        <w:jc w:val="center"/>
        <w:rPr>
          <w:rFonts w:ascii="Arial" w:hAnsi="Arial" w:hint="eastAsia"/>
          <w:color w:val="000000"/>
          <w:sz w:val="21"/>
          <w:szCs w:val="21"/>
        </w:rPr>
      </w:pPr>
      <w:r>
        <w:rPr>
          <w:noProof/>
        </w:rPr>
        <w:lastRenderedPageBreak/>
        <w:drawing>
          <wp:inline distT="0" distB="0" distL="0" distR="0" wp14:anchorId="1BEC4820" wp14:editId="468C4810">
            <wp:extent cx="5907405" cy="1851025"/>
            <wp:effectExtent l="0" t="0" r="0" b="0"/>
            <wp:docPr id="1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7405" cy="1851025"/>
                    </a:xfrm>
                    <a:prstGeom prst="rect">
                      <a:avLst/>
                    </a:prstGeom>
                    <a:noFill/>
                    <a:ln>
                      <a:noFill/>
                    </a:ln>
                  </pic:spPr>
                </pic:pic>
              </a:graphicData>
            </a:graphic>
          </wp:inline>
        </w:drawing>
      </w:r>
    </w:p>
    <w:p w14:paraId="3F0E552A" w14:textId="77777777" w:rsidR="00000000" w:rsidRDefault="00000000">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区域来看</w:t>
      </w:r>
      <w:r>
        <w:rPr>
          <w:rFonts w:ascii="Arial" w:hAnsi="Arial"/>
          <w:color w:val="000000"/>
          <w:sz w:val="21"/>
          <w:szCs w:val="21"/>
        </w:rPr>
        <w:t>，</w:t>
      </w: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，石景山、朝阳、大兴、密云商办类产品成交量相对较大，海淀、东城、通州、房山成交规模下滑</w:t>
      </w:r>
      <w:proofErr w:type="gramStart"/>
      <w:r>
        <w:rPr>
          <w:rFonts w:ascii="Arial" w:hAnsi="Arial" w:hint="eastAsia"/>
          <w:color w:val="000000"/>
          <w:sz w:val="21"/>
          <w:szCs w:val="21"/>
        </w:rPr>
        <w:t>幅度超</w:t>
      </w:r>
      <w:proofErr w:type="gramEnd"/>
      <w:r>
        <w:rPr>
          <w:rFonts w:ascii="Arial" w:hAnsi="Arial" w:hint="eastAsia"/>
          <w:color w:val="000000"/>
          <w:sz w:val="21"/>
          <w:szCs w:val="21"/>
        </w:rPr>
        <w:t>5</w:t>
      </w:r>
      <w:r>
        <w:rPr>
          <w:rFonts w:ascii="Arial" w:hAnsi="Arial" w:hint="eastAsia"/>
          <w:color w:val="000000"/>
          <w:sz w:val="21"/>
          <w:szCs w:val="21"/>
        </w:rPr>
        <w:t>成。从成交绝对量来看，</w:t>
      </w:r>
      <w:r>
        <w:rPr>
          <w:rFonts w:ascii="Arial" w:hAnsi="Arial" w:hint="eastAsia"/>
          <w:color w:val="000000"/>
          <w:sz w:val="21"/>
          <w:szCs w:val="21"/>
        </w:rPr>
        <w:t>2025</w:t>
      </w:r>
      <w:r>
        <w:rPr>
          <w:rFonts w:ascii="Arial" w:hAnsi="Arial" w:hint="eastAsia"/>
          <w:color w:val="000000"/>
          <w:sz w:val="21"/>
          <w:szCs w:val="21"/>
        </w:rPr>
        <w:t>年，石景山、朝阳、大兴、密云商办类产品成交面积均超</w:t>
      </w:r>
      <w:r>
        <w:rPr>
          <w:rFonts w:ascii="Arial" w:hAnsi="Arial" w:hint="eastAsia"/>
          <w:color w:val="000000"/>
          <w:sz w:val="21"/>
          <w:szCs w:val="21"/>
        </w:rPr>
        <w:t>12</w:t>
      </w:r>
      <w:r>
        <w:rPr>
          <w:rFonts w:ascii="Arial" w:hAnsi="Arial" w:hint="eastAsia"/>
          <w:color w:val="000000"/>
          <w:sz w:val="21"/>
          <w:szCs w:val="21"/>
        </w:rPr>
        <w:t>万平方米，占比均超</w:t>
      </w:r>
      <w:r>
        <w:rPr>
          <w:rFonts w:ascii="Arial" w:hAnsi="Arial" w:hint="eastAsia"/>
          <w:color w:val="000000"/>
          <w:sz w:val="21"/>
          <w:szCs w:val="21"/>
        </w:rPr>
        <w:t>10%</w:t>
      </w:r>
      <w:r>
        <w:rPr>
          <w:rFonts w:ascii="Arial" w:hAnsi="Arial" w:hint="eastAsia"/>
          <w:color w:val="000000"/>
          <w:sz w:val="21"/>
          <w:szCs w:val="21"/>
        </w:rPr>
        <w:t>，其中，石景山</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规模达</w:t>
      </w:r>
      <w:r>
        <w:rPr>
          <w:rFonts w:ascii="Arial" w:hAnsi="Arial" w:hint="eastAsia"/>
          <w:color w:val="000000"/>
          <w:sz w:val="21"/>
          <w:szCs w:val="21"/>
        </w:rPr>
        <w:t>16.50</w:t>
      </w:r>
      <w:r>
        <w:rPr>
          <w:rFonts w:ascii="Arial" w:hAnsi="Arial" w:hint="eastAsia"/>
          <w:color w:val="000000"/>
          <w:sz w:val="21"/>
          <w:szCs w:val="21"/>
        </w:rPr>
        <w:t>万平方米，占全市成交规模的</w:t>
      </w:r>
      <w:r>
        <w:rPr>
          <w:rFonts w:ascii="Arial" w:hAnsi="Arial" w:hint="eastAsia"/>
          <w:color w:val="000000"/>
          <w:sz w:val="21"/>
          <w:szCs w:val="21"/>
        </w:rPr>
        <w:t>14%</w:t>
      </w:r>
      <w:r>
        <w:rPr>
          <w:rFonts w:ascii="Arial" w:hAnsi="Arial"/>
          <w:color w:val="000000"/>
          <w:sz w:val="21"/>
          <w:szCs w:val="21"/>
        </w:rPr>
        <w:t>。</w:t>
      </w:r>
      <w:r>
        <w:rPr>
          <w:rFonts w:ascii="Arial" w:hAnsi="Arial" w:hint="eastAsia"/>
          <w:color w:val="000000"/>
          <w:sz w:val="21"/>
          <w:szCs w:val="21"/>
        </w:rPr>
        <w:t>从成交变化来看，远郊四区以及朝阳区商办类产品成交量同比增长，其中，绿地·朗山国际健康产业</w:t>
      </w:r>
      <w:proofErr w:type="gramStart"/>
      <w:r>
        <w:rPr>
          <w:rFonts w:ascii="Arial" w:hAnsi="Arial" w:hint="eastAsia"/>
          <w:color w:val="000000"/>
          <w:sz w:val="21"/>
          <w:szCs w:val="21"/>
        </w:rPr>
        <w:t>园成交</w:t>
      </w:r>
      <w:proofErr w:type="gramEnd"/>
      <w:r>
        <w:rPr>
          <w:rFonts w:ascii="Arial" w:hAnsi="Arial" w:hint="eastAsia"/>
          <w:color w:val="000000"/>
          <w:sz w:val="21"/>
          <w:szCs w:val="21"/>
        </w:rPr>
        <w:t>带动下，密云</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规模同比大幅增长其他区域均同比下降，其中海淀、东城、通州、房山同比缩减</w:t>
      </w:r>
      <w:r>
        <w:rPr>
          <w:rFonts w:ascii="Arial" w:hAnsi="Arial" w:hint="eastAsia"/>
          <w:color w:val="000000"/>
          <w:sz w:val="21"/>
          <w:szCs w:val="21"/>
        </w:rPr>
        <w:t>5</w:t>
      </w:r>
      <w:r>
        <w:rPr>
          <w:rFonts w:ascii="Arial" w:hAnsi="Arial" w:hint="eastAsia"/>
          <w:color w:val="000000"/>
          <w:sz w:val="21"/>
          <w:szCs w:val="21"/>
        </w:rPr>
        <w:t>成及以上。</w:t>
      </w:r>
    </w:p>
    <w:p w14:paraId="23E5FE88" w14:textId="0D6E668A" w:rsidR="00000000" w:rsidRDefault="00690E7D">
      <w:pPr>
        <w:widowControl/>
        <w:spacing w:line="360" w:lineRule="auto"/>
        <w:jc w:val="center"/>
        <w:rPr>
          <w:rFonts w:ascii="Arial" w:eastAsia="仿宋_GB2312" w:hAnsi="Arial" w:cs="Arial" w:hint="eastAsia"/>
          <w:bCs/>
          <w:sz w:val="28"/>
          <w:szCs w:val="28"/>
        </w:rPr>
      </w:pPr>
      <w:r>
        <w:rPr>
          <w:noProof/>
        </w:rPr>
        <w:drawing>
          <wp:inline distT="0" distB="0" distL="0" distR="0" wp14:anchorId="5297BE67" wp14:editId="1FB21222">
            <wp:extent cx="5901690" cy="2440305"/>
            <wp:effectExtent l="0" t="0" r="0" b="0"/>
            <wp:docPr id="1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1690" cy="2440305"/>
                    </a:xfrm>
                    <a:prstGeom prst="rect">
                      <a:avLst/>
                    </a:prstGeom>
                    <a:noFill/>
                    <a:ln>
                      <a:noFill/>
                    </a:ln>
                  </pic:spPr>
                </pic:pic>
              </a:graphicData>
            </a:graphic>
          </wp:inline>
        </w:drawing>
      </w:r>
    </w:p>
    <w:p w14:paraId="49626BD1" w14:textId="77777777" w:rsidR="00000000" w:rsidRDefault="00000000">
      <w:pPr>
        <w:overflowPunct w:val="0"/>
        <w:spacing w:line="240" w:lineRule="auto"/>
        <w:jc w:val="center"/>
        <w:rPr>
          <w:rFonts w:ascii="Arial" w:eastAsia="方正黑体简体" w:hAnsi="Arial" w:hint="eastAsia"/>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25</w:t>
      </w:r>
      <w:r>
        <w:rPr>
          <w:rFonts w:ascii="Arial" w:eastAsia="方正黑体简体" w:hAnsi="Arial" w:hint="eastAsia"/>
          <w:bCs/>
          <w:color w:val="000000"/>
          <w:szCs w:val="24"/>
        </w:rPr>
        <w:t>年年办公用房销售排名</w:t>
      </w:r>
    </w:p>
    <w:tbl>
      <w:tblPr>
        <w:tblW w:w="9299" w:type="dxa"/>
        <w:jc w:val="cente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701"/>
        <w:gridCol w:w="852"/>
        <w:gridCol w:w="1417"/>
        <w:gridCol w:w="1270"/>
        <w:gridCol w:w="1412"/>
        <w:gridCol w:w="1267"/>
        <w:gridCol w:w="1380"/>
      </w:tblGrid>
      <w:tr w:rsidR="00000000" w14:paraId="736F9099" w14:textId="77777777">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tcPr>
          <w:p w14:paraId="5FCF048B" w14:textId="77777777" w:rsidR="00000000" w:rsidRDefault="00000000">
            <w:pPr>
              <w:widowControl/>
              <w:adjustRightInd/>
              <w:spacing w:line="240" w:lineRule="exact"/>
              <w:rPr>
                <w:rFonts w:ascii="Arial" w:eastAsia="华文细黑" w:hAnsi="Arial" w:cs="宋体"/>
                <w:b/>
                <w:sz w:val="18"/>
              </w:rPr>
            </w:pPr>
            <w:r>
              <w:rPr>
                <w:rFonts w:ascii="Arial" w:eastAsia="华文细黑"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tcPr>
          <w:p w14:paraId="23EE3D9C" w14:textId="77777777" w:rsidR="00000000" w:rsidRDefault="00000000">
            <w:pPr>
              <w:widowControl/>
              <w:adjustRightInd/>
              <w:spacing w:line="240" w:lineRule="exact"/>
              <w:rPr>
                <w:rFonts w:ascii="Arial" w:eastAsia="华文细黑" w:hAnsi="Arial" w:cs="宋体"/>
                <w:b/>
                <w:sz w:val="18"/>
              </w:rPr>
            </w:pPr>
            <w:r>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tcPr>
          <w:p w14:paraId="05BE5FD8" w14:textId="77777777" w:rsidR="00000000" w:rsidRDefault="00000000">
            <w:pPr>
              <w:widowControl/>
              <w:adjustRightInd/>
              <w:spacing w:line="240" w:lineRule="exact"/>
              <w:rPr>
                <w:rFonts w:ascii="Arial" w:eastAsia="华文细黑" w:hAnsi="Arial" w:cs="宋体"/>
                <w:b/>
                <w:sz w:val="18"/>
              </w:rPr>
            </w:pPr>
            <w:r>
              <w:rPr>
                <w:rFonts w:ascii="Arial" w:eastAsia="华文细黑" w:hAnsi="Arial" w:cs="宋体" w:hint="eastAsia"/>
                <w:b/>
                <w:sz w:val="18"/>
              </w:rPr>
              <w:t>环线排名</w:t>
            </w:r>
          </w:p>
        </w:tc>
      </w:tr>
      <w:tr w:rsidR="00000000" w14:paraId="3DFC704B" w14:textId="77777777">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A0B2117"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8012B39"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1FE40892" w14:textId="77777777" w:rsidR="00000000" w:rsidRDefault="00000000">
            <w:pPr>
              <w:widowControl/>
              <w:adjustRightInd/>
              <w:spacing w:line="240" w:lineRule="exact"/>
              <w:jc w:val="both"/>
              <w:rPr>
                <w:rFonts w:ascii="Arial" w:eastAsia="华文细黑" w:hAnsi="Arial" w:cs="宋体"/>
                <w:sz w:val="18"/>
              </w:rPr>
            </w:pPr>
            <w:hyperlink r:id="rId40" w:history="1">
              <w:r>
                <w:rPr>
                  <w:rFonts w:ascii="Arial" w:eastAsia="华文细黑" w:hAnsi="Arial" w:cs="宋体" w:hint="eastAsia"/>
                  <w:sz w:val="18"/>
                </w:rPr>
                <w:t>成交均价</w:t>
              </w:r>
              <w:r>
                <w:rPr>
                  <w:rFonts w:ascii="Arial" w:eastAsia="华文细黑" w:hAnsi="Arial" w:cs="宋体" w:hint="eastAsia"/>
                  <w:sz w:val="18"/>
                </w:rPr>
                <w:t>(</w:t>
              </w:r>
              <w:r>
                <w:rPr>
                  <w:rFonts w:ascii="Arial" w:eastAsia="华文细黑" w:hAnsi="Arial" w:cs="宋体" w:hint="eastAsia"/>
                  <w:sz w:val="18"/>
                </w:rPr>
                <w:t>元</w:t>
              </w:r>
              <w:r>
                <w:rPr>
                  <w:rFonts w:ascii="Arial" w:eastAsia="华文细黑" w:hAnsi="Arial" w:cs="宋体" w:hint="eastAsia"/>
                  <w:sz w:val="18"/>
                </w:rPr>
                <w:t>/</w:t>
              </w:r>
              <w:r>
                <w:rPr>
                  <w:rFonts w:ascii="Arial" w:eastAsia="华文细黑" w:hAnsi="Arial" w:cs="宋体" w:hint="eastAsia"/>
                  <w:sz w:val="18"/>
                </w:rPr>
                <w:t>㎡</w:t>
              </w:r>
              <w:r>
                <w:rPr>
                  <w:rFonts w:ascii="Arial" w:eastAsia="华文细黑"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tcPr>
          <w:p w14:paraId="0A297ADF"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tcPr>
          <w:p w14:paraId="745B6878"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hint="eastAsia"/>
                <w:sz w:val="18"/>
              </w:rPr>
              <w:t>(</w:t>
            </w:r>
            <w:r>
              <w:rPr>
                <w:rFonts w:ascii="Arial" w:eastAsia="华文细黑" w:hAnsi="Arial" w:cs="宋体" w:hint="eastAsia"/>
                <w:sz w:val="18"/>
              </w:rPr>
              <w:t>元</w:t>
            </w:r>
            <w:r>
              <w:rPr>
                <w:rFonts w:ascii="Arial" w:eastAsia="华文细黑" w:hAnsi="Arial" w:cs="宋体" w:hint="eastAsia"/>
                <w:sz w:val="18"/>
              </w:rPr>
              <w:t>/</w:t>
            </w:r>
            <w:r>
              <w:rPr>
                <w:rFonts w:ascii="Arial" w:eastAsia="华文细黑" w:hAnsi="Arial" w:cs="宋体" w:hint="eastAsia"/>
                <w:sz w:val="18"/>
              </w:rPr>
              <w:t>㎡</w:t>
            </w:r>
            <w:r>
              <w:rPr>
                <w:rFonts w:ascii="Arial" w:eastAsia="华文细黑"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71C3AAEB" w14:textId="77777777" w:rsidR="00000000" w:rsidRDefault="00000000">
            <w:pPr>
              <w:widowControl/>
              <w:adjustRightInd/>
              <w:spacing w:line="240" w:lineRule="exact"/>
              <w:rPr>
                <w:rFonts w:ascii="Arial" w:eastAsia="华文细黑" w:hAnsi="Arial" w:cs="宋体"/>
                <w:sz w:val="18"/>
              </w:rPr>
            </w:pPr>
            <w:r>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7A80E5CA" w14:textId="77777777" w:rsidR="00000000" w:rsidRDefault="00000000">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r>
      <w:tr w:rsidR="00000000" w14:paraId="1E9A2EAB"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86CB51B"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王府</w:t>
            </w:r>
            <w:r>
              <w:rPr>
                <w:rFonts w:ascii="Arial" w:eastAsia="华文细黑" w:hAnsi="Arial" w:cs="宋体" w:hint="eastAsia"/>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1D6C87B4"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79ED563" w14:textId="77777777" w:rsidR="00000000" w:rsidRDefault="00000000">
            <w:pPr>
              <w:widowControl/>
              <w:adjustRightInd/>
              <w:spacing w:line="240" w:lineRule="exact"/>
              <w:rPr>
                <w:rFonts w:ascii="Arial" w:eastAsia="华文细黑" w:hAnsi="Arial" w:cs="宋体"/>
                <w:sz w:val="18"/>
              </w:rPr>
            </w:pPr>
            <w:r>
              <w:rPr>
                <w:rFonts w:ascii="Arial" w:eastAsia="华文细黑"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536D1E5D"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1C32C91A"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75803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6359B2D3"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032E3454"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76487 </w:t>
            </w:r>
          </w:p>
        </w:tc>
      </w:tr>
      <w:tr w:rsidR="00000000" w14:paraId="784484C4"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BFD19C9"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57D2FF52"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499DBAF"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2D8D9BD2"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C9F9990"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54205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01D2EDBA"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3F6A5D4"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36769 </w:t>
            </w:r>
          </w:p>
        </w:tc>
      </w:tr>
      <w:tr w:rsidR="00000000" w14:paraId="24454D46"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7A6405F"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金融街中心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40006F61"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BBDA13F"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61460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64DFD2E3"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79AA48F8"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33818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14BE51A0"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644E2098"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29607 </w:t>
            </w:r>
          </w:p>
        </w:tc>
      </w:tr>
      <w:tr w:rsidR="00000000" w14:paraId="257E5F25"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1B2390B"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7D4320D3"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134F49F2"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63D4962A"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D91AD82"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26187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08BA55C8"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6F798F61"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26325 </w:t>
            </w:r>
          </w:p>
        </w:tc>
      </w:tr>
      <w:tr w:rsidR="00000000" w14:paraId="08C8EA5B"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C14DF49"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lastRenderedPageBreak/>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47C6F359"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367272AD"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5FA62C6A" w14:textId="77777777" w:rsidR="00000000" w:rsidRDefault="00000000">
            <w:pPr>
              <w:widowControl/>
              <w:adjustRightInd/>
              <w:spacing w:line="240" w:lineRule="exact"/>
              <w:jc w:val="both"/>
              <w:rPr>
                <w:rFonts w:ascii="Arial" w:eastAsia="华文细黑" w:hAnsi="Arial" w:cs="宋体" w:hint="eastAsia"/>
                <w:sz w:val="18"/>
              </w:rPr>
            </w:pPr>
            <w:proofErr w:type="gramStart"/>
            <w:r>
              <w:rPr>
                <w:rFonts w:ascii="Arial" w:eastAsia="华文细黑"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tcPr>
          <w:p w14:paraId="0502C8FC"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22652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6E5234B"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2F87D37B"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20729 </w:t>
            </w:r>
          </w:p>
        </w:tc>
      </w:tr>
      <w:tr w:rsidR="00000000" w14:paraId="6D0E87A5"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ED36247"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北京三统碑综合大厦</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2E6E00A1"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4D1AFB3A"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49143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1F24B8A3"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5ECC1383"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19326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61581AC"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21C91B5"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15348 </w:t>
            </w:r>
          </w:p>
        </w:tc>
      </w:tr>
      <w:tr w:rsidR="00000000" w14:paraId="25A9098B"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6176BC4D"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2322BD73"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6CAB8B3"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2A1C6F4A"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1FE62F92"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18390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5CBBA4AB" w14:textId="77777777" w:rsidR="00000000" w:rsidRDefault="00000000">
            <w:pPr>
              <w:widowControl/>
              <w:adjustRightInd/>
              <w:spacing w:line="240" w:lineRule="exact"/>
              <w:jc w:val="both"/>
              <w:rPr>
                <w:rFonts w:ascii="Arial" w:eastAsia="华文细黑" w:hAnsi="Arial" w:cs="宋体" w:hint="eastAsia"/>
                <w:sz w:val="18"/>
              </w:rPr>
            </w:pPr>
          </w:p>
        </w:tc>
      </w:tr>
      <w:tr w:rsidR="00000000" w14:paraId="30806220"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60DFCFAB"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首开龙湖天</w:t>
            </w:r>
            <w:proofErr w:type="gramStart"/>
            <w:r>
              <w:rPr>
                <w:rFonts w:ascii="Arial" w:eastAsia="华文细黑" w:hAnsi="Arial" w:cs="宋体" w:hint="eastAsia"/>
                <w:sz w:val="18"/>
              </w:rPr>
              <w:t>琅</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052EB97A" w14:textId="77777777" w:rsidR="00000000" w:rsidRDefault="00000000">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C8E3570"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41260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26A50BC4" w14:textId="77777777" w:rsidR="00000000" w:rsidRDefault="00000000">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tcPr>
          <w:p w14:paraId="24C11E45"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17096 </w:t>
            </w:r>
          </w:p>
        </w:tc>
        <w:tc>
          <w:tcPr>
            <w:tcW w:w="1423" w:type="pct"/>
            <w:gridSpan w:val="2"/>
            <w:vMerge/>
            <w:tcBorders>
              <w:left w:val="double" w:sz="4" w:space="0" w:color="auto"/>
              <w:right w:val="single" w:sz="2" w:space="0" w:color="404040"/>
              <w:tr2bl w:val="single" w:sz="4" w:space="0" w:color="auto"/>
            </w:tcBorders>
            <w:noWrap/>
            <w:vAlign w:val="center"/>
          </w:tcPr>
          <w:p w14:paraId="1FB2FC29" w14:textId="77777777" w:rsidR="00000000" w:rsidRDefault="00000000">
            <w:pPr>
              <w:widowControl/>
              <w:adjustRightInd/>
              <w:spacing w:line="240" w:lineRule="exact"/>
              <w:jc w:val="both"/>
              <w:rPr>
                <w:rFonts w:ascii="Arial" w:eastAsia="华文细黑" w:hAnsi="Arial" w:cs="宋体"/>
                <w:sz w:val="18"/>
              </w:rPr>
            </w:pPr>
          </w:p>
        </w:tc>
      </w:tr>
      <w:tr w:rsidR="00000000" w14:paraId="0E1B768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8412610" w14:textId="77777777" w:rsidR="00000000" w:rsidRDefault="00000000">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065E15BF"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275035F"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40019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E0F3C30"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984CDC2"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16668 </w:t>
            </w:r>
          </w:p>
        </w:tc>
        <w:tc>
          <w:tcPr>
            <w:tcW w:w="1423" w:type="pct"/>
            <w:gridSpan w:val="2"/>
            <w:vMerge/>
            <w:tcBorders>
              <w:left w:val="double" w:sz="4" w:space="0" w:color="auto"/>
              <w:right w:val="single" w:sz="2" w:space="0" w:color="404040"/>
              <w:tr2bl w:val="single" w:sz="4" w:space="0" w:color="auto"/>
            </w:tcBorders>
            <w:noWrap/>
            <w:vAlign w:val="center"/>
          </w:tcPr>
          <w:p w14:paraId="26D680E4" w14:textId="77777777" w:rsidR="00000000" w:rsidRDefault="00000000">
            <w:pPr>
              <w:widowControl/>
              <w:adjustRightInd/>
              <w:spacing w:line="240" w:lineRule="exact"/>
              <w:jc w:val="both"/>
              <w:rPr>
                <w:rFonts w:ascii="Arial" w:eastAsia="华文细黑" w:hAnsi="Arial" w:cs="宋体"/>
                <w:sz w:val="18"/>
              </w:rPr>
            </w:pPr>
          </w:p>
        </w:tc>
      </w:tr>
      <w:tr w:rsidR="00000000" w14:paraId="4E1029F7"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E9E1E3C"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北京绿地中心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22FAC8CD"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9F6349F"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39872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54D6A90"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5FDF5FF"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15743 </w:t>
            </w:r>
          </w:p>
        </w:tc>
        <w:tc>
          <w:tcPr>
            <w:tcW w:w="1423" w:type="pct"/>
            <w:gridSpan w:val="2"/>
            <w:vMerge/>
            <w:tcBorders>
              <w:left w:val="double" w:sz="4" w:space="0" w:color="auto"/>
              <w:right w:val="single" w:sz="2" w:space="0" w:color="404040"/>
              <w:tr2bl w:val="single" w:sz="4" w:space="0" w:color="auto"/>
            </w:tcBorders>
            <w:noWrap/>
            <w:vAlign w:val="center"/>
          </w:tcPr>
          <w:p w14:paraId="3AD30FC1" w14:textId="77777777" w:rsidR="00000000" w:rsidRDefault="00000000">
            <w:pPr>
              <w:widowControl/>
              <w:adjustRightInd/>
              <w:spacing w:line="240" w:lineRule="exact"/>
              <w:jc w:val="both"/>
              <w:rPr>
                <w:rFonts w:ascii="Arial" w:eastAsia="华文细黑" w:hAnsi="Arial" w:cs="宋体"/>
                <w:sz w:val="18"/>
              </w:rPr>
            </w:pPr>
          </w:p>
        </w:tc>
      </w:tr>
      <w:tr w:rsidR="00000000" w14:paraId="2627999C" w14:textId="77777777">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tcPr>
          <w:p w14:paraId="5D26D42D" w14:textId="77777777" w:rsidR="00000000" w:rsidRDefault="00000000">
            <w:pPr>
              <w:spacing w:line="240" w:lineRule="exact"/>
              <w:jc w:val="both"/>
              <w:rPr>
                <w:rFonts w:ascii="Arial" w:eastAsia="华文细黑" w:hAnsi="Arial" w:cs="宋体" w:hint="eastAsia"/>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5A6AE52"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567A4FD0"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14355</w:t>
            </w:r>
          </w:p>
        </w:tc>
        <w:tc>
          <w:tcPr>
            <w:tcW w:w="1423" w:type="pct"/>
            <w:gridSpan w:val="2"/>
            <w:vMerge/>
            <w:tcBorders>
              <w:left w:val="double" w:sz="4" w:space="0" w:color="auto"/>
              <w:right w:val="single" w:sz="2" w:space="0" w:color="404040"/>
              <w:tr2bl w:val="single" w:sz="4" w:space="0" w:color="auto"/>
            </w:tcBorders>
            <w:noWrap/>
            <w:vAlign w:val="center"/>
          </w:tcPr>
          <w:p w14:paraId="2D54B81A" w14:textId="77777777" w:rsidR="00000000" w:rsidRDefault="00000000">
            <w:pPr>
              <w:widowControl/>
              <w:adjustRightInd/>
              <w:spacing w:line="240" w:lineRule="exact"/>
              <w:jc w:val="both"/>
              <w:rPr>
                <w:rFonts w:ascii="Arial" w:eastAsia="华文细黑" w:hAnsi="Arial" w:cs="宋体"/>
                <w:sz w:val="18"/>
              </w:rPr>
            </w:pPr>
          </w:p>
        </w:tc>
      </w:tr>
      <w:tr w:rsidR="00000000" w14:paraId="641CB9AF" w14:textId="77777777">
        <w:trPr>
          <w:cantSplit/>
          <w:jc w:val="center"/>
        </w:trPr>
        <w:tc>
          <w:tcPr>
            <w:tcW w:w="2135" w:type="pct"/>
            <w:gridSpan w:val="3"/>
            <w:vMerge/>
            <w:tcBorders>
              <w:left w:val="single" w:sz="2" w:space="0" w:color="404040"/>
              <w:right w:val="double" w:sz="2" w:space="0" w:color="404040"/>
            </w:tcBorders>
            <w:noWrap/>
            <w:vAlign w:val="center"/>
          </w:tcPr>
          <w:p w14:paraId="583CB92E" w14:textId="77777777" w:rsidR="00000000" w:rsidRDefault="00000000">
            <w:pPr>
              <w:spacing w:line="240" w:lineRule="exact"/>
              <w:jc w:val="both"/>
              <w:rPr>
                <w:rFonts w:ascii="Arial" w:eastAsia="华文细黑" w:hAnsi="Arial" w:cs="宋体" w:hint="eastAsia"/>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2C990CCD" w14:textId="77777777" w:rsidR="00000000" w:rsidRDefault="00000000">
            <w:pPr>
              <w:widowControl/>
              <w:adjustRightInd/>
              <w:spacing w:line="240" w:lineRule="exact"/>
              <w:jc w:val="both"/>
              <w:rPr>
                <w:rFonts w:ascii="Arial" w:eastAsia="华文细黑" w:hAnsi="Arial" w:cs="宋体" w:hint="eastAsia"/>
                <w:sz w:val="18"/>
              </w:rPr>
            </w:pPr>
            <w:proofErr w:type="gramStart"/>
            <w:r>
              <w:rPr>
                <w:rFonts w:ascii="Arial" w:eastAsia="华文细黑"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tcPr>
          <w:p w14:paraId="068CEE51"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14093</w:t>
            </w:r>
          </w:p>
        </w:tc>
        <w:tc>
          <w:tcPr>
            <w:tcW w:w="1423" w:type="pct"/>
            <w:gridSpan w:val="2"/>
            <w:vMerge/>
            <w:tcBorders>
              <w:left w:val="double" w:sz="4" w:space="0" w:color="auto"/>
              <w:right w:val="single" w:sz="2" w:space="0" w:color="404040"/>
              <w:tr2bl w:val="single" w:sz="4" w:space="0" w:color="auto"/>
            </w:tcBorders>
            <w:noWrap/>
            <w:vAlign w:val="center"/>
          </w:tcPr>
          <w:p w14:paraId="679F44BB" w14:textId="77777777" w:rsidR="00000000" w:rsidRDefault="00000000">
            <w:pPr>
              <w:widowControl/>
              <w:adjustRightInd/>
              <w:spacing w:line="240" w:lineRule="exact"/>
              <w:jc w:val="both"/>
              <w:rPr>
                <w:rFonts w:ascii="Arial" w:eastAsia="华文细黑" w:hAnsi="Arial" w:cs="宋体"/>
                <w:sz w:val="18"/>
              </w:rPr>
            </w:pPr>
          </w:p>
        </w:tc>
      </w:tr>
      <w:tr w:rsidR="00000000" w14:paraId="590A69F8" w14:textId="77777777">
        <w:trPr>
          <w:cantSplit/>
          <w:jc w:val="center"/>
        </w:trPr>
        <w:tc>
          <w:tcPr>
            <w:tcW w:w="2135" w:type="pct"/>
            <w:gridSpan w:val="3"/>
            <w:vMerge/>
            <w:tcBorders>
              <w:left w:val="single" w:sz="2" w:space="0" w:color="404040"/>
              <w:right w:val="double" w:sz="2" w:space="0" w:color="404040"/>
            </w:tcBorders>
            <w:noWrap/>
            <w:vAlign w:val="center"/>
          </w:tcPr>
          <w:p w14:paraId="3D0C632A" w14:textId="77777777" w:rsidR="00000000" w:rsidRDefault="00000000">
            <w:pPr>
              <w:widowControl/>
              <w:adjustRightInd/>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1F450E03"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7375511"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11602</w:t>
            </w:r>
          </w:p>
        </w:tc>
        <w:tc>
          <w:tcPr>
            <w:tcW w:w="1423" w:type="pct"/>
            <w:gridSpan w:val="2"/>
            <w:vMerge/>
            <w:tcBorders>
              <w:left w:val="double" w:sz="4" w:space="0" w:color="auto"/>
              <w:right w:val="single" w:sz="2" w:space="0" w:color="404040"/>
              <w:tr2bl w:val="single" w:sz="4" w:space="0" w:color="auto"/>
            </w:tcBorders>
            <w:noWrap/>
            <w:vAlign w:val="center"/>
          </w:tcPr>
          <w:p w14:paraId="60C74E0E" w14:textId="77777777" w:rsidR="00000000" w:rsidRDefault="00000000">
            <w:pPr>
              <w:widowControl/>
              <w:adjustRightInd/>
              <w:spacing w:line="240" w:lineRule="exact"/>
              <w:jc w:val="both"/>
              <w:rPr>
                <w:rFonts w:ascii="Arial" w:eastAsia="华文细黑" w:hAnsi="Arial" w:cs="宋体"/>
                <w:sz w:val="18"/>
              </w:rPr>
            </w:pPr>
          </w:p>
        </w:tc>
      </w:tr>
      <w:tr w:rsidR="00000000" w14:paraId="2C3B99F1" w14:textId="77777777">
        <w:trPr>
          <w:cantSplit/>
          <w:jc w:val="center"/>
        </w:trPr>
        <w:tc>
          <w:tcPr>
            <w:tcW w:w="2135" w:type="pct"/>
            <w:gridSpan w:val="3"/>
            <w:vMerge/>
            <w:tcBorders>
              <w:left w:val="single" w:sz="2" w:space="0" w:color="404040"/>
              <w:right w:val="double" w:sz="2" w:space="0" w:color="404040"/>
            </w:tcBorders>
            <w:noWrap/>
            <w:vAlign w:val="center"/>
          </w:tcPr>
          <w:p w14:paraId="7F9024BC" w14:textId="77777777" w:rsidR="00000000" w:rsidRDefault="00000000">
            <w:pPr>
              <w:widowControl/>
              <w:adjustRightInd/>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57DE31BD"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0226F9CE"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5107</w:t>
            </w:r>
          </w:p>
        </w:tc>
        <w:tc>
          <w:tcPr>
            <w:tcW w:w="1423" w:type="pct"/>
            <w:gridSpan w:val="2"/>
            <w:vMerge/>
            <w:tcBorders>
              <w:left w:val="double" w:sz="4" w:space="0" w:color="auto"/>
              <w:right w:val="single" w:sz="2" w:space="0" w:color="404040"/>
              <w:tr2bl w:val="single" w:sz="4" w:space="0" w:color="auto"/>
            </w:tcBorders>
            <w:noWrap/>
            <w:vAlign w:val="center"/>
          </w:tcPr>
          <w:p w14:paraId="2C49F4A8" w14:textId="77777777" w:rsidR="00000000" w:rsidRDefault="00000000">
            <w:pPr>
              <w:widowControl/>
              <w:adjustRightInd/>
              <w:spacing w:line="240" w:lineRule="exact"/>
              <w:jc w:val="both"/>
              <w:rPr>
                <w:rFonts w:ascii="Arial" w:eastAsia="华文细黑" w:hAnsi="Arial" w:cs="宋体"/>
                <w:sz w:val="18"/>
              </w:rPr>
            </w:pPr>
          </w:p>
        </w:tc>
      </w:tr>
      <w:tr w:rsidR="00000000" w14:paraId="6D421EE1" w14:textId="77777777">
        <w:trPr>
          <w:cantSplit/>
          <w:jc w:val="center"/>
        </w:trPr>
        <w:tc>
          <w:tcPr>
            <w:tcW w:w="2135" w:type="pct"/>
            <w:gridSpan w:val="3"/>
            <w:vMerge/>
            <w:tcBorders>
              <w:left w:val="single" w:sz="2" w:space="0" w:color="404040"/>
              <w:right w:val="double" w:sz="2" w:space="0" w:color="404040"/>
            </w:tcBorders>
            <w:noWrap/>
            <w:vAlign w:val="center"/>
          </w:tcPr>
          <w:p w14:paraId="058D72EB" w14:textId="77777777" w:rsidR="00000000" w:rsidRDefault="00000000">
            <w:pPr>
              <w:spacing w:line="240" w:lineRule="exact"/>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1E7E55F9"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延庆区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FB4F890" w14:textId="77777777" w:rsidR="00000000" w:rsidRDefault="00000000">
            <w:pPr>
              <w:spacing w:line="240" w:lineRule="exact"/>
              <w:jc w:val="both"/>
              <w:rPr>
                <w:rFonts w:ascii="Arial" w:eastAsia="华文细黑" w:hAnsi="Arial" w:cs="宋体" w:hint="eastAsia"/>
                <w:sz w:val="18"/>
              </w:rPr>
            </w:pPr>
            <w:r>
              <w:rPr>
                <w:rFonts w:ascii="Arial" w:eastAsia="华文细黑" w:hAnsi="Arial" w:cs="宋体" w:hint="eastAsia"/>
                <w:sz w:val="18"/>
              </w:rPr>
              <w:t>3416</w:t>
            </w:r>
          </w:p>
        </w:tc>
        <w:tc>
          <w:tcPr>
            <w:tcW w:w="1423" w:type="pct"/>
            <w:gridSpan w:val="2"/>
            <w:vMerge/>
            <w:tcBorders>
              <w:left w:val="double" w:sz="4" w:space="0" w:color="auto"/>
              <w:right w:val="single" w:sz="2" w:space="0" w:color="404040"/>
              <w:tr2bl w:val="single" w:sz="4" w:space="0" w:color="auto"/>
            </w:tcBorders>
            <w:vAlign w:val="center"/>
          </w:tcPr>
          <w:p w14:paraId="0CB0949E" w14:textId="77777777" w:rsidR="00000000" w:rsidRDefault="00000000">
            <w:pPr>
              <w:widowControl/>
              <w:adjustRightInd/>
              <w:spacing w:line="240" w:lineRule="exact"/>
              <w:rPr>
                <w:rFonts w:ascii="Arial" w:eastAsia="华文细黑" w:hAnsi="Arial" w:cs="宋体"/>
                <w:sz w:val="18"/>
              </w:rPr>
            </w:pPr>
          </w:p>
        </w:tc>
      </w:tr>
    </w:tbl>
    <w:p w14:paraId="1CA78165" w14:textId="77777777" w:rsidR="00000000" w:rsidRDefault="00000000">
      <w:pPr>
        <w:widowControl/>
        <w:adjustRightInd/>
        <w:spacing w:line="240" w:lineRule="exact"/>
        <w:rPr>
          <w:rFonts w:ascii="Arial" w:eastAsia="仿宋" w:hAnsi="Arial" w:cs="宋体" w:hint="eastAsia"/>
          <w:color w:val="C00000"/>
          <w:sz w:val="18"/>
        </w:rPr>
      </w:pPr>
    </w:p>
    <w:p w14:paraId="611BC9A5" w14:textId="77777777" w:rsidR="00000000" w:rsidRDefault="00000000">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25</w:t>
      </w:r>
      <w:r>
        <w:rPr>
          <w:rFonts w:ascii="Arial" w:eastAsia="方正黑体简体" w:hAnsi="Arial" w:hint="eastAsia"/>
          <w:bCs/>
          <w:color w:val="000000"/>
          <w:szCs w:val="24"/>
        </w:rPr>
        <w:t>年商业用房销售排名</w:t>
      </w:r>
    </w:p>
    <w:tbl>
      <w:tblPr>
        <w:tblW w:w="9300" w:type="dxa"/>
        <w:jc w:val="cente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44"/>
        <w:gridCol w:w="851"/>
        <w:gridCol w:w="1417"/>
        <w:gridCol w:w="1134"/>
        <w:gridCol w:w="1418"/>
        <w:gridCol w:w="1275"/>
        <w:gridCol w:w="1361"/>
      </w:tblGrid>
      <w:tr w:rsidR="00000000" w14:paraId="54645B81"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0213A380" w14:textId="77777777" w:rsidR="00000000" w:rsidRDefault="00000000">
            <w:pPr>
              <w:widowControl/>
              <w:adjustRightInd/>
              <w:spacing w:line="240" w:lineRule="exact"/>
              <w:rPr>
                <w:rFonts w:ascii="Arial" w:eastAsia="华文细黑" w:hAnsi="Arial" w:cs="宋体"/>
                <w:b/>
                <w:sz w:val="18"/>
              </w:rPr>
            </w:pPr>
            <w:r>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14:paraId="46740FD6" w14:textId="77777777" w:rsidR="00000000" w:rsidRDefault="00000000">
            <w:pPr>
              <w:widowControl/>
              <w:adjustRightInd/>
              <w:spacing w:line="240" w:lineRule="exact"/>
              <w:rPr>
                <w:rFonts w:ascii="Arial" w:eastAsia="华文细黑" w:hAnsi="Arial" w:cs="宋体"/>
                <w:b/>
                <w:sz w:val="18"/>
              </w:rPr>
            </w:pPr>
            <w:r>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14:paraId="6D905045" w14:textId="77777777" w:rsidR="00000000" w:rsidRDefault="00000000">
            <w:pPr>
              <w:widowControl/>
              <w:adjustRightInd/>
              <w:spacing w:line="240" w:lineRule="exact"/>
              <w:rPr>
                <w:rFonts w:ascii="Arial" w:eastAsia="华文细黑" w:hAnsi="Arial" w:cs="宋体"/>
                <w:b/>
                <w:sz w:val="18"/>
              </w:rPr>
            </w:pPr>
            <w:r>
              <w:rPr>
                <w:rFonts w:ascii="Arial" w:eastAsia="华文细黑" w:hAnsi="Arial" w:cs="宋体" w:hint="eastAsia"/>
                <w:b/>
                <w:sz w:val="18"/>
              </w:rPr>
              <w:t>环线排名</w:t>
            </w:r>
          </w:p>
        </w:tc>
      </w:tr>
      <w:tr w:rsidR="00000000" w14:paraId="261631C7"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29174832" w14:textId="77777777" w:rsidR="00000000" w:rsidRDefault="00000000">
            <w:pPr>
              <w:widowControl/>
              <w:adjustRightInd/>
              <w:spacing w:line="240" w:lineRule="exact"/>
              <w:rPr>
                <w:rFonts w:ascii="Arial" w:eastAsia="华文细黑" w:hAnsi="Arial" w:cs="宋体"/>
                <w:sz w:val="18"/>
              </w:rPr>
            </w:pPr>
            <w:r>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7D3961F4" w14:textId="77777777" w:rsidR="00000000" w:rsidRDefault="00000000">
            <w:pPr>
              <w:widowControl/>
              <w:adjustRightInd/>
              <w:spacing w:line="240" w:lineRule="exact"/>
              <w:rPr>
                <w:rFonts w:ascii="Arial" w:eastAsia="华文细黑" w:hAnsi="Arial" w:cs="宋体"/>
                <w:sz w:val="18"/>
              </w:rPr>
            </w:pPr>
            <w:r>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1D6FCBE6" w14:textId="77777777" w:rsidR="00000000" w:rsidRDefault="00000000">
            <w:pPr>
              <w:widowControl/>
              <w:adjustRightInd/>
              <w:spacing w:line="240" w:lineRule="exact"/>
              <w:rPr>
                <w:rFonts w:ascii="Arial" w:eastAsia="华文细黑" w:hAnsi="Arial" w:cs="宋体"/>
                <w:sz w:val="18"/>
              </w:rPr>
            </w:pPr>
            <w:hyperlink r:id="rId41" w:history="1">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4EDEC93" w14:textId="77777777" w:rsidR="00000000" w:rsidRDefault="00000000">
            <w:pPr>
              <w:widowControl/>
              <w:adjustRightInd/>
              <w:spacing w:line="240" w:lineRule="exact"/>
              <w:rPr>
                <w:rFonts w:ascii="Arial" w:eastAsia="华文细黑" w:hAnsi="Arial" w:cs="宋体"/>
                <w:sz w:val="18"/>
              </w:rPr>
            </w:pPr>
            <w:r>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699C22F" w14:textId="77777777" w:rsidR="00000000" w:rsidRDefault="00000000">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23BB4571" w14:textId="77777777" w:rsidR="00000000" w:rsidRDefault="00000000">
            <w:pPr>
              <w:widowControl/>
              <w:adjustRightInd/>
              <w:spacing w:line="240" w:lineRule="exact"/>
              <w:rPr>
                <w:rFonts w:ascii="Arial" w:eastAsia="华文细黑" w:hAnsi="Arial" w:cs="宋体"/>
                <w:sz w:val="18"/>
              </w:rPr>
            </w:pPr>
            <w:r>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6263B4A6" w14:textId="77777777" w:rsidR="00000000" w:rsidRDefault="00000000">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r>
      <w:tr w:rsidR="00000000" w14:paraId="705320DF"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3C80613B"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241EE848"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50C1CF72"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120106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6403895"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8C782BF"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64990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78EFB253"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1E990B4C"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76218 </w:t>
            </w:r>
          </w:p>
        </w:tc>
      </w:tr>
      <w:tr w:rsidR="00000000" w14:paraId="2EFEFB9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4021090B" w14:textId="77777777" w:rsidR="00000000" w:rsidRDefault="00000000">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紫辰院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4E64B28D"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0822B6F9"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98584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6D22994"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791D24E"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61742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703DD55F"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0F2F91F4"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34401 </w:t>
            </w:r>
          </w:p>
        </w:tc>
      </w:tr>
      <w:tr w:rsidR="00000000" w14:paraId="600D63F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07074B78"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一瓶·四和院</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3DE6EC1F"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5EFD3D92"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93950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43001DA"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0C3CCAE"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35534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629009CC"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4AD4C81A"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26956 </w:t>
            </w:r>
          </w:p>
        </w:tc>
      </w:tr>
      <w:tr w:rsidR="00000000" w14:paraId="7D6E1522"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7CC1B2E1" w14:textId="77777777" w:rsidR="00000000" w:rsidRDefault="00000000">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2DF85701"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2B2E7F2E"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83400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1D1DBEE" w14:textId="77777777" w:rsidR="00000000" w:rsidRDefault="00000000">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AEF1998"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34015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21B5B7C9"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53584C25"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22822 </w:t>
            </w:r>
          </w:p>
        </w:tc>
      </w:tr>
      <w:tr w:rsidR="00000000" w14:paraId="610E18C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032DB690"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0BC15382"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12AD679E"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16CC426"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4ADB364"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25397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76C7F3C1"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6FDF3556"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19974 </w:t>
            </w:r>
          </w:p>
        </w:tc>
      </w:tr>
      <w:tr w:rsidR="00000000" w14:paraId="51D8744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74D88F55"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32FFAD4F"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15A88C3D"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E18C025"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690504B"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23852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396502AC"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73244783"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12381 </w:t>
            </w:r>
          </w:p>
        </w:tc>
      </w:tr>
      <w:tr w:rsidR="00000000" w14:paraId="79C68E0A"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77F1EC8F"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霞公府</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170D1433"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6BCCB1E1"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79901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6D0FE46"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AB78EE2"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23484 </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2EF14A92" w14:textId="77777777" w:rsidR="00000000" w:rsidRDefault="00000000">
            <w:pPr>
              <w:spacing w:line="240" w:lineRule="exact"/>
              <w:rPr>
                <w:rFonts w:ascii="Arial" w:eastAsia="华文细黑" w:hAnsi="Arial" w:cs="宋体" w:hint="eastAsia"/>
                <w:sz w:val="18"/>
              </w:rPr>
            </w:pPr>
          </w:p>
        </w:tc>
      </w:tr>
      <w:tr w:rsidR="00000000" w14:paraId="0D04BC18"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51440F04" w14:textId="77777777" w:rsidR="00000000" w:rsidRDefault="00000000">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中骏天宸</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3B00F02F"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2E0B0BD9"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8D25653"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846ADD5"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21142 </w:t>
            </w:r>
          </w:p>
        </w:tc>
        <w:tc>
          <w:tcPr>
            <w:tcW w:w="2636" w:type="dxa"/>
            <w:gridSpan w:val="2"/>
            <w:vMerge/>
            <w:tcBorders>
              <w:left w:val="double" w:sz="2" w:space="0" w:color="404040"/>
              <w:right w:val="single" w:sz="2" w:space="0" w:color="404040"/>
              <w:tr2bl w:val="single" w:sz="4" w:space="0" w:color="auto"/>
            </w:tcBorders>
            <w:noWrap/>
            <w:vAlign w:val="center"/>
          </w:tcPr>
          <w:p w14:paraId="0A878BA4" w14:textId="77777777" w:rsidR="00000000" w:rsidRDefault="00000000">
            <w:pPr>
              <w:widowControl/>
              <w:adjustRightInd/>
              <w:spacing w:line="240" w:lineRule="exact"/>
              <w:rPr>
                <w:rFonts w:ascii="Arial" w:eastAsia="华文细黑" w:hAnsi="Arial" w:cs="宋体" w:hint="eastAsia"/>
                <w:sz w:val="18"/>
              </w:rPr>
            </w:pPr>
          </w:p>
        </w:tc>
      </w:tr>
      <w:tr w:rsidR="00000000" w14:paraId="2C05B412"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09B089F6"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国安雅居</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54A96068"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00E45EE9"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419BE0D" w14:textId="77777777" w:rsidR="00000000" w:rsidRDefault="00000000">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A9CD568"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19513 </w:t>
            </w:r>
          </w:p>
        </w:tc>
        <w:tc>
          <w:tcPr>
            <w:tcW w:w="2636" w:type="dxa"/>
            <w:gridSpan w:val="2"/>
            <w:vMerge/>
            <w:tcBorders>
              <w:left w:val="double" w:sz="2" w:space="0" w:color="404040"/>
              <w:right w:val="single" w:sz="2" w:space="0" w:color="404040"/>
              <w:tr2bl w:val="single" w:sz="4" w:space="0" w:color="auto"/>
            </w:tcBorders>
            <w:vAlign w:val="center"/>
          </w:tcPr>
          <w:p w14:paraId="6DB3F688" w14:textId="77777777" w:rsidR="00000000" w:rsidRDefault="00000000">
            <w:pPr>
              <w:widowControl/>
              <w:adjustRightInd/>
              <w:spacing w:line="240" w:lineRule="exact"/>
              <w:rPr>
                <w:rFonts w:ascii="Arial" w:eastAsia="华文细黑" w:hAnsi="Arial" w:cs="宋体"/>
                <w:sz w:val="18"/>
              </w:rPr>
            </w:pPr>
          </w:p>
        </w:tc>
      </w:tr>
      <w:tr w:rsidR="00000000" w14:paraId="5A30C333"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71D9E955"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4FD95711"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5FEE044F"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74246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4928426F"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8898035"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15600 </w:t>
            </w:r>
          </w:p>
        </w:tc>
        <w:tc>
          <w:tcPr>
            <w:tcW w:w="2636" w:type="dxa"/>
            <w:gridSpan w:val="2"/>
            <w:vMerge/>
            <w:tcBorders>
              <w:left w:val="double" w:sz="2" w:space="0" w:color="404040"/>
              <w:right w:val="single" w:sz="2" w:space="0" w:color="404040"/>
              <w:tr2bl w:val="single" w:sz="4" w:space="0" w:color="auto"/>
            </w:tcBorders>
            <w:vAlign w:val="center"/>
          </w:tcPr>
          <w:p w14:paraId="3E08299A" w14:textId="77777777" w:rsidR="00000000" w:rsidRDefault="00000000">
            <w:pPr>
              <w:widowControl/>
              <w:adjustRightInd/>
              <w:spacing w:line="240" w:lineRule="exact"/>
              <w:rPr>
                <w:rFonts w:ascii="Arial" w:eastAsia="华文细黑" w:hAnsi="Arial" w:cs="宋体"/>
                <w:sz w:val="18"/>
              </w:rPr>
            </w:pPr>
          </w:p>
        </w:tc>
      </w:tr>
      <w:tr w:rsidR="00000000" w14:paraId="31E2588C" w14:textId="77777777">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center"/>
          </w:tcPr>
          <w:p w14:paraId="1BBD5598"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4989686F" w14:textId="77777777" w:rsidR="00000000" w:rsidRDefault="00000000">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778375A"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 xml:space="preserve">15087 </w:t>
            </w:r>
          </w:p>
        </w:tc>
        <w:tc>
          <w:tcPr>
            <w:tcW w:w="2636" w:type="dxa"/>
            <w:gridSpan w:val="2"/>
            <w:vMerge/>
            <w:tcBorders>
              <w:left w:val="double" w:sz="2" w:space="0" w:color="404040"/>
              <w:right w:val="single" w:sz="2" w:space="0" w:color="404040"/>
              <w:tr2bl w:val="single" w:sz="4" w:space="0" w:color="auto"/>
            </w:tcBorders>
            <w:vAlign w:val="center"/>
          </w:tcPr>
          <w:p w14:paraId="19F0470C" w14:textId="77777777" w:rsidR="00000000" w:rsidRDefault="00000000">
            <w:pPr>
              <w:widowControl/>
              <w:adjustRightInd/>
              <w:spacing w:line="240" w:lineRule="exact"/>
              <w:rPr>
                <w:rFonts w:ascii="Arial" w:eastAsia="华文细黑" w:hAnsi="Arial" w:cs="宋体"/>
                <w:sz w:val="18"/>
              </w:rPr>
            </w:pPr>
          </w:p>
        </w:tc>
      </w:tr>
      <w:tr w:rsidR="00000000" w14:paraId="2F5E3900" w14:textId="77777777">
        <w:trPr>
          <w:cantSplit/>
          <w:jc w:val="center"/>
        </w:trPr>
        <w:tc>
          <w:tcPr>
            <w:tcW w:w="4112" w:type="dxa"/>
            <w:gridSpan w:val="3"/>
            <w:vMerge/>
            <w:tcBorders>
              <w:left w:val="single" w:sz="2" w:space="0" w:color="404040"/>
              <w:right w:val="double" w:sz="2" w:space="0" w:color="404040"/>
              <w:tr2bl w:val="single" w:sz="4" w:space="0" w:color="auto"/>
            </w:tcBorders>
            <w:noWrap/>
            <w:vAlign w:val="center"/>
          </w:tcPr>
          <w:p w14:paraId="536BCDBF" w14:textId="77777777" w:rsidR="00000000" w:rsidRDefault="00000000">
            <w:pPr>
              <w:widowControl/>
              <w:adjustRightInd/>
              <w:spacing w:line="240" w:lineRule="exact"/>
              <w:rPr>
                <w:rFonts w:ascii="Arial" w:eastAsia="华文细黑" w:hAnsi="Arial" w:cs="宋体" w:hint="eastAsia"/>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9C0FEE3"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BFF36E3"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14711</w:t>
            </w:r>
          </w:p>
        </w:tc>
        <w:tc>
          <w:tcPr>
            <w:tcW w:w="2636" w:type="dxa"/>
            <w:gridSpan w:val="2"/>
            <w:vMerge/>
            <w:tcBorders>
              <w:left w:val="double" w:sz="2" w:space="0" w:color="404040"/>
              <w:right w:val="single" w:sz="2" w:space="0" w:color="404040"/>
              <w:tr2bl w:val="single" w:sz="4" w:space="0" w:color="auto"/>
            </w:tcBorders>
            <w:vAlign w:val="center"/>
          </w:tcPr>
          <w:p w14:paraId="78E975EF" w14:textId="77777777" w:rsidR="00000000" w:rsidRDefault="00000000">
            <w:pPr>
              <w:widowControl/>
              <w:adjustRightInd/>
              <w:spacing w:line="240" w:lineRule="exact"/>
              <w:rPr>
                <w:rFonts w:ascii="Arial" w:eastAsia="华文细黑" w:hAnsi="Arial" w:cs="宋体"/>
                <w:sz w:val="18"/>
              </w:rPr>
            </w:pPr>
          </w:p>
        </w:tc>
      </w:tr>
      <w:tr w:rsidR="00000000" w14:paraId="14E2961B" w14:textId="77777777">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CBD937C" w14:textId="77777777" w:rsidR="00000000" w:rsidRDefault="00000000">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FCFD7C3"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39513E8"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14618</w:t>
            </w:r>
          </w:p>
        </w:tc>
        <w:tc>
          <w:tcPr>
            <w:tcW w:w="2636" w:type="dxa"/>
            <w:gridSpan w:val="2"/>
            <w:vMerge/>
            <w:tcBorders>
              <w:left w:val="double" w:sz="2" w:space="0" w:color="404040"/>
              <w:right w:val="single" w:sz="2" w:space="0" w:color="404040"/>
              <w:tr2bl w:val="single" w:sz="4" w:space="0" w:color="auto"/>
            </w:tcBorders>
            <w:vAlign w:val="center"/>
          </w:tcPr>
          <w:p w14:paraId="09296A60" w14:textId="77777777" w:rsidR="00000000" w:rsidRDefault="00000000">
            <w:pPr>
              <w:widowControl/>
              <w:adjustRightInd/>
              <w:spacing w:line="240" w:lineRule="exact"/>
              <w:rPr>
                <w:rFonts w:ascii="Arial" w:eastAsia="华文细黑" w:hAnsi="Arial" w:cs="宋体"/>
                <w:sz w:val="18"/>
              </w:rPr>
            </w:pPr>
          </w:p>
        </w:tc>
      </w:tr>
      <w:tr w:rsidR="00000000" w14:paraId="06354123" w14:textId="77777777">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53A54A3F" w14:textId="77777777" w:rsidR="00000000" w:rsidRDefault="00000000">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071E34D2"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CDD1F47"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13741</w:t>
            </w:r>
          </w:p>
        </w:tc>
        <w:tc>
          <w:tcPr>
            <w:tcW w:w="2636" w:type="dxa"/>
            <w:gridSpan w:val="2"/>
            <w:vMerge/>
            <w:tcBorders>
              <w:left w:val="double" w:sz="2" w:space="0" w:color="404040"/>
              <w:right w:val="single" w:sz="2" w:space="0" w:color="404040"/>
              <w:tr2bl w:val="single" w:sz="4" w:space="0" w:color="auto"/>
            </w:tcBorders>
            <w:vAlign w:val="center"/>
          </w:tcPr>
          <w:p w14:paraId="3A05A91B" w14:textId="77777777" w:rsidR="00000000" w:rsidRDefault="00000000">
            <w:pPr>
              <w:widowControl/>
              <w:adjustRightInd/>
              <w:spacing w:line="240" w:lineRule="exact"/>
              <w:rPr>
                <w:rFonts w:ascii="Arial" w:eastAsia="华文细黑" w:hAnsi="Arial" w:cs="宋体"/>
                <w:sz w:val="18"/>
              </w:rPr>
            </w:pPr>
          </w:p>
        </w:tc>
      </w:tr>
      <w:tr w:rsidR="00000000" w14:paraId="379CC791" w14:textId="77777777">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4108467" w14:textId="77777777" w:rsidR="00000000" w:rsidRDefault="00000000">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8B42F18"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37F9717"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10861</w:t>
            </w:r>
          </w:p>
        </w:tc>
        <w:tc>
          <w:tcPr>
            <w:tcW w:w="2636" w:type="dxa"/>
            <w:gridSpan w:val="2"/>
            <w:vMerge/>
            <w:tcBorders>
              <w:left w:val="double" w:sz="2" w:space="0" w:color="404040"/>
              <w:right w:val="single" w:sz="2" w:space="0" w:color="404040"/>
              <w:tr2bl w:val="single" w:sz="4" w:space="0" w:color="auto"/>
            </w:tcBorders>
            <w:vAlign w:val="center"/>
          </w:tcPr>
          <w:p w14:paraId="10D4325D" w14:textId="77777777" w:rsidR="00000000" w:rsidRDefault="00000000">
            <w:pPr>
              <w:widowControl/>
              <w:adjustRightInd/>
              <w:spacing w:line="240" w:lineRule="exact"/>
              <w:rPr>
                <w:rFonts w:ascii="Arial" w:eastAsia="华文细黑" w:hAnsi="Arial" w:cs="宋体"/>
                <w:sz w:val="18"/>
              </w:rPr>
            </w:pPr>
          </w:p>
        </w:tc>
      </w:tr>
      <w:tr w:rsidR="00000000" w14:paraId="08715325" w14:textId="77777777">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4A0DED8" w14:textId="77777777" w:rsidR="00000000" w:rsidRDefault="00000000">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7A91BDC9" w14:textId="77777777" w:rsidR="00000000" w:rsidRDefault="00000000">
            <w:pPr>
              <w:widowControl/>
              <w:adjustRightInd/>
              <w:spacing w:line="240" w:lineRule="exact"/>
              <w:jc w:val="both"/>
              <w:rPr>
                <w:rFonts w:ascii="Arial" w:eastAsia="华文细黑" w:hAnsi="Arial" w:cs="宋体"/>
                <w:sz w:val="18"/>
              </w:rPr>
            </w:pPr>
            <w:r>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42AC680" w14:textId="77777777" w:rsidR="00000000" w:rsidRDefault="00000000">
            <w:pPr>
              <w:widowControl/>
              <w:adjustRightInd/>
              <w:spacing w:line="240" w:lineRule="exact"/>
              <w:jc w:val="both"/>
              <w:rPr>
                <w:rFonts w:ascii="Arial" w:eastAsia="华文细黑" w:hAnsi="Arial" w:cs="宋体" w:hint="eastAsia"/>
                <w:sz w:val="18"/>
              </w:rPr>
            </w:pPr>
            <w:r>
              <w:rPr>
                <w:rFonts w:ascii="Arial" w:eastAsia="华文细黑" w:hAnsi="Arial" w:cs="宋体" w:hint="eastAsia"/>
                <w:sz w:val="18"/>
              </w:rPr>
              <w:t>5020</w:t>
            </w:r>
          </w:p>
        </w:tc>
        <w:tc>
          <w:tcPr>
            <w:tcW w:w="2636" w:type="dxa"/>
            <w:gridSpan w:val="2"/>
            <w:vMerge/>
            <w:tcBorders>
              <w:left w:val="double" w:sz="2" w:space="0" w:color="404040"/>
              <w:right w:val="single" w:sz="2" w:space="0" w:color="404040"/>
              <w:tr2bl w:val="single" w:sz="4" w:space="0" w:color="auto"/>
            </w:tcBorders>
            <w:vAlign w:val="center"/>
          </w:tcPr>
          <w:p w14:paraId="380DE75B" w14:textId="77777777" w:rsidR="00000000" w:rsidRDefault="00000000">
            <w:pPr>
              <w:widowControl/>
              <w:adjustRightInd/>
              <w:spacing w:line="240" w:lineRule="exact"/>
              <w:rPr>
                <w:rFonts w:ascii="Arial" w:eastAsia="华文细黑" w:hAnsi="Arial" w:cs="宋体"/>
                <w:sz w:val="18"/>
              </w:rPr>
            </w:pPr>
          </w:p>
        </w:tc>
      </w:tr>
    </w:tbl>
    <w:p w14:paraId="7E8F780C" w14:textId="77777777" w:rsidR="00000000" w:rsidRDefault="00000000">
      <w:pPr>
        <w:widowControl/>
        <w:adjustRightInd/>
        <w:spacing w:line="240" w:lineRule="exact"/>
        <w:rPr>
          <w:rFonts w:ascii="Arial" w:eastAsia="仿宋" w:hAnsi="Arial" w:cs="宋体" w:hint="eastAsia"/>
          <w:color w:val="C00000"/>
          <w:sz w:val="18"/>
        </w:rPr>
      </w:pPr>
    </w:p>
    <w:p w14:paraId="60FD5ABF"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租赁方面，根据</w:t>
      </w:r>
      <w:proofErr w:type="gramStart"/>
      <w:r>
        <w:rPr>
          <w:rFonts w:ascii="Arial" w:hAnsi="Arial" w:hint="eastAsia"/>
          <w:color w:val="000000"/>
          <w:sz w:val="21"/>
        </w:rPr>
        <w:t>世邦</w:t>
      </w:r>
      <w:proofErr w:type="gramEnd"/>
      <w:r>
        <w:rPr>
          <w:rFonts w:ascii="Arial" w:hAnsi="Arial" w:hint="eastAsia"/>
          <w:color w:val="000000"/>
          <w:sz w:val="21"/>
        </w:rPr>
        <w:t>魏理仕数据，</w:t>
      </w:r>
      <w:r>
        <w:rPr>
          <w:rFonts w:ascii="Arial" w:hAnsi="Arial"/>
          <w:color w:val="000000"/>
          <w:sz w:val="21"/>
        </w:rPr>
        <w:t>2025</w:t>
      </w:r>
      <w:r>
        <w:rPr>
          <w:rFonts w:ascii="Arial" w:hAnsi="Arial"/>
          <w:color w:val="000000"/>
          <w:sz w:val="21"/>
        </w:rPr>
        <w:t>年北京市商业办公用房租赁市场整体呈现</w:t>
      </w:r>
      <w:r>
        <w:rPr>
          <w:rFonts w:ascii="Arial" w:hAnsi="Arial" w:hint="eastAsia"/>
          <w:color w:val="000000"/>
          <w:sz w:val="21"/>
        </w:rPr>
        <w:t>“</w:t>
      </w:r>
      <w:r>
        <w:rPr>
          <w:rFonts w:ascii="Arial" w:hAnsi="Arial"/>
          <w:color w:val="000000"/>
          <w:sz w:val="21"/>
        </w:rPr>
        <w:t>存量深度调整，市场加速分化</w:t>
      </w:r>
      <w:r>
        <w:rPr>
          <w:rFonts w:ascii="Arial" w:hAnsi="Arial" w:hint="eastAsia"/>
          <w:color w:val="000000"/>
          <w:sz w:val="21"/>
        </w:rPr>
        <w:t>”</w:t>
      </w:r>
      <w:r>
        <w:rPr>
          <w:rFonts w:ascii="Arial" w:hAnsi="Arial"/>
          <w:color w:val="000000"/>
          <w:sz w:val="21"/>
        </w:rPr>
        <w:t> </w:t>
      </w:r>
      <w:r>
        <w:rPr>
          <w:rFonts w:ascii="Arial" w:hAnsi="Arial"/>
          <w:color w:val="000000"/>
          <w:sz w:val="21"/>
        </w:rPr>
        <w:t>的显著特征。办公楼市场新增供应创下自</w:t>
      </w:r>
      <w:r>
        <w:rPr>
          <w:rFonts w:ascii="Arial" w:hAnsi="Arial"/>
          <w:color w:val="000000"/>
          <w:sz w:val="21"/>
        </w:rPr>
        <w:t>2015</w:t>
      </w:r>
      <w:r>
        <w:rPr>
          <w:rFonts w:ascii="Arial" w:hAnsi="Arial"/>
          <w:color w:val="000000"/>
          <w:sz w:val="21"/>
        </w:rPr>
        <w:t>年以来的历史新低，全年仅</w:t>
      </w:r>
      <w:r>
        <w:rPr>
          <w:rFonts w:ascii="Arial" w:hAnsi="Arial" w:hint="eastAsia"/>
          <w:color w:val="000000"/>
          <w:sz w:val="21"/>
        </w:rPr>
        <w:t>新供应</w:t>
      </w:r>
      <w:r>
        <w:rPr>
          <w:rFonts w:ascii="Arial" w:hAnsi="Arial"/>
          <w:color w:val="000000"/>
          <w:sz w:val="21"/>
        </w:rPr>
        <w:t>18</w:t>
      </w:r>
      <w:r>
        <w:rPr>
          <w:rFonts w:ascii="Arial" w:hAnsi="Arial"/>
          <w:color w:val="000000"/>
          <w:sz w:val="21"/>
        </w:rPr>
        <w:lastRenderedPageBreak/>
        <w:t>万平方米，供应的极度紧缩为市场去化创造了客观条件。全年净吸纳量达</w:t>
      </w:r>
      <w:r>
        <w:rPr>
          <w:rFonts w:ascii="Arial" w:hAnsi="Arial"/>
          <w:color w:val="000000"/>
          <w:sz w:val="21"/>
        </w:rPr>
        <w:t>43.8</w:t>
      </w:r>
      <w:r>
        <w:rPr>
          <w:rFonts w:ascii="Arial" w:hAnsi="Arial"/>
          <w:color w:val="000000"/>
          <w:sz w:val="21"/>
        </w:rPr>
        <w:t>万平方米，推动整体空置率连续四个季度下降至</w:t>
      </w:r>
      <w:r>
        <w:rPr>
          <w:rFonts w:ascii="Arial" w:hAnsi="Arial"/>
          <w:color w:val="000000"/>
          <w:sz w:val="21"/>
        </w:rPr>
        <w:t>19.1%</w:t>
      </w:r>
      <w:r>
        <w:rPr>
          <w:rFonts w:ascii="Arial" w:hAnsi="Arial"/>
          <w:color w:val="000000"/>
          <w:sz w:val="21"/>
        </w:rPr>
        <w:t>。然而，市场需求结构发生深刻变化：</w:t>
      </w:r>
      <w:r>
        <w:rPr>
          <w:rFonts w:ascii="Arial" w:hAnsi="Arial"/>
          <w:color w:val="000000"/>
          <w:sz w:val="21"/>
        </w:rPr>
        <w:t>TMT</w:t>
      </w:r>
      <w:r>
        <w:rPr>
          <w:rFonts w:ascii="Arial" w:hAnsi="Arial"/>
          <w:color w:val="000000"/>
          <w:sz w:val="21"/>
        </w:rPr>
        <w:t>行业（占</w:t>
      </w:r>
      <w:r>
        <w:rPr>
          <w:rFonts w:ascii="Arial" w:hAnsi="Arial"/>
          <w:color w:val="000000"/>
          <w:sz w:val="21"/>
        </w:rPr>
        <w:t>36%</w:t>
      </w:r>
      <w:r>
        <w:rPr>
          <w:rFonts w:ascii="Arial" w:hAnsi="Arial"/>
          <w:color w:val="000000"/>
          <w:sz w:val="21"/>
        </w:rPr>
        <w:t>）仍是核心引擎，以算力、人工智能为首的细分领域保持活跃；金融业（占</w:t>
      </w:r>
      <w:r>
        <w:rPr>
          <w:rFonts w:ascii="Arial" w:hAnsi="Arial"/>
          <w:color w:val="000000"/>
          <w:sz w:val="21"/>
        </w:rPr>
        <w:t>21%</w:t>
      </w:r>
      <w:r>
        <w:rPr>
          <w:rFonts w:ascii="Arial" w:hAnsi="Arial"/>
          <w:color w:val="000000"/>
          <w:sz w:val="21"/>
        </w:rPr>
        <w:t>）需求恢复缓慢且以小面积为主；专业服务业（占</w:t>
      </w:r>
      <w:r>
        <w:rPr>
          <w:rFonts w:ascii="Arial" w:hAnsi="Arial"/>
          <w:color w:val="000000"/>
          <w:sz w:val="21"/>
        </w:rPr>
        <w:t>8%</w:t>
      </w:r>
      <w:r>
        <w:rPr>
          <w:rFonts w:ascii="Arial" w:hAnsi="Arial"/>
          <w:color w:val="000000"/>
          <w:sz w:val="21"/>
        </w:rPr>
        <w:t>）需求稳定。从区域看，需求高度集中于</w:t>
      </w:r>
      <w:r>
        <w:rPr>
          <w:rFonts w:ascii="Arial" w:hAnsi="Arial"/>
          <w:color w:val="000000"/>
          <w:sz w:val="21"/>
        </w:rPr>
        <w:t>CBD</w:t>
      </w:r>
      <w:r>
        <w:rPr>
          <w:rFonts w:ascii="Arial" w:hAnsi="Arial"/>
          <w:color w:val="000000"/>
          <w:sz w:val="21"/>
        </w:rPr>
        <w:t>（</w:t>
      </w:r>
      <w:r>
        <w:rPr>
          <w:rFonts w:ascii="Arial" w:hAnsi="Arial"/>
          <w:color w:val="000000"/>
          <w:sz w:val="21"/>
        </w:rPr>
        <w:t>24%</w:t>
      </w:r>
      <w:r>
        <w:rPr>
          <w:rFonts w:ascii="Arial" w:hAnsi="Arial"/>
          <w:color w:val="000000"/>
          <w:sz w:val="21"/>
        </w:rPr>
        <w:t>）、中关村（</w:t>
      </w:r>
      <w:r>
        <w:rPr>
          <w:rFonts w:ascii="Arial" w:hAnsi="Arial"/>
          <w:color w:val="000000"/>
          <w:sz w:val="21"/>
        </w:rPr>
        <w:t>17%</w:t>
      </w:r>
      <w:r>
        <w:rPr>
          <w:rFonts w:ascii="Arial" w:hAnsi="Arial"/>
          <w:color w:val="000000"/>
          <w:sz w:val="21"/>
        </w:rPr>
        <w:t>）和望京（</w:t>
      </w:r>
      <w:r>
        <w:rPr>
          <w:rFonts w:ascii="Arial" w:hAnsi="Arial"/>
          <w:color w:val="000000"/>
          <w:sz w:val="21"/>
        </w:rPr>
        <w:t>13%</w:t>
      </w:r>
      <w:r>
        <w:rPr>
          <w:rFonts w:ascii="Arial" w:hAnsi="Arial"/>
          <w:color w:val="000000"/>
          <w:sz w:val="21"/>
        </w:rPr>
        <w:t>）；而</w:t>
      </w:r>
      <w:r>
        <w:rPr>
          <w:rFonts w:ascii="Arial" w:hAnsi="Arial"/>
          <w:color w:val="000000"/>
          <w:sz w:val="21"/>
        </w:rPr>
        <w:t>CBD</w:t>
      </w:r>
      <w:r>
        <w:rPr>
          <w:rFonts w:ascii="Arial" w:hAnsi="Arial"/>
          <w:color w:val="000000"/>
          <w:sz w:val="21"/>
        </w:rPr>
        <w:t>、金融街等传统区域则因金融业整合退租，去</w:t>
      </w:r>
      <w:proofErr w:type="gramStart"/>
      <w:r>
        <w:rPr>
          <w:rFonts w:ascii="Arial" w:hAnsi="Arial"/>
          <w:color w:val="000000"/>
          <w:sz w:val="21"/>
        </w:rPr>
        <w:t>化压力</w:t>
      </w:r>
      <w:proofErr w:type="gramEnd"/>
      <w:r>
        <w:rPr>
          <w:rFonts w:ascii="Arial" w:hAnsi="Arial"/>
          <w:color w:val="000000"/>
          <w:sz w:val="21"/>
        </w:rPr>
        <w:t>严峻。全年租金面价在激烈的价格竞争下累计下跌</w:t>
      </w:r>
      <w:r>
        <w:rPr>
          <w:rFonts w:ascii="Arial" w:hAnsi="Arial"/>
          <w:color w:val="000000"/>
          <w:sz w:val="21"/>
        </w:rPr>
        <w:t>10.7%</w:t>
      </w:r>
      <w:r>
        <w:rPr>
          <w:rFonts w:ascii="Arial" w:hAnsi="Arial"/>
          <w:color w:val="000000"/>
          <w:sz w:val="21"/>
        </w:rPr>
        <w:t>，至</w:t>
      </w:r>
      <w:r>
        <w:rPr>
          <w:rFonts w:ascii="Arial" w:hAnsi="Arial"/>
          <w:color w:val="000000"/>
          <w:sz w:val="21"/>
        </w:rPr>
        <w:t>228.5</w:t>
      </w:r>
      <w:r>
        <w:rPr>
          <w:rFonts w:ascii="Arial" w:hAnsi="Arial"/>
          <w:color w:val="000000"/>
          <w:sz w:val="21"/>
        </w:rPr>
        <w:t>元</w:t>
      </w:r>
      <w:r>
        <w:rPr>
          <w:rFonts w:ascii="Arial" w:hAnsi="Arial" w:hint="eastAsia"/>
          <w:color w:val="000000"/>
          <w:sz w:val="21"/>
        </w:rPr>
        <w:t>/</w:t>
      </w:r>
      <w:r>
        <w:rPr>
          <w:rFonts w:ascii="Arial" w:hAnsi="Arial" w:hint="eastAsia"/>
          <w:color w:val="000000"/>
          <w:sz w:val="21"/>
        </w:rPr>
        <w:t>平方米·月</w:t>
      </w:r>
      <w:r>
        <w:rPr>
          <w:rFonts w:ascii="Arial" w:hAnsi="Arial"/>
          <w:color w:val="000000"/>
          <w:sz w:val="21"/>
        </w:rPr>
        <w:t>，金融街跌幅居前，</w:t>
      </w:r>
      <w:proofErr w:type="gramStart"/>
      <w:r>
        <w:rPr>
          <w:rFonts w:ascii="Arial" w:hAnsi="Arial"/>
          <w:color w:val="000000"/>
          <w:sz w:val="21"/>
        </w:rPr>
        <w:t>甲级与</w:t>
      </w:r>
      <w:proofErr w:type="gramEnd"/>
      <w:r>
        <w:rPr>
          <w:rFonts w:ascii="Arial" w:hAnsi="Arial"/>
          <w:color w:val="000000"/>
          <w:sz w:val="21"/>
        </w:rPr>
        <w:t>乙级、老旧项目</w:t>
      </w:r>
      <w:r>
        <w:rPr>
          <w:rFonts w:ascii="Arial" w:hAnsi="Arial" w:hint="eastAsia"/>
          <w:color w:val="000000"/>
          <w:sz w:val="21"/>
        </w:rPr>
        <w:t>之间</w:t>
      </w:r>
      <w:r>
        <w:rPr>
          <w:rFonts w:ascii="Arial" w:hAnsi="Arial"/>
          <w:color w:val="000000"/>
          <w:sz w:val="21"/>
        </w:rPr>
        <w:t>的租金表现分化加剧。</w:t>
      </w:r>
    </w:p>
    <w:p w14:paraId="728F2AEC" w14:textId="77777777" w:rsidR="00000000" w:rsidRDefault="00000000">
      <w:pPr>
        <w:overflowPunct w:val="0"/>
        <w:spacing w:line="480" w:lineRule="auto"/>
        <w:ind w:firstLine="420"/>
        <w:jc w:val="both"/>
        <w:textAlignment w:val="auto"/>
        <w:rPr>
          <w:rFonts w:ascii="Arial" w:hAnsi="Arial" w:hint="eastAsia"/>
          <w:color w:val="000000"/>
          <w:sz w:val="21"/>
        </w:rPr>
      </w:pPr>
      <w:r>
        <w:rPr>
          <w:rFonts w:ascii="Arial" w:hAnsi="Arial"/>
          <w:color w:val="000000"/>
          <w:sz w:val="21"/>
        </w:rPr>
        <w:t>与此同时，零售物业市场则以</w:t>
      </w:r>
      <w:r>
        <w:rPr>
          <w:rFonts w:ascii="Arial" w:hAnsi="Arial"/>
          <w:color w:val="000000"/>
          <w:sz w:val="21"/>
        </w:rPr>
        <w:t> </w:t>
      </w:r>
      <w:r>
        <w:rPr>
          <w:rFonts w:ascii="Arial" w:hAnsi="Arial"/>
          <w:color w:val="000000"/>
          <w:sz w:val="21"/>
        </w:rPr>
        <w:t>城市更新为主线，全年</w:t>
      </w:r>
      <w:r>
        <w:rPr>
          <w:rFonts w:ascii="Arial" w:hAnsi="Arial"/>
          <w:color w:val="000000"/>
          <w:sz w:val="21"/>
        </w:rPr>
        <w:t>53.4</w:t>
      </w:r>
      <w:r>
        <w:rPr>
          <w:rFonts w:ascii="Arial" w:hAnsi="Arial"/>
          <w:color w:val="000000"/>
          <w:sz w:val="21"/>
        </w:rPr>
        <w:t>万平方米的新增供应全部来自改造项目，如中关村</w:t>
      </w:r>
      <w:proofErr w:type="gramStart"/>
      <w:r>
        <w:rPr>
          <w:rFonts w:ascii="Arial" w:hAnsi="Arial"/>
          <w:color w:val="000000"/>
          <w:sz w:val="21"/>
        </w:rPr>
        <w:t>大融城</w:t>
      </w:r>
      <w:proofErr w:type="gramEnd"/>
      <w:r>
        <w:rPr>
          <w:rFonts w:ascii="Arial" w:hAnsi="Arial"/>
          <w:color w:val="000000"/>
          <w:sz w:val="21"/>
        </w:rPr>
        <w:t>与隆福寺二期。</w:t>
      </w:r>
      <w:proofErr w:type="gramStart"/>
      <w:r>
        <w:rPr>
          <w:rFonts w:ascii="Arial" w:hAnsi="Arial"/>
          <w:color w:val="000000"/>
          <w:sz w:val="21"/>
        </w:rPr>
        <w:t>在社消总额</w:t>
      </w:r>
      <w:proofErr w:type="gramEnd"/>
      <w:r>
        <w:rPr>
          <w:rFonts w:ascii="Arial" w:hAnsi="Arial"/>
          <w:color w:val="000000"/>
          <w:sz w:val="21"/>
        </w:rPr>
        <w:t>同比下降的背景下，市场业</w:t>
      </w:r>
      <w:proofErr w:type="gramStart"/>
      <w:r>
        <w:rPr>
          <w:rFonts w:ascii="Arial" w:hAnsi="Arial"/>
          <w:color w:val="000000"/>
          <w:sz w:val="21"/>
        </w:rPr>
        <w:t>态持续</w:t>
      </w:r>
      <w:proofErr w:type="gramEnd"/>
      <w:r>
        <w:rPr>
          <w:rFonts w:ascii="Arial" w:hAnsi="Arial"/>
          <w:color w:val="000000"/>
          <w:sz w:val="21"/>
        </w:rPr>
        <w:t>迭代：餐饮（占</w:t>
      </w:r>
      <w:r>
        <w:rPr>
          <w:rFonts w:ascii="Arial" w:hAnsi="Arial"/>
          <w:color w:val="000000"/>
          <w:sz w:val="21"/>
        </w:rPr>
        <w:t>44%</w:t>
      </w:r>
      <w:r>
        <w:rPr>
          <w:rFonts w:ascii="Arial" w:hAnsi="Arial"/>
          <w:color w:val="000000"/>
          <w:sz w:val="21"/>
        </w:rPr>
        <w:t>）</w:t>
      </w:r>
      <w:r>
        <w:rPr>
          <w:rFonts w:ascii="Arial" w:hAnsi="Arial" w:hint="eastAsia"/>
          <w:color w:val="000000"/>
          <w:sz w:val="21"/>
        </w:rPr>
        <w:t>中</w:t>
      </w:r>
      <w:r>
        <w:rPr>
          <w:rFonts w:ascii="Arial" w:hAnsi="Arial"/>
          <w:color w:val="000000"/>
          <w:sz w:val="21"/>
        </w:rPr>
        <w:t>地方特色</w:t>
      </w:r>
      <w:r>
        <w:rPr>
          <w:rFonts w:ascii="Arial" w:hAnsi="Arial" w:hint="eastAsia"/>
          <w:color w:val="000000"/>
          <w:sz w:val="21"/>
        </w:rPr>
        <w:t>餐饮与茶饮烘焙表现突出；服饰鞋包（占</w:t>
      </w:r>
      <w:r>
        <w:rPr>
          <w:rFonts w:ascii="Arial" w:hAnsi="Arial"/>
          <w:color w:val="000000"/>
          <w:sz w:val="21"/>
        </w:rPr>
        <w:t>33%</w:t>
      </w:r>
      <w:r>
        <w:rPr>
          <w:rFonts w:ascii="Arial" w:hAnsi="Arial"/>
          <w:color w:val="000000"/>
          <w:sz w:val="21"/>
        </w:rPr>
        <w:t>）中本土设计品牌占比提升；生活方式类业态（占</w:t>
      </w:r>
      <w:r>
        <w:rPr>
          <w:rFonts w:ascii="Arial" w:hAnsi="Arial"/>
          <w:color w:val="000000"/>
          <w:sz w:val="21"/>
        </w:rPr>
        <w:t>7%</w:t>
      </w:r>
      <w:r>
        <w:rPr>
          <w:rFonts w:ascii="Arial" w:hAnsi="Arial"/>
          <w:color w:val="000000"/>
          <w:sz w:val="21"/>
        </w:rPr>
        <w:t>）扩张明显，成为非核心商圈引流关键。通过业主积极的租金让步与业态调改策略，全年净吸纳量达</w:t>
      </w:r>
      <w:r>
        <w:rPr>
          <w:rFonts w:ascii="Arial" w:hAnsi="Arial"/>
          <w:color w:val="000000"/>
          <w:sz w:val="21"/>
        </w:rPr>
        <w:t>42.6</w:t>
      </w:r>
      <w:r>
        <w:rPr>
          <w:rFonts w:ascii="Arial" w:hAnsi="Arial"/>
          <w:color w:val="000000"/>
          <w:sz w:val="21"/>
        </w:rPr>
        <w:t>万平方米，推动空置率在年末回落至</w:t>
      </w:r>
      <w:r>
        <w:rPr>
          <w:rFonts w:ascii="Arial" w:hAnsi="Arial"/>
          <w:color w:val="000000"/>
          <w:sz w:val="21"/>
        </w:rPr>
        <w:t>7.4%</w:t>
      </w:r>
      <w:r>
        <w:rPr>
          <w:rFonts w:ascii="Arial" w:hAnsi="Arial"/>
          <w:color w:val="000000"/>
          <w:sz w:val="21"/>
        </w:rPr>
        <w:t>。然而，全市首层平均租金报价仍累计下跌</w:t>
      </w:r>
      <w:r>
        <w:rPr>
          <w:rFonts w:ascii="Arial" w:hAnsi="Arial"/>
          <w:color w:val="000000"/>
          <w:sz w:val="21"/>
        </w:rPr>
        <w:t>2.4%</w:t>
      </w:r>
      <w:r>
        <w:rPr>
          <w:rFonts w:ascii="Arial" w:hAnsi="Arial"/>
          <w:color w:val="000000"/>
          <w:sz w:val="21"/>
        </w:rPr>
        <w:t>，至</w:t>
      </w:r>
      <w:r>
        <w:rPr>
          <w:rFonts w:ascii="Arial" w:hAnsi="Arial"/>
          <w:color w:val="000000"/>
          <w:sz w:val="21"/>
        </w:rPr>
        <w:t>30.0</w:t>
      </w:r>
      <w:r>
        <w:rPr>
          <w:rFonts w:ascii="Arial" w:hAnsi="Arial"/>
          <w:color w:val="000000"/>
          <w:sz w:val="21"/>
        </w:rPr>
        <w:t>元</w:t>
      </w:r>
      <w:r>
        <w:rPr>
          <w:rFonts w:ascii="Arial" w:hAnsi="Arial" w:hint="eastAsia"/>
          <w:color w:val="000000"/>
          <w:sz w:val="21"/>
        </w:rPr>
        <w:t>/</w:t>
      </w:r>
      <w:r>
        <w:rPr>
          <w:rFonts w:ascii="Arial" w:hAnsi="Arial" w:hint="eastAsia"/>
          <w:color w:val="000000"/>
          <w:sz w:val="21"/>
        </w:rPr>
        <w:t>平方米·月</w:t>
      </w:r>
      <w:r>
        <w:rPr>
          <w:rFonts w:ascii="Arial" w:hAnsi="Arial"/>
          <w:color w:val="000000"/>
          <w:sz w:val="21"/>
        </w:rPr>
        <w:t>，次级商圈租金承压尤为突出，市场分化显著。</w:t>
      </w:r>
    </w:p>
    <w:p w14:paraId="796EA242" w14:textId="77777777" w:rsidR="00000000" w:rsidRDefault="00000000">
      <w:pPr>
        <w:widowControl/>
        <w:overflowPunct w:val="0"/>
        <w:spacing w:line="360" w:lineRule="auto"/>
        <w:rPr>
          <w:rFonts w:ascii="Arial" w:hAnsi="Arial"/>
          <w:bCs/>
          <w:sz w:val="21"/>
          <w:szCs w:val="28"/>
        </w:rPr>
      </w:pPr>
      <w:r>
        <w:rPr>
          <w:rFonts w:ascii="Arial" w:hAnsi="Arial" w:hint="eastAsia"/>
          <w:bCs/>
          <w:sz w:val="21"/>
          <w:szCs w:val="28"/>
        </w:rPr>
        <w:t>5.</w:t>
      </w:r>
      <w:r>
        <w:rPr>
          <w:rFonts w:ascii="Arial" w:hAnsi="Arial" w:hint="eastAsia"/>
          <w:bCs/>
          <w:sz w:val="21"/>
          <w:szCs w:val="28"/>
        </w:rPr>
        <w:t>产业</w:t>
      </w:r>
      <w:r>
        <w:rPr>
          <w:rFonts w:ascii="Arial" w:hAnsi="Arial" w:hint="eastAsia"/>
          <w:color w:val="000000"/>
          <w:sz w:val="21"/>
          <w:szCs w:val="21"/>
        </w:rPr>
        <w:t>政策</w:t>
      </w:r>
      <w:r>
        <w:rPr>
          <w:rFonts w:ascii="Arial" w:hAnsi="Arial" w:hint="eastAsia"/>
          <w:bCs/>
          <w:sz w:val="21"/>
          <w:szCs w:val="28"/>
        </w:rPr>
        <w:t>情况</w:t>
      </w:r>
    </w:p>
    <w:p w14:paraId="2453A801" w14:textId="77777777" w:rsidR="00000000" w:rsidRDefault="00000000">
      <w:pPr>
        <w:widowControl/>
        <w:adjustRightInd/>
        <w:spacing w:line="480" w:lineRule="auto"/>
        <w:ind w:firstLineChars="200" w:firstLine="420"/>
        <w:jc w:val="both"/>
        <w:rPr>
          <w:rFonts w:ascii="Arial" w:hAnsi="Arial" w:hint="eastAsia"/>
          <w:bCs/>
          <w:sz w:val="21"/>
          <w:szCs w:val="28"/>
        </w:rPr>
      </w:pPr>
      <w:r>
        <w:rPr>
          <w:rFonts w:ascii="Arial" w:hAnsi="Arial" w:hint="eastAsia"/>
          <w:bCs/>
          <w:sz w:val="21"/>
          <w:szCs w:val="28"/>
        </w:rPr>
        <w:t>（</w:t>
      </w:r>
      <w:r>
        <w:rPr>
          <w:rFonts w:ascii="Arial" w:hAnsi="Arial" w:hint="eastAsia"/>
          <w:bCs/>
          <w:sz w:val="21"/>
          <w:szCs w:val="28"/>
        </w:rPr>
        <w:t>1</w:t>
      </w:r>
      <w:r>
        <w:rPr>
          <w:rFonts w:ascii="Arial" w:hAnsi="Arial" w:hint="eastAsia"/>
          <w:bCs/>
          <w:sz w:val="21"/>
          <w:szCs w:val="28"/>
        </w:rPr>
        <w:t>）全国政策</w:t>
      </w:r>
    </w:p>
    <w:p w14:paraId="3860E2BD" w14:textId="77777777" w:rsidR="00000000" w:rsidRDefault="00000000">
      <w:pPr>
        <w:widowControl/>
        <w:adjustRightInd/>
        <w:spacing w:line="480" w:lineRule="auto"/>
        <w:ind w:firstLineChars="200" w:firstLine="420"/>
        <w:jc w:val="both"/>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77E74539" w14:textId="77777777" w:rsidR="00000000" w:rsidRDefault="00000000">
      <w:pPr>
        <w:widowControl/>
        <w:adjustRightInd/>
        <w:spacing w:line="480" w:lineRule="auto"/>
        <w:ind w:firstLineChars="200" w:firstLine="420"/>
        <w:jc w:val="both"/>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olor w:val="000000"/>
          <w:sz w:val="21"/>
        </w:rPr>
        <w:t>适时降准降息</w:t>
      </w:r>
      <w:proofErr w:type="gramEnd"/>
      <w:r>
        <w:rPr>
          <w:rFonts w:ascii="Arial" w:hAnsi="Arial"/>
          <w:color w:val="000000"/>
          <w:sz w:val="21"/>
        </w:rPr>
        <w:t>，保持流动性充裕。会议指出，要持续用力</w:t>
      </w:r>
      <w:r>
        <w:rPr>
          <w:rFonts w:ascii="Arial" w:hAnsi="Arial"/>
          <w:color w:val="000000"/>
          <w:sz w:val="21"/>
        </w:rPr>
        <w:lastRenderedPageBreak/>
        <w:t>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模式，加大高品质住房供给，优化存量商品房收购政策，持续巩固房地产市场稳定态势。</w:t>
      </w:r>
    </w:p>
    <w:p w14:paraId="7E57905E" w14:textId="77777777" w:rsidR="00000000" w:rsidRDefault="00000000">
      <w:pPr>
        <w:widowControl/>
        <w:adjustRightInd/>
        <w:spacing w:line="480" w:lineRule="auto"/>
        <w:ind w:firstLineChars="200" w:firstLine="420"/>
        <w:jc w:val="both"/>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004A5F50" w14:textId="77777777" w:rsidR="00000000" w:rsidRDefault="00000000">
      <w:pPr>
        <w:widowControl/>
        <w:adjustRightInd/>
        <w:spacing w:line="480" w:lineRule="auto"/>
        <w:ind w:firstLineChars="200" w:firstLine="420"/>
        <w:jc w:val="both"/>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14:paraId="40372899" w14:textId="77777777" w:rsidR="00000000" w:rsidRDefault="00000000">
      <w:pPr>
        <w:widowControl/>
        <w:adjustRightInd/>
        <w:spacing w:line="480" w:lineRule="auto"/>
        <w:ind w:firstLineChars="200" w:firstLine="420"/>
        <w:jc w:val="both"/>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59" w:name="OLE_LINK7"/>
      <w:r>
        <w:rPr>
          <w:rFonts w:ascii="Arial" w:hAnsi="Arial"/>
          <w:color w:val="000000"/>
          <w:sz w:val="21"/>
        </w:rPr>
        <w:t>中央城市工作会议</w:t>
      </w:r>
      <w:bookmarkEnd w:id="59"/>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14:paraId="1F1D59B1" w14:textId="77777777" w:rsidR="00000000" w:rsidRDefault="00000000">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2025</w:t>
      </w:r>
      <w:r>
        <w:rPr>
          <w:rFonts w:ascii="Arial" w:hAnsi="Arial" w:hint="eastAsia"/>
          <w:bCs/>
          <w:sz w:val="21"/>
          <w:szCs w:val="28"/>
        </w:rPr>
        <w:t>年</w:t>
      </w:r>
      <w:r>
        <w:rPr>
          <w:rFonts w:ascii="Arial" w:hAnsi="Arial" w:hint="eastAsia"/>
          <w:bCs/>
          <w:sz w:val="21"/>
          <w:szCs w:val="28"/>
        </w:rPr>
        <w:t>8</w:t>
      </w:r>
      <w:r>
        <w:rPr>
          <w:rFonts w:ascii="Arial" w:hAnsi="Arial" w:hint="eastAsia"/>
          <w:bCs/>
          <w:sz w:val="21"/>
          <w:szCs w:val="28"/>
        </w:rPr>
        <w:t>月</w:t>
      </w:r>
      <w:r>
        <w:rPr>
          <w:rFonts w:ascii="Arial" w:hAnsi="Arial" w:hint="eastAsia"/>
          <w:bCs/>
          <w:sz w:val="21"/>
          <w:szCs w:val="28"/>
        </w:rPr>
        <w:t>28</w:t>
      </w:r>
      <w:r>
        <w:rPr>
          <w:rFonts w:ascii="Arial" w:hAnsi="Arial" w:hint="eastAsia"/>
          <w:bCs/>
          <w:sz w:val="21"/>
          <w:szCs w:val="28"/>
        </w:rPr>
        <w:t>日，《中共中央</w:t>
      </w:r>
      <w:r>
        <w:rPr>
          <w:rFonts w:ascii="Arial" w:hAnsi="Arial" w:hint="eastAsia"/>
          <w:bCs/>
          <w:sz w:val="21"/>
          <w:szCs w:val="28"/>
        </w:rPr>
        <w:t xml:space="preserve"> </w:t>
      </w:r>
      <w:r>
        <w:rPr>
          <w:rFonts w:ascii="Arial" w:hAnsi="Arial" w:hint="eastAsia"/>
          <w:bCs/>
          <w:sz w:val="21"/>
          <w:szCs w:val="28"/>
        </w:rPr>
        <w:t>国务院关于推动城市高质量发展的意见》公开发布，</w:t>
      </w:r>
      <w:r>
        <w:rPr>
          <w:rFonts w:ascii="Arial" w:hAnsi="Arial"/>
          <w:bCs/>
          <w:sz w:val="21"/>
          <w:szCs w:val="28"/>
        </w:rPr>
        <w:t>在城市发展正从大规模增量扩张阶段转向存量提质增效为主的阶段，为加快城市发展方式转型提出二十三条指导意见。其中，</w:t>
      </w:r>
      <w:r>
        <w:rPr>
          <w:rFonts w:ascii="Arial" w:hAnsi="Arial"/>
          <w:bCs/>
          <w:sz w:val="21"/>
          <w:szCs w:val="28"/>
        </w:rPr>
        <w:t xml:space="preserve"> </w:t>
      </w:r>
      <w:r>
        <w:rPr>
          <w:rFonts w:ascii="Arial" w:hAnsi="Arial"/>
          <w:bCs/>
          <w:sz w:val="21"/>
          <w:szCs w:val="28"/>
        </w:rPr>
        <w:t>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w:t>
      </w:r>
      <w:r>
        <w:rPr>
          <w:rFonts w:ascii="Arial" w:hAnsi="Arial"/>
          <w:bCs/>
          <w:sz w:val="21"/>
          <w:szCs w:val="28"/>
        </w:rPr>
        <w:t>“</w:t>
      </w:r>
      <w:r>
        <w:rPr>
          <w:rFonts w:ascii="Arial" w:hAnsi="Arial"/>
          <w:bCs/>
          <w:sz w:val="21"/>
          <w:szCs w:val="28"/>
        </w:rPr>
        <w:t>好房子</w:t>
      </w:r>
      <w:r>
        <w:rPr>
          <w:rFonts w:ascii="Arial" w:hAnsi="Arial"/>
          <w:bCs/>
          <w:sz w:val="21"/>
          <w:szCs w:val="28"/>
        </w:rPr>
        <w:t>”</w:t>
      </w:r>
      <w:r>
        <w:rPr>
          <w:rFonts w:ascii="Arial" w:hAnsi="Arial"/>
          <w:bCs/>
          <w:sz w:val="21"/>
          <w:szCs w:val="28"/>
        </w:rPr>
        <w:t>和完整社区建设，提出：加快</w:t>
      </w:r>
      <w:r>
        <w:rPr>
          <w:rFonts w:ascii="Arial" w:hAnsi="Arial"/>
          <w:bCs/>
          <w:sz w:val="21"/>
          <w:szCs w:val="28"/>
        </w:rPr>
        <w:lastRenderedPageBreak/>
        <w:t>构建房地产发展新模式，更好满足群众刚性和多样化改善性住房需求；全链条提升住房设计、建造、维护、服务水平，大力推进安全、舒适、绿色、智慧的</w:t>
      </w:r>
      <w:r>
        <w:rPr>
          <w:rFonts w:ascii="Arial" w:hAnsi="Arial"/>
          <w:bCs/>
          <w:sz w:val="21"/>
          <w:szCs w:val="28"/>
        </w:rPr>
        <w:t>“</w:t>
      </w:r>
      <w:r>
        <w:rPr>
          <w:rFonts w:ascii="Arial" w:hAnsi="Arial"/>
          <w:bCs/>
          <w:sz w:val="21"/>
          <w:szCs w:val="28"/>
        </w:rPr>
        <w:t>好房子</w:t>
      </w:r>
      <w:r>
        <w:rPr>
          <w:rFonts w:ascii="Arial" w:hAnsi="Arial"/>
          <w:bCs/>
          <w:sz w:val="21"/>
          <w:szCs w:val="28"/>
        </w:rPr>
        <w:t>”</w:t>
      </w:r>
      <w:r>
        <w:rPr>
          <w:rFonts w:ascii="Arial" w:hAnsi="Arial"/>
          <w:bCs/>
          <w:sz w:val="21"/>
          <w:szCs w:val="28"/>
        </w:rPr>
        <w:t>建设；实施物业服务质量提升行动；稳步推进城中村和危旧房改造，支持老旧住房自主更新、</w:t>
      </w:r>
      <w:proofErr w:type="gramStart"/>
      <w:r>
        <w:rPr>
          <w:rFonts w:ascii="Arial" w:hAnsi="Arial"/>
          <w:bCs/>
          <w:sz w:val="21"/>
          <w:szCs w:val="28"/>
        </w:rPr>
        <w:t>原拆原建</w:t>
      </w:r>
      <w:proofErr w:type="gramEnd"/>
      <w:r>
        <w:rPr>
          <w:rFonts w:ascii="Arial" w:hAnsi="Arial"/>
          <w:bCs/>
          <w:sz w:val="21"/>
          <w:szCs w:val="28"/>
        </w:rPr>
        <w:t>；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w:t>
      </w:r>
      <w:proofErr w:type="gramStart"/>
      <w:r>
        <w:rPr>
          <w:rFonts w:ascii="Arial" w:hAnsi="Arial"/>
          <w:bCs/>
          <w:sz w:val="21"/>
          <w:szCs w:val="28"/>
        </w:rPr>
        <w:t>产城融合</w:t>
      </w:r>
      <w:proofErr w:type="gramEnd"/>
      <w:r>
        <w:rPr>
          <w:rFonts w:ascii="Arial" w:hAnsi="Arial"/>
          <w:bCs/>
          <w:sz w:val="21"/>
          <w:szCs w:val="28"/>
        </w:rPr>
        <w:t>、</w:t>
      </w:r>
      <w:proofErr w:type="gramStart"/>
      <w:r>
        <w:rPr>
          <w:rFonts w:ascii="Arial" w:hAnsi="Arial"/>
          <w:bCs/>
          <w:sz w:val="21"/>
          <w:szCs w:val="28"/>
        </w:rPr>
        <w:t>职住平</w:t>
      </w:r>
      <w:proofErr w:type="gramEnd"/>
      <w:r>
        <w:rPr>
          <w:rFonts w:ascii="Arial" w:hAnsi="Arial"/>
          <w:bCs/>
          <w:sz w:val="21"/>
          <w:szCs w:val="28"/>
        </w:rPr>
        <w:t xml:space="preserve"> </w:t>
      </w:r>
      <w:r>
        <w:rPr>
          <w:rFonts w:ascii="Arial" w:hAnsi="Arial"/>
          <w:bCs/>
          <w:sz w:val="21"/>
          <w:szCs w:val="28"/>
        </w:rPr>
        <w:t>衡。</w:t>
      </w:r>
    </w:p>
    <w:p w14:paraId="44069093" w14:textId="77777777" w:rsidR="00000000" w:rsidRDefault="00000000">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2025</w:t>
      </w:r>
      <w:r>
        <w:rPr>
          <w:rFonts w:ascii="Arial" w:hAnsi="Arial" w:hint="eastAsia"/>
          <w:bCs/>
          <w:sz w:val="21"/>
          <w:szCs w:val="28"/>
        </w:rPr>
        <w:t>年</w:t>
      </w:r>
      <w:r>
        <w:rPr>
          <w:rFonts w:ascii="Arial" w:hAnsi="Arial"/>
          <w:bCs/>
          <w:sz w:val="21"/>
          <w:szCs w:val="28"/>
        </w:rPr>
        <w:t>9</w:t>
      </w:r>
      <w:r>
        <w:rPr>
          <w:rFonts w:ascii="Arial" w:hAnsi="Arial"/>
          <w:bCs/>
          <w:sz w:val="21"/>
          <w:szCs w:val="28"/>
        </w:rPr>
        <w:t>月</w:t>
      </w:r>
      <w:r>
        <w:rPr>
          <w:rFonts w:ascii="Arial" w:hAnsi="Arial"/>
          <w:bCs/>
          <w:sz w:val="21"/>
          <w:szCs w:val="28"/>
        </w:rPr>
        <w:t>11</w:t>
      </w:r>
      <w:r>
        <w:rPr>
          <w:rFonts w:ascii="Arial" w:hAnsi="Arial"/>
          <w:bCs/>
          <w:sz w:val="21"/>
          <w:szCs w:val="28"/>
        </w:rPr>
        <w:t>日，《国务院关于全国部分地区要素市场化配置综合改革试点实施方案的批复》发布，同意自即日起</w:t>
      </w:r>
      <w:r>
        <w:rPr>
          <w:rFonts w:ascii="Arial" w:hAnsi="Arial"/>
          <w:bCs/>
          <w:sz w:val="21"/>
          <w:szCs w:val="28"/>
        </w:rPr>
        <w:t>2</w:t>
      </w:r>
      <w:r>
        <w:rPr>
          <w:rFonts w:ascii="Arial" w:hAnsi="Arial"/>
          <w:bCs/>
          <w:sz w:val="21"/>
          <w:szCs w:val="28"/>
        </w:rPr>
        <w:t>年内开展北京城市副中心等</w:t>
      </w:r>
      <w:r>
        <w:rPr>
          <w:rFonts w:ascii="Arial" w:hAnsi="Arial"/>
          <w:bCs/>
          <w:sz w:val="21"/>
          <w:szCs w:val="28"/>
        </w:rPr>
        <w:t>10</w:t>
      </w:r>
      <w:r>
        <w:rPr>
          <w:rFonts w:ascii="Arial" w:hAnsi="Arial"/>
          <w:bCs/>
          <w:sz w:val="21"/>
          <w:szCs w:val="28"/>
        </w:rPr>
        <w:t>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4AE536DC" w14:textId="77777777" w:rsidR="00000000" w:rsidRDefault="00000000">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2025</w:t>
      </w:r>
      <w:r>
        <w:rPr>
          <w:rFonts w:ascii="Arial" w:hAnsi="Arial" w:hint="eastAsia"/>
          <w:bCs/>
          <w:sz w:val="21"/>
          <w:szCs w:val="28"/>
        </w:rPr>
        <w:t>年</w:t>
      </w:r>
      <w:r>
        <w:rPr>
          <w:rFonts w:ascii="Arial" w:hAnsi="Arial"/>
          <w:bCs/>
          <w:sz w:val="21"/>
          <w:szCs w:val="28"/>
        </w:rPr>
        <w:t>10</w:t>
      </w:r>
      <w:r>
        <w:rPr>
          <w:rFonts w:ascii="Arial" w:hAnsi="Arial"/>
          <w:bCs/>
          <w:sz w:val="21"/>
          <w:szCs w:val="28"/>
        </w:rPr>
        <w:t>月</w:t>
      </w:r>
      <w:r>
        <w:rPr>
          <w:rFonts w:ascii="Arial" w:hAnsi="Arial"/>
          <w:bCs/>
          <w:sz w:val="21"/>
          <w:szCs w:val="28"/>
        </w:rPr>
        <w:t>20</w:t>
      </w:r>
      <w:r>
        <w:rPr>
          <w:rFonts w:ascii="Arial" w:hAnsi="Arial"/>
          <w:bCs/>
          <w:sz w:val="21"/>
          <w:szCs w:val="28"/>
        </w:rPr>
        <w:t>日至</w:t>
      </w:r>
      <w:r>
        <w:rPr>
          <w:rFonts w:ascii="Arial" w:hAnsi="Arial"/>
          <w:bCs/>
          <w:sz w:val="21"/>
          <w:szCs w:val="28"/>
        </w:rPr>
        <w:t>23</w:t>
      </w:r>
      <w:r>
        <w:rPr>
          <w:rFonts w:ascii="Arial" w:hAnsi="Arial"/>
          <w:bCs/>
          <w:sz w:val="21"/>
          <w:szCs w:val="28"/>
        </w:rPr>
        <w:t>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w:t>
      </w:r>
      <w:proofErr w:type="gramStart"/>
      <w:r>
        <w:rPr>
          <w:rFonts w:ascii="Arial" w:hAnsi="Arial"/>
          <w:bCs/>
          <w:sz w:val="21"/>
          <w:szCs w:val="28"/>
        </w:rPr>
        <w:t>振消费</w:t>
      </w:r>
      <w:proofErr w:type="gramEnd"/>
      <w:r>
        <w:rPr>
          <w:rFonts w:ascii="Arial" w:hAnsi="Arial"/>
          <w:bCs/>
          <w:sz w:val="21"/>
          <w:szCs w:val="28"/>
        </w:rPr>
        <w:t>专项行动，兜牢基层</w:t>
      </w:r>
      <w:r>
        <w:rPr>
          <w:rFonts w:ascii="Arial" w:hAnsi="Arial"/>
          <w:bCs/>
          <w:sz w:val="21"/>
          <w:szCs w:val="28"/>
        </w:rPr>
        <w:t>“</w:t>
      </w:r>
      <w:r>
        <w:rPr>
          <w:rFonts w:ascii="Arial" w:hAnsi="Arial"/>
          <w:bCs/>
          <w:sz w:val="21"/>
          <w:szCs w:val="28"/>
        </w:rPr>
        <w:t>三保</w:t>
      </w:r>
      <w:r>
        <w:rPr>
          <w:rFonts w:ascii="Arial" w:hAnsi="Arial"/>
          <w:bCs/>
          <w:sz w:val="21"/>
          <w:szCs w:val="28"/>
        </w:rPr>
        <w:t>”</w:t>
      </w:r>
      <w:r>
        <w:rPr>
          <w:rFonts w:ascii="Arial" w:hAnsi="Arial"/>
          <w:bCs/>
          <w:sz w:val="21"/>
          <w:szCs w:val="28"/>
        </w:rPr>
        <w:t>底线，积极稳妥化解地方政府债务风险。明确提出要</w:t>
      </w:r>
      <w:r>
        <w:rPr>
          <w:rFonts w:ascii="Arial" w:hAnsi="Arial"/>
          <w:bCs/>
          <w:sz w:val="21"/>
          <w:szCs w:val="28"/>
        </w:rPr>
        <w:t>“</w:t>
      </w:r>
      <w:r>
        <w:rPr>
          <w:rFonts w:ascii="Arial" w:hAnsi="Arial"/>
          <w:bCs/>
          <w:sz w:val="21"/>
          <w:szCs w:val="28"/>
        </w:rPr>
        <w:t>推动房地产高质量发展</w:t>
      </w:r>
      <w:r>
        <w:rPr>
          <w:rFonts w:ascii="Arial" w:hAnsi="Arial"/>
          <w:bCs/>
          <w:sz w:val="21"/>
          <w:szCs w:val="28"/>
        </w:rPr>
        <w:t>”</w:t>
      </w:r>
      <w:r>
        <w:rPr>
          <w:rFonts w:ascii="Arial" w:hAnsi="Arial"/>
          <w:bCs/>
          <w:sz w:val="21"/>
          <w:szCs w:val="28"/>
        </w:rPr>
        <w:t>。</w:t>
      </w:r>
    </w:p>
    <w:p w14:paraId="56767F7F" w14:textId="77777777" w:rsidR="00000000" w:rsidRDefault="00000000">
      <w:pPr>
        <w:widowControl/>
        <w:adjustRightInd/>
        <w:spacing w:line="480" w:lineRule="auto"/>
        <w:ind w:firstLineChars="200" w:firstLine="420"/>
        <w:jc w:val="both"/>
        <w:rPr>
          <w:rFonts w:ascii="Arial" w:hAnsi="Arial" w:hint="eastAsia"/>
          <w:bCs/>
          <w:sz w:val="21"/>
          <w:szCs w:val="28"/>
        </w:rPr>
      </w:pPr>
      <w:r>
        <w:rPr>
          <w:rFonts w:ascii="Arial" w:hAnsi="Arial" w:hint="eastAsia"/>
          <w:bCs/>
          <w:sz w:val="21"/>
          <w:szCs w:val="28"/>
        </w:rPr>
        <w:t>2025</w:t>
      </w:r>
      <w:r>
        <w:rPr>
          <w:rFonts w:ascii="Arial" w:hAnsi="Arial" w:hint="eastAsia"/>
          <w:bCs/>
          <w:sz w:val="21"/>
          <w:szCs w:val="28"/>
        </w:rPr>
        <w:t>年</w:t>
      </w:r>
      <w:r>
        <w:rPr>
          <w:rFonts w:ascii="Arial" w:hAnsi="Arial" w:hint="eastAsia"/>
          <w:bCs/>
          <w:sz w:val="21"/>
          <w:szCs w:val="28"/>
        </w:rPr>
        <w:t>10</w:t>
      </w:r>
      <w:r>
        <w:rPr>
          <w:rFonts w:ascii="Arial" w:hAnsi="Arial" w:hint="eastAsia"/>
          <w:bCs/>
          <w:sz w:val="21"/>
          <w:szCs w:val="28"/>
        </w:rPr>
        <w:t>月</w:t>
      </w:r>
      <w:r>
        <w:rPr>
          <w:rFonts w:ascii="Arial" w:hAnsi="Arial" w:hint="eastAsia"/>
          <w:bCs/>
          <w:sz w:val="21"/>
          <w:szCs w:val="28"/>
        </w:rPr>
        <w:t>28</w:t>
      </w:r>
      <w:r>
        <w:rPr>
          <w:rFonts w:ascii="Arial" w:hAnsi="Arial" w:hint="eastAsia"/>
          <w:bCs/>
          <w:sz w:val="21"/>
          <w:szCs w:val="28"/>
        </w:rPr>
        <w:t>日，</w:t>
      </w:r>
      <w:r>
        <w:rPr>
          <w:rFonts w:ascii="Arial" w:hAnsi="Arial"/>
          <w:bCs/>
          <w:sz w:val="21"/>
          <w:szCs w:val="28"/>
        </w:rPr>
        <w:t>《中共中央关于制定国民经济和社会发展第十五个五年规划的建议》全文发布，</w:t>
      </w:r>
      <w:r>
        <w:rPr>
          <w:rFonts w:ascii="Arial" w:hAnsi="Arial" w:hint="eastAsia"/>
          <w:bCs/>
          <w:sz w:val="21"/>
          <w:szCs w:val="28"/>
        </w:rPr>
        <w:t>关于房地产</w:t>
      </w:r>
      <w:r>
        <w:rPr>
          <w:rFonts w:ascii="Arial" w:hAnsi="Arial"/>
          <w:bCs/>
          <w:sz w:val="21"/>
          <w:szCs w:val="28"/>
        </w:rPr>
        <w:t>提出：（</w:t>
      </w:r>
      <w:r>
        <w:rPr>
          <w:rFonts w:ascii="Arial" w:hAnsi="Arial"/>
          <w:bCs/>
          <w:sz w:val="21"/>
          <w:szCs w:val="28"/>
        </w:rPr>
        <w:t>1</w:t>
      </w:r>
      <w:r>
        <w:rPr>
          <w:rFonts w:ascii="Arial" w:hAnsi="Arial"/>
          <w:bCs/>
          <w:sz w:val="21"/>
          <w:szCs w:val="28"/>
        </w:rPr>
        <w:t>）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Pr>
          <w:rFonts w:ascii="Arial" w:hAnsi="Arial" w:hint="eastAsia"/>
          <w:bCs/>
          <w:sz w:val="21"/>
          <w:szCs w:val="28"/>
        </w:rPr>
        <w:t>2</w:t>
      </w:r>
      <w:r>
        <w:rPr>
          <w:rFonts w:ascii="Arial" w:hAnsi="Arial"/>
          <w:bCs/>
          <w:sz w:val="21"/>
          <w:szCs w:val="28"/>
        </w:rPr>
        <w:t>）优化国土空间发展格局：赋予省级政府统筹建设用地更大自主权，探索实施建设用地总量按规划期管控模式，实行统筹存量和增量综合供地；（</w:t>
      </w:r>
      <w:r>
        <w:rPr>
          <w:rFonts w:ascii="Arial" w:hAnsi="Arial" w:hint="eastAsia"/>
          <w:bCs/>
          <w:sz w:val="21"/>
          <w:szCs w:val="28"/>
        </w:rPr>
        <w:t>3</w:t>
      </w:r>
      <w:r>
        <w:rPr>
          <w:rFonts w:ascii="Arial" w:hAnsi="Arial"/>
          <w:bCs/>
          <w:sz w:val="21"/>
          <w:szCs w:val="28"/>
        </w:rPr>
        <w:t>）坚持城市内涵式发展，大力实施城市更新，建设创新、宜居、美丽、韧性、文明、智慧的现代化人民城市；（</w:t>
      </w:r>
      <w:r>
        <w:rPr>
          <w:rFonts w:ascii="Arial" w:hAnsi="Arial" w:hint="eastAsia"/>
          <w:bCs/>
          <w:sz w:val="21"/>
          <w:szCs w:val="28"/>
        </w:rPr>
        <w:t>4</w:t>
      </w:r>
      <w:r>
        <w:rPr>
          <w:rFonts w:ascii="Arial" w:hAnsi="Arial"/>
          <w:bCs/>
          <w:sz w:val="21"/>
          <w:szCs w:val="28"/>
        </w:rPr>
        <w:t>）</w:t>
      </w:r>
      <w:r>
        <w:rPr>
          <w:rFonts w:ascii="Arial" w:hAnsi="Arial"/>
          <w:bCs/>
          <w:sz w:val="21"/>
          <w:szCs w:val="28"/>
        </w:rPr>
        <w:lastRenderedPageBreak/>
        <w:t>推动房地产高质量发展：加快构建房地产发展新模式，完善商品房开发、融资、销售等基础制度；优化保障性住房供给，满足城镇工薪群体和各类困难家庭基本住房需求；因城施策增加改善性住房供给；建设安全舒适绿色智慧的</w:t>
      </w:r>
      <w:r>
        <w:rPr>
          <w:rFonts w:ascii="Arial" w:hAnsi="Arial"/>
          <w:bCs/>
          <w:sz w:val="21"/>
          <w:szCs w:val="28"/>
        </w:rPr>
        <w:t>“</w:t>
      </w:r>
      <w:r>
        <w:rPr>
          <w:rFonts w:ascii="Arial" w:hAnsi="Arial"/>
          <w:bCs/>
          <w:sz w:val="21"/>
          <w:szCs w:val="28"/>
        </w:rPr>
        <w:t>好房子</w:t>
      </w:r>
      <w:r>
        <w:rPr>
          <w:rFonts w:ascii="Arial" w:hAnsi="Arial"/>
          <w:bCs/>
          <w:sz w:val="21"/>
          <w:szCs w:val="28"/>
        </w:rPr>
        <w:t>”</w:t>
      </w:r>
      <w:r>
        <w:rPr>
          <w:rFonts w:ascii="Arial" w:hAnsi="Arial"/>
          <w:bCs/>
          <w:sz w:val="21"/>
          <w:szCs w:val="28"/>
        </w:rPr>
        <w:t>，实施房屋品质提升工程和物业服务质量提升行动；建立房屋全生命周期安全管理制度；（</w:t>
      </w:r>
      <w:r>
        <w:rPr>
          <w:rFonts w:ascii="Arial" w:hAnsi="Arial" w:hint="eastAsia"/>
          <w:bCs/>
          <w:sz w:val="21"/>
          <w:szCs w:val="28"/>
        </w:rPr>
        <w:t>5</w:t>
      </w:r>
      <w:r>
        <w:rPr>
          <w:rFonts w:ascii="Arial" w:hAnsi="Arial"/>
          <w:bCs/>
          <w:sz w:val="21"/>
          <w:szCs w:val="28"/>
        </w:rPr>
        <w:t>）提高防范化解重点领域风险能力，统筹推进房地产、地方政府债务、中小金融机构等风险有序化解，严防系统性风险。</w:t>
      </w:r>
    </w:p>
    <w:p w14:paraId="1B06025B" w14:textId="77777777" w:rsidR="00000000" w:rsidRDefault="00000000">
      <w:pPr>
        <w:widowControl/>
        <w:adjustRightInd/>
        <w:spacing w:line="480" w:lineRule="auto"/>
        <w:ind w:firstLineChars="200" w:firstLine="420"/>
        <w:jc w:val="both"/>
        <w:rPr>
          <w:rFonts w:ascii="Arial" w:hAnsi="Arial"/>
          <w:bCs/>
          <w:sz w:val="21"/>
          <w:szCs w:val="28"/>
        </w:rPr>
      </w:pPr>
      <w:r>
        <w:rPr>
          <w:rFonts w:ascii="Arial" w:hAnsi="Arial"/>
          <w:bCs/>
          <w:sz w:val="21"/>
          <w:szCs w:val="28"/>
        </w:rPr>
        <w:t>202</w:t>
      </w:r>
      <w:r>
        <w:rPr>
          <w:rFonts w:ascii="Arial" w:hAnsi="Arial" w:hint="eastAsia"/>
          <w:bCs/>
          <w:sz w:val="21"/>
          <w:szCs w:val="28"/>
        </w:rPr>
        <w:t>5</w:t>
      </w:r>
      <w:r>
        <w:rPr>
          <w:rFonts w:ascii="Arial" w:hAnsi="Arial"/>
          <w:bCs/>
          <w:sz w:val="21"/>
          <w:szCs w:val="28"/>
        </w:rPr>
        <w:t>年</w:t>
      </w:r>
      <w:r>
        <w:rPr>
          <w:rFonts w:ascii="Arial" w:hAnsi="Arial"/>
          <w:bCs/>
          <w:sz w:val="21"/>
          <w:szCs w:val="28"/>
        </w:rPr>
        <w:t>12</w:t>
      </w:r>
      <w:r>
        <w:rPr>
          <w:rFonts w:ascii="Arial" w:hAnsi="Arial"/>
          <w:bCs/>
          <w:sz w:val="21"/>
          <w:szCs w:val="28"/>
        </w:rPr>
        <w:t>月</w:t>
      </w:r>
      <w:r>
        <w:rPr>
          <w:rFonts w:ascii="Arial" w:hAnsi="Arial"/>
          <w:bCs/>
          <w:sz w:val="21"/>
          <w:szCs w:val="28"/>
        </w:rPr>
        <w:t>1</w:t>
      </w:r>
      <w:r>
        <w:rPr>
          <w:rFonts w:ascii="Arial" w:hAnsi="Arial" w:hint="eastAsia"/>
          <w:bCs/>
          <w:sz w:val="21"/>
          <w:szCs w:val="28"/>
        </w:rPr>
        <w:t>0</w:t>
      </w:r>
      <w:r>
        <w:rPr>
          <w:rFonts w:ascii="Arial" w:hAnsi="Arial"/>
          <w:bCs/>
          <w:sz w:val="21"/>
          <w:szCs w:val="28"/>
        </w:rPr>
        <w:t>日至</w:t>
      </w:r>
      <w:r>
        <w:rPr>
          <w:rFonts w:ascii="Arial" w:hAnsi="Arial"/>
          <w:bCs/>
          <w:sz w:val="21"/>
          <w:szCs w:val="28"/>
        </w:rPr>
        <w:t>1</w:t>
      </w:r>
      <w:r>
        <w:rPr>
          <w:rFonts w:ascii="Arial" w:hAnsi="Arial" w:hint="eastAsia"/>
          <w:bCs/>
          <w:sz w:val="21"/>
          <w:szCs w:val="28"/>
        </w:rPr>
        <w:t>1</w:t>
      </w:r>
      <w:r>
        <w:rPr>
          <w:rFonts w:ascii="Arial" w:hAnsi="Arial"/>
          <w:bCs/>
          <w:sz w:val="21"/>
          <w:szCs w:val="28"/>
        </w:rPr>
        <w:t>日，</w:t>
      </w:r>
      <w:r>
        <w:rPr>
          <w:rFonts w:ascii="Arial" w:hAnsi="Arial"/>
          <w:bCs/>
          <w:sz w:val="21"/>
          <w:szCs w:val="28"/>
        </w:rPr>
        <w:t>202</w:t>
      </w:r>
      <w:r>
        <w:rPr>
          <w:rFonts w:ascii="Arial" w:hAnsi="Arial" w:hint="eastAsia"/>
          <w:bCs/>
          <w:sz w:val="21"/>
          <w:szCs w:val="28"/>
        </w:rPr>
        <w:t>5</w:t>
      </w:r>
      <w:r>
        <w:rPr>
          <w:rFonts w:ascii="Arial" w:hAnsi="Arial"/>
          <w:bCs/>
          <w:sz w:val="21"/>
          <w:szCs w:val="28"/>
        </w:rPr>
        <w:t>年中央经济工作会议举行。会议总结</w:t>
      </w:r>
      <w:r>
        <w:rPr>
          <w:rFonts w:ascii="Arial" w:hAnsi="Arial"/>
          <w:bCs/>
          <w:sz w:val="21"/>
          <w:szCs w:val="28"/>
        </w:rPr>
        <w:t>202</w:t>
      </w:r>
      <w:r>
        <w:rPr>
          <w:rFonts w:ascii="Arial" w:hAnsi="Arial" w:hint="eastAsia"/>
          <w:bCs/>
          <w:sz w:val="21"/>
          <w:szCs w:val="28"/>
        </w:rPr>
        <w:t>5</w:t>
      </w:r>
      <w:r>
        <w:rPr>
          <w:rFonts w:ascii="Arial" w:hAnsi="Arial"/>
          <w:bCs/>
          <w:sz w:val="21"/>
          <w:szCs w:val="28"/>
        </w:rPr>
        <w:t>年经济工作，</w:t>
      </w:r>
      <w:r>
        <w:rPr>
          <w:rFonts w:ascii="Arial" w:hAnsi="Arial" w:hint="eastAsia"/>
          <w:bCs/>
          <w:sz w:val="21"/>
          <w:szCs w:val="28"/>
        </w:rPr>
        <w:t>分析当前经济形势，部署</w:t>
      </w:r>
      <w:r>
        <w:rPr>
          <w:rFonts w:ascii="Arial" w:hAnsi="Arial" w:hint="eastAsia"/>
          <w:bCs/>
          <w:sz w:val="21"/>
          <w:szCs w:val="28"/>
        </w:rPr>
        <w:t>2026</w:t>
      </w:r>
      <w:r>
        <w:rPr>
          <w:rFonts w:ascii="Arial" w:hAnsi="Arial" w:hint="eastAsia"/>
          <w:bCs/>
          <w:sz w:val="21"/>
          <w:szCs w:val="28"/>
        </w:rPr>
        <w:t>年经济工作</w:t>
      </w:r>
      <w:r>
        <w:rPr>
          <w:rFonts w:ascii="Arial" w:hAnsi="Arial"/>
          <w:bCs/>
          <w:sz w:val="21"/>
          <w:szCs w:val="28"/>
        </w:rPr>
        <w:t>。会议提出</w:t>
      </w:r>
      <w:r>
        <w:rPr>
          <w:rFonts w:ascii="Arial" w:hAnsi="Arial" w:hint="eastAsia"/>
          <w:bCs/>
          <w:sz w:val="21"/>
          <w:szCs w:val="28"/>
        </w:rPr>
        <w:t>“着力稳定房地产市场，因城施策控增量、去库存、优供给，鼓励收购存量商品房重点用于保障性住房等。深化住房公积金制度改革，有序推动‘好房子’建设。加快构建房地产发展新模式</w:t>
      </w:r>
      <w:r>
        <w:rPr>
          <w:rFonts w:ascii="Arial" w:hAnsi="Arial"/>
          <w:bCs/>
          <w:sz w:val="21"/>
          <w:szCs w:val="28"/>
        </w:rPr>
        <w:t>。</w:t>
      </w:r>
      <w:r>
        <w:rPr>
          <w:rFonts w:ascii="Arial" w:hAnsi="Arial" w:hint="eastAsia"/>
          <w:bCs/>
          <w:sz w:val="21"/>
          <w:szCs w:val="28"/>
        </w:rPr>
        <w:t>”</w:t>
      </w:r>
      <w:r>
        <w:rPr>
          <w:rFonts w:ascii="Arial" w:hAnsi="Arial"/>
          <w:bCs/>
          <w:sz w:val="21"/>
          <w:szCs w:val="28"/>
        </w:rPr>
        <w:t>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50952105" w14:textId="77777777" w:rsidR="00000000" w:rsidRDefault="00000000">
      <w:pPr>
        <w:widowControl/>
        <w:adjustRightInd/>
        <w:spacing w:line="480" w:lineRule="auto"/>
        <w:ind w:firstLineChars="200" w:firstLine="420"/>
        <w:jc w:val="both"/>
        <w:rPr>
          <w:rFonts w:ascii="Arial" w:hAnsi="Arial" w:hint="eastAsia"/>
          <w:bCs/>
          <w:sz w:val="21"/>
          <w:szCs w:val="28"/>
        </w:rPr>
      </w:pPr>
      <w:r>
        <w:rPr>
          <w:rFonts w:ascii="Arial" w:hAnsi="Arial"/>
          <w:bCs/>
          <w:sz w:val="21"/>
          <w:szCs w:val="28"/>
        </w:rPr>
        <w:t>202</w:t>
      </w:r>
      <w:r>
        <w:rPr>
          <w:rFonts w:ascii="Arial" w:hAnsi="Arial" w:hint="eastAsia"/>
          <w:bCs/>
          <w:sz w:val="21"/>
          <w:szCs w:val="28"/>
        </w:rPr>
        <w:t>5</w:t>
      </w:r>
      <w:r>
        <w:rPr>
          <w:rFonts w:ascii="Arial" w:hAnsi="Arial"/>
          <w:bCs/>
          <w:sz w:val="21"/>
          <w:szCs w:val="28"/>
        </w:rPr>
        <w:t>年</w:t>
      </w:r>
      <w:r>
        <w:rPr>
          <w:rFonts w:ascii="Arial" w:hAnsi="Arial"/>
          <w:bCs/>
          <w:sz w:val="21"/>
          <w:szCs w:val="28"/>
        </w:rPr>
        <w:t>12</w:t>
      </w:r>
      <w:r>
        <w:rPr>
          <w:rFonts w:ascii="Arial" w:hAnsi="Arial"/>
          <w:bCs/>
          <w:sz w:val="21"/>
          <w:szCs w:val="28"/>
        </w:rPr>
        <w:t>月</w:t>
      </w:r>
      <w:r>
        <w:rPr>
          <w:rFonts w:ascii="Arial" w:hAnsi="Arial"/>
          <w:bCs/>
          <w:sz w:val="21"/>
          <w:szCs w:val="28"/>
        </w:rPr>
        <w:t>2</w:t>
      </w:r>
      <w:r>
        <w:rPr>
          <w:rFonts w:ascii="Arial" w:hAnsi="Arial" w:hint="eastAsia"/>
          <w:bCs/>
          <w:sz w:val="21"/>
          <w:szCs w:val="28"/>
        </w:rPr>
        <w:t>2</w:t>
      </w:r>
      <w:r>
        <w:rPr>
          <w:rFonts w:ascii="Arial" w:hAnsi="Arial"/>
          <w:bCs/>
          <w:sz w:val="21"/>
          <w:szCs w:val="28"/>
        </w:rPr>
        <w:t>日至</w:t>
      </w:r>
      <w:r>
        <w:rPr>
          <w:rFonts w:ascii="Arial" w:hAnsi="Arial"/>
          <w:bCs/>
          <w:sz w:val="21"/>
          <w:szCs w:val="28"/>
        </w:rPr>
        <w:t>2</w:t>
      </w:r>
      <w:r>
        <w:rPr>
          <w:rFonts w:ascii="Arial" w:hAnsi="Arial" w:hint="eastAsia"/>
          <w:bCs/>
          <w:sz w:val="21"/>
          <w:szCs w:val="28"/>
        </w:rPr>
        <w:t>3</w:t>
      </w:r>
      <w:r>
        <w:rPr>
          <w:rFonts w:ascii="Arial" w:hAnsi="Arial"/>
          <w:bCs/>
          <w:sz w:val="21"/>
          <w:szCs w:val="28"/>
        </w:rPr>
        <w:t>日，全国住房城乡建设工作会议在北京召开。会议</w:t>
      </w:r>
      <w:r>
        <w:rPr>
          <w:rFonts w:ascii="Arial" w:hAnsi="Arial" w:hint="eastAsia"/>
          <w:bCs/>
          <w:sz w:val="21"/>
          <w:szCs w:val="28"/>
        </w:rPr>
        <w:t>全面盘点</w:t>
      </w:r>
      <w:r>
        <w:rPr>
          <w:rFonts w:ascii="Arial" w:hAnsi="Arial" w:hint="eastAsia"/>
          <w:bCs/>
          <w:sz w:val="21"/>
          <w:szCs w:val="28"/>
        </w:rPr>
        <w:t>2025</w:t>
      </w:r>
      <w:r>
        <w:rPr>
          <w:rFonts w:ascii="Arial" w:hAnsi="Arial" w:hint="eastAsia"/>
          <w:bCs/>
          <w:sz w:val="21"/>
          <w:szCs w:val="28"/>
        </w:rPr>
        <w:t>年工作，系统总结“十四五”时期住房城乡建设事业发展成就，研究部署“十五五”时期和</w:t>
      </w:r>
      <w:r>
        <w:rPr>
          <w:rFonts w:ascii="Arial" w:hAnsi="Arial" w:hint="eastAsia"/>
          <w:bCs/>
          <w:sz w:val="21"/>
          <w:szCs w:val="28"/>
        </w:rPr>
        <w:t>2026</w:t>
      </w:r>
      <w:r>
        <w:rPr>
          <w:rFonts w:ascii="Arial" w:hAnsi="Arial" w:hint="eastAsia"/>
          <w:bCs/>
          <w:sz w:val="21"/>
          <w:szCs w:val="28"/>
        </w:rPr>
        <w:t>年重点任务</w:t>
      </w:r>
      <w:r>
        <w:rPr>
          <w:rFonts w:ascii="Arial" w:hAnsi="Arial"/>
          <w:bCs/>
          <w:sz w:val="21"/>
          <w:szCs w:val="28"/>
        </w:rPr>
        <w:t>。会议强调，</w:t>
      </w:r>
      <w:r>
        <w:rPr>
          <w:rFonts w:ascii="Arial" w:hAnsi="Arial"/>
          <w:bCs/>
          <w:sz w:val="21"/>
          <w:szCs w:val="28"/>
        </w:rPr>
        <w:t>202</w:t>
      </w:r>
      <w:r>
        <w:rPr>
          <w:rFonts w:ascii="Arial" w:hAnsi="Arial" w:hint="eastAsia"/>
          <w:bCs/>
          <w:sz w:val="21"/>
          <w:szCs w:val="28"/>
        </w:rPr>
        <w:t>6</w:t>
      </w:r>
      <w:r>
        <w:rPr>
          <w:rFonts w:ascii="Arial" w:hAnsi="Arial"/>
          <w:bCs/>
          <w:sz w:val="21"/>
          <w:szCs w:val="28"/>
        </w:rPr>
        <w:t>年的工作要重点抓好</w:t>
      </w:r>
      <w:r>
        <w:rPr>
          <w:rFonts w:ascii="Arial" w:hAnsi="Arial" w:hint="eastAsia"/>
          <w:bCs/>
          <w:sz w:val="21"/>
          <w:szCs w:val="28"/>
        </w:rPr>
        <w:t>4</w:t>
      </w:r>
      <w:r>
        <w:rPr>
          <w:rFonts w:ascii="Arial" w:hAnsi="Arial"/>
          <w:bCs/>
          <w:sz w:val="21"/>
          <w:szCs w:val="28"/>
        </w:rPr>
        <w:t>个方面工作。一、</w:t>
      </w:r>
      <w:r>
        <w:rPr>
          <w:rFonts w:ascii="Arial" w:hAnsi="Arial" w:hint="eastAsia"/>
          <w:bCs/>
          <w:sz w:val="21"/>
          <w:szCs w:val="28"/>
        </w:rPr>
        <w:t>推进现代化人民城市建设，重点是：高质量开展城市更新，编制实施“十五五”城市更新专项规划，抓好城市体检、更新试点，实施一批民生工程、发展工程、安全工程。</w:t>
      </w:r>
      <w:r>
        <w:rPr>
          <w:rFonts w:ascii="Arial" w:hAnsi="Arial"/>
          <w:bCs/>
          <w:sz w:val="21"/>
          <w:szCs w:val="28"/>
        </w:rPr>
        <w:t>二、</w:t>
      </w:r>
      <w:r>
        <w:rPr>
          <w:rFonts w:ascii="Arial" w:hAnsi="Arial" w:hint="eastAsia"/>
          <w:bCs/>
          <w:sz w:val="21"/>
          <w:szCs w:val="28"/>
        </w:rPr>
        <w:t>着力稳定房地产市场，重点是：因城施策控增量、去库存、优供给，结合城市更新、城中村改造盘活利用存量用地，推动收购存量商品房用作保障性住房、安置房、宿舍、</w:t>
      </w:r>
      <w:proofErr w:type="gramStart"/>
      <w:r>
        <w:rPr>
          <w:rFonts w:ascii="Arial" w:hAnsi="Arial" w:hint="eastAsia"/>
          <w:bCs/>
          <w:sz w:val="21"/>
          <w:szCs w:val="28"/>
        </w:rPr>
        <w:t>人才房</w:t>
      </w:r>
      <w:proofErr w:type="gramEnd"/>
      <w:r>
        <w:rPr>
          <w:rFonts w:ascii="Arial" w:hAnsi="Arial" w:hint="eastAsia"/>
          <w:bCs/>
          <w:sz w:val="21"/>
          <w:szCs w:val="28"/>
        </w:rPr>
        <w:t>等。优化和精准实施保障性住房供应，实施房屋品质提升工程，有序推进“好房子”建设；进一步发挥房地产项目“白名单”制度作用，支持房地产企业合理融资需求</w:t>
      </w:r>
      <w:r>
        <w:rPr>
          <w:rFonts w:ascii="Arial" w:hAnsi="Arial"/>
          <w:bCs/>
          <w:sz w:val="21"/>
          <w:szCs w:val="28"/>
        </w:rPr>
        <w:t>。三、</w:t>
      </w:r>
      <w:r>
        <w:rPr>
          <w:rFonts w:ascii="Arial" w:hAnsi="Arial" w:hint="eastAsia"/>
          <w:bCs/>
          <w:sz w:val="21"/>
          <w:szCs w:val="28"/>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w:t>
      </w:r>
      <w:r>
        <w:rPr>
          <w:rFonts w:ascii="Arial" w:hAnsi="Arial" w:hint="eastAsia"/>
          <w:bCs/>
          <w:sz w:val="21"/>
          <w:szCs w:val="28"/>
        </w:rPr>
        <w:lastRenderedPageBreak/>
        <w:t>问题专项整治；强化现场监督管理，扎实推动安全生产</w:t>
      </w:r>
      <w:proofErr w:type="gramStart"/>
      <w:r>
        <w:rPr>
          <w:rFonts w:ascii="Arial" w:hAnsi="Arial" w:hint="eastAsia"/>
          <w:bCs/>
          <w:sz w:val="21"/>
          <w:szCs w:val="28"/>
        </w:rPr>
        <w:t>治本攻坚</w:t>
      </w:r>
      <w:proofErr w:type="gramEnd"/>
      <w:r>
        <w:rPr>
          <w:rFonts w:ascii="Arial" w:hAnsi="Arial" w:hint="eastAsia"/>
          <w:bCs/>
          <w:sz w:val="21"/>
          <w:szCs w:val="28"/>
        </w:rPr>
        <w:t>三年行动，建立房屋全生命周期安全管理制度</w:t>
      </w:r>
      <w:r>
        <w:rPr>
          <w:rFonts w:ascii="Arial" w:hAnsi="Arial"/>
          <w:bCs/>
          <w:sz w:val="21"/>
          <w:szCs w:val="28"/>
        </w:rPr>
        <w:t>。四、</w:t>
      </w:r>
      <w:r>
        <w:rPr>
          <w:rFonts w:ascii="Arial" w:hAnsi="Arial" w:hint="eastAsia"/>
          <w:bCs/>
          <w:sz w:val="21"/>
          <w:szCs w:val="28"/>
        </w:rPr>
        <w:t>夯实高质量发展基础支撑，重点是：提升法治建设水平，完善标准体系，加快推出一批工作急需的工程建设标准。加强统计分析，推动优化现行统计指标，强化统计数据分析应用</w:t>
      </w:r>
      <w:r>
        <w:rPr>
          <w:rFonts w:ascii="Arial" w:hAnsi="Arial"/>
          <w:bCs/>
          <w:sz w:val="21"/>
          <w:szCs w:val="28"/>
        </w:rPr>
        <w:t>。</w:t>
      </w:r>
    </w:p>
    <w:p w14:paraId="04208CFE" w14:textId="77777777" w:rsidR="00000000" w:rsidRDefault="00000000">
      <w:pPr>
        <w:widowControl/>
        <w:adjustRightInd/>
        <w:spacing w:line="480" w:lineRule="auto"/>
        <w:ind w:firstLineChars="200" w:firstLine="420"/>
        <w:jc w:val="both"/>
        <w:rPr>
          <w:rFonts w:ascii="Arial" w:hAnsi="Arial" w:hint="eastAsia"/>
          <w:bCs/>
          <w:sz w:val="21"/>
          <w:szCs w:val="28"/>
        </w:rPr>
      </w:pPr>
      <w:r>
        <w:rPr>
          <w:rFonts w:ascii="Arial" w:hAnsi="Arial" w:hint="eastAsia"/>
          <w:bCs/>
          <w:sz w:val="21"/>
          <w:szCs w:val="28"/>
        </w:rPr>
        <w:t>（</w:t>
      </w:r>
      <w:r>
        <w:rPr>
          <w:rFonts w:ascii="Arial" w:hAnsi="Arial" w:hint="eastAsia"/>
          <w:bCs/>
          <w:sz w:val="21"/>
          <w:szCs w:val="28"/>
        </w:rPr>
        <w:t>2</w:t>
      </w:r>
      <w:r>
        <w:rPr>
          <w:rFonts w:ascii="Arial" w:hAnsi="Arial" w:hint="eastAsia"/>
          <w:bCs/>
          <w:sz w:val="21"/>
          <w:szCs w:val="28"/>
        </w:rPr>
        <w:t>）地方政策</w:t>
      </w:r>
    </w:p>
    <w:p w14:paraId="6FCDAD62" w14:textId="77777777" w:rsidR="00000000" w:rsidRDefault="00000000">
      <w:pPr>
        <w:widowControl/>
        <w:adjustRightInd/>
        <w:spacing w:line="480" w:lineRule="auto"/>
        <w:ind w:firstLineChars="200" w:firstLine="420"/>
        <w:jc w:val="both"/>
        <w:rPr>
          <w:rFonts w:ascii="Arial" w:hAnsi="Arial" w:hint="eastAsia"/>
          <w:bCs/>
          <w:sz w:val="21"/>
          <w:szCs w:val="28"/>
        </w:rPr>
      </w:pPr>
      <w:r>
        <w:rPr>
          <w:rFonts w:ascii="Arial" w:hAnsi="Arial" w:hint="eastAsia"/>
          <w:bCs/>
          <w:sz w:val="21"/>
          <w:szCs w:val="28"/>
        </w:rPr>
        <w:t>2021</w:t>
      </w:r>
      <w:r>
        <w:rPr>
          <w:rFonts w:ascii="Arial" w:hAnsi="Arial" w:hint="eastAsia"/>
          <w:bCs/>
          <w:sz w:val="21"/>
          <w:szCs w:val="28"/>
        </w:rPr>
        <w:t>年</w:t>
      </w:r>
      <w:r>
        <w:rPr>
          <w:rFonts w:ascii="Arial" w:hAnsi="Arial" w:hint="eastAsia"/>
          <w:bCs/>
          <w:sz w:val="21"/>
          <w:szCs w:val="28"/>
        </w:rPr>
        <w:t>9</w:t>
      </w:r>
      <w:r>
        <w:rPr>
          <w:rFonts w:ascii="Arial" w:hAnsi="Arial" w:hint="eastAsia"/>
          <w:bCs/>
          <w:sz w:val="21"/>
          <w:szCs w:val="28"/>
        </w:rPr>
        <w:t>月</w:t>
      </w:r>
      <w:r>
        <w:rPr>
          <w:rFonts w:ascii="Arial" w:hAnsi="Arial" w:hint="eastAsia"/>
          <w:bCs/>
          <w:sz w:val="21"/>
          <w:szCs w:val="28"/>
        </w:rPr>
        <w:t>8</w:t>
      </w:r>
      <w:r>
        <w:rPr>
          <w:rFonts w:ascii="Arial" w:hAnsi="Arial" w:hint="eastAsia"/>
          <w:bCs/>
          <w:sz w:val="21"/>
          <w:szCs w:val="28"/>
        </w:rPr>
        <w:t>日，北京市人民政府关于印发《北京市“十四五”时期优化营商环境规划》，《规划》提出了“十四五”时期北京市优化营商环境“</w:t>
      </w:r>
      <w:r>
        <w:rPr>
          <w:rFonts w:ascii="Arial" w:hAnsi="Arial" w:hint="eastAsia"/>
          <w:bCs/>
          <w:sz w:val="21"/>
          <w:szCs w:val="28"/>
        </w:rPr>
        <w:t>1+4+5</w:t>
      </w:r>
      <w:r>
        <w:rPr>
          <w:rFonts w:ascii="Arial" w:hAnsi="Arial" w:hint="eastAsia"/>
          <w:bCs/>
          <w:sz w:val="21"/>
          <w:szCs w:val="28"/>
        </w:rPr>
        <w:t>”的目标体系：“</w:t>
      </w:r>
      <w:r>
        <w:rPr>
          <w:rFonts w:ascii="Arial" w:hAnsi="Arial" w:hint="eastAsia"/>
          <w:bCs/>
          <w:sz w:val="21"/>
          <w:szCs w:val="28"/>
        </w:rPr>
        <w:t>1</w:t>
      </w:r>
      <w:r>
        <w:rPr>
          <w:rFonts w:ascii="Arial" w:hAnsi="Arial" w:hint="eastAsia"/>
          <w:bCs/>
          <w:sz w:val="21"/>
          <w:szCs w:val="28"/>
        </w:rPr>
        <w:t>”是全面建成与首都功能发展需求相一致的国际一流营商环境高地；“</w:t>
      </w:r>
      <w:r>
        <w:rPr>
          <w:rFonts w:ascii="Arial" w:hAnsi="Arial" w:hint="eastAsia"/>
          <w:bCs/>
          <w:sz w:val="21"/>
          <w:szCs w:val="28"/>
        </w:rPr>
        <w:t>4</w:t>
      </w:r>
      <w:r>
        <w:rPr>
          <w:rFonts w:ascii="Arial" w:hAnsi="Arial" w:hint="eastAsia"/>
          <w:bCs/>
          <w:sz w:val="21"/>
          <w:szCs w:val="28"/>
        </w:rPr>
        <w:t>”是打造“北京效率”“北京服务”“北京标准”“北京诚信”四大品牌；“</w:t>
      </w:r>
      <w:r>
        <w:rPr>
          <w:rFonts w:ascii="Arial" w:hAnsi="Arial" w:hint="eastAsia"/>
          <w:bCs/>
          <w:sz w:val="21"/>
          <w:szCs w:val="28"/>
        </w:rPr>
        <w:t>5</w:t>
      </w:r>
      <w:r>
        <w:rPr>
          <w:rFonts w:ascii="Arial" w:hAnsi="Arial" w:hint="eastAsia"/>
          <w:bCs/>
          <w:sz w:val="21"/>
          <w:szCs w:val="28"/>
        </w:rPr>
        <w:t>”是实施市场、法治、投资贸易、政务服务、人文五大环境领跑战略。《规划》是北京市首次编制</w:t>
      </w:r>
      <w:r>
        <w:rPr>
          <w:rFonts w:ascii="Arial" w:hAnsi="Arial" w:hint="eastAsia"/>
          <w:bCs/>
          <w:sz w:val="21"/>
          <w:szCs w:val="28"/>
        </w:rPr>
        <w:t>5</w:t>
      </w:r>
      <w:r>
        <w:rPr>
          <w:rFonts w:ascii="Arial" w:hAnsi="Arial" w:hint="eastAsia"/>
          <w:bCs/>
          <w:sz w:val="21"/>
          <w:szCs w:val="28"/>
        </w:rPr>
        <w:t>年营商环境专项规划，在各省、自治区和直辖市中也是首例，充分展现了北京市全力以赴打造一流营商环境的决心和行动</w:t>
      </w:r>
      <w:r>
        <w:rPr>
          <w:rFonts w:ascii="Arial" w:hAnsi="Arial"/>
          <w:bCs/>
          <w:sz w:val="21"/>
          <w:szCs w:val="28"/>
        </w:rPr>
        <w:t>。</w:t>
      </w:r>
    </w:p>
    <w:p w14:paraId="408182E3" w14:textId="77777777" w:rsidR="00000000" w:rsidRDefault="00000000">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2025</w:t>
      </w:r>
      <w:r>
        <w:rPr>
          <w:rFonts w:ascii="Arial" w:hAnsi="Arial" w:hint="eastAsia"/>
          <w:bCs/>
          <w:sz w:val="21"/>
          <w:szCs w:val="28"/>
        </w:rPr>
        <w:t>年</w:t>
      </w:r>
      <w:r>
        <w:rPr>
          <w:rFonts w:ascii="Arial" w:hAnsi="Arial" w:hint="eastAsia"/>
          <w:bCs/>
          <w:sz w:val="21"/>
          <w:szCs w:val="28"/>
        </w:rPr>
        <w:t>1</w:t>
      </w:r>
      <w:r>
        <w:rPr>
          <w:rFonts w:ascii="Arial" w:hAnsi="Arial" w:hint="eastAsia"/>
          <w:bCs/>
          <w:sz w:val="21"/>
          <w:szCs w:val="28"/>
        </w:rPr>
        <w:t>月</w:t>
      </w:r>
      <w:r>
        <w:rPr>
          <w:rFonts w:ascii="Arial" w:hAnsi="Arial" w:hint="eastAsia"/>
          <w:bCs/>
          <w:sz w:val="21"/>
          <w:szCs w:val="28"/>
        </w:rPr>
        <w:t>8</w:t>
      </w:r>
      <w:r>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w:t>
      </w:r>
      <w:r>
        <w:rPr>
          <w:rFonts w:ascii="Arial" w:hAnsi="Arial"/>
          <w:bCs/>
          <w:sz w:val="21"/>
          <w:szCs w:val="28"/>
        </w:rPr>
        <w:t>旨在推动建成区内存在安全隐患、能耗超标或经济贡献不足的办公、商业楼宇更新改造，明确划分老旧楼宇（</w:t>
      </w:r>
      <w:r>
        <w:rPr>
          <w:rFonts w:ascii="Arial" w:hAnsi="Arial"/>
          <w:bCs/>
          <w:sz w:val="21"/>
          <w:szCs w:val="28"/>
        </w:rPr>
        <w:t>1980</w:t>
      </w:r>
      <w:r>
        <w:rPr>
          <w:rFonts w:ascii="Arial" w:hAnsi="Arial"/>
          <w:bCs/>
          <w:sz w:val="21"/>
          <w:szCs w:val="28"/>
        </w:rPr>
        <w:t>年前未抗震加固或</w:t>
      </w:r>
      <w:r>
        <w:rPr>
          <w:rFonts w:ascii="Arial" w:hAnsi="Arial"/>
          <w:bCs/>
          <w:sz w:val="21"/>
          <w:szCs w:val="28"/>
        </w:rPr>
        <w:t>2005</w:t>
      </w:r>
      <w:r>
        <w:rPr>
          <w:rFonts w:ascii="Arial" w:hAnsi="Arial"/>
          <w:bCs/>
          <w:sz w:val="21"/>
          <w:szCs w:val="28"/>
        </w:rPr>
        <w:t>年前</w:t>
      </w:r>
      <w:proofErr w:type="gramStart"/>
      <w:r>
        <w:rPr>
          <w:rFonts w:ascii="Arial" w:hAnsi="Arial"/>
          <w:bCs/>
          <w:sz w:val="21"/>
          <w:szCs w:val="28"/>
        </w:rPr>
        <w:t>未节</w:t>
      </w:r>
      <w:proofErr w:type="gramEnd"/>
      <w:r>
        <w:rPr>
          <w:rFonts w:ascii="Arial" w:hAnsi="Arial"/>
          <w:bCs/>
          <w:sz w:val="21"/>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Pr>
          <w:rFonts w:ascii="Arial" w:hAnsi="Arial"/>
          <w:bCs/>
          <w:sz w:val="21"/>
          <w:szCs w:val="28"/>
        </w:rPr>
        <w:t>动态台</w:t>
      </w:r>
      <w:proofErr w:type="gramEnd"/>
      <w:r>
        <w:rPr>
          <w:rFonts w:ascii="Arial" w:hAnsi="Arial"/>
          <w:bCs/>
          <w:sz w:val="21"/>
          <w:szCs w:val="28"/>
        </w:rPr>
        <w:t>账和联合审查机制，严禁擅自改变用途，强化全过程监管，试行期</w:t>
      </w:r>
      <w:r>
        <w:rPr>
          <w:rFonts w:ascii="Arial" w:hAnsi="Arial"/>
          <w:bCs/>
          <w:sz w:val="21"/>
          <w:szCs w:val="28"/>
        </w:rPr>
        <w:t>3</w:t>
      </w:r>
      <w:r>
        <w:rPr>
          <w:rFonts w:ascii="Arial" w:hAnsi="Arial"/>
          <w:bCs/>
          <w:sz w:val="21"/>
          <w:szCs w:val="28"/>
        </w:rPr>
        <w:t>年，以盘活存量空间、促进产业升级和城市功能优化</w:t>
      </w:r>
      <w:r>
        <w:rPr>
          <w:rFonts w:ascii="Arial" w:hAnsi="Arial" w:hint="eastAsia"/>
          <w:bCs/>
          <w:sz w:val="21"/>
          <w:szCs w:val="28"/>
        </w:rPr>
        <w:t>。</w:t>
      </w:r>
    </w:p>
    <w:p w14:paraId="438702BA" w14:textId="77777777" w:rsidR="00000000" w:rsidRDefault="00000000">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2025</w:t>
      </w:r>
      <w:r>
        <w:rPr>
          <w:rFonts w:ascii="Arial" w:hAnsi="Arial" w:hint="eastAsia"/>
          <w:bCs/>
          <w:sz w:val="21"/>
          <w:szCs w:val="28"/>
        </w:rPr>
        <w:t>年</w:t>
      </w:r>
      <w:r>
        <w:rPr>
          <w:rFonts w:ascii="Arial" w:hAnsi="Arial" w:hint="eastAsia"/>
          <w:bCs/>
          <w:sz w:val="21"/>
          <w:szCs w:val="28"/>
        </w:rPr>
        <w:t>7</w:t>
      </w:r>
      <w:r>
        <w:rPr>
          <w:rFonts w:ascii="Arial" w:hAnsi="Arial" w:hint="eastAsia"/>
          <w:bCs/>
          <w:sz w:val="21"/>
          <w:szCs w:val="28"/>
        </w:rPr>
        <w:t>月</w:t>
      </w:r>
      <w:r>
        <w:rPr>
          <w:rFonts w:ascii="Arial" w:hAnsi="Arial" w:hint="eastAsia"/>
          <w:bCs/>
          <w:sz w:val="21"/>
          <w:szCs w:val="28"/>
        </w:rPr>
        <w:t>10</w:t>
      </w:r>
      <w:r>
        <w:rPr>
          <w:rFonts w:ascii="Arial" w:hAnsi="Arial" w:hint="eastAsia"/>
          <w:bCs/>
          <w:sz w:val="21"/>
          <w:szCs w:val="28"/>
        </w:rPr>
        <w:t>日，北京市人民政府发布</w:t>
      </w:r>
      <w:r>
        <w:rPr>
          <w:rFonts w:ascii="Arial" w:hAnsi="Arial"/>
          <w:bCs/>
          <w:sz w:val="21"/>
          <w:szCs w:val="28"/>
        </w:rPr>
        <w:t>《关于印发</w:t>
      </w:r>
      <w:r>
        <w:rPr>
          <w:rFonts w:ascii="Arial" w:hAnsi="Arial" w:hint="eastAsia"/>
          <w:bCs/>
          <w:sz w:val="21"/>
          <w:szCs w:val="28"/>
        </w:rPr>
        <w:t>〈北京市深化改革提振消费专项行动方案〉</w:t>
      </w:r>
      <w:r>
        <w:rPr>
          <w:rFonts w:ascii="Arial" w:hAnsi="Arial"/>
          <w:bCs/>
          <w:sz w:val="21"/>
          <w:szCs w:val="28"/>
        </w:rPr>
        <w:t>的通知》，提出共计</w:t>
      </w:r>
      <w:r>
        <w:rPr>
          <w:rFonts w:ascii="Arial" w:hAnsi="Arial"/>
          <w:bCs/>
          <w:sz w:val="21"/>
          <w:szCs w:val="28"/>
        </w:rPr>
        <w:t>24</w:t>
      </w:r>
      <w:r>
        <w:rPr>
          <w:rFonts w:ascii="Arial" w:hAnsi="Arial"/>
          <w:bCs/>
          <w:sz w:val="21"/>
          <w:szCs w:val="28"/>
        </w:rPr>
        <w:t>项具体方案。其中，</w:t>
      </w:r>
      <w:r>
        <w:rPr>
          <w:rFonts w:ascii="Arial" w:hAnsi="Arial" w:hint="eastAsia"/>
          <w:bCs/>
          <w:sz w:val="21"/>
          <w:szCs w:val="28"/>
        </w:rPr>
        <w:t>第</w:t>
      </w:r>
      <w:r>
        <w:rPr>
          <w:rFonts w:ascii="Arial" w:hAnsi="Arial" w:hint="eastAsia"/>
          <w:bCs/>
          <w:sz w:val="21"/>
          <w:szCs w:val="28"/>
        </w:rPr>
        <w:t>20</w:t>
      </w:r>
      <w:r>
        <w:rPr>
          <w:rFonts w:ascii="Arial" w:hAnsi="Arial" w:hint="eastAsia"/>
          <w:bCs/>
          <w:sz w:val="21"/>
          <w:szCs w:val="28"/>
        </w:rPr>
        <w:t>项“</w:t>
      </w:r>
      <w:proofErr w:type="gramStart"/>
      <w:r>
        <w:rPr>
          <w:rFonts w:ascii="Arial" w:hAnsi="Arial"/>
          <w:bCs/>
          <w:sz w:val="21"/>
          <w:szCs w:val="28"/>
        </w:rPr>
        <w:t>焕</w:t>
      </w:r>
      <w:proofErr w:type="gramEnd"/>
      <w:r>
        <w:rPr>
          <w:rFonts w:ascii="Arial" w:hAnsi="Arial"/>
          <w:bCs/>
          <w:sz w:val="21"/>
          <w:szCs w:val="28"/>
        </w:rPr>
        <w:t>新商业消费空间活力</w:t>
      </w:r>
      <w:r>
        <w:rPr>
          <w:rFonts w:ascii="Arial" w:hAnsi="Arial" w:hint="eastAsia"/>
          <w:bCs/>
          <w:sz w:val="21"/>
          <w:szCs w:val="28"/>
        </w:rPr>
        <w:t>”</w:t>
      </w:r>
      <w:r>
        <w:rPr>
          <w:rFonts w:ascii="Arial" w:hAnsi="Arial"/>
          <w:bCs/>
          <w:sz w:val="21"/>
          <w:szCs w:val="28"/>
        </w:rPr>
        <w:t>：坚持更新提升与新增培育并举，引导商业空间升级。通过示范案例加强对建设用地功能混合使用的指导。推动轨道交通站点周边区域闲置低效场馆、老旧厂房改造。</w:t>
      </w:r>
    </w:p>
    <w:p w14:paraId="2D805F41" w14:textId="77777777" w:rsidR="00000000" w:rsidRDefault="00000000">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lastRenderedPageBreak/>
        <w:t>2025</w:t>
      </w:r>
      <w:r>
        <w:rPr>
          <w:rFonts w:ascii="Arial" w:hAnsi="Arial" w:hint="eastAsia"/>
          <w:bCs/>
          <w:sz w:val="21"/>
          <w:szCs w:val="28"/>
        </w:rPr>
        <w:t>年</w:t>
      </w:r>
      <w:r>
        <w:rPr>
          <w:rFonts w:ascii="Arial" w:hAnsi="Arial"/>
          <w:bCs/>
          <w:sz w:val="21"/>
          <w:szCs w:val="28"/>
        </w:rPr>
        <w:t>9</w:t>
      </w:r>
      <w:r>
        <w:rPr>
          <w:rFonts w:ascii="Arial" w:hAnsi="Arial"/>
          <w:bCs/>
          <w:sz w:val="21"/>
          <w:szCs w:val="28"/>
        </w:rPr>
        <w:t>月</w:t>
      </w:r>
      <w:r>
        <w:rPr>
          <w:rFonts w:ascii="Arial" w:hAnsi="Arial"/>
          <w:bCs/>
          <w:sz w:val="21"/>
          <w:szCs w:val="28"/>
        </w:rPr>
        <w:t>29</w:t>
      </w:r>
      <w:r>
        <w:rPr>
          <w:rFonts w:ascii="Arial" w:hAnsi="Arial"/>
          <w:bCs/>
          <w:sz w:val="21"/>
          <w:szCs w:val="28"/>
        </w:rPr>
        <w:t>日，</w:t>
      </w:r>
      <w:r>
        <w:rPr>
          <w:rFonts w:ascii="Arial" w:hAnsi="Arial" w:hint="eastAsia"/>
          <w:bCs/>
          <w:sz w:val="21"/>
          <w:szCs w:val="28"/>
        </w:rPr>
        <w:t>《</w:t>
      </w:r>
      <w:r>
        <w:rPr>
          <w:rFonts w:ascii="Arial" w:hAnsi="Arial"/>
          <w:bCs/>
          <w:sz w:val="21"/>
          <w:szCs w:val="28"/>
        </w:rPr>
        <w:t>北京市人民政府印发</w:t>
      </w:r>
      <w:r>
        <w:rPr>
          <w:rFonts w:ascii="Arial" w:hAnsi="Arial" w:hint="eastAsia"/>
          <w:bCs/>
          <w:sz w:val="21"/>
          <w:szCs w:val="28"/>
        </w:rPr>
        <w:t>〈北京市居住公共服务设施配置指标〉和〈北京市居住公共服务设施配置指标实施意见〉的通知》发布</w:t>
      </w:r>
      <w:r>
        <w:rPr>
          <w:rFonts w:ascii="Arial" w:hAnsi="Arial"/>
          <w:bCs/>
          <w:sz w:val="21"/>
          <w:szCs w:val="28"/>
        </w:rPr>
        <w:t>，对</w:t>
      </w:r>
      <w:r>
        <w:rPr>
          <w:rFonts w:ascii="Arial" w:hAnsi="Arial"/>
          <w:bCs/>
          <w:sz w:val="21"/>
          <w:szCs w:val="28"/>
        </w:rPr>
        <w:t>2015</w:t>
      </w:r>
      <w:r>
        <w:rPr>
          <w:rFonts w:ascii="Arial" w:hAnsi="Arial"/>
          <w:bCs/>
          <w:sz w:val="21"/>
          <w:szCs w:val="28"/>
        </w:rPr>
        <w:t>年印发的文件进行了全面修订</w:t>
      </w:r>
      <w:r>
        <w:rPr>
          <w:rFonts w:ascii="Arial" w:hAnsi="Arial" w:hint="eastAsia"/>
          <w:bCs/>
          <w:sz w:val="21"/>
          <w:szCs w:val="28"/>
        </w:rPr>
        <w:t>。《通知》</w:t>
      </w:r>
      <w:r>
        <w:rPr>
          <w:rFonts w:ascii="Arial" w:hAnsi="Arial"/>
          <w:bCs/>
          <w:sz w:val="21"/>
          <w:szCs w:val="28"/>
        </w:rPr>
        <w:t>于</w:t>
      </w:r>
      <w:r>
        <w:rPr>
          <w:rFonts w:ascii="Arial" w:hAnsi="Arial"/>
          <w:bCs/>
          <w:sz w:val="21"/>
          <w:szCs w:val="28"/>
        </w:rPr>
        <w:t>2025</w:t>
      </w:r>
      <w:r>
        <w:rPr>
          <w:rFonts w:ascii="Arial" w:hAnsi="Arial"/>
          <w:bCs/>
          <w:sz w:val="21"/>
          <w:szCs w:val="28"/>
        </w:rPr>
        <w:t>年</w:t>
      </w:r>
      <w:r>
        <w:rPr>
          <w:rFonts w:ascii="Arial" w:hAnsi="Arial"/>
          <w:bCs/>
          <w:sz w:val="21"/>
          <w:szCs w:val="28"/>
        </w:rPr>
        <w:t xml:space="preserve"> 12</w:t>
      </w:r>
      <w:r>
        <w:rPr>
          <w:rFonts w:ascii="Arial" w:hAnsi="Arial"/>
          <w:bCs/>
          <w:sz w:val="21"/>
          <w:szCs w:val="28"/>
        </w:rPr>
        <w:t>月</w:t>
      </w:r>
      <w:r>
        <w:rPr>
          <w:rFonts w:ascii="Arial" w:hAnsi="Arial"/>
          <w:bCs/>
          <w:sz w:val="21"/>
          <w:szCs w:val="28"/>
        </w:rPr>
        <w:t>1</w:t>
      </w:r>
      <w:r>
        <w:rPr>
          <w:rFonts w:ascii="Arial" w:hAnsi="Arial"/>
          <w:bCs/>
          <w:sz w:val="21"/>
          <w:szCs w:val="28"/>
        </w:rPr>
        <w:t>日起实施。鼓励空间复合利用，增设综合服务设施，将文体活动、党群服务设施指标统筹使用；增设托</w:t>
      </w:r>
      <w:proofErr w:type="gramStart"/>
      <w:r>
        <w:rPr>
          <w:rFonts w:ascii="Arial" w:hAnsi="Arial"/>
          <w:bCs/>
          <w:sz w:val="21"/>
          <w:szCs w:val="28"/>
        </w:rPr>
        <w:t>育设施</w:t>
      </w:r>
      <w:proofErr w:type="gramEnd"/>
      <w:r>
        <w:rPr>
          <w:rFonts w:ascii="Arial" w:hAnsi="Arial"/>
          <w:bCs/>
          <w:sz w:val="21"/>
          <w:szCs w:val="28"/>
        </w:rPr>
        <w:t>和老幼服务用房，强化</w:t>
      </w:r>
      <w:r>
        <w:rPr>
          <w:rFonts w:ascii="Arial" w:hAnsi="Arial"/>
          <w:bCs/>
          <w:sz w:val="21"/>
          <w:szCs w:val="28"/>
        </w:rPr>
        <w:t>“</w:t>
      </w:r>
      <w:r>
        <w:rPr>
          <w:rFonts w:ascii="Arial" w:hAnsi="Arial"/>
          <w:bCs/>
          <w:sz w:val="21"/>
          <w:szCs w:val="28"/>
        </w:rPr>
        <w:t>一老一小</w:t>
      </w:r>
      <w:r>
        <w:rPr>
          <w:rFonts w:ascii="Arial" w:hAnsi="Arial"/>
          <w:bCs/>
          <w:sz w:val="21"/>
          <w:szCs w:val="28"/>
        </w:rPr>
        <w:t>”</w:t>
      </w:r>
      <w:r>
        <w:rPr>
          <w:rFonts w:ascii="Arial" w:hAnsi="Arial"/>
          <w:bCs/>
          <w:sz w:val="21"/>
          <w:szCs w:val="28"/>
        </w:rPr>
        <w:t>服务功能；调整了停车指标，电动自行车原则在地上停放；增加末端物流设施、垃圾分类收集设施；增设社区</w:t>
      </w:r>
      <w:proofErr w:type="gramStart"/>
      <w:r>
        <w:rPr>
          <w:rFonts w:ascii="Arial" w:hAnsi="Arial"/>
          <w:bCs/>
          <w:sz w:val="21"/>
          <w:szCs w:val="28"/>
        </w:rPr>
        <w:t>级商业</w:t>
      </w:r>
      <w:proofErr w:type="gramEnd"/>
      <w:r>
        <w:rPr>
          <w:rFonts w:ascii="Arial" w:hAnsi="Arial"/>
          <w:bCs/>
          <w:sz w:val="21"/>
          <w:szCs w:val="28"/>
        </w:rPr>
        <w:t>设施</w:t>
      </w:r>
      <w:r>
        <w:rPr>
          <w:rFonts w:ascii="Arial" w:hAnsi="Arial" w:hint="eastAsia"/>
          <w:bCs/>
          <w:sz w:val="21"/>
          <w:szCs w:val="28"/>
        </w:rPr>
        <w:t>。</w:t>
      </w:r>
    </w:p>
    <w:p w14:paraId="30D3179B" w14:textId="77777777" w:rsidR="00000000" w:rsidRDefault="00000000">
      <w:pPr>
        <w:widowControl/>
        <w:adjustRightInd/>
        <w:spacing w:line="480" w:lineRule="auto"/>
        <w:ind w:firstLineChars="200" w:firstLine="420"/>
        <w:jc w:val="both"/>
        <w:rPr>
          <w:rFonts w:ascii="Arial" w:hAnsi="Arial" w:hint="eastAsia"/>
          <w:bCs/>
          <w:sz w:val="21"/>
          <w:szCs w:val="28"/>
        </w:rPr>
      </w:pPr>
      <w:r>
        <w:rPr>
          <w:rFonts w:ascii="Arial" w:hAnsi="Arial" w:hint="eastAsia"/>
          <w:bCs/>
          <w:sz w:val="21"/>
          <w:szCs w:val="28"/>
        </w:rPr>
        <w:t>2025</w:t>
      </w:r>
      <w:r>
        <w:rPr>
          <w:rFonts w:ascii="Arial" w:hAnsi="Arial" w:hint="eastAsia"/>
          <w:bCs/>
          <w:sz w:val="21"/>
          <w:szCs w:val="28"/>
        </w:rPr>
        <w:t>年</w:t>
      </w:r>
      <w:r>
        <w:rPr>
          <w:rFonts w:ascii="Arial" w:hAnsi="Arial" w:hint="eastAsia"/>
          <w:bCs/>
          <w:sz w:val="21"/>
          <w:szCs w:val="28"/>
        </w:rPr>
        <w:t>12</w:t>
      </w:r>
      <w:r>
        <w:rPr>
          <w:rFonts w:ascii="Arial" w:hAnsi="Arial" w:hint="eastAsia"/>
          <w:bCs/>
          <w:sz w:val="21"/>
          <w:szCs w:val="28"/>
        </w:rPr>
        <w:t>月</w:t>
      </w:r>
      <w:r>
        <w:rPr>
          <w:rFonts w:ascii="Arial" w:hAnsi="Arial" w:hint="eastAsia"/>
          <w:bCs/>
          <w:sz w:val="21"/>
          <w:szCs w:val="28"/>
        </w:rPr>
        <w:t>31</w:t>
      </w:r>
      <w:r>
        <w:rPr>
          <w:rFonts w:ascii="Arial" w:hAnsi="Arial" w:hint="eastAsia"/>
          <w:bCs/>
          <w:sz w:val="21"/>
          <w:szCs w:val="28"/>
        </w:rPr>
        <w:t>日，北京市规划和自然资源委员会和北京市住房和城乡建设委员会联合发布《关于印发〈北京市城市更新范围内无手续建筑认定处理指导意见（试行）〉的通知》，该文件</w:t>
      </w:r>
      <w:r>
        <w:rPr>
          <w:rFonts w:ascii="Arial" w:hAnsi="Arial"/>
          <w:bCs/>
          <w:sz w:val="21"/>
          <w:szCs w:val="28"/>
        </w:rPr>
        <w:t>属于《北京市城市更新条例》配套政策文件，旨在推动化解城市更新范围内部分现状建筑物因历史原因形成的</w:t>
      </w:r>
      <w:proofErr w:type="gramStart"/>
      <w:r>
        <w:rPr>
          <w:rFonts w:ascii="Arial" w:hAnsi="Arial"/>
          <w:bCs/>
          <w:sz w:val="21"/>
          <w:szCs w:val="28"/>
        </w:rPr>
        <w:t>无手续</w:t>
      </w:r>
      <w:proofErr w:type="gramEnd"/>
      <w:r>
        <w:rPr>
          <w:rFonts w:ascii="Arial" w:hAnsi="Arial"/>
          <w:bCs/>
          <w:sz w:val="21"/>
          <w:szCs w:val="28"/>
        </w:rPr>
        <w:t>或手续不完善问题，激励城市更新项目实施，进一步优化城市功能布局，促进存量空间资源提质增效，加快推进城市更新项目实施</w:t>
      </w:r>
      <w:r>
        <w:rPr>
          <w:rFonts w:ascii="Arial" w:hAnsi="Arial" w:hint="eastAsia"/>
          <w:bCs/>
          <w:sz w:val="21"/>
          <w:szCs w:val="28"/>
        </w:rPr>
        <w:t>。</w:t>
      </w:r>
    </w:p>
    <w:p w14:paraId="2D3D6ABA" w14:textId="77777777" w:rsidR="00000000" w:rsidRDefault="00000000">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6.</w:t>
      </w:r>
      <w:r>
        <w:rPr>
          <w:rFonts w:ascii="Arial" w:hAnsi="Arial" w:hint="eastAsia"/>
          <w:bCs/>
          <w:sz w:val="21"/>
          <w:szCs w:val="28"/>
        </w:rPr>
        <w:t>可预见未来</w:t>
      </w:r>
    </w:p>
    <w:p w14:paraId="28343E1C" w14:textId="77777777" w:rsidR="00000000" w:rsidRDefault="00000000">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展望</w:t>
      </w:r>
      <w:r>
        <w:rPr>
          <w:rFonts w:ascii="Arial" w:hAnsi="Arial"/>
          <w:bCs/>
          <w:sz w:val="21"/>
          <w:szCs w:val="28"/>
        </w:rPr>
        <w:t>2026</w:t>
      </w:r>
      <w:r>
        <w:rPr>
          <w:rFonts w:ascii="Arial" w:hAnsi="Arial"/>
          <w:bCs/>
          <w:sz w:val="21"/>
          <w:szCs w:val="28"/>
        </w:rPr>
        <w:t>年，办公楼市场将迎来近</w:t>
      </w:r>
      <w:r>
        <w:rPr>
          <w:rFonts w:ascii="Arial" w:hAnsi="Arial"/>
          <w:bCs/>
          <w:sz w:val="21"/>
          <w:szCs w:val="28"/>
        </w:rPr>
        <w:t>53</w:t>
      </w:r>
      <w:r>
        <w:rPr>
          <w:rFonts w:ascii="Arial" w:hAnsi="Arial"/>
          <w:bCs/>
          <w:sz w:val="21"/>
          <w:szCs w:val="28"/>
        </w:rPr>
        <w:t>万平方米的供应小高峰，竞争将从价格战转向物业综合价值的全面比拼。零售市场预计亦有超过</w:t>
      </w:r>
      <w:r>
        <w:rPr>
          <w:rFonts w:ascii="Arial" w:hAnsi="Arial"/>
          <w:bCs/>
          <w:sz w:val="21"/>
          <w:szCs w:val="28"/>
        </w:rPr>
        <w:t>50</w:t>
      </w:r>
      <w:r>
        <w:rPr>
          <w:rFonts w:ascii="Arial" w:hAnsi="Arial"/>
          <w:bCs/>
          <w:sz w:val="21"/>
          <w:szCs w:val="28"/>
        </w:rPr>
        <w:t>万平方米的新增供应入市，主题化、沉浸</w:t>
      </w:r>
      <w:proofErr w:type="gramStart"/>
      <w:r>
        <w:rPr>
          <w:rFonts w:ascii="Arial" w:hAnsi="Arial"/>
          <w:bCs/>
          <w:sz w:val="21"/>
          <w:szCs w:val="28"/>
        </w:rPr>
        <w:t>式项目</w:t>
      </w:r>
      <w:proofErr w:type="gramEnd"/>
      <w:r>
        <w:rPr>
          <w:rFonts w:ascii="Arial" w:hAnsi="Arial"/>
          <w:bCs/>
          <w:sz w:val="21"/>
          <w:szCs w:val="28"/>
        </w:rPr>
        <w:t>将成为差异化竞争的关键。整体而言，市场正从粗放扩张转向精细化、高质量运营的新阶段，具备强大产业锚定能力、卓越运营创新与内容</w:t>
      </w:r>
      <w:r>
        <w:rPr>
          <w:rFonts w:ascii="Arial" w:hAnsi="Arial"/>
          <w:bCs/>
          <w:sz w:val="21"/>
          <w:szCs w:val="28"/>
        </w:rPr>
        <w:t>IP</w:t>
      </w:r>
      <w:r>
        <w:rPr>
          <w:rFonts w:ascii="Arial" w:hAnsi="Arial"/>
          <w:bCs/>
          <w:sz w:val="21"/>
          <w:szCs w:val="28"/>
        </w:rPr>
        <w:t>的项目将赢得未来。</w:t>
      </w:r>
    </w:p>
    <w:p w14:paraId="773F7828" w14:textId="77777777" w:rsidR="00000000" w:rsidRDefault="00000000">
      <w:pPr>
        <w:spacing w:line="480" w:lineRule="auto"/>
        <w:jc w:val="both"/>
        <w:rPr>
          <w:rFonts w:ascii="Arial" w:hAnsi="Arial" w:cs="Arial"/>
          <w:b/>
          <w:bCs/>
          <w:color w:val="000000"/>
          <w:sz w:val="21"/>
          <w:szCs w:val="21"/>
        </w:rPr>
      </w:pPr>
      <w:r>
        <w:rPr>
          <w:rFonts w:ascii="Arial" w:hAnsi="Arial" w:cs="Arial"/>
          <w:b/>
          <w:bCs/>
          <w:color w:val="000000"/>
          <w:sz w:val="21"/>
          <w:szCs w:val="21"/>
        </w:rPr>
        <w:t>（二）估价对象所在区域相应用途房地产市场状况</w:t>
      </w:r>
    </w:p>
    <w:p w14:paraId="58F19B61" w14:textId="77777777" w:rsidR="00000000" w:rsidRDefault="00000000">
      <w:pPr>
        <w:widowControl/>
        <w:overflowPunct w:val="0"/>
        <w:adjustRightInd/>
        <w:spacing w:line="480" w:lineRule="auto"/>
        <w:ind w:firstLineChars="200" w:firstLine="420"/>
        <w:jc w:val="both"/>
        <w:textAlignment w:val="auto"/>
        <w:rPr>
          <w:rFonts w:ascii="Arial" w:hAnsi="Arial" w:hint="eastAsia"/>
          <w:sz w:val="21"/>
          <w:szCs w:val="28"/>
        </w:rPr>
      </w:pPr>
      <w:r>
        <w:rPr>
          <w:rFonts w:ascii="Arial" w:hAnsi="Arial" w:hint="eastAsia"/>
          <w:sz w:val="21"/>
          <w:szCs w:val="28"/>
        </w:rPr>
        <w:t>1.</w:t>
      </w:r>
      <w:r>
        <w:rPr>
          <w:rFonts w:ascii="Arial" w:hAnsi="Arial" w:hint="eastAsia"/>
          <w:sz w:val="21"/>
          <w:szCs w:val="28"/>
        </w:rPr>
        <w:t>区域概况</w:t>
      </w:r>
    </w:p>
    <w:p w14:paraId="47E2B406" w14:textId="77777777" w:rsidR="00000000" w:rsidRDefault="00000000">
      <w:pPr>
        <w:widowControl/>
        <w:overflowPunct w:val="0"/>
        <w:adjustRightInd/>
        <w:spacing w:line="480" w:lineRule="auto"/>
        <w:ind w:firstLineChars="200" w:firstLine="420"/>
        <w:jc w:val="both"/>
        <w:textAlignment w:val="auto"/>
        <w:rPr>
          <w:rFonts w:ascii="Arial" w:hAnsi="Arial" w:hint="eastAsia"/>
          <w:sz w:val="21"/>
          <w:szCs w:val="28"/>
        </w:rPr>
      </w:pPr>
      <w:r>
        <w:rPr>
          <w:rFonts w:ascii="Arial" w:hAnsi="Arial" w:hint="eastAsia"/>
          <w:sz w:val="21"/>
          <w:szCs w:val="28"/>
        </w:rPr>
        <w:t>房山区地处北京西南，辖区总面积</w:t>
      </w:r>
      <w:r>
        <w:rPr>
          <w:rFonts w:ascii="Arial" w:hAnsi="Arial" w:hint="eastAsia"/>
          <w:sz w:val="21"/>
          <w:szCs w:val="28"/>
        </w:rPr>
        <w:t>2019</w:t>
      </w:r>
      <w:r>
        <w:rPr>
          <w:rFonts w:ascii="Arial" w:hAnsi="Arial" w:hint="eastAsia"/>
          <w:sz w:val="21"/>
          <w:szCs w:val="28"/>
        </w:rPr>
        <w:t>平方公里，平原、丘陵、山区各占三分之一，下辖</w:t>
      </w:r>
      <w:r>
        <w:rPr>
          <w:rFonts w:ascii="Arial" w:hAnsi="Arial" w:hint="eastAsia"/>
          <w:sz w:val="21"/>
          <w:szCs w:val="28"/>
        </w:rPr>
        <w:t>28</w:t>
      </w:r>
      <w:r>
        <w:rPr>
          <w:rFonts w:ascii="Arial" w:hAnsi="Arial" w:hint="eastAsia"/>
          <w:sz w:val="21"/>
          <w:szCs w:val="28"/>
        </w:rPr>
        <w:t>个乡镇</w:t>
      </w:r>
      <w:r>
        <w:rPr>
          <w:rFonts w:ascii="Arial" w:hAnsi="Arial" w:hint="eastAsia"/>
          <w:sz w:val="21"/>
          <w:szCs w:val="28"/>
        </w:rPr>
        <w:t>(</w:t>
      </w:r>
      <w:r>
        <w:rPr>
          <w:rFonts w:ascii="Arial" w:hAnsi="Arial" w:hint="eastAsia"/>
          <w:sz w:val="21"/>
          <w:szCs w:val="28"/>
        </w:rPr>
        <w:t>街道</w:t>
      </w:r>
      <w:r>
        <w:rPr>
          <w:rFonts w:ascii="Arial" w:hAnsi="Arial" w:hint="eastAsia"/>
          <w:sz w:val="21"/>
          <w:szCs w:val="28"/>
        </w:rPr>
        <w:t>)</w:t>
      </w:r>
      <w:r>
        <w:rPr>
          <w:rFonts w:ascii="Arial" w:hAnsi="Arial" w:hint="eastAsia"/>
          <w:sz w:val="21"/>
          <w:szCs w:val="28"/>
        </w:rPr>
        <w:t>、</w:t>
      </w:r>
      <w:r>
        <w:rPr>
          <w:rFonts w:ascii="Arial" w:hAnsi="Arial" w:hint="eastAsia"/>
          <w:sz w:val="21"/>
          <w:szCs w:val="28"/>
        </w:rPr>
        <w:t>459</w:t>
      </w:r>
      <w:r>
        <w:rPr>
          <w:rFonts w:ascii="Arial" w:hAnsi="Arial" w:hint="eastAsia"/>
          <w:sz w:val="21"/>
          <w:szCs w:val="28"/>
        </w:rPr>
        <w:t>个行政村、</w:t>
      </w:r>
      <w:r>
        <w:rPr>
          <w:rFonts w:ascii="Arial" w:hAnsi="Arial" w:hint="eastAsia"/>
          <w:sz w:val="21"/>
          <w:szCs w:val="28"/>
        </w:rPr>
        <w:t>210</w:t>
      </w:r>
      <w:r>
        <w:rPr>
          <w:rFonts w:ascii="Arial" w:hAnsi="Arial" w:hint="eastAsia"/>
          <w:sz w:val="21"/>
          <w:szCs w:val="28"/>
        </w:rPr>
        <w:t>个社区居委会。</w:t>
      </w:r>
      <w:r>
        <w:rPr>
          <w:rFonts w:ascii="Arial" w:hAnsi="Arial" w:hint="eastAsia"/>
          <w:sz w:val="21"/>
          <w:szCs w:val="28"/>
        </w:rPr>
        <w:t>2021</w:t>
      </w:r>
      <w:r>
        <w:rPr>
          <w:rFonts w:ascii="Arial" w:hAnsi="Arial" w:hint="eastAsia"/>
          <w:sz w:val="21"/>
          <w:szCs w:val="28"/>
        </w:rPr>
        <w:t>年全区常住人口为</w:t>
      </w:r>
      <w:r>
        <w:rPr>
          <w:rFonts w:ascii="Arial" w:hAnsi="Arial" w:hint="eastAsia"/>
          <w:sz w:val="21"/>
          <w:szCs w:val="28"/>
        </w:rPr>
        <w:t>131.3</w:t>
      </w:r>
      <w:r>
        <w:rPr>
          <w:rFonts w:ascii="Arial" w:hAnsi="Arial" w:hint="eastAsia"/>
          <w:sz w:val="21"/>
          <w:szCs w:val="28"/>
        </w:rPr>
        <w:t>万人，与</w:t>
      </w:r>
      <w:r>
        <w:rPr>
          <w:rFonts w:ascii="Arial" w:hAnsi="Arial" w:hint="eastAsia"/>
          <w:sz w:val="21"/>
          <w:szCs w:val="28"/>
        </w:rPr>
        <w:t>2020</w:t>
      </w:r>
      <w:r>
        <w:rPr>
          <w:rFonts w:ascii="Arial" w:hAnsi="Arial" w:hint="eastAsia"/>
          <w:sz w:val="21"/>
          <w:szCs w:val="28"/>
        </w:rPr>
        <w:t>年持平。</w:t>
      </w:r>
    </w:p>
    <w:p w14:paraId="5F213793" w14:textId="77777777" w:rsidR="00000000" w:rsidRDefault="00000000">
      <w:pPr>
        <w:widowControl/>
        <w:overflowPunct w:val="0"/>
        <w:adjustRightInd/>
        <w:spacing w:line="480" w:lineRule="auto"/>
        <w:ind w:firstLineChars="200" w:firstLine="420"/>
        <w:jc w:val="both"/>
        <w:textAlignment w:val="auto"/>
        <w:rPr>
          <w:rFonts w:ascii="Arial" w:hAnsi="Arial"/>
          <w:sz w:val="21"/>
          <w:szCs w:val="28"/>
        </w:rPr>
      </w:pPr>
      <w:commentRangeStart w:id="60"/>
      <w:r>
        <w:rPr>
          <w:rFonts w:ascii="Arial" w:hAnsi="Arial" w:hint="eastAsia"/>
          <w:sz w:val="21"/>
          <w:szCs w:val="28"/>
        </w:rPr>
        <w:t>2021</w:t>
      </w:r>
      <w:r>
        <w:rPr>
          <w:rFonts w:ascii="Arial" w:hAnsi="Arial" w:hint="eastAsia"/>
          <w:sz w:val="21"/>
          <w:szCs w:val="28"/>
        </w:rPr>
        <w:t>年，全年实现地区生产总值</w:t>
      </w:r>
      <w:r>
        <w:rPr>
          <w:rFonts w:ascii="Arial" w:hAnsi="Arial" w:hint="eastAsia"/>
          <w:sz w:val="21"/>
          <w:szCs w:val="28"/>
        </w:rPr>
        <w:t>818.4</w:t>
      </w:r>
      <w:r>
        <w:rPr>
          <w:rFonts w:ascii="Arial" w:hAnsi="Arial" w:hint="eastAsia"/>
          <w:sz w:val="21"/>
          <w:szCs w:val="28"/>
        </w:rPr>
        <w:t>亿元</w:t>
      </w:r>
      <w:commentRangeEnd w:id="60"/>
      <w:r w:rsidR="00FD115F">
        <w:rPr>
          <w:rStyle w:val="af9"/>
        </w:rPr>
        <w:commentReference w:id="60"/>
      </w:r>
      <w:r>
        <w:rPr>
          <w:rFonts w:ascii="Arial" w:hAnsi="Arial" w:hint="eastAsia"/>
          <w:sz w:val="21"/>
          <w:szCs w:val="28"/>
        </w:rPr>
        <w:t>，不变价增长</w:t>
      </w:r>
      <w:r>
        <w:rPr>
          <w:rFonts w:ascii="Arial" w:hAnsi="Arial" w:hint="eastAsia"/>
          <w:sz w:val="21"/>
          <w:szCs w:val="28"/>
        </w:rPr>
        <w:t>7.7%</w:t>
      </w:r>
      <w:r>
        <w:rPr>
          <w:rFonts w:ascii="Arial" w:hAnsi="Arial" w:hint="eastAsia"/>
          <w:sz w:val="21"/>
          <w:szCs w:val="28"/>
        </w:rPr>
        <w:t>。房山区全年一般公共预算收入实现</w:t>
      </w:r>
      <w:r>
        <w:rPr>
          <w:rFonts w:ascii="Arial" w:hAnsi="Arial" w:hint="eastAsia"/>
          <w:sz w:val="21"/>
          <w:szCs w:val="28"/>
        </w:rPr>
        <w:t>85.5</w:t>
      </w:r>
      <w:r>
        <w:rPr>
          <w:rFonts w:ascii="Arial" w:hAnsi="Arial" w:hint="eastAsia"/>
          <w:sz w:val="21"/>
          <w:szCs w:val="28"/>
        </w:rPr>
        <w:t>亿元，同比增长</w:t>
      </w:r>
      <w:r>
        <w:rPr>
          <w:rFonts w:ascii="Arial" w:hAnsi="Arial" w:hint="eastAsia"/>
          <w:sz w:val="21"/>
          <w:szCs w:val="28"/>
        </w:rPr>
        <w:t>14%</w:t>
      </w:r>
      <w:r>
        <w:rPr>
          <w:rFonts w:ascii="Arial" w:hAnsi="Arial" w:hint="eastAsia"/>
          <w:sz w:val="21"/>
          <w:szCs w:val="28"/>
        </w:rPr>
        <w:t>；实现全区居民人均可支配收入</w:t>
      </w:r>
      <w:r>
        <w:rPr>
          <w:rFonts w:ascii="Arial" w:hAnsi="Arial" w:hint="eastAsia"/>
          <w:sz w:val="21"/>
          <w:szCs w:val="28"/>
        </w:rPr>
        <w:t>47594</w:t>
      </w:r>
      <w:r>
        <w:rPr>
          <w:rFonts w:ascii="Arial" w:hAnsi="Arial" w:hint="eastAsia"/>
          <w:sz w:val="21"/>
          <w:szCs w:val="28"/>
        </w:rPr>
        <w:t>元，同比增长</w:t>
      </w:r>
      <w:r>
        <w:rPr>
          <w:rFonts w:ascii="Arial" w:hAnsi="Arial" w:hint="eastAsia"/>
          <w:sz w:val="21"/>
          <w:szCs w:val="28"/>
        </w:rPr>
        <w:t>8%</w:t>
      </w:r>
      <w:r>
        <w:rPr>
          <w:rFonts w:ascii="Arial" w:hAnsi="Arial" w:hint="eastAsia"/>
          <w:sz w:val="21"/>
          <w:szCs w:val="28"/>
        </w:rPr>
        <w:t>；固定资产投</w:t>
      </w:r>
      <w:r>
        <w:rPr>
          <w:rFonts w:ascii="Arial" w:hAnsi="Arial" w:hint="eastAsia"/>
          <w:sz w:val="21"/>
          <w:szCs w:val="28"/>
        </w:rPr>
        <w:lastRenderedPageBreak/>
        <w:t>资同比增长</w:t>
      </w:r>
      <w:r>
        <w:rPr>
          <w:rFonts w:ascii="Arial" w:hAnsi="Arial" w:hint="eastAsia"/>
          <w:sz w:val="21"/>
          <w:szCs w:val="28"/>
        </w:rPr>
        <w:t>5.2%</w:t>
      </w:r>
      <w:r>
        <w:rPr>
          <w:rFonts w:ascii="Arial" w:hAnsi="Arial" w:hint="eastAsia"/>
          <w:sz w:val="21"/>
          <w:szCs w:val="28"/>
        </w:rPr>
        <w:t>；社会消费品零售总额实现</w:t>
      </w:r>
      <w:r>
        <w:rPr>
          <w:rFonts w:ascii="Arial" w:hAnsi="Arial" w:hint="eastAsia"/>
          <w:sz w:val="21"/>
          <w:szCs w:val="28"/>
        </w:rPr>
        <w:t>373.9</w:t>
      </w:r>
      <w:r>
        <w:rPr>
          <w:rFonts w:ascii="Arial" w:hAnsi="Arial" w:hint="eastAsia"/>
          <w:sz w:val="21"/>
          <w:szCs w:val="28"/>
        </w:rPr>
        <w:t>亿元，同比增长</w:t>
      </w:r>
      <w:r>
        <w:rPr>
          <w:rFonts w:ascii="Arial" w:hAnsi="Arial" w:hint="eastAsia"/>
          <w:sz w:val="21"/>
          <w:szCs w:val="28"/>
        </w:rPr>
        <w:t>9.5%</w:t>
      </w:r>
      <w:r>
        <w:rPr>
          <w:rFonts w:ascii="Arial" w:hAnsi="Arial" w:hint="eastAsia"/>
          <w:sz w:val="21"/>
          <w:szCs w:val="28"/>
        </w:rPr>
        <w:t>。城镇登记失业率</w:t>
      </w:r>
      <w:r>
        <w:rPr>
          <w:rFonts w:ascii="Arial" w:hAnsi="Arial" w:hint="eastAsia"/>
          <w:sz w:val="21"/>
          <w:szCs w:val="28"/>
        </w:rPr>
        <w:t>3.3%</w:t>
      </w:r>
      <w:r>
        <w:rPr>
          <w:rFonts w:ascii="Arial" w:hAnsi="Arial" w:hint="eastAsia"/>
          <w:sz w:val="21"/>
          <w:szCs w:val="28"/>
        </w:rPr>
        <w:t>，始终控制在</w:t>
      </w:r>
      <w:r>
        <w:rPr>
          <w:rFonts w:ascii="Arial" w:hAnsi="Arial" w:hint="eastAsia"/>
          <w:sz w:val="21"/>
          <w:szCs w:val="28"/>
        </w:rPr>
        <w:t>4%</w:t>
      </w:r>
      <w:r>
        <w:rPr>
          <w:rFonts w:ascii="Arial" w:hAnsi="Arial" w:hint="eastAsia"/>
          <w:sz w:val="21"/>
          <w:szCs w:val="28"/>
        </w:rPr>
        <w:t>以下。</w:t>
      </w:r>
    </w:p>
    <w:p w14:paraId="185DE3BD" w14:textId="77777777" w:rsidR="00000000" w:rsidRDefault="00000000">
      <w:pPr>
        <w:widowControl/>
        <w:overflowPunct w:val="0"/>
        <w:adjustRightInd/>
        <w:spacing w:line="480" w:lineRule="auto"/>
        <w:ind w:firstLineChars="200" w:firstLine="420"/>
        <w:jc w:val="both"/>
        <w:textAlignment w:val="auto"/>
        <w:rPr>
          <w:rFonts w:ascii="Arial" w:hAnsi="Arial" w:hint="eastAsia"/>
          <w:sz w:val="21"/>
          <w:szCs w:val="28"/>
        </w:rPr>
      </w:pPr>
      <w:r>
        <w:rPr>
          <w:rFonts w:ascii="Arial" w:hAnsi="Arial" w:hint="eastAsia"/>
          <w:sz w:val="21"/>
          <w:szCs w:val="28"/>
        </w:rPr>
        <w:t>2.</w:t>
      </w:r>
      <w:r>
        <w:rPr>
          <w:rFonts w:ascii="Arial" w:hAnsi="Arial" w:hint="eastAsia"/>
          <w:sz w:val="21"/>
          <w:szCs w:val="28"/>
        </w:rPr>
        <w:t>区域商业用房房地产市场状况</w:t>
      </w:r>
    </w:p>
    <w:p w14:paraId="64F67B43" w14:textId="77777777" w:rsidR="00000000" w:rsidRDefault="00000000">
      <w:pPr>
        <w:spacing w:line="480" w:lineRule="auto"/>
        <w:ind w:firstLineChars="200" w:firstLine="420"/>
        <w:jc w:val="both"/>
        <w:rPr>
          <w:rFonts w:ascii="Arial" w:hAnsi="Arial" w:cs="Arial"/>
          <w:b/>
          <w:bCs/>
          <w:sz w:val="21"/>
          <w:szCs w:val="21"/>
        </w:rPr>
      </w:pPr>
      <w:r>
        <w:rPr>
          <w:rFonts w:ascii="Arial" w:hAnsi="Arial" w:hint="eastAsia"/>
          <w:sz w:val="21"/>
          <w:szCs w:val="28"/>
        </w:rPr>
        <w:t>估价对象</w:t>
      </w:r>
      <w:r>
        <w:rPr>
          <w:rFonts w:ascii="Arial" w:hAnsi="Arial" w:hint="eastAsia"/>
          <w:kern w:val="2"/>
          <w:sz w:val="21"/>
        </w:rPr>
        <w:t>所属项目</w:t>
      </w:r>
      <w:r>
        <w:rPr>
          <w:rFonts w:ascii="Arial" w:hAnsi="Arial" w:hint="eastAsia"/>
          <w:sz w:val="21"/>
          <w:szCs w:val="28"/>
        </w:rPr>
        <w:t>位于</w:t>
      </w:r>
      <w:r>
        <w:rPr>
          <w:rFonts w:ascii="Arial" w:hAnsi="Arial" w:hint="eastAsia"/>
          <w:bCs/>
          <w:sz w:val="21"/>
        </w:rPr>
        <w:t>北京市房山区长于大街与良乡东路交口东北角</w:t>
      </w:r>
      <w:r>
        <w:rPr>
          <w:rFonts w:ascii="Arial" w:hAnsi="Arial" w:hint="eastAsia"/>
          <w:kern w:val="2"/>
          <w:sz w:val="21"/>
        </w:rPr>
        <w:t>，地处良乡大学城商</w:t>
      </w:r>
      <w:proofErr w:type="gramStart"/>
      <w:r>
        <w:rPr>
          <w:rFonts w:ascii="Arial" w:hAnsi="Arial" w:hint="eastAsia"/>
          <w:kern w:val="2"/>
          <w:sz w:val="21"/>
        </w:rPr>
        <w:t>圈核心</w:t>
      </w:r>
      <w:proofErr w:type="gramEnd"/>
      <w:r>
        <w:rPr>
          <w:rFonts w:ascii="Arial" w:hAnsi="Arial" w:hint="eastAsia"/>
          <w:kern w:val="2"/>
          <w:sz w:val="21"/>
        </w:rPr>
        <w:t>位置，直通地铁房山线——良乡大学城北站。</w:t>
      </w:r>
      <w:commentRangeStart w:id="61"/>
      <w:r>
        <w:rPr>
          <w:rFonts w:ascii="Arial" w:hAnsi="Arial" w:cs="Arial" w:hint="eastAsia"/>
          <w:bCs/>
          <w:sz w:val="21"/>
        </w:rPr>
        <w:t>周边</w:t>
      </w:r>
      <w:r>
        <w:rPr>
          <w:rFonts w:ascii="Arial" w:hAnsi="Arial" w:cs="Arial" w:hint="eastAsia"/>
          <w:bCs/>
          <w:sz w:val="21"/>
        </w:rPr>
        <w:t>3</w:t>
      </w:r>
      <w:r>
        <w:rPr>
          <w:rFonts w:ascii="Arial" w:hAnsi="Arial" w:cs="Arial" w:hint="eastAsia"/>
          <w:bCs/>
          <w:sz w:val="21"/>
        </w:rPr>
        <w:t>公里范围内无大型购物中心</w:t>
      </w:r>
      <w:commentRangeEnd w:id="61"/>
      <w:r w:rsidR="00FD115F">
        <w:rPr>
          <w:rStyle w:val="af9"/>
        </w:rPr>
        <w:commentReference w:id="61"/>
      </w:r>
      <w:r>
        <w:rPr>
          <w:rFonts w:ascii="Arial" w:hAnsi="Arial" w:cs="Arial" w:hint="eastAsia"/>
          <w:bCs/>
          <w:sz w:val="21"/>
        </w:rPr>
        <w:t>，多以社区底商为主</w:t>
      </w:r>
      <w:r>
        <w:rPr>
          <w:rFonts w:ascii="Arial" w:hAnsi="Arial" w:cs="Arial" w:hint="eastAsia"/>
          <w:sz w:val="21"/>
          <w:szCs w:val="21"/>
        </w:rPr>
        <w:t>，</w:t>
      </w:r>
      <w:r>
        <w:rPr>
          <w:rFonts w:ascii="Arial" w:hAnsi="Arial" w:cs="Arial"/>
          <w:sz w:val="21"/>
          <w:szCs w:val="21"/>
        </w:rPr>
        <w:t>人流量</w:t>
      </w:r>
      <w:r>
        <w:rPr>
          <w:rFonts w:ascii="Arial" w:hAnsi="Arial" w:cs="Arial" w:hint="eastAsia"/>
          <w:sz w:val="21"/>
          <w:szCs w:val="21"/>
        </w:rPr>
        <w:t>较少</w:t>
      </w:r>
      <w:r>
        <w:rPr>
          <w:rFonts w:ascii="Arial" w:hAnsi="Arial" w:cs="Arial"/>
          <w:sz w:val="21"/>
          <w:szCs w:val="21"/>
        </w:rPr>
        <w:t>，商业繁华度</w:t>
      </w:r>
      <w:r>
        <w:rPr>
          <w:rFonts w:ascii="Arial" w:hAnsi="Arial" w:cs="Arial" w:hint="eastAsia"/>
          <w:sz w:val="21"/>
          <w:szCs w:val="21"/>
        </w:rPr>
        <w:t>一般。</w:t>
      </w:r>
      <w:r>
        <w:rPr>
          <w:rFonts w:ascii="Arial" w:hAnsi="Arial" w:hint="eastAsia"/>
          <w:sz w:val="21"/>
          <w:szCs w:val="28"/>
        </w:rPr>
        <w:t>据调查，估价对象周边</w:t>
      </w:r>
      <w:r>
        <w:rPr>
          <w:rFonts w:ascii="Arial" w:hAnsi="Arial" w:hint="eastAsia"/>
          <w:sz w:val="21"/>
          <w:szCs w:val="28"/>
        </w:rPr>
        <w:t>1</w:t>
      </w:r>
      <w:r>
        <w:rPr>
          <w:rFonts w:ascii="Arial" w:hAnsi="Arial" w:hint="eastAsia"/>
          <w:sz w:val="21"/>
          <w:szCs w:val="28"/>
        </w:rPr>
        <w:t>层商业用房销售价格约为</w:t>
      </w:r>
      <w:r>
        <w:rPr>
          <w:rFonts w:ascii="Arial" w:hAnsi="Arial"/>
          <w:sz w:val="21"/>
          <w:szCs w:val="28"/>
        </w:rPr>
        <w:t>10</w:t>
      </w:r>
      <w:r>
        <w:rPr>
          <w:rFonts w:ascii="Arial" w:hAnsi="Arial" w:hint="eastAsia"/>
          <w:sz w:val="21"/>
          <w:szCs w:val="28"/>
        </w:rPr>
        <w:t>000-</w:t>
      </w:r>
      <w:r>
        <w:rPr>
          <w:rFonts w:ascii="Arial" w:hAnsi="Arial"/>
          <w:sz w:val="21"/>
          <w:szCs w:val="28"/>
        </w:rPr>
        <w:t>16</w:t>
      </w:r>
      <w:r>
        <w:rPr>
          <w:rFonts w:ascii="Arial" w:hAnsi="Arial" w:hint="eastAsia"/>
          <w:sz w:val="21"/>
          <w:szCs w:val="28"/>
        </w:rPr>
        <w:t>000</w:t>
      </w:r>
      <w:r>
        <w:rPr>
          <w:rFonts w:ascii="Arial" w:hAnsi="Arial" w:hint="eastAsia"/>
          <w:sz w:val="21"/>
          <w:szCs w:val="28"/>
        </w:rPr>
        <w:t>元</w:t>
      </w:r>
      <w:r>
        <w:rPr>
          <w:rFonts w:ascii="Arial" w:hAnsi="Arial" w:hint="eastAsia"/>
          <w:sz w:val="21"/>
          <w:szCs w:val="28"/>
        </w:rPr>
        <w:t>/</w:t>
      </w:r>
      <w:r>
        <w:rPr>
          <w:rFonts w:ascii="Arial" w:hAnsi="Arial" w:hint="eastAsia"/>
          <w:sz w:val="21"/>
          <w:szCs w:val="28"/>
        </w:rPr>
        <w:t>建筑平方米，周边</w:t>
      </w:r>
      <w:r>
        <w:rPr>
          <w:rFonts w:ascii="Arial" w:hAnsi="Arial" w:hint="eastAsia"/>
          <w:sz w:val="21"/>
          <w:szCs w:val="28"/>
        </w:rPr>
        <w:t>1</w:t>
      </w:r>
      <w:r>
        <w:rPr>
          <w:rFonts w:ascii="Arial" w:hAnsi="Arial" w:hint="eastAsia"/>
          <w:sz w:val="21"/>
          <w:szCs w:val="28"/>
        </w:rPr>
        <w:t>层商业用房房地产租赁价格区间在</w:t>
      </w:r>
      <w:r>
        <w:rPr>
          <w:rFonts w:ascii="Arial" w:hAnsi="Arial"/>
          <w:sz w:val="21"/>
          <w:szCs w:val="28"/>
        </w:rPr>
        <w:t>2.5</w:t>
      </w:r>
      <w:r>
        <w:rPr>
          <w:rFonts w:ascii="Arial" w:hAnsi="Arial" w:hint="eastAsia"/>
          <w:sz w:val="21"/>
          <w:szCs w:val="28"/>
        </w:rPr>
        <w:t>-</w:t>
      </w:r>
      <w:r>
        <w:rPr>
          <w:rFonts w:ascii="Arial" w:hAnsi="Arial"/>
          <w:sz w:val="21"/>
          <w:szCs w:val="28"/>
        </w:rPr>
        <w:t>3.5</w:t>
      </w:r>
      <w:r>
        <w:rPr>
          <w:rFonts w:ascii="Arial" w:hAnsi="Arial" w:hint="eastAsia"/>
          <w:sz w:val="21"/>
          <w:szCs w:val="28"/>
        </w:rPr>
        <w:t>元</w:t>
      </w:r>
      <w:r>
        <w:rPr>
          <w:rFonts w:ascii="Arial" w:hAnsi="Arial" w:hint="eastAsia"/>
          <w:sz w:val="21"/>
          <w:szCs w:val="28"/>
        </w:rPr>
        <w:t>/</w:t>
      </w:r>
      <w:r>
        <w:rPr>
          <w:rFonts w:ascii="Arial" w:hAnsi="Arial" w:hint="eastAsia"/>
          <w:sz w:val="21"/>
          <w:szCs w:val="28"/>
        </w:rPr>
        <w:t>建筑面积平方米·天。</w:t>
      </w:r>
    </w:p>
    <w:p w14:paraId="5EE39C9E" w14:textId="77777777" w:rsidR="00000000" w:rsidRDefault="00000000">
      <w:pPr>
        <w:pStyle w:val="2"/>
        <w:numPr>
          <w:ilvl w:val="0"/>
          <w:numId w:val="0"/>
        </w:numPr>
        <w:spacing w:line="480" w:lineRule="auto"/>
        <w:ind w:left="358" w:hangingChars="170" w:hanging="358"/>
        <w:jc w:val="both"/>
        <w:rPr>
          <w:rFonts w:eastAsia="宋体"/>
          <w:kern w:val="2"/>
          <w:sz w:val="21"/>
          <w:szCs w:val="21"/>
        </w:rPr>
      </w:pPr>
      <w:bookmarkStart w:id="62" w:name="_Toc477252460"/>
      <w:r>
        <w:rPr>
          <w:rFonts w:eastAsia="宋体"/>
          <w:kern w:val="2"/>
          <w:sz w:val="21"/>
          <w:szCs w:val="21"/>
        </w:rPr>
        <w:t>三、估价对象最高</w:t>
      </w:r>
      <w:proofErr w:type="gramStart"/>
      <w:r>
        <w:rPr>
          <w:rFonts w:eastAsia="宋体"/>
          <w:kern w:val="2"/>
          <w:sz w:val="21"/>
          <w:szCs w:val="21"/>
        </w:rPr>
        <w:t>最佳利用</w:t>
      </w:r>
      <w:proofErr w:type="gramEnd"/>
      <w:r>
        <w:rPr>
          <w:rFonts w:eastAsia="宋体"/>
          <w:kern w:val="2"/>
          <w:sz w:val="21"/>
          <w:szCs w:val="21"/>
        </w:rPr>
        <w:t>分析</w:t>
      </w:r>
      <w:bookmarkEnd w:id="62"/>
    </w:p>
    <w:p w14:paraId="5CFC4D16"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Pr>
          <w:rFonts w:ascii="Arial" w:hAnsi="Arial" w:cs="Arial" w:hint="eastAsia"/>
          <w:sz w:val="21"/>
          <w:szCs w:val="21"/>
        </w:rPr>
        <w:t>:</w:t>
      </w:r>
    </w:p>
    <w:p w14:paraId="56263037" w14:textId="77777777" w:rsidR="00000000" w:rsidRDefault="00000000">
      <w:pPr>
        <w:pStyle w:val="Normal"/>
        <w:autoSpaceDE w:val="0"/>
        <w:autoSpaceDN w:val="0"/>
        <w:spacing w:line="480" w:lineRule="auto"/>
        <w:ind w:right="140"/>
        <w:jc w:val="both"/>
        <w:textAlignment w:val="bottom"/>
        <w:rPr>
          <w:rFonts w:ascii="Arial" w:hAnsi="Arial" w:cs="Arial" w:hint="eastAsia"/>
          <w:b/>
          <w:sz w:val="21"/>
          <w:szCs w:val="21"/>
        </w:rPr>
      </w:pPr>
      <w:r>
        <w:rPr>
          <w:rFonts w:ascii="Arial" w:hAnsi="Arial" w:cs="Arial"/>
          <w:b/>
          <w:sz w:val="21"/>
          <w:szCs w:val="21"/>
        </w:rPr>
        <w:t>（一）法律上允许</w:t>
      </w:r>
      <w:r>
        <w:rPr>
          <w:rFonts w:ascii="Arial" w:hAnsi="Arial" w:cs="Arial" w:hint="eastAsia"/>
          <w:b/>
          <w:sz w:val="21"/>
          <w:szCs w:val="21"/>
        </w:rPr>
        <w:t>（</w:t>
      </w:r>
      <w:r>
        <w:rPr>
          <w:rFonts w:ascii="Arial" w:hAnsi="Arial" w:cs="Arial"/>
          <w:b/>
          <w:sz w:val="21"/>
          <w:szCs w:val="21"/>
        </w:rPr>
        <w:t>规划及相关政策法规许可</w:t>
      </w:r>
      <w:r>
        <w:rPr>
          <w:rFonts w:ascii="Arial" w:hAnsi="Arial" w:cs="Arial" w:hint="eastAsia"/>
          <w:b/>
          <w:sz w:val="21"/>
          <w:szCs w:val="21"/>
        </w:rPr>
        <w:t>）</w:t>
      </w:r>
    </w:p>
    <w:p w14:paraId="1214850D"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法律上允许即不受现时使用状况的限制，而依照法律规章、规划发展方向，按照其可能的最优用途进行估价，截至价值时点，估价对象</w:t>
      </w:r>
      <w:r>
        <w:rPr>
          <w:rFonts w:ascii="Arial" w:hAnsi="Arial" w:cs="Arial" w:hint="eastAsia"/>
          <w:sz w:val="21"/>
          <w:szCs w:val="21"/>
        </w:rPr>
        <w:t>042</w:t>
      </w:r>
      <w:r>
        <w:rPr>
          <w:rFonts w:ascii="Arial" w:hAnsi="Arial" w:cs="Arial" w:hint="eastAsia"/>
          <w:sz w:val="21"/>
          <w:szCs w:val="21"/>
        </w:rPr>
        <w:t>地块及</w:t>
      </w:r>
      <w:r>
        <w:rPr>
          <w:rFonts w:ascii="Arial" w:hAnsi="Arial" w:cs="Arial" w:hint="eastAsia"/>
          <w:sz w:val="21"/>
          <w:szCs w:val="21"/>
        </w:rPr>
        <w:t>044</w:t>
      </w:r>
      <w:r>
        <w:rPr>
          <w:rFonts w:ascii="Arial" w:hAnsi="Arial" w:cs="Arial" w:hint="eastAsia"/>
          <w:sz w:val="21"/>
          <w:szCs w:val="21"/>
        </w:rPr>
        <w:t>地块地下部分</w:t>
      </w:r>
      <w:r>
        <w:rPr>
          <w:rFonts w:ascii="Arial" w:hAnsi="Arial" w:cs="Arial"/>
          <w:sz w:val="21"/>
          <w:szCs w:val="21"/>
        </w:rPr>
        <w:t>已取得《不动产权证书》</w:t>
      </w:r>
      <w:r>
        <w:rPr>
          <w:rFonts w:ascii="Arial" w:hAnsi="Arial" w:cs="Arial" w:hint="eastAsia"/>
          <w:sz w:val="21"/>
          <w:szCs w:val="21"/>
        </w:rPr>
        <w:t>，土地用途为</w:t>
      </w:r>
      <w:r>
        <w:rPr>
          <w:rFonts w:ascii="Arial" w:hAnsi="Arial" w:cs="Arial" w:hint="eastAsia"/>
          <w:kern w:val="2"/>
          <w:sz w:val="21"/>
          <w:szCs w:val="21"/>
        </w:rPr>
        <w:t>商业，房屋用途为商业，</w:t>
      </w:r>
      <w:r>
        <w:rPr>
          <w:rFonts w:ascii="Arial" w:hAnsi="Arial" w:cs="Arial" w:hint="eastAsia"/>
          <w:sz w:val="21"/>
          <w:szCs w:val="21"/>
        </w:rPr>
        <w:t>044</w:t>
      </w:r>
      <w:r>
        <w:rPr>
          <w:rFonts w:ascii="Arial" w:hAnsi="Arial" w:cs="Arial" w:hint="eastAsia"/>
          <w:sz w:val="21"/>
          <w:szCs w:val="21"/>
        </w:rPr>
        <w:t>地块地上部分尚未取得《不动产权证书》</w:t>
      </w:r>
      <w:r>
        <w:rPr>
          <w:rFonts w:ascii="Arial" w:hAnsi="Arial" w:cs="Arial"/>
          <w:sz w:val="21"/>
          <w:szCs w:val="21"/>
        </w:rPr>
        <w:t>。</w:t>
      </w:r>
      <w:r>
        <w:rPr>
          <w:rFonts w:ascii="Arial" w:hAnsi="Arial" w:cs="Arial" w:hint="eastAsia"/>
          <w:sz w:val="21"/>
          <w:szCs w:val="21"/>
        </w:rPr>
        <w:t>根据《估价委托书》，本次评估设定</w:t>
      </w:r>
      <w:r>
        <w:rPr>
          <w:rFonts w:ascii="Arial" w:hAnsi="Arial" w:cs="Arial" w:hint="eastAsia"/>
          <w:kern w:val="2"/>
          <w:sz w:val="21"/>
          <w:szCs w:val="21"/>
        </w:rPr>
        <w:t>估价对象的用途符合法律允许及规划要求</w:t>
      </w:r>
      <w:r>
        <w:rPr>
          <w:rFonts w:ascii="Arial" w:hAnsi="Arial" w:cs="Arial"/>
          <w:sz w:val="21"/>
          <w:szCs w:val="21"/>
        </w:rPr>
        <w:t>。</w:t>
      </w:r>
    </w:p>
    <w:p w14:paraId="3840F9BF" w14:textId="77777777" w:rsidR="00000000" w:rsidRDefault="00000000">
      <w:pPr>
        <w:pStyle w:val="Normal"/>
        <w:autoSpaceDE w:val="0"/>
        <w:autoSpaceDN w:val="0"/>
        <w:spacing w:line="480" w:lineRule="auto"/>
        <w:ind w:right="142"/>
        <w:jc w:val="both"/>
        <w:textAlignment w:val="bottom"/>
        <w:rPr>
          <w:rFonts w:ascii="Arial" w:hAnsi="Arial" w:cs="Arial" w:hint="eastAsia"/>
          <w:b/>
          <w:sz w:val="21"/>
          <w:szCs w:val="21"/>
        </w:rPr>
      </w:pPr>
      <w:r>
        <w:rPr>
          <w:rFonts w:ascii="Arial" w:hAnsi="Arial" w:cs="Arial"/>
          <w:b/>
          <w:sz w:val="21"/>
          <w:szCs w:val="21"/>
        </w:rPr>
        <w:t>（二）技术上可能</w:t>
      </w:r>
    </w:p>
    <w:p w14:paraId="2FB9ECCE" w14:textId="77777777" w:rsidR="00000000" w:rsidRDefault="00000000">
      <w:pPr>
        <w:pStyle w:val="Normal"/>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技术上可能</w:t>
      </w:r>
      <w:r>
        <w:rPr>
          <w:rFonts w:ascii="Arial" w:hAnsi="Arial" w:cs="Arial"/>
          <w:sz w:val="21"/>
          <w:szCs w:val="21"/>
        </w:rPr>
        <w:t>即不能把技术上无法做到的使用当作最高最佳使用</w:t>
      </w:r>
      <w:r>
        <w:rPr>
          <w:rFonts w:ascii="Arial" w:hAnsi="Arial" w:cs="Arial" w:hint="eastAsia"/>
          <w:sz w:val="21"/>
          <w:szCs w:val="21"/>
        </w:rPr>
        <w:t>,</w:t>
      </w:r>
      <w:r>
        <w:rPr>
          <w:rFonts w:ascii="Arial" w:hAnsi="Arial" w:cs="Arial"/>
          <w:sz w:val="21"/>
          <w:szCs w:val="21"/>
        </w:rPr>
        <w:t>要按照房屋建筑工程方面的技术要求进行估价。截至价值时点，估价对象</w:t>
      </w:r>
      <w:r>
        <w:rPr>
          <w:rFonts w:ascii="Arial" w:hAnsi="Arial" w:cs="Arial" w:hint="eastAsia"/>
          <w:sz w:val="21"/>
          <w:szCs w:val="21"/>
        </w:rPr>
        <w:t>042</w:t>
      </w:r>
      <w:r>
        <w:rPr>
          <w:rFonts w:ascii="Arial" w:hAnsi="Arial" w:cs="Arial" w:hint="eastAsia"/>
          <w:sz w:val="21"/>
          <w:szCs w:val="21"/>
        </w:rPr>
        <w:t>地块及</w:t>
      </w:r>
      <w:r>
        <w:rPr>
          <w:rFonts w:ascii="Arial" w:hAnsi="Arial" w:cs="Arial" w:hint="eastAsia"/>
          <w:sz w:val="21"/>
          <w:szCs w:val="21"/>
        </w:rPr>
        <w:t>044</w:t>
      </w:r>
      <w:r>
        <w:rPr>
          <w:rFonts w:ascii="Arial" w:hAnsi="Arial" w:cs="Arial" w:hint="eastAsia"/>
          <w:sz w:val="21"/>
          <w:szCs w:val="21"/>
        </w:rPr>
        <w:t>地块地下部分</w:t>
      </w:r>
      <w:r>
        <w:rPr>
          <w:rFonts w:ascii="Arial" w:hAnsi="Arial" w:cs="Arial"/>
          <w:sz w:val="21"/>
          <w:szCs w:val="21"/>
        </w:rPr>
        <w:t>已取得《不动产权证书》</w:t>
      </w:r>
      <w:r>
        <w:rPr>
          <w:rFonts w:ascii="Arial" w:hAnsi="Arial" w:cs="Arial" w:hint="eastAsia"/>
          <w:sz w:val="21"/>
          <w:szCs w:val="21"/>
        </w:rPr>
        <w:t>，</w:t>
      </w:r>
      <w:r>
        <w:rPr>
          <w:rFonts w:ascii="Arial" w:hAnsi="Arial" w:cs="Arial" w:hint="eastAsia"/>
          <w:sz w:val="21"/>
          <w:szCs w:val="21"/>
        </w:rPr>
        <w:t>044</w:t>
      </w:r>
      <w:r>
        <w:rPr>
          <w:rFonts w:ascii="Arial" w:hAnsi="Arial" w:cs="Arial" w:hint="eastAsia"/>
          <w:sz w:val="21"/>
          <w:szCs w:val="21"/>
        </w:rPr>
        <w:t>地块地上部分尚未取得《不动产权证书》</w:t>
      </w:r>
      <w:r>
        <w:rPr>
          <w:rFonts w:ascii="Arial" w:hAnsi="Arial" w:cs="Arial"/>
          <w:sz w:val="21"/>
          <w:szCs w:val="21"/>
        </w:rPr>
        <w:t>，</w:t>
      </w:r>
      <w:r>
        <w:rPr>
          <w:rFonts w:ascii="Arial" w:hAnsi="Arial" w:cs="Arial" w:hint="eastAsia"/>
          <w:sz w:val="21"/>
          <w:szCs w:val="21"/>
        </w:rPr>
        <w:t>根据《估价委托书》，本次评估设定</w:t>
      </w:r>
      <w:r>
        <w:rPr>
          <w:rFonts w:ascii="Arial" w:hAnsi="Arial" w:cs="Arial"/>
          <w:sz w:val="21"/>
          <w:szCs w:val="21"/>
        </w:rPr>
        <w:t>估价对象建筑结构、功能、造型、立面效果、建筑材料和设备选用、施工技术等方面均已得到相关行政部门或第三方的认可，技术上均能满足要求。</w:t>
      </w:r>
    </w:p>
    <w:p w14:paraId="0ABE5B34" w14:textId="77777777" w:rsidR="00000000" w:rsidRDefault="00000000">
      <w:pPr>
        <w:pStyle w:val="Normal"/>
        <w:autoSpaceDE w:val="0"/>
        <w:autoSpaceDN w:val="0"/>
        <w:spacing w:line="480" w:lineRule="auto"/>
        <w:ind w:right="142"/>
        <w:jc w:val="both"/>
        <w:textAlignment w:val="bottom"/>
        <w:rPr>
          <w:rFonts w:ascii="Arial" w:hAnsi="Arial" w:cs="Arial" w:hint="eastAsia"/>
          <w:b/>
          <w:sz w:val="21"/>
          <w:szCs w:val="21"/>
        </w:rPr>
      </w:pPr>
      <w:r>
        <w:rPr>
          <w:rFonts w:ascii="Arial" w:hAnsi="Arial" w:cs="Arial"/>
          <w:b/>
          <w:sz w:val="21"/>
          <w:szCs w:val="21"/>
        </w:rPr>
        <w:lastRenderedPageBreak/>
        <w:t>（三）经济上可行</w:t>
      </w:r>
    </w:p>
    <w:p w14:paraId="43BD8E7E" w14:textId="77777777" w:rsidR="00000000" w:rsidRDefault="00000000">
      <w:pPr>
        <w:pStyle w:val="Normal"/>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5A103EE1" w14:textId="77777777" w:rsidR="00000000" w:rsidRDefault="00000000">
      <w:pPr>
        <w:pStyle w:val="Normal"/>
        <w:autoSpaceDE w:val="0"/>
        <w:autoSpaceDN w:val="0"/>
        <w:spacing w:line="480" w:lineRule="auto"/>
        <w:ind w:right="140"/>
        <w:jc w:val="both"/>
        <w:textAlignment w:val="bottom"/>
        <w:rPr>
          <w:rFonts w:ascii="Arial" w:hAnsi="Arial" w:cs="Arial" w:hint="eastAsia"/>
          <w:b/>
          <w:sz w:val="21"/>
          <w:szCs w:val="21"/>
        </w:rPr>
      </w:pPr>
      <w:r>
        <w:rPr>
          <w:rFonts w:ascii="Arial" w:hAnsi="Arial" w:cs="Arial"/>
          <w:b/>
          <w:sz w:val="21"/>
          <w:szCs w:val="21"/>
        </w:rPr>
        <w:t>（四）价值最大化</w:t>
      </w:r>
    </w:p>
    <w:p w14:paraId="3C49260A"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价值最大化</w:t>
      </w:r>
      <w:r>
        <w:rPr>
          <w:rFonts w:ascii="Arial" w:hAnsi="Arial" w:cs="Arial"/>
          <w:sz w:val="21"/>
          <w:szCs w:val="21"/>
        </w:rPr>
        <w:t>即在所有具有经济可行性的使用方式中，能使估价对象价值达到最大的使用方式，才是最高最佳的使用方式。</w:t>
      </w:r>
      <w:r>
        <w:rPr>
          <w:rFonts w:ascii="Arial" w:hAnsi="Arial" w:cs="Arial"/>
          <w:color w:val="000000"/>
          <w:sz w:val="21"/>
          <w:szCs w:val="21"/>
        </w:rPr>
        <w:t>估价对象</w:t>
      </w:r>
      <w:r>
        <w:rPr>
          <w:rFonts w:ascii="Arial" w:hAnsi="Arial" w:cs="Arial" w:hint="eastAsia"/>
          <w:color w:val="000000"/>
          <w:sz w:val="21"/>
          <w:szCs w:val="21"/>
        </w:rPr>
        <w:t>的</w:t>
      </w:r>
      <w:r>
        <w:rPr>
          <w:rFonts w:ascii="Arial" w:hAnsi="Arial" w:cs="Arial"/>
          <w:color w:val="000000"/>
          <w:sz w:val="21"/>
          <w:szCs w:val="21"/>
        </w:rPr>
        <w:t>使用方式满足法律上许可、技术上可能、经济上可行，可使估价对象价值得到最大化</w:t>
      </w:r>
      <w:r>
        <w:rPr>
          <w:rFonts w:ascii="Arial" w:hAnsi="Arial" w:cs="Arial"/>
          <w:sz w:val="21"/>
          <w:szCs w:val="21"/>
        </w:rPr>
        <w:t>。</w:t>
      </w:r>
    </w:p>
    <w:p w14:paraId="5D45217A" w14:textId="77777777" w:rsidR="00000000" w:rsidRDefault="00000000">
      <w:pPr>
        <w:pStyle w:val="Normal"/>
        <w:autoSpaceDE w:val="0"/>
        <w:autoSpaceDN w:val="0"/>
        <w:spacing w:line="480" w:lineRule="auto"/>
        <w:ind w:right="140"/>
        <w:jc w:val="both"/>
        <w:textAlignment w:val="bottom"/>
        <w:rPr>
          <w:rFonts w:ascii="Arial" w:hAnsi="Arial" w:cs="Arial" w:hint="eastAsia"/>
          <w:b/>
          <w:sz w:val="21"/>
          <w:szCs w:val="21"/>
        </w:rPr>
      </w:pPr>
      <w:r>
        <w:rPr>
          <w:rFonts w:ascii="Arial" w:hAnsi="Arial" w:cs="Arial"/>
          <w:b/>
          <w:sz w:val="21"/>
          <w:szCs w:val="21"/>
        </w:rPr>
        <w:t>（五）使用前提说明与分析</w:t>
      </w:r>
    </w:p>
    <w:p w14:paraId="402228FA"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98AC89F" w14:textId="77777777" w:rsidR="00000000" w:rsidRDefault="00000000">
      <w:pPr>
        <w:spacing w:line="480" w:lineRule="auto"/>
        <w:ind w:firstLineChars="200" w:firstLine="420"/>
        <w:jc w:val="both"/>
        <w:rPr>
          <w:rFonts w:ascii="Arial" w:hAnsi="Arial" w:cs="Arial"/>
          <w:sz w:val="21"/>
          <w:szCs w:val="21"/>
        </w:rPr>
      </w:pPr>
      <w:r>
        <w:rPr>
          <w:rFonts w:ascii="Arial" w:hAnsi="Arial" w:cs="Arial"/>
          <w:sz w:val="21"/>
          <w:szCs w:val="21"/>
        </w:rPr>
        <w:t>综上所述，我们认为估价对象用途</w:t>
      </w:r>
      <w:r>
        <w:rPr>
          <w:rFonts w:ascii="Arial" w:hAnsi="Arial" w:cs="Arial" w:hint="eastAsia"/>
          <w:sz w:val="21"/>
          <w:szCs w:val="21"/>
        </w:rPr>
        <w:t>为商业</w:t>
      </w:r>
      <w:r>
        <w:rPr>
          <w:rFonts w:ascii="Arial" w:hAnsi="Arial" w:cs="Arial"/>
          <w:sz w:val="21"/>
          <w:szCs w:val="21"/>
        </w:rPr>
        <w:t>为其最高最佳使用途径。</w:t>
      </w:r>
    </w:p>
    <w:p w14:paraId="5C3F78BE" w14:textId="77777777" w:rsidR="00000000" w:rsidRDefault="00000000">
      <w:pPr>
        <w:spacing w:line="480" w:lineRule="auto"/>
        <w:ind w:firstLineChars="200" w:firstLine="420"/>
        <w:jc w:val="both"/>
        <w:rPr>
          <w:rFonts w:ascii="Arial" w:hAnsi="Arial" w:cs="Arial"/>
          <w:sz w:val="21"/>
          <w:szCs w:val="21"/>
        </w:rPr>
      </w:pPr>
    </w:p>
    <w:p w14:paraId="0A07E9F8" w14:textId="77777777" w:rsidR="00000000" w:rsidRDefault="00000000">
      <w:pPr>
        <w:pStyle w:val="2"/>
        <w:numPr>
          <w:ilvl w:val="0"/>
          <w:numId w:val="0"/>
        </w:numPr>
        <w:spacing w:line="480" w:lineRule="auto"/>
        <w:ind w:left="358" w:hangingChars="170" w:hanging="358"/>
        <w:jc w:val="both"/>
        <w:rPr>
          <w:rFonts w:eastAsia="宋体"/>
          <w:kern w:val="2"/>
          <w:sz w:val="21"/>
          <w:szCs w:val="21"/>
        </w:rPr>
      </w:pPr>
      <w:bookmarkStart w:id="63" w:name="_Toc477252461"/>
      <w:r>
        <w:rPr>
          <w:rFonts w:eastAsia="宋体"/>
          <w:kern w:val="2"/>
          <w:sz w:val="21"/>
          <w:szCs w:val="21"/>
        </w:rPr>
        <w:t>四、估价方法适用性分析</w:t>
      </w:r>
      <w:bookmarkEnd w:id="63"/>
    </w:p>
    <w:p w14:paraId="6CA77382"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由于本次评估是</w:t>
      </w:r>
      <w:r>
        <w:rPr>
          <w:rFonts w:ascii="Arial" w:hAnsi="Arial" w:hint="eastAsia"/>
          <w:kern w:val="2"/>
          <w:sz w:val="21"/>
        </w:rPr>
        <w:t>为估价委托人了解估价对象房地产市场租金水平提供参考依据</w:t>
      </w:r>
      <w:r>
        <w:rPr>
          <w:rFonts w:ascii="Arial" w:hAnsi="Arial" w:cs="Arial"/>
          <w:sz w:val="21"/>
          <w:szCs w:val="21"/>
        </w:rPr>
        <w:t>，因此评估专业人员在认真分析研究估价对象的相关资料，并通过对邻近地区同类物业调查的基础上，确定如下技术路线</w:t>
      </w:r>
      <w:r>
        <w:rPr>
          <w:rFonts w:ascii="Arial" w:hAnsi="Arial" w:cs="Arial" w:hint="eastAsia"/>
          <w:sz w:val="21"/>
          <w:szCs w:val="21"/>
        </w:rPr>
        <w:t>：</w:t>
      </w:r>
      <w:r>
        <w:rPr>
          <w:rFonts w:ascii="Arial" w:hAnsi="Arial" w:cs="Arial"/>
          <w:sz w:val="21"/>
          <w:szCs w:val="21"/>
        </w:rPr>
        <w:t>首先，根据《房地产估价规范》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的估价程序采用</w:t>
      </w:r>
      <w:r>
        <w:rPr>
          <w:rFonts w:ascii="Arial" w:hAnsi="Arial" w:cs="Arial" w:hint="eastAsia"/>
          <w:sz w:val="21"/>
          <w:szCs w:val="21"/>
        </w:rPr>
        <w:t>比较法</w:t>
      </w:r>
      <w:r>
        <w:rPr>
          <w:rFonts w:ascii="Arial" w:hAnsi="Arial" w:cs="Arial"/>
          <w:sz w:val="21"/>
          <w:szCs w:val="21"/>
        </w:rPr>
        <w:t>求</w:t>
      </w:r>
      <w:r>
        <w:rPr>
          <w:rFonts w:ascii="Arial" w:hAnsi="Arial" w:hint="eastAsia"/>
          <w:kern w:val="2"/>
          <w:sz w:val="21"/>
        </w:rPr>
        <w:t>求取</w:t>
      </w:r>
      <w:r>
        <w:rPr>
          <w:rFonts w:ascii="Arial" w:hAnsi="Arial" w:cs="Arial" w:hint="eastAsia"/>
          <w:sz w:val="21"/>
          <w:szCs w:val="28"/>
        </w:rPr>
        <w:t>估价对象</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sz w:val="21"/>
          <w:szCs w:val="28"/>
        </w:rPr>
        <w:t>号楼</w:t>
      </w:r>
      <w:r>
        <w:rPr>
          <w:rFonts w:ascii="Arial" w:hAnsi="Arial" w:cs="Arial" w:hint="eastAsia"/>
          <w:sz w:val="21"/>
          <w:szCs w:val="28"/>
        </w:rPr>
        <w:t>1</w:t>
      </w:r>
      <w:r>
        <w:rPr>
          <w:rFonts w:ascii="Arial" w:hAnsi="Arial" w:cs="Arial" w:hint="eastAsia"/>
          <w:sz w:val="21"/>
          <w:szCs w:val="28"/>
        </w:rPr>
        <w:t>层商业用房</w:t>
      </w:r>
      <w:r>
        <w:rPr>
          <w:rFonts w:ascii="Arial" w:hAnsi="Arial" w:hint="eastAsia"/>
          <w:kern w:val="2"/>
          <w:sz w:val="21"/>
        </w:rPr>
        <w:t>房地产市场租金水平</w:t>
      </w:r>
      <w:r>
        <w:rPr>
          <w:rFonts w:ascii="Arial" w:hAnsi="Arial" w:cs="Arial"/>
          <w:sz w:val="21"/>
          <w:szCs w:val="21"/>
        </w:rPr>
        <w:t>。</w:t>
      </w:r>
      <w:r>
        <w:rPr>
          <w:rFonts w:ascii="Arial" w:hAnsi="Arial" w:hint="eastAsia"/>
          <w:kern w:val="2"/>
          <w:sz w:val="21"/>
        </w:rPr>
        <w:t>其次，通过楼层、可视性、通达性、层高、使用率、平面布局等因素修正，</w:t>
      </w:r>
      <w:r>
        <w:rPr>
          <w:rFonts w:ascii="Arial" w:hAnsi="Arial" w:cs="Arial" w:hint="eastAsia"/>
          <w:sz w:val="21"/>
          <w:szCs w:val="28"/>
        </w:rPr>
        <w:t>求取估价对象各楼层商业用房房地产市场租金水平</w:t>
      </w:r>
      <w:r>
        <w:rPr>
          <w:rFonts w:ascii="Arial" w:hAnsi="Arial" w:cs="Arial"/>
          <w:sz w:val="21"/>
          <w:szCs w:val="21"/>
        </w:rPr>
        <w:t>。</w:t>
      </w:r>
    </w:p>
    <w:p w14:paraId="6F0726B4" w14:textId="77777777" w:rsidR="00000000" w:rsidRDefault="00000000">
      <w:pPr>
        <w:pStyle w:val="Normal"/>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0064B790"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lastRenderedPageBreak/>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32E2BFA4" w14:textId="77777777" w:rsidR="00000000" w:rsidRDefault="00000000">
      <w:pPr>
        <w:pStyle w:val="Normal"/>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3FDED67D" w14:textId="77777777" w:rsidR="00000000" w:rsidRDefault="00000000">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62D74E74" w14:textId="77777777" w:rsidR="00000000" w:rsidRDefault="00000000">
      <w:pPr>
        <w:pStyle w:val="Normal"/>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78E99832"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hint="eastAsia"/>
          <w:color w:val="000000"/>
          <w:sz w:val="21"/>
          <w:szCs w:val="21"/>
        </w:rPr>
      </w:pPr>
      <w:r>
        <w:rPr>
          <w:rFonts w:ascii="Arial" w:hAnsi="Arial" w:cs="Arial"/>
          <w:color w:val="000000"/>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3480B11F"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hint="eastAsia"/>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），估价方法的选用要求及应用条件如下：</w:t>
      </w:r>
    </w:p>
    <w:tbl>
      <w:tblPr>
        <w:tblW w:w="92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1134"/>
        <w:gridCol w:w="2410"/>
        <w:gridCol w:w="5755"/>
      </w:tblGrid>
      <w:tr w:rsidR="00000000" w14:paraId="44DA6FD0" w14:textId="77777777">
        <w:trPr>
          <w:cantSplit/>
          <w:jc w:val="center"/>
        </w:trPr>
        <w:tc>
          <w:tcPr>
            <w:tcW w:w="1134" w:type="dxa"/>
          </w:tcPr>
          <w:p w14:paraId="4817CEF3"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估价方法</w:t>
            </w:r>
          </w:p>
        </w:tc>
        <w:tc>
          <w:tcPr>
            <w:tcW w:w="2410" w:type="dxa"/>
          </w:tcPr>
          <w:p w14:paraId="546B0E34"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选用要求</w:t>
            </w:r>
          </w:p>
        </w:tc>
        <w:tc>
          <w:tcPr>
            <w:tcW w:w="5755" w:type="dxa"/>
          </w:tcPr>
          <w:p w14:paraId="2A0CB722"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应用</w:t>
            </w:r>
          </w:p>
        </w:tc>
      </w:tr>
      <w:tr w:rsidR="00000000" w14:paraId="77339C9D" w14:textId="77777777">
        <w:trPr>
          <w:cantSplit/>
          <w:jc w:val="center"/>
        </w:trPr>
        <w:tc>
          <w:tcPr>
            <w:tcW w:w="1134" w:type="dxa"/>
            <w:vMerge w:val="restart"/>
          </w:tcPr>
          <w:p w14:paraId="0B005DF3"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比较法</w:t>
            </w:r>
          </w:p>
        </w:tc>
        <w:tc>
          <w:tcPr>
            <w:tcW w:w="2410" w:type="dxa"/>
            <w:vMerge w:val="restart"/>
          </w:tcPr>
          <w:p w14:paraId="2820EF85"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估价对象的同类房地产有较多交易的，应选用比较法</w:t>
            </w:r>
          </w:p>
        </w:tc>
        <w:tc>
          <w:tcPr>
            <w:tcW w:w="5755" w:type="dxa"/>
          </w:tcPr>
          <w:p w14:paraId="12919CA8"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适用物业：同类房地产数量较多、经常发生交易且具有一定的可比性的房地产，如：住宅（特别是数量较多、可比性较好的存量成套住宅）；写字楼；商铺；标准厂房；房地产开发用地等。</w:t>
            </w:r>
          </w:p>
        </w:tc>
      </w:tr>
      <w:tr w:rsidR="00000000" w14:paraId="6F174F71" w14:textId="77777777">
        <w:trPr>
          <w:cantSplit/>
          <w:jc w:val="center"/>
        </w:trPr>
        <w:tc>
          <w:tcPr>
            <w:tcW w:w="1134" w:type="dxa"/>
            <w:vMerge/>
          </w:tcPr>
          <w:p w14:paraId="120C2D19"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p>
        </w:tc>
        <w:tc>
          <w:tcPr>
            <w:tcW w:w="2410" w:type="dxa"/>
            <w:vMerge/>
          </w:tcPr>
          <w:p w14:paraId="782AC782"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p>
        </w:tc>
        <w:tc>
          <w:tcPr>
            <w:tcW w:w="5755" w:type="dxa"/>
          </w:tcPr>
          <w:p w14:paraId="1C34C59B"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不适用物业：</w:t>
            </w:r>
          </w:p>
          <w:p w14:paraId="2F8D9D0F"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同类房地产数量很少的房地产，如：特殊厂房、机场、码头、博物馆、教堂、寺庙、古建筑等</w:t>
            </w:r>
            <w:r>
              <w:rPr>
                <w:rFonts w:ascii="Arial" w:eastAsia="华文细黑" w:hAnsi="Arial" w:cs="Arial" w:hint="eastAsia"/>
                <w:sz w:val="18"/>
                <w:szCs w:val="21"/>
              </w:rPr>
              <w:t>;</w:t>
            </w:r>
          </w:p>
          <w:p w14:paraId="66CF0271"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很少发生交易的房地产，如：学校、医院、行政办公楼等</w:t>
            </w:r>
            <w:r>
              <w:rPr>
                <w:rFonts w:ascii="Arial" w:eastAsia="华文细黑" w:hAnsi="Arial" w:cs="Arial" w:hint="eastAsia"/>
                <w:sz w:val="18"/>
                <w:szCs w:val="21"/>
              </w:rPr>
              <w:t>;</w:t>
            </w:r>
          </w:p>
          <w:p w14:paraId="2E9D9985"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可比性很差的房地产，如：在建工程等。</w:t>
            </w:r>
          </w:p>
        </w:tc>
      </w:tr>
      <w:tr w:rsidR="00000000" w14:paraId="6331C996" w14:textId="77777777">
        <w:trPr>
          <w:cantSplit/>
          <w:jc w:val="center"/>
        </w:trPr>
        <w:tc>
          <w:tcPr>
            <w:tcW w:w="1134" w:type="dxa"/>
            <w:vMerge w:val="restart"/>
          </w:tcPr>
          <w:p w14:paraId="6C4F90DE"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lastRenderedPageBreak/>
              <w:t>收益法</w:t>
            </w:r>
          </w:p>
        </w:tc>
        <w:tc>
          <w:tcPr>
            <w:tcW w:w="2410" w:type="dxa"/>
            <w:vMerge w:val="restart"/>
          </w:tcPr>
          <w:p w14:paraId="4375875D"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估价对象或其同类房地产通常有租金等经济收人的，应选用收益法</w:t>
            </w:r>
          </w:p>
        </w:tc>
        <w:tc>
          <w:tcPr>
            <w:tcW w:w="5755" w:type="dxa"/>
          </w:tcPr>
          <w:p w14:paraId="0ED6D839"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适用物业：同类房地产通常有租金等经济收人的收益性房地产，包括：住宅、写字楼、商店、酒店、餐馆、游乐场、影剧院、停车场、汽车加油站、标准厂房</w:t>
            </w:r>
            <w:r>
              <w:rPr>
                <w:rFonts w:ascii="Arial" w:eastAsia="华文细黑" w:hAnsi="Arial" w:cs="Arial" w:hint="eastAsia"/>
                <w:sz w:val="18"/>
                <w:szCs w:val="21"/>
              </w:rPr>
              <w:t>(</w:t>
            </w:r>
            <w:r>
              <w:rPr>
                <w:rFonts w:ascii="Arial" w:eastAsia="华文细黑" w:hAnsi="Arial" w:cs="Arial" w:hint="eastAsia"/>
                <w:sz w:val="18"/>
                <w:szCs w:val="21"/>
              </w:rPr>
              <w:t>用于出租的</w:t>
            </w:r>
            <w:r>
              <w:rPr>
                <w:rFonts w:ascii="Arial" w:eastAsia="华文细黑" w:hAnsi="Arial" w:cs="Arial" w:hint="eastAsia"/>
                <w:sz w:val="18"/>
                <w:szCs w:val="21"/>
              </w:rPr>
              <w:t>)</w:t>
            </w:r>
            <w:r>
              <w:rPr>
                <w:rFonts w:ascii="Arial" w:eastAsia="华文细黑" w:hAnsi="Arial" w:cs="Arial" w:hint="eastAsia"/>
                <w:sz w:val="18"/>
                <w:szCs w:val="21"/>
              </w:rPr>
              <w:t>、仓库</w:t>
            </w:r>
            <w:r>
              <w:rPr>
                <w:rFonts w:ascii="Arial" w:eastAsia="华文细黑" w:hAnsi="Arial" w:cs="Arial" w:hint="eastAsia"/>
                <w:sz w:val="18"/>
                <w:szCs w:val="21"/>
              </w:rPr>
              <w:t>(</w:t>
            </w:r>
            <w:r>
              <w:rPr>
                <w:rFonts w:ascii="Arial" w:eastAsia="华文细黑" w:hAnsi="Arial" w:cs="Arial" w:hint="eastAsia"/>
                <w:sz w:val="18"/>
                <w:szCs w:val="21"/>
              </w:rPr>
              <w:t>用于出租的</w:t>
            </w:r>
            <w:r>
              <w:rPr>
                <w:rFonts w:ascii="Arial" w:eastAsia="华文细黑" w:hAnsi="Arial" w:cs="Arial" w:hint="eastAsia"/>
                <w:sz w:val="18"/>
                <w:szCs w:val="21"/>
              </w:rPr>
              <w:t>)</w:t>
            </w:r>
            <w:r>
              <w:rPr>
                <w:rFonts w:ascii="Arial" w:eastAsia="华文细黑" w:hAnsi="Arial" w:cs="Arial" w:hint="eastAsia"/>
                <w:sz w:val="18"/>
                <w:szCs w:val="21"/>
              </w:rPr>
              <w:t>、农地等。</w:t>
            </w:r>
          </w:p>
        </w:tc>
      </w:tr>
      <w:tr w:rsidR="00000000" w14:paraId="1650D8A4" w14:textId="77777777">
        <w:trPr>
          <w:cantSplit/>
          <w:jc w:val="center"/>
        </w:trPr>
        <w:tc>
          <w:tcPr>
            <w:tcW w:w="1134" w:type="dxa"/>
            <w:vMerge/>
          </w:tcPr>
          <w:p w14:paraId="080F7941"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p>
        </w:tc>
        <w:tc>
          <w:tcPr>
            <w:tcW w:w="2410" w:type="dxa"/>
            <w:vMerge/>
          </w:tcPr>
          <w:p w14:paraId="54AB6C75"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p>
        </w:tc>
        <w:tc>
          <w:tcPr>
            <w:tcW w:w="5755" w:type="dxa"/>
          </w:tcPr>
          <w:p w14:paraId="4F6CA709"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不适用物业：行政办公楼、学校、公园等公用、公益性房地产。</w:t>
            </w:r>
          </w:p>
        </w:tc>
      </w:tr>
      <w:tr w:rsidR="00000000" w14:paraId="45A79A30" w14:textId="77777777">
        <w:trPr>
          <w:cantSplit/>
          <w:jc w:val="center"/>
        </w:trPr>
        <w:tc>
          <w:tcPr>
            <w:tcW w:w="1134" w:type="dxa"/>
          </w:tcPr>
          <w:p w14:paraId="3693D349"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成本法</w:t>
            </w:r>
          </w:p>
        </w:tc>
        <w:tc>
          <w:tcPr>
            <w:tcW w:w="2410" w:type="dxa"/>
          </w:tcPr>
          <w:p w14:paraId="601D6AD7"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估价对象可假定为独立的开发建设项目进行重新开发建设的，宜选用成本法</w:t>
            </w:r>
            <w:r>
              <w:rPr>
                <w:rFonts w:ascii="Arial" w:eastAsia="华文细黑" w:hAnsi="Arial" w:cs="Arial" w:hint="eastAsia"/>
                <w:sz w:val="18"/>
                <w:szCs w:val="21"/>
              </w:rPr>
              <w:t>;</w:t>
            </w:r>
            <w:r>
              <w:rPr>
                <w:rFonts w:ascii="Arial" w:eastAsia="华文细黑" w:hAnsi="Arial" w:cs="Arial" w:hint="eastAsia"/>
                <w:sz w:val="18"/>
                <w:szCs w:val="21"/>
              </w:rPr>
              <w:t>当估价对象的同类房地产没有交易或交易很少，且估价对象或其同类房地产没有租金等经济收人时，应选用成本法。</w:t>
            </w:r>
          </w:p>
        </w:tc>
        <w:tc>
          <w:tcPr>
            <w:tcW w:w="5755" w:type="dxa"/>
          </w:tcPr>
          <w:p w14:paraId="63989358"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适用物业：</w:t>
            </w:r>
          </w:p>
          <w:p w14:paraId="6F597D9E"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新近开发完成的房地产</w:t>
            </w:r>
            <w:r>
              <w:rPr>
                <w:rFonts w:ascii="Arial" w:eastAsia="华文细黑" w:hAnsi="Arial" w:cs="Arial" w:hint="eastAsia"/>
                <w:sz w:val="18"/>
                <w:szCs w:val="21"/>
              </w:rPr>
              <w:t>(</w:t>
            </w:r>
            <w:r>
              <w:rPr>
                <w:rFonts w:ascii="Arial" w:eastAsia="华文细黑" w:hAnsi="Arial" w:cs="Arial" w:hint="eastAsia"/>
                <w:sz w:val="18"/>
                <w:szCs w:val="21"/>
              </w:rPr>
              <w:t>简称新开发的房地产</w:t>
            </w:r>
            <w:r>
              <w:rPr>
                <w:rFonts w:ascii="Arial" w:eastAsia="华文细黑" w:hAnsi="Arial" w:cs="Arial" w:hint="eastAsia"/>
                <w:sz w:val="18"/>
                <w:szCs w:val="21"/>
              </w:rPr>
              <w:t>)</w:t>
            </w:r>
            <w:r>
              <w:rPr>
                <w:rFonts w:ascii="Arial" w:eastAsia="华文细黑" w:hAnsi="Arial" w:cs="Arial" w:hint="eastAsia"/>
                <w:sz w:val="18"/>
                <w:szCs w:val="21"/>
              </w:rPr>
              <w:t>、可以假设重新开发的现有房地产</w:t>
            </w:r>
            <w:r>
              <w:rPr>
                <w:rFonts w:ascii="Arial" w:eastAsia="华文细黑" w:hAnsi="Arial" w:cs="Arial" w:hint="eastAsia"/>
                <w:sz w:val="18"/>
                <w:szCs w:val="21"/>
              </w:rPr>
              <w:t>(</w:t>
            </w:r>
            <w:r>
              <w:rPr>
                <w:rFonts w:ascii="Arial" w:eastAsia="华文细黑" w:hAnsi="Arial" w:cs="Arial" w:hint="eastAsia"/>
                <w:sz w:val="18"/>
                <w:szCs w:val="21"/>
              </w:rPr>
              <w:t>简称旧的房地产</w:t>
            </w:r>
            <w:r>
              <w:rPr>
                <w:rFonts w:ascii="Arial" w:eastAsia="华文细黑" w:hAnsi="Arial" w:cs="Arial" w:hint="eastAsia"/>
                <w:sz w:val="18"/>
                <w:szCs w:val="21"/>
              </w:rPr>
              <w:t>)</w:t>
            </w:r>
            <w:r>
              <w:rPr>
                <w:rFonts w:ascii="Arial" w:eastAsia="华文细黑" w:hAnsi="Arial" w:cs="Arial" w:hint="eastAsia"/>
                <w:sz w:val="18"/>
                <w:szCs w:val="21"/>
              </w:rPr>
              <w:t>、正在开发的房地产</w:t>
            </w:r>
          </w:p>
          <w:p w14:paraId="573510C1"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w:t>
            </w:r>
            <w:r>
              <w:rPr>
                <w:rFonts w:ascii="Arial" w:eastAsia="华文细黑" w:hAnsi="Arial" w:cs="Arial" w:hint="eastAsia"/>
                <w:sz w:val="18"/>
                <w:szCs w:val="21"/>
              </w:rPr>
              <w:t>即在建工程</w:t>
            </w:r>
            <w:r>
              <w:rPr>
                <w:rFonts w:ascii="Arial" w:eastAsia="华文细黑" w:hAnsi="Arial" w:cs="Arial" w:hint="eastAsia"/>
                <w:sz w:val="18"/>
                <w:szCs w:val="21"/>
              </w:rPr>
              <w:t>)</w:t>
            </w:r>
            <w:r>
              <w:rPr>
                <w:rFonts w:ascii="Arial" w:eastAsia="华文细黑" w:hAnsi="Arial" w:cs="Arial" w:hint="eastAsia"/>
                <w:sz w:val="18"/>
                <w:szCs w:val="21"/>
              </w:rPr>
              <w:t>、计划开发的房地产</w:t>
            </w:r>
            <w:r>
              <w:rPr>
                <w:rFonts w:ascii="Arial" w:eastAsia="华文细黑" w:hAnsi="Arial" w:cs="Arial" w:hint="eastAsia"/>
                <w:sz w:val="18"/>
                <w:szCs w:val="21"/>
              </w:rPr>
              <w:t>(</w:t>
            </w:r>
            <w:r>
              <w:rPr>
                <w:rFonts w:ascii="Arial" w:eastAsia="华文细黑" w:hAnsi="Arial" w:cs="Arial" w:hint="eastAsia"/>
                <w:sz w:val="18"/>
                <w:szCs w:val="21"/>
              </w:rPr>
              <w:t>如期房</w:t>
            </w:r>
            <w:r>
              <w:rPr>
                <w:rFonts w:ascii="Arial" w:eastAsia="华文细黑" w:hAnsi="Arial" w:cs="Arial" w:hint="eastAsia"/>
                <w:sz w:val="18"/>
                <w:szCs w:val="21"/>
              </w:rPr>
              <w:t>)</w:t>
            </w:r>
            <w:r>
              <w:rPr>
                <w:rFonts w:ascii="Arial" w:eastAsia="华文细黑" w:hAnsi="Arial" w:cs="Arial" w:hint="eastAsia"/>
                <w:sz w:val="18"/>
                <w:szCs w:val="21"/>
              </w:rPr>
              <w:t>。</w:t>
            </w:r>
          </w:p>
          <w:p w14:paraId="29D0ADC8"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很少发生交易而限制了比较法运用，又没有经济收入或没有潜在经济收入而限制了收益法运用的房地产，如：学校、医院、图书馆、体育场馆、公园、行政办公楼、军队营房等以公益、公用为目的的房地产，化工厂、钢铁厂、发电厂、油田、码头、机场之类有独特设计或只针对特定使用者的特殊需要而开发建设的房地产。</w:t>
            </w:r>
          </w:p>
        </w:tc>
      </w:tr>
      <w:tr w:rsidR="00000000" w14:paraId="10751426" w14:textId="77777777">
        <w:trPr>
          <w:cantSplit/>
          <w:jc w:val="center"/>
        </w:trPr>
        <w:tc>
          <w:tcPr>
            <w:tcW w:w="1134" w:type="dxa"/>
          </w:tcPr>
          <w:p w14:paraId="49D2F6AF"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假设开发法</w:t>
            </w:r>
          </w:p>
        </w:tc>
        <w:tc>
          <w:tcPr>
            <w:tcW w:w="2410" w:type="dxa"/>
          </w:tcPr>
          <w:p w14:paraId="3D4E69D9"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估价对象具有开发或再开发潜力且开发完成后的价值可采用除成本法以外的方法测算的，应选用假设开发法。</w:t>
            </w:r>
          </w:p>
        </w:tc>
        <w:tc>
          <w:tcPr>
            <w:tcW w:w="5755" w:type="dxa"/>
          </w:tcPr>
          <w:p w14:paraId="043F6E3F" w14:textId="77777777" w:rsidR="00000000" w:rsidRDefault="00000000">
            <w:pPr>
              <w:pStyle w:val="Normal"/>
              <w:wordWrap w:val="0"/>
              <w:overflowPunct w:val="0"/>
              <w:autoSpaceDE w:val="0"/>
              <w:autoSpaceDN w:val="0"/>
              <w:spacing w:line="240" w:lineRule="exact"/>
              <w:jc w:val="both"/>
              <w:textAlignment w:val="auto"/>
              <w:rPr>
                <w:rFonts w:ascii="Arial" w:eastAsia="华文细黑" w:hAnsi="Arial" w:cs="Arial" w:hint="eastAsia"/>
                <w:sz w:val="18"/>
                <w:szCs w:val="21"/>
              </w:rPr>
            </w:pPr>
            <w:r>
              <w:rPr>
                <w:rFonts w:ascii="Arial" w:eastAsia="华文细黑" w:hAnsi="Arial" w:cs="Arial" w:hint="eastAsia"/>
                <w:sz w:val="18"/>
                <w:szCs w:val="21"/>
              </w:rPr>
              <w:t>适用物业：可供开发的土地</w:t>
            </w:r>
            <w:r>
              <w:rPr>
                <w:rFonts w:ascii="Arial" w:eastAsia="华文细黑" w:hAnsi="Arial" w:cs="Arial" w:hint="eastAsia"/>
                <w:sz w:val="18"/>
                <w:szCs w:val="21"/>
              </w:rPr>
              <w:t>(</w:t>
            </w:r>
            <w:r>
              <w:rPr>
                <w:rFonts w:ascii="Arial" w:eastAsia="华文细黑" w:hAnsi="Arial" w:cs="Arial" w:hint="eastAsia"/>
                <w:sz w:val="18"/>
                <w:szCs w:val="21"/>
              </w:rPr>
              <w:t>包括生地、毛地、熟地，典型的是各种房地产开发用地</w:t>
            </w:r>
            <w:r>
              <w:rPr>
                <w:rFonts w:ascii="Arial" w:eastAsia="华文细黑" w:hAnsi="Arial" w:cs="Arial" w:hint="eastAsia"/>
                <w:sz w:val="18"/>
                <w:szCs w:val="21"/>
              </w:rPr>
              <w:t>)</w:t>
            </w:r>
            <w:r>
              <w:rPr>
                <w:rFonts w:ascii="Arial" w:eastAsia="华文细黑" w:hAnsi="Arial" w:cs="Arial" w:hint="eastAsia"/>
                <w:sz w:val="18"/>
                <w:szCs w:val="21"/>
              </w:rPr>
              <w:t>、在建工程</w:t>
            </w:r>
            <w:r>
              <w:rPr>
                <w:rFonts w:ascii="Arial" w:eastAsia="华文细黑" w:hAnsi="Arial" w:cs="Arial" w:hint="eastAsia"/>
                <w:sz w:val="18"/>
                <w:szCs w:val="21"/>
              </w:rPr>
              <w:t>(</w:t>
            </w:r>
            <w:r>
              <w:rPr>
                <w:rFonts w:ascii="Arial" w:eastAsia="华文细黑" w:hAnsi="Arial" w:cs="Arial" w:hint="eastAsia"/>
                <w:sz w:val="18"/>
                <w:szCs w:val="21"/>
              </w:rPr>
              <w:t>或称为房地产开发项目</w:t>
            </w:r>
            <w:r>
              <w:rPr>
                <w:rFonts w:ascii="Arial" w:eastAsia="华文细黑" w:hAnsi="Arial" w:cs="Arial" w:hint="eastAsia"/>
                <w:sz w:val="18"/>
                <w:szCs w:val="21"/>
              </w:rPr>
              <w:t>)</w:t>
            </w:r>
            <w:r>
              <w:rPr>
                <w:rFonts w:ascii="Arial" w:eastAsia="华文细黑" w:hAnsi="Arial" w:cs="Arial" w:hint="eastAsia"/>
                <w:sz w:val="18"/>
                <w:szCs w:val="21"/>
              </w:rPr>
              <w:t>、可重新开发、更新改造或改变用途的旧房</w:t>
            </w:r>
            <w:r>
              <w:rPr>
                <w:rFonts w:ascii="Arial" w:eastAsia="华文细黑" w:hAnsi="Arial" w:cs="Arial" w:hint="eastAsia"/>
                <w:sz w:val="18"/>
                <w:szCs w:val="21"/>
              </w:rPr>
              <w:t>(</w:t>
            </w:r>
            <w:r>
              <w:rPr>
                <w:rFonts w:ascii="Arial" w:eastAsia="华文细黑" w:hAnsi="Arial" w:cs="Arial" w:hint="eastAsia"/>
                <w:sz w:val="18"/>
                <w:szCs w:val="21"/>
              </w:rPr>
              <w:t>包括改建、扩建、重新装饰装修等。</w:t>
            </w:r>
          </w:p>
        </w:tc>
      </w:tr>
    </w:tbl>
    <w:p w14:paraId="76929E30" w14:textId="77777777" w:rsidR="00000000" w:rsidRDefault="00000000">
      <w:pPr>
        <w:pStyle w:val="Normal"/>
        <w:autoSpaceDE w:val="0"/>
        <w:autoSpaceDN w:val="0"/>
        <w:spacing w:line="240" w:lineRule="exact"/>
        <w:ind w:firstLineChars="200" w:firstLine="420"/>
        <w:jc w:val="both"/>
        <w:textAlignment w:val="bottom"/>
        <w:rPr>
          <w:rFonts w:ascii="Arial" w:hAnsi="Arial" w:cs="Arial" w:hint="eastAsia"/>
          <w:color w:val="000000"/>
          <w:sz w:val="21"/>
          <w:szCs w:val="21"/>
        </w:rPr>
      </w:pPr>
    </w:p>
    <w:p w14:paraId="71CB93F7"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hint="eastAsia"/>
          <w:sz w:val="21"/>
          <w:szCs w:val="21"/>
        </w:rPr>
      </w:pPr>
      <w:r>
        <w:rPr>
          <w:rFonts w:ascii="Arial" w:hAnsi="Arial" w:cs="Arial"/>
          <w:sz w:val="21"/>
          <w:szCs w:val="21"/>
        </w:rPr>
        <w:t>评估专业人员根据估价对象的特点、实际情况以及估价目的</w:t>
      </w:r>
      <w:r>
        <w:rPr>
          <w:rFonts w:ascii="Arial" w:hAnsi="Arial" w:cs="Arial" w:hint="eastAsia"/>
          <w:sz w:val="21"/>
          <w:szCs w:val="21"/>
        </w:rPr>
        <w:t>，</w:t>
      </w:r>
      <w:r>
        <w:rPr>
          <w:rFonts w:ascii="Arial" w:hAnsi="Arial" w:cs="Arial"/>
          <w:sz w:val="21"/>
          <w:szCs w:val="21"/>
        </w:rPr>
        <w:t>对上述估价方法分析如下：</w:t>
      </w:r>
    </w:p>
    <w:p w14:paraId="29F866BD"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hint="eastAsia"/>
          <w:sz w:val="21"/>
          <w:szCs w:val="21"/>
        </w:rPr>
      </w:pPr>
      <w:r>
        <w:rPr>
          <w:rFonts w:ascii="Arial" w:hAnsi="Arial" w:cs="Arial" w:hint="eastAsia"/>
          <w:sz w:val="21"/>
          <w:szCs w:val="21"/>
        </w:rPr>
        <w:t>比较法：</w:t>
      </w:r>
    </w:p>
    <w:p w14:paraId="398A2BD0"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hint="eastAsia"/>
          <w:sz w:val="21"/>
          <w:szCs w:val="21"/>
        </w:rPr>
      </w:pPr>
      <w:r>
        <w:rPr>
          <w:rFonts w:ascii="Arial" w:hAnsi="Arial" w:cs="Arial" w:hint="eastAsia"/>
          <w:sz w:val="21"/>
          <w:szCs w:val="21"/>
        </w:rPr>
        <w:t>估价对象为综合体项目中的商业用房，同类房地产数量较多，经常发生交易且有一定可比性的房地产，符合比较法的选用及应用条件。</w:t>
      </w:r>
    </w:p>
    <w:p w14:paraId="04BFAB86"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hint="eastAsia"/>
          <w:sz w:val="21"/>
          <w:szCs w:val="21"/>
        </w:rPr>
      </w:pPr>
      <w:r>
        <w:rPr>
          <w:rFonts w:ascii="Arial" w:hAnsi="Arial" w:cs="Arial" w:hint="eastAsia"/>
          <w:sz w:val="21"/>
          <w:szCs w:val="21"/>
        </w:rPr>
        <w:t>收益法：</w:t>
      </w:r>
    </w:p>
    <w:p w14:paraId="4823E8CE"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估价对象规划用途为商业，现状作为商业用房使用，根据评估专业人员对周边同类物业的调查，该类物业存在租赁市场，</w:t>
      </w:r>
      <w:proofErr w:type="gramStart"/>
      <w:r>
        <w:rPr>
          <w:rFonts w:ascii="Arial" w:hAnsi="Arial" w:cs="Arial" w:hint="eastAsia"/>
          <w:sz w:val="21"/>
          <w:szCs w:val="21"/>
        </w:rPr>
        <w:t>属可收益</w:t>
      </w:r>
      <w:proofErr w:type="gramEnd"/>
      <w:r>
        <w:rPr>
          <w:rFonts w:ascii="Arial" w:hAnsi="Arial" w:cs="Arial" w:hint="eastAsia"/>
          <w:sz w:val="21"/>
          <w:szCs w:val="21"/>
        </w:rPr>
        <w:t>物业，符合收益法的选用及应用条件，但因本次评估目的是为估价委托人了解估价对象房地产市场租金水平提供参考依据，故本次评估未选用收益法。</w:t>
      </w:r>
    </w:p>
    <w:p w14:paraId="24A6F85C"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hint="eastAsia"/>
          <w:sz w:val="21"/>
          <w:szCs w:val="21"/>
        </w:rPr>
      </w:pPr>
      <w:r>
        <w:rPr>
          <w:rFonts w:ascii="Arial" w:hAnsi="Arial" w:cs="Arial" w:hint="eastAsia"/>
          <w:sz w:val="21"/>
          <w:szCs w:val="21"/>
        </w:rPr>
        <w:t>成本法：</w:t>
      </w:r>
    </w:p>
    <w:p w14:paraId="3492ACE0"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估价对象为项目局部房地产，属于不可假定为独立的开发建设项目进行重新开发建设的类型，估价对象为已建成物业，且交易市场活跃，故本次评估未选用成本法。</w:t>
      </w:r>
    </w:p>
    <w:p w14:paraId="79FEE3D7"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hint="eastAsia"/>
          <w:sz w:val="21"/>
          <w:szCs w:val="21"/>
        </w:rPr>
      </w:pPr>
      <w:r>
        <w:rPr>
          <w:rFonts w:ascii="Arial" w:hAnsi="Arial" w:cs="Arial" w:hint="eastAsia"/>
          <w:sz w:val="21"/>
          <w:szCs w:val="21"/>
        </w:rPr>
        <w:t>假设开发法：</w:t>
      </w:r>
    </w:p>
    <w:p w14:paraId="4277A079"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hint="eastAsia"/>
          <w:sz w:val="21"/>
          <w:szCs w:val="28"/>
        </w:rPr>
      </w:pPr>
      <w:r>
        <w:rPr>
          <w:rFonts w:ascii="Arial" w:hAnsi="Arial" w:cs="Arial" w:hint="eastAsia"/>
          <w:sz w:val="21"/>
          <w:szCs w:val="28"/>
        </w:rPr>
        <w:t>估价对象为已建成物业，且处于正常运营状态，尚不具备开发或在开发潜力，故不符合假设开发法的选用及应用条件。</w:t>
      </w:r>
    </w:p>
    <w:p w14:paraId="0254150E"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hint="eastAsia"/>
          <w:sz w:val="21"/>
          <w:szCs w:val="28"/>
        </w:rPr>
      </w:pPr>
      <w:r>
        <w:rPr>
          <w:rFonts w:ascii="Arial" w:hAnsi="Arial" w:cs="Arial" w:hint="eastAsia"/>
          <w:sz w:val="21"/>
          <w:szCs w:val="28"/>
        </w:rPr>
        <w:lastRenderedPageBreak/>
        <w:t>最后，加总得出估价对象全部商业用房房地产市场租金水平</w:t>
      </w:r>
    </w:p>
    <w:p w14:paraId="6EB87E6B"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经上述分析，本次评估可选用的估价方法为比较法。</w:t>
      </w:r>
    </w:p>
    <w:p w14:paraId="36D6C1E4" w14:textId="77777777" w:rsidR="00000000" w:rsidRDefault="00000000">
      <w:pPr>
        <w:pStyle w:val="Normal"/>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67D90B56" w14:textId="77777777" w:rsidR="00000000" w:rsidRDefault="00000000">
      <w:pPr>
        <w:pStyle w:val="Normal"/>
        <w:autoSpaceDE w:val="0"/>
        <w:autoSpaceDN w:val="0"/>
        <w:spacing w:line="480" w:lineRule="auto"/>
        <w:ind w:right="6" w:firstLineChars="200" w:firstLine="420"/>
        <w:jc w:val="both"/>
        <w:textAlignment w:val="bottom"/>
        <w:rPr>
          <w:rFonts w:ascii="Arial" w:hAnsi="Arial" w:cs="Arial"/>
          <w:sz w:val="21"/>
          <w:szCs w:val="21"/>
        </w:rPr>
      </w:pPr>
      <w:r>
        <w:rPr>
          <w:rFonts w:ascii="Arial" w:hAnsi="Arial" w:cs="Arial"/>
          <w:sz w:val="21"/>
          <w:szCs w:val="21"/>
        </w:rPr>
        <w:t>1.</w:t>
      </w:r>
      <w:r>
        <w:rPr>
          <w:rFonts w:ascii="Arial" w:hAnsi="Arial" w:cs="Arial"/>
          <w:sz w:val="21"/>
          <w:szCs w:val="21"/>
        </w:rPr>
        <w:t>根据《房地产估价规范》</w:t>
      </w:r>
      <w:r>
        <w:rPr>
          <w:rFonts w:ascii="Arial" w:hAnsi="Arial" w:cs="Arial"/>
          <w:sz w:val="21"/>
          <w:szCs w:val="21"/>
        </w:rPr>
        <w:t>[GB/T 50291-2015]</w:t>
      </w:r>
      <w:r>
        <w:rPr>
          <w:rFonts w:ascii="Arial" w:hAnsi="Arial" w:cs="Arial"/>
          <w:sz w:val="21"/>
          <w:szCs w:val="21"/>
        </w:rPr>
        <w:t>的估价程序采用比较法求取估价对</w:t>
      </w:r>
      <w:r>
        <w:rPr>
          <w:rFonts w:ascii="Arial" w:hAnsi="Arial" w:cs="Arial" w:hint="eastAsia"/>
          <w:sz w:val="21"/>
          <w:szCs w:val="28"/>
        </w:rPr>
        <w:t>象</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sz w:val="21"/>
          <w:szCs w:val="28"/>
        </w:rPr>
        <w:t>号楼</w:t>
      </w:r>
      <w:r>
        <w:rPr>
          <w:rFonts w:ascii="Arial" w:hAnsi="Arial" w:cs="Arial" w:hint="eastAsia"/>
          <w:sz w:val="21"/>
          <w:szCs w:val="28"/>
        </w:rPr>
        <w:t>1</w:t>
      </w:r>
      <w:r>
        <w:rPr>
          <w:rFonts w:ascii="Arial" w:hAnsi="Arial" w:cs="Arial" w:hint="eastAsia"/>
          <w:sz w:val="21"/>
          <w:szCs w:val="28"/>
        </w:rPr>
        <w:t>层</w:t>
      </w:r>
      <w:r>
        <w:rPr>
          <w:rFonts w:ascii="Arial" w:hAnsi="Arial" w:cs="Arial" w:hint="eastAsia"/>
          <w:sz w:val="21"/>
          <w:szCs w:val="21"/>
        </w:rPr>
        <w:t>商业</w:t>
      </w:r>
      <w:r>
        <w:rPr>
          <w:rFonts w:ascii="Arial" w:hAnsi="Arial" w:cs="Arial"/>
          <w:sz w:val="21"/>
          <w:szCs w:val="21"/>
        </w:rPr>
        <w:t>用房的房地产市场价格。</w:t>
      </w:r>
    </w:p>
    <w:p w14:paraId="0C94D556" w14:textId="77777777" w:rsidR="00000000" w:rsidRDefault="00000000">
      <w:pPr>
        <w:pStyle w:val="Normal"/>
        <w:autoSpaceDE w:val="0"/>
        <w:autoSpaceDN w:val="0"/>
        <w:spacing w:line="480" w:lineRule="auto"/>
        <w:ind w:right="6" w:firstLineChars="200" w:firstLine="420"/>
        <w:jc w:val="both"/>
        <w:textAlignment w:val="bottom"/>
        <w:rPr>
          <w:rFonts w:ascii="Arial" w:hAnsi="Arial" w:cs="Arial" w:hint="eastAsia"/>
          <w:sz w:val="21"/>
          <w:szCs w:val="28"/>
        </w:rPr>
      </w:pPr>
      <w:r>
        <w:rPr>
          <w:rFonts w:ascii="Arial" w:hAnsi="Arial" w:hint="eastAsia"/>
          <w:kern w:val="2"/>
          <w:sz w:val="21"/>
        </w:rPr>
        <w:t>2.</w:t>
      </w:r>
      <w:r>
        <w:rPr>
          <w:rFonts w:ascii="Arial" w:hAnsi="Arial" w:hint="eastAsia"/>
          <w:kern w:val="2"/>
          <w:sz w:val="21"/>
        </w:rPr>
        <w:t>通过楼层、可视性、通达性、层高、使用率、平面布局等因素修正，</w:t>
      </w:r>
      <w:r>
        <w:rPr>
          <w:rFonts w:ascii="Arial" w:hAnsi="Arial" w:cs="Arial" w:hint="eastAsia"/>
          <w:sz w:val="21"/>
          <w:szCs w:val="28"/>
        </w:rPr>
        <w:t>求取估价对象各楼层商业用房房地产市场租金水平；</w:t>
      </w:r>
    </w:p>
    <w:p w14:paraId="44C8F7B8" w14:textId="77777777" w:rsidR="00000000" w:rsidRDefault="00000000">
      <w:pPr>
        <w:pStyle w:val="Normal"/>
        <w:autoSpaceDE w:val="0"/>
        <w:autoSpaceDN w:val="0"/>
        <w:spacing w:line="480" w:lineRule="auto"/>
        <w:ind w:right="6" w:firstLineChars="200" w:firstLine="420"/>
        <w:jc w:val="both"/>
        <w:textAlignment w:val="bottom"/>
        <w:rPr>
          <w:rFonts w:ascii="Arial" w:hAnsi="Arial" w:cs="Arial"/>
          <w:sz w:val="21"/>
          <w:szCs w:val="21"/>
        </w:rPr>
      </w:pPr>
      <w:r>
        <w:rPr>
          <w:rFonts w:ascii="Arial" w:hAnsi="Arial" w:cs="Arial" w:hint="eastAsia"/>
          <w:color w:val="000000"/>
          <w:kern w:val="2"/>
          <w:sz w:val="21"/>
          <w:szCs w:val="21"/>
        </w:rPr>
        <w:t>本报告最终估价结果采用价税合计的形式。其中：成本法</w:t>
      </w:r>
      <w:r>
        <w:rPr>
          <w:rFonts w:ascii="Arial" w:hAnsi="Arial" w:cs="Arial" w:hint="eastAsia"/>
          <w:color w:val="000000"/>
          <w:kern w:val="2"/>
          <w:sz w:val="21"/>
          <w:szCs w:val="21"/>
        </w:rPr>
        <w:t>/</w:t>
      </w:r>
      <w:r>
        <w:rPr>
          <w:rFonts w:ascii="Arial" w:hAnsi="Arial" w:cs="Arial" w:hint="eastAsia"/>
          <w:color w:val="000000"/>
          <w:kern w:val="2"/>
          <w:sz w:val="21"/>
          <w:szCs w:val="21"/>
        </w:rPr>
        <w:t>收益法</w:t>
      </w:r>
      <w:r>
        <w:rPr>
          <w:rFonts w:ascii="Arial" w:hAnsi="Arial" w:cs="Arial" w:hint="eastAsia"/>
          <w:color w:val="000000"/>
          <w:kern w:val="2"/>
          <w:sz w:val="21"/>
          <w:szCs w:val="21"/>
        </w:rPr>
        <w:t>/</w:t>
      </w:r>
      <w:r>
        <w:rPr>
          <w:rFonts w:ascii="Arial" w:hAnsi="Arial" w:cs="Arial" w:hint="eastAsia"/>
          <w:color w:val="000000"/>
          <w:kern w:val="2"/>
          <w:sz w:val="21"/>
          <w:szCs w:val="21"/>
        </w:rPr>
        <w:t>假设开发法的直接测算结果均不含增值税，需在其直接结果之上加计销项税额，转化为价税合计结果。对于销项税率的计取，基于估价的谨慎性原则以及对估价对象作为经营性物业其典型市场参与者为一般纳税人的判断，统一采用增值税一般纳税人的计税口径，即适用税率为</w:t>
      </w:r>
      <w:r>
        <w:rPr>
          <w:rFonts w:ascii="Arial" w:hAnsi="Arial" w:cs="Arial" w:hint="eastAsia"/>
          <w:color w:val="000000"/>
          <w:kern w:val="2"/>
          <w:sz w:val="21"/>
          <w:szCs w:val="21"/>
        </w:rPr>
        <w:t>9%</w:t>
      </w:r>
      <w:r>
        <w:rPr>
          <w:rFonts w:ascii="Arial" w:hAnsi="Arial" w:cs="Arial" w:hint="eastAsia"/>
          <w:color w:val="000000"/>
          <w:kern w:val="2"/>
          <w:sz w:val="21"/>
          <w:szCs w:val="21"/>
        </w:rPr>
        <w:t>计算。比较法因选取的可比实例成交价格直接反映了市场价税合计总价，因此该方法直接推导出的比较价值即为价税合计的结果。</w:t>
      </w:r>
    </w:p>
    <w:p w14:paraId="6CD41F83" w14:textId="77777777" w:rsidR="00000000" w:rsidRDefault="00000000">
      <w:pPr>
        <w:pStyle w:val="2"/>
        <w:numPr>
          <w:ilvl w:val="0"/>
          <w:numId w:val="0"/>
        </w:numPr>
        <w:spacing w:line="480" w:lineRule="auto"/>
        <w:ind w:left="358" w:hangingChars="170" w:hanging="358"/>
        <w:jc w:val="both"/>
        <w:rPr>
          <w:rFonts w:eastAsia="宋体"/>
          <w:kern w:val="2"/>
          <w:sz w:val="21"/>
          <w:szCs w:val="21"/>
        </w:rPr>
      </w:pPr>
      <w:bookmarkStart w:id="64" w:name="_Toc477252462"/>
      <w:r>
        <w:rPr>
          <w:rFonts w:eastAsia="宋体"/>
          <w:kern w:val="2"/>
          <w:sz w:val="21"/>
          <w:szCs w:val="21"/>
        </w:rPr>
        <w:t>五、估价测算过程</w:t>
      </w:r>
      <w:bookmarkEnd w:id="64"/>
      <w:r>
        <w:rPr>
          <w:rFonts w:eastAsia="宋体" w:hint="eastAsia"/>
          <w:kern w:val="2"/>
          <w:sz w:val="21"/>
          <w:szCs w:val="21"/>
        </w:rPr>
        <w:t xml:space="preserve">  </w:t>
      </w:r>
    </w:p>
    <w:p w14:paraId="20C9E458" w14:textId="77777777" w:rsidR="00000000" w:rsidRDefault="00000000">
      <w:pPr>
        <w:pStyle w:val="Normal"/>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估价对象面积</w:t>
      </w:r>
      <w:r>
        <w:rPr>
          <w:rFonts w:ascii="Arial" w:hAnsi="Arial" w:cs="Arial" w:hint="eastAsia"/>
          <w:sz w:val="21"/>
          <w:szCs w:val="21"/>
        </w:rPr>
        <w:t>指标</w:t>
      </w:r>
    </w:p>
    <w:p w14:paraId="7C49D244" w14:textId="77777777" w:rsidR="00000000" w:rsidRDefault="00000000">
      <w:pPr>
        <w:pStyle w:val="Normal"/>
        <w:autoSpaceDE w:val="0"/>
        <w:autoSpaceDN w:val="0"/>
        <w:spacing w:line="480" w:lineRule="auto"/>
        <w:ind w:firstLineChars="200" w:firstLine="420"/>
        <w:jc w:val="both"/>
        <w:textAlignment w:val="bottom"/>
        <w:rPr>
          <w:rFonts w:ascii="Arial" w:hAnsi="Arial" w:hint="eastAsia"/>
          <w:b/>
          <w:sz w:val="21"/>
          <w:szCs w:val="21"/>
        </w:rPr>
      </w:pPr>
      <w:r>
        <w:rPr>
          <w:rFonts w:ascii="Arial" w:hAnsi="Arial" w:hint="eastAsia"/>
          <w:bCs/>
          <w:sz w:val="21"/>
        </w:rPr>
        <w:t>根据《不动产权证书》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w:t>
      </w:r>
      <w:commentRangeStart w:id="65"/>
      <w:r>
        <w:rPr>
          <w:rFonts w:ascii="Arial" w:hAnsi="Arial" w:hint="eastAsia"/>
          <w:bCs/>
          <w:sz w:val="21"/>
        </w:rPr>
        <w:t>《房屋面积测算技术报告书（商品房类使用）》</w:t>
      </w:r>
      <w:commentRangeEnd w:id="65"/>
      <w:r w:rsidR="0039646A">
        <w:rPr>
          <w:rStyle w:val="af9"/>
          <w:rFonts w:ascii="Times New Roman"/>
        </w:rPr>
        <w:commentReference w:id="65"/>
      </w:r>
      <w:r>
        <w:rPr>
          <w:rFonts w:ascii="Arial" w:hAnsi="Arial" w:hint="eastAsia"/>
          <w:bCs/>
          <w:sz w:val="21"/>
        </w:rPr>
        <w:t>及《估价委托书》，估价对象总建筑面积为</w:t>
      </w:r>
      <w:r>
        <w:rPr>
          <w:rFonts w:ascii="Arial" w:hAnsi="Arial" w:hint="eastAsia"/>
          <w:bCs/>
          <w:sz w:val="21"/>
        </w:rPr>
        <w:t>24871.67</w:t>
      </w:r>
      <w:r>
        <w:rPr>
          <w:rFonts w:ascii="Arial" w:hAnsi="Arial" w:hint="eastAsia"/>
          <w:bCs/>
          <w:sz w:val="21"/>
        </w:rPr>
        <w:t>平方米，套内建筑面积为</w:t>
      </w:r>
      <w:r>
        <w:rPr>
          <w:rFonts w:ascii="Arial" w:hAnsi="Arial" w:hint="eastAsia"/>
          <w:bCs/>
          <w:sz w:val="21"/>
        </w:rPr>
        <w:t>17190.47</w:t>
      </w:r>
      <w:r>
        <w:rPr>
          <w:rFonts w:ascii="Arial" w:hAnsi="Arial" w:hint="eastAsia"/>
          <w:bCs/>
          <w:sz w:val="21"/>
        </w:rPr>
        <w:t>平方米</w:t>
      </w:r>
      <w:r>
        <w:rPr>
          <w:rFonts w:ascii="Arial" w:hAnsi="Arial" w:cs="Arial"/>
          <w:sz w:val="21"/>
          <w:szCs w:val="21"/>
        </w:rPr>
        <w:t>，</w:t>
      </w:r>
      <w:r>
        <w:rPr>
          <w:rFonts w:ascii="Arial" w:hAnsi="Arial" w:hint="eastAsia"/>
          <w:bCs/>
          <w:sz w:val="21"/>
        </w:rPr>
        <w:t>详见下表：</w:t>
      </w:r>
    </w:p>
    <w:tbl>
      <w:tblPr>
        <w:tblW w:w="4540" w:type="pct"/>
        <w:jc w:val="center"/>
        <w:tblInd w:w="0" w:type="dxa"/>
        <w:tblLayout w:type="fixed"/>
        <w:tblLook w:val="0000" w:firstRow="0" w:lastRow="0" w:firstColumn="0" w:lastColumn="0" w:noHBand="0" w:noVBand="0"/>
      </w:tblPr>
      <w:tblGrid>
        <w:gridCol w:w="571"/>
        <w:gridCol w:w="973"/>
        <w:gridCol w:w="575"/>
        <w:gridCol w:w="961"/>
        <w:gridCol w:w="992"/>
        <w:gridCol w:w="1198"/>
        <w:gridCol w:w="1661"/>
        <w:gridCol w:w="531"/>
        <w:gridCol w:w="972"/>
      </w:tblGrid>
      <w:tr w:rsidR="00000000" w14:paraId="7340875E" w14:textId="77777777">
        <w:trPr>
          <w:trHeight w:val="20"/>
          <w:tblHeader/>
          <w:jc w:val="center"/>
        </w:trPr>
        <w:tc>
          <w:tcPr>
            <w:tcW w:w="33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1473CA"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地块</w:t>
            </w: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26AAD43E"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坐落</w:t>
            </w:r>
          </w:p>
        </w:tc>
        <w:tc>
          <w:tcPr>
            <w:tcW w:w="341" w:type="pct"/>
            <w:tcBorders>
              <w:top w:val="single" w:sz="4" w:space="0" w:color="auto"/>
              <w:left w:val="nil"/>
              <w:bottom w:val="single" w:sz="4" w:space="0" w:color="auto"/>
              <w:right w:val="single" w:sz="4" w:space="0" w:color="auto"/>
            </w:tcBorders>
            <w:shd w:val="clear" w:color="000000" w:fill="FFFFFF"/>
            <w:noWrap/>
            <w:vAlign w:val="center"/>
          </w:tcPr>
          <w:p w14:paraId="029D096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序号</w:t>
            </w:r>
          </w:p>
        </w:tc>
        <w:tc>
          <w:tcPr>
            <w:tcW w:w="569" w:type="pct"/>
            <w:tcBorders>
              <w:top w:val="single" w:sz="4" w:space="0" w:color="auto"/>
              <w:left w:val="nil"/>
              <w:bottom w:val="single" w:sz="4" w:space="0" w:color="auto"/>
              <w:right w:val="single" w:sz="4" w:space="0" w:color="auto"/>
            </w:tcBorders>
            <w:shd w:val="clear" w:color="000000" w:fill="FFFFFF"/>
            <w:noWrap/>
            <w:vAlign w:val="center"/>
          </w:tcPr>
          <w:p w14:paraId="5D7F1ED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楼号/地块</w:t>
            </w:r>
          </w:p>
        </w:tc>
        <w:tc>
          <w:tcPr>
            <w:tcW w:w="587" w:type="pct"/>
            <w:tcBorders>
              <w:top w:val="single" w:sz="4" w:space="0" w:color="auto"/>
              <w:left w:val="nil"/>
              <w:bottom w:val="single" w:sz="4" w:space="0" w:color="auto"/>
              <w:right w:val="single" w:sz="4" w:space="0" w:color="auto"/>
            </w:tcBorders>
            <w:shd w:val="clear" w:color="000000" w:fill="FFFFFF"/>
            <w:noWrap/>
            <w:vAlign w:val="center"/>
          </w:tcPr>
          <w:p w14:paraId="70D0120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部位及房号</w:t>
            </w:r>
          </w:p>
        </w:tc>
        <w:tc>
          <w:tcPr>
            <w:tcW w:w="709" w:type="pct"/>
            <w:tcBorders>
              <w:top w:val="single" w:sz="4" w:space="0" w:color="auto"/>
              <w:left w:val="nil"/>
              <w:bottom w:val="single" w:sz="4" w:space="0" w:color="auto"/>
              <w:right w:val="single" w:sz="4" w:space="0" w:color="auto"/>
            </w:tcBorders>
            <w:shd w:val="clear" w:color="000000" w:fill="FFFFFF"/>
            <w:noWrap/>
            <w:vAlign w:val="center"/>
          </w:tcPr>
          <w:p w14:paraId="795160A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建筑面积（㎡）</w:t>
            </w:r>
          </w:p>
        </w:tc>
        <w:tc>
          <w:tcPr>
            <w:tcW w:w="984" w:type="pct"/>
            <w:tcBorders>
              <w:top w:val="single" w:sz="4" w:space="0" w:color="auto"/>
              <w:left w:val="nil"/>
              <w:bottom w:val="single" w:sz="4" w:space="0" w:color="auto"/>
              <w:right w:val="single" w:sz="4" w:space="0" w:color="auto"/>
            </w:tcBorders>
            <w:shd w:val="clear" w:color="000000" w:fill="FFFFFF"/>
            <w:noWrap/>
            <w:vAlign w:val="center"/>
          </w:tcPr>
          <w:p w14:paraId="41F6B2A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套内建筑面积（㎡）</w:t>
            </w:r>
          </w:p>
        </w:tc>
        <w:tc>
          <w:tcPr>
            <w:tcW w:w="315" w:type="pct"/>
            <w:tcBorders>
              <w:top w:val="single" w:sz="4" w:space="0" w:color="auto"/>
              <w:left w:val="nil"/>
              <w:bottom w:val="single" w:sz="4" w:space="0" w:color="auto"/>
              <w:right w:val="single" w:sz="4" w:space="0" w:color="auto"/>
            </w:tcBorders>
            <w:shd w:val="clear" w:color="000000" w:fill="FFFFFF"/>
            <w:noWrap/>
            <w:vAlign w:val="center"/>
          </w:tcPr>
          <w:p w14:paraId="30316AF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用途</w:t>
            </w:r>
          </w:p>
        </w:tc>
        <w:tc>
          <w:tcPr>
            <w:tcW w:w="575" w:type="pct"/>
            <w:tcBorders>
              <w:top w:val="single" w:sz="4" w:space="0" w:color="auto"/>
              <w:left w:val="nil"/>
              <w:bottom w:val="single" w:sz="4" w:space="0" w:color="auto"/>
              <w:right w:val="single" w:sz="4" w:space="0" w:color="auto"/>
            </w:tcBorders>
            <w:shd w:val="clear" w:color="000000" w:fill="FFFFFF"/>
            <w:noWrap/>
            <w:vAlign w:val="center"/>
          </w:tcPr>
          <w:p w14:paraId="72E26B6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地上/地下</w:t>
            </w:r>
          </w:p>
        </w:tc>
      </w:tr>
      <w:tr w:rsidR="00000000" w14:paraId="6A32186A" w14:textId="77777777">
        <w:trPr>
          <w:trHeight w:val="20"/>
          <w:jc w:val="center"/>
        </w:trPr>
        <w:tc>
          <w:tcPr>
            <w:tcW w:w="338" w:type="pct"/>
            <w:vMerge w:val="restart"/>
            <w:tcBorders>
              <w:top w:val="nil"/>
              <w:left w:val="single" w:sz="4" w:space="0" w:color="auto"/>
              <w:right w:val="single" w:sz="4" w:space="0" w:color="auto"/>
            </w:tcBorders>
            <w:vAlign w:val="center"/>
          </w:tcPr>
          <w:p w14:paraId="0D961FB5"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042地块</w:t>
            </w:r>
          </w:p>
        </w:tc>
        <w:tc>
          <w:tcPr>
            <w:tcW w:w="576" w:type="pct"/>
            <w:vMerge w:val="restart"/>
            <w:tcBorders>
              <w:top w:val="nil"/>
              <w:left w:val="nil"/>
              <w:right w:val="single" w:sz="4" w:space="0" w:color="auto"/>
            </w:tcBorders>
            <w:shd w:val="clear" w:color="000000" w:fill="FFFFFF"/>
            <w:noWrap/>
            <w:vAlign w:val="center"/>
          </w:tcPr>
          <w:p w14:paraId="534B0E4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房山区阜盛西街11号院3号楼</w:t>
            </w:r>
          </w:p>
        </w:tc>
        <w:tc>
          <w:tcPr>
            <w:tcW w:w="341" w:type="pct"/>
            <w:tcBorders>
              <w:top w:val="nil"/>
              <w:left w:val="nil"/>
              <w:bottom w:val="single" w:sz="4" w:space="0" w:color="auto"/>
              <w:right w:val="single" w:sz="4" w:space="0" w:color="auto"/>
            </w:tcBorders>
            <w:shd w:val="clear" w:color="000000" w:fill="FFFFFF"/>
            <w:noWrap/>
            <w:vAlign w:val="center"/>
          </w:tcPr>
          <w:p w14:paraId="016FF4D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1</w:t>
            </w:r>
          </w:p>
        </w:tc>
        <w:tc>
          <w:tcPr>
            <w:tcW w:w="569" w:type="pct"/>
            <w:tcBorders>
              <w:top w:val="nil"/>
              <w:left w:val="nil"/>
              <w:bottom w:val="single" w:sz="4" w:space="0" w:color="auto"/>
              <w:right w:val="single" w:sz="4" w:space="0" w:color="auto"/>
            </w:tcBorders>
            <w:shd w:val="clear" w:color="000000" w:fill="FFFFFF"/>
            <w:noWrap/>
            <w:vAlign w:val="bottom"/>
          </w:tcPr>
          <w:p w14:paraId="3F0FB7C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3</w:t>
            </w:r>
          </w:p>
        </w:tc>
        <w:tc>
          <w:tcPr>
            <w:tcW w:w="587" w:type="pct"/>
            <w:tcBorders>
              <w:top w:val="nil"/>
              <w:left w:val="nil"/>
              <w:bottom w:val="single" w:sz="4" w:space="0" w:color="auto"/>
              <w:right w:val="single" w:sz="4" w:space="0" w:color="auto"/>
            </w:tcBorders>
            <w:shd w:val="clear" w:color="000000" w:fill="FFFFFF"/>
            <w:noWrap/>
            <w:vAlign w:val="center"/>
          </w:tcPr>
          <w:p w14:paraId="590A8D4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101</w:t>
            </w:r>
          </w:p>
        </w:tc>
        <w:tc>
          <w:tcPr>
            <w:tcW w:w="709" w:type="pct"/>
            <w:tcBorders>
              <w:top w:val="nil"/>
              <w:left w:val="nil"/>
              <w:bottom w:val="single" w:sz="4" w:space="0" w:color="auto"/>
              <w:right w:val="single" w:sz="4" w:space="0" w:color="auto"/>
            </w:tcBorders>
            <w:shd w:val="clear" w:color="000000" w:fill="FFFFFF"/>
            <w:noWrap/>
            <w:vAlign w:val="center"/>
          </w:tcPr>
          <w:p w14:paraId="04DA103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647.17</w:t>
            </w:r>
          </w:p>
        </w:tc>
        <w:tc>
          <w:tcPr>
            <w:tcW w:w="984" w:type="pct"/>
            <w:tcBorders>
              <w:top w:val="nil"/>
              <w:left w:val="nil"/>
              <w:bottom w:val="single" w:sz="4" w:space="0" w:color="auto"/>
              <w:right w:val="single" w:sz="4" w:space="0" w:color="auto"/>
            </w:tcBorders>
            <w:shd w:val="clear" w:color="000000" w:fill="FFFFFF"/>
            <w:noWrap/>
            <w:vAlign w:val="center"/>
          </w:tcPr>
          <w:p w14:paraId="3CACF5C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517.82</w:t>
            </w:r>
          </w:p>
        </w:tc>
        <w:tc>
          <w:tcPr>
            <w:tcW w:w="315" w:type="pct"/>
            <w:tcBorders>
              <w:top w:val="nil"/>
              <w:left w:val="nil"/>
              <w:bottom w:val="single" w:sz="4" w:space="0" w:color="auto"/>
              <w:right w:val="single" w:sz="4" w:space="0" w:color="auto"/>
            </w:tcBorders>
            <w:shd w:val="clear" w:color="000000" w:fill="FFFFFF"/>
            <w:noWrap/>
            <w:vAlign w:val="center"/>
          </w:tcPr>
          <w:p w14:paraId="525CDCE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4F938A6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地上</w:t>
            </w:r>
          </w:p>
        </w:tc>
      </w:tr>
      <w:tr w:rsidR="00000000" w14:paraId="568E68C9"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1EDF89C7"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00B56705"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4A3DE87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2</w:t>
            </w:r>
          </w:p>
        </w:tc>
        <w:tc>
          <w:tcPr>
            <w:tcW w:w="569" w:type="pct"/>
            <w:tcBorders>
              <w:top w:val="nil"/>
              <w:left w:val="nil"/>
              <w:bottom w:val="single" w:sz="4" w:space="0" w:color="auto"/>
              <w:right w:val="single" w:sz="4" w:space="0" w:color="auto"/>
            </w:tcBorders>
            <w:shd w:val="clear" w:color="000000" w:fill="FFFFFF"/>
            <w:noWrap/>
            <w:vAlign w:val="bottom"/>
          </w:tcPr>
          <w:p w14:paraId="440CA35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3</w:t>
            </w:r>
          </w:p>
        </w:tc>
        <w:tc>
          <w:tcPr>
            <w:tcW w:w="587" w:type="pct"/>
            <w:tcBorders>
              <w:top w:val="nil"/>
              <w:left w:val="nil"/>
              <w:bottom w:val="single" w:sz="4" w:space="0" w:color="auto"/>
              <w:right w:val="single" w:sz="4" w:space="0" w:color="auto"/>
            </w:tcBorders>
            <w:shd w:val="clear" w:color="000000" w:fill="FFFFFF"/>
            <w:noWrap/>
            <w:vAlign w:val="center"/>
          </w:tcPr>
          <w:p w14:paraId="33E2C15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102</w:t>
            </w:r>
          </w:p>
        </w:tc>
        <w:tc>
          <w:tcPr>
            <w:tcW w:w="709" w:type="pct"/>
            <w:tcBorders>
              <w:top w:val="nil"/>
              <w:left w:val="nil"/>
              <w:bottom w:val="single" w:sz="4" w:space="0" w:color="auto"/>
              <w:right w:val="single" w:sz="4" w:space="0" w:color="auto"/>
            </w:tcBorders>
            <w:shd w:val="clear" w:color="000000" w:fill="FFFFFF"/>
            <w:noWrap/>
            <w:vAlign w:val="center"/>
          </w:tcPr>
          <w:p w14:paraId="1D2092D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645.08</w:t>
            </w:r>
          </w:p>
        </w:tc>
        <w:tc>
          <w:tcPr>
            <w:tcW w:w="984" w:type="pct"/>
            <w:tcBorders>
              <w:top w:val="nil"/>
              <w:left w:val="nil"/>
              <w:bottom w:val="single" w:sz="4" w:space="0" w:color="auto"/>
              <w:right w:val="single" w:sz="4" w:space="0" w:color="auto"/>
            </w:tcBorders>
            <w:shd w:val="clear" w:color="000000" w:fill="FFFFFF"/>
            <w:noWrap/>
            <w:vAlign w:val="center"/>
          </w:tcPr>
          <w:p w14:paraId="05AEAA6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516.15</w:t>
            </w:r>
          </w:p>
        </w:tc>
        <w:tc>
          <w:tcPr>
            <w:tcW w:w="315" w:type="pct"/>
            <w:tcBorders>
              <w:top w:val="nil"/>
              <w:left w:val="nil"/>
              <w:bottom w:val="single" w:sz="4" w:space="0" w:color="auto"/>
              <w:right w:val="single" w:sz="4" w:space="0" w:color="auto"/>
            </w:tcBorders>
            <w:shd w:val="clear" w:color="000000" w:fill="FFFFFF"/>
            <w:noWrap/>
            <w:vAlign w:val="center"/>
          </w:tcPr>
          <w:p w14:paraId="18CB4EB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4A987A0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地上</w:t>
            </w:r>
          </w:p>
        </w:tc>
      </w:tr>
      <w:tr w:rsidR="00000000" w14:paraId="50400B00"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3056C5BB"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0BEC6131"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0659488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3</w:t>
            </w:r>
          </w:p>
        </w:tc>
        <w:tc>
          <w:tcPr>
            <w:tcW w:w="569" w:type="pct"/>
            <w:tcBorders>
              <w:top w:val="nil"/>
              <w:left w:val="nil"/>
              <w:bottom w:val="single" w:sz="4" w:space="0" w:color="auto"/>
              <w:right w:val="single" w:sz="4" w:space="0" w:color="auto"/>
            </w:tcBorders>
            <w:shd w:val="clear" w:color="000000" w:fill="FFFFFF"/>
            <w:noWrap/>
            <w:vAlign w:val="bottom"/>
          </w:tcPr>
          <w:p w14:paraId="2A3F3D1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3</w:t>
            </w:r>
          </w:p>
        </w:tc>
        <w:tc>
          <w:tcPr>
            <w:tcW w:w="587" w:type="pct"/>
            <w:tcBorders>
              <w:top w:val="nil"/>
              <w:left w:val="nil"/>
              <w:bottom w:val="single" w:sz="4" w:space="0" w:color="auto"/>
              <w:right w:val="single" w:sz="4" w:space="0" w:color="auto"/>
            </w:tcBorders>
            <w:shd w:val="clear" w:color="000000" w:fill="FFFFFF"/>
            <w:noWrap/>
            <w:vAlign w:val="center"/>
          </w:tcPr>
          <w:p w14:paraId="5716F54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103</w:t>
            </w:r>
          </w:p>
        </w:tc>
        <w:tc>
          <w:tcPr>
            <w:tcW w:w="709" w:type="pct"/>
            <w:tcBorders>
              <w:top w:val="nil"/>
              <w:left w:val="nil"/>
              <w:bottom w:val="single" w:sz="4" w:space="0" w:color="auto"/>
              <w:right w:val="single" w:sz="4" w:space="0" w:color="auto"/>
            </w:tcBorders>
            <w:shd w:val="clear" w:color="000000" w:fill="FFFFFF"/>
            <w:noWrap/>
            <w:vAlign w:val="center"/>
          </w:tcPr>
          <w:p w14:paraId="26CD0D9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645.10</w:t>
            </w:r>
          </w:p>
        </w:tc>
        <w:tc>
          <w:tcPr>
            <w:tcW w:w="984" w:type="pct"/>
            <w:tcBorders>
              <w:top w:val="nil"/>
              <w:left w:val="nil"/>
              <w:bottom w:val="single" w:sz="4" w:space="0" w:color="auto"/>
              <w:right w:val="single" w:sz="4" w:space="0" w:color="auto"/>
            </w:tcBorders>
            <w:shd w:val="clear" w:color="000000" w:fill="FFFFFF"/>
            <w:noWrap/>
            <w:vAlign w:val="center"/>
          </w:tcPr>
          <w:p w14:paraId="238F67C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516.16</w:t>
            </w:r>
          </w:p>
        </w:tc>
        <w:tc>
          <w:tcPr>
            <w:tcW w:w="315" w:type="pct"/>
            <w:tcBorders>
              <w:top w:val="nil"/>
              <w:left w:val="nil"/>
              <w:bottom w:val="single" w:sz="4" w:space="0" w:color="auto"/>
              <w:right w:val="single" w:sz="4" w:space="0" w:color="auto"/>
            </w:tcBorders>
            <w:shd w:val="clear" w:color="000000" w:fill="FFFFFF"/>
            <w:noWrap/>
            <w:vAlign w:val="center"/>
          </w:tcPr>
          <w:p w14:paraId="4F8CCB7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676607A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地上</w:t>
            </w:r>
          </w:p>
        </w:tc>
      </w:tr>
      <w:tr w:rsidR="00000000" w14:paraId="75F3F93E"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43F2D278"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55812CC5"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579F5FF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4</w:t>
            </w:r>
          </w:p>
        </w:tc>
        <w:tc>
          <w:tcPr>
            <w:tcW w:w="569" w:type="pct"/>
            <w:tcBorders>
              <w:top w:val="nil"/>
              <w:left w:val="nil"/>
              <w:bottom w:val="single" w:sz="4" w:space="0" w:color="auto"/>
              <w:right w:val="single" w:sz="4" w:space="0" w:color="auto"/>
            </w:tcBorders>
            <w:shd w:val="clear" w:color="000000" w:fill="FFFFFF"/>
            <w:noWrap/>
            <w:vAlign w:val="bottom"/>
          </w:tcPr>
          <w:p w14:paraId="1831CE9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3</w:t>
            </w:r>
          </w:p>
        </w:tc>
        <w:tc>
          <w:tcPr>
            <w:tcW w:w="587" w:type="pct"/>
            <w:tcBorders>
              <w:top w:val="nil"/>
              <w:left w:val="nil"/>
              <w:bottom w:val="single" w:sz="4" w:space="0" w:color="auto"/>
              <w:right w:val="single" w:sz="4" w:space="0" w:color="auto"/>
            </w:tcBorders>
            <w:shd w:val="clear" w:color="000000" w:fill="FFFFFF"/>
            <w:noWrap/>
            <w:vAlign w:val="center"/>
          </w:tcPr>
          <w:p w14:paraId="49CE54D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104</w:t>
            </w:r>
          </w:p>
        </w:tc>
        <w:tc>
          <w:tcPr>
            <w:tcW w:w="709" w:type="pct"/>
            <w:tcBorders>
              <w:top w:val="nil"/>
              <w:left w:val="nil"/>
              <w:bottom w:val="single" w:sz="4" w:space="0" w:color="auto"/>
              <w:right w:val="single" w:sz="4" w:space="0" w:color="auto"/>
            </w:tcBorders>
            <w:shd w:val="clear" w:color="000000" w:fill="FFFFFF"/>
            <w:noWrap/>
            <w:vAlign w:val="center"/>
          </w:tcPr>
          <w:p w14:paraId="0B9A610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654.08</w:t>
            </w:r>
          </w:p>
        </w:tc>
        <w:tc>
          <w:tcPr>
            <w:tcW w:w="984" w:type="pct"/>
            <w:tcBorders>
              <w:top w:val="nil"/>
              <w:left w:val="nil"/>
              <w:bottom w:val="single" w:sz="4" w:space="0" w:color="auto"/>
              <w:right w:val="single" w:sz="4" w:space="0" w:color="auto"/>
            </w:tcBorders>
            <w:shd w:val="clear" w:color="000000" w:fill="FFFFFF"/>
            <w:noWrap/>
            <w:vAlign w:val="center"/>
          </w:tcPr>
          <w:p w14:paraId="3C88181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523.35</w:t>
            </w:r>
          </w:p>
        </w:tc>
        <w:tc>
          <w:tcPr>
            <w:tcW w:w="315" w:type="pct"/>
            <w:tcBorders>
              <w:top w:val="nil"/>
              <w:left w:val="nil"/>
              <w:bottom w:val="single" w:sz="4" w:space="0" w:color="auto"/>
              <w:right w:val="single" w:sz="4" w:space="0" w:color="auto"/>
            </w:tcBorders>
            <w:shd w:val="clear" w:color="000000" w:fill="FFFFFF"/>
            <w:noWrap/>
            <w:vAlign w:val="center"/>
          </w:tcPr>
          <w:p w14:paraId="4C11E59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65A13ED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地上</w:t>
            </w:r>
          </w:p>
        </w:tc>
      </w:tr>
      <w:tr w:rsidR="00000000" w14:paraId="505A404A"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2BADC280"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440B6F75"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05BFB5D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5</w:t>
            </w:r>
          </w:p>
        </w:tc>
        <w:tc>
          <w:tcPr>
            <w:tcW w:w="569" w:type="pct"/>
            <w:tcBorders>
              <w:top w:val="nil"/>
              <w:left w:val="nil"/>
              <w:bottom w:val="single" w:sz="4" w:space="0" w:color="auto"/>
              <w:right w:val="single" w:sz="4" w:space="0" w:color="auto"/>
            </w:tcBorders>
            <w:shd w:val="clear" w:color="000000" w:fill="FFFFFF"/>
            <w:noWrap/>
            <w:vAlign w:val="bottom"/>
          </w:tcPr>
          <w:p w14:paraId="26B0E1B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3</w:t>
            </w:r>
          </w:p>
        </w:tc>
        <w:tc>
          <w:tcPr>
            <w:tcW w:w="587" w:type="pct"/>
            <w:tcBorders>
              <w:top w:val="nil"/>
              <w:left w:val="nil"/>
              <w:bottom w:val="single" w:sz="4" w:space="0" w:color="auto"/>
              <w:right w:val="single" w:sz="4" w:space="0" w:color="auto"/>
            </w:tcBorders>
            <w:shd w:val="clear" w:color="000000" w:fill="FFFFFF"/>
            <w:noWrap/>
            <w:vAlign w:val="center"/>
          </w:tcPr>
          <w:p w14:paraId="6AD0CC3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201</w:t>
            </w:r>
          </w:p>
        </w:tc>
        <w:tc>
          <w:tcPr>
            <w:tcW w:w="709" w:type="pct"/>
            <w:tcBorders>
              <w:top w:val="nil"/>
              <w:left w:val="nil"/>
              <w:bottom w:val="single" w:sz="4" w:space="0" w:color="auto"/>
              <w:right w:val="single" w:sz="4" w:space="0" w:color="auto"/>
            </w:tcBorders>
            <w:shd w:val="clear" w:color="000000" w:fill="FFFFFF"/>
            <w:noWrap/>
            <w:vAlign w:val="center"/>
          </w:tcPr>
          <w:p w14:paraId="6736B7B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882.82</w:t>
            </w:r>
          </w:p>
        </w:tc>
        <w:tc>
          <w:tcPr>
            <w:tcW w:w="984" w:type="pct"/>
            <w:tcBorders>
              <w:top w:val="nil"/>
              <w:left w:val="nil"/>
              <w:bottom w:val="single" w:sz="4" w:space="0" w:color="auto"/>
              <w:right w:val="single" w:sz="4" w:space="0" w:color="auto"/>
            </w:tcBorders>
            <w:shd w:val="clear" w:color="000000" w:fill="FFFFFF"/>
            <w:noWrap/>
            <w:vAlign w:val="center"/>
          </w:tcPr>
          <w:p w14:paraId="3933A73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648.1</w:t>
            </w:r>
          </w:p>
        </w:tc>
        <w:tc>
          <w:tcPr>
            <w:tcW w:w="315" w:type="pct"/>
            <w:tcBorders>
              <w:top w:val="nil"/>
              <w:left w:val="nil"/>
              <w:bottom w:val="single" w:sz="4" w:space="0" w:color="auto"/>
              <w:right w:val="single" w:sz="4" w:space="0" w:color="auto"/>
            </w:tcBorders>
            <w:shd w:val="clear" w:color="000000" w:fill="FFFFFF"/>
            <w:noWrap/>
            <w:vAlign w:val="center"/>
          </w:tcPr>
          <w:p w14:paraId="0DA22BB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2172E8D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地上</w:t>
            </w:r>
          </w:p>
        </w:tc>
      </w:tr>
      <w:tr w:rsidR="00000000" w14:paraId="2AD58AF2"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316130B9"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7896FAE0"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5323632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569" w:type="pct"/>
            <w:tcBorders>
              <w:top w:val="nil"/>
              <w:left w:val="nil"/>
              <w:bottom w:val="single" w:sz="4" w:space="0" w:color="auto"/>
              <w:right w:val="single" w:sz="4" w:space="0" w:color="auto"/>
            </w:tcBorders>
            <w:shd w:val="clear" w:color="000000" w:fill="FFFFFF"/>
            <w:noWrap/>
            <w:vAlign w:val="bottom"/>
          </w:tcPr>
          <w:p w14:paraId="0F9EB74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3</w:t>
            </w:r>
          </w:p>
        </w:tc>
        <w:tc>
          <w:tcPr>
            <w:tcW w:w="587" w:type="pct"/>
            <w:tcBorders>
              <w:top w:val="nil"/>
              <w:left w:val="nil"/>
              <w:bottom w:val="single" w:sz="4" w:space="0" w:color="auto"/>
              <w:right w:val="single" w:sz="4" w:space="0" w:color="auto"/>
            </w:tcBorders>
            <w:shd w:val="clear" w:color="000000" w:fill="FFFFFF"/>
            <w:noWrap/>
            <w:vAlign w:val="center"/>
          </w:tcPr>
          <w:p w14:paraId="56EA649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202</w:t>
            </w:r>
          </w:p>
        </w:tc>
        <w:tc>
          <w:tcPr>
            <w:tcW w:w="709" w:type="pct"/>
            <w:tcBorders>
              <w:top w:val="nil"/>
              <w:left w:val="nil"/>
              <w:bottom w:val="single" w:sz="4" w:space="0" w:color="auto"/>
              <w:right w:val="single" w:sz="4" w:space="0" w:color="auto"/>
            </w:tcBorders>
            <w:shd w:val="clear" w:color="000000" w:fill="FFFFFF"/>
            <w:noWrap/>
            <w:vAlign w:val="center"/>
          </w:tcPr>
          <w:p w14:paraId="7922562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1063.95</w:t>
            </w:r>
          </w:p>
        </w:tc>
        <w:tc>
          <w:tcPr>
            <w:tcW w:w="984" w:type="pct"/>
            <w:tcBorders>
              <w:top w:val="nil"/>
              <w:left w:val="nil"/>
              <w:bottom w:val="single" w:sz="4" w:space="0" w:color="auto"/>
              <w:right w:val="single" w:sz="4" w:space="0" w:color="auto"/>
            </w:tcBorders>
            <w:shd w:val="clear" w:color="000000" w:fill="FFFFFF"/>
            <w:noWrap/>
            <w:vAlign w:val="center"/>
          </w:tcPr>
          <w:p w14:paraId="35506A8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781.07</w:t>
            </w:r>
          </w:p>
        </w:tc>
        <w:tc>
          <w:tcPr>
            <w:tcW w:w="315" w:type="pct"/>
            <w:tcBorders>
              <w:top w:val="nil"/>
              <w:left w:val="nil"/>
              <w:bottom w:val="single" w:sz="4" w:space="0" w:color="auto"/>
              <w:right w:val="single" w:sz="4" w:space="0" w:color="auto"/>
            </w:tcBorders>
            <w:shd w:val="clear" w:color="000000" w:fill="FFFFFF"/>
            <w:noWrap/>
            <w:vAlign w:val="center"/>
          </w:tcPr>
          <w:p w14:paraId="69131B1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1D03836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地上</w:t>
            </w:r>
          </w:p>
        </w:tc>
      </w:tr>
      <w:tr w:rsidR="00000000" w14:paraId="798E2C2C"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5D402F0B"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02599DA1"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4300DAC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7</w:t>
            </w:r>
          </w:p>
        </w:tc>
        <w:tc>
          <w:tcPr>
            <w:tcW w:w="569" w:type="pct"/>
            <w:tcBorders>
              <w:top w:val="nil"/>
              <w:left w:val="nil"/>
              <w:bottom w:val="single" w:sz="4" w:space="0" w:color="auto"/>
              <w:right w:val="single" w:sz="4" w:space="0" w:color="auto"/>
            </w:tcBorders>
            <w:shd w:val="clear" w:color="000000" w:fill="FFFFFF"/>
            <w:noWrap/>
            <w:vAlign w:val="bottom"/>
          </w:tcPr>
          <w:p w14:paraId="12D6652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3</w:t>
            </w:r>
          </w:p>
        </w:tc>
        <w:tc>
          <w:tcPr>
            <w:tcW w:w="587" w:type="pct"/>
            <w:tcBorders>
              <w:top w:val="nil"/>
              <w:left w:val="nil"/>
              <w:bottom w:val="single" w:sz="4" w:space="0" w:color="auto"/>
              <w:right w:val="single" w:sz="4" w:space="0" w:color="auto"/>
            </w:tcBorders>
            <w:shd w:val="clear" w:color="000000" w:fill="FFFFFF"/>
            <w:noWrap/>
            <w:vAlign w:val="center"/>
          </w:tcPr>
          <w:p w14:paraId="45F37DF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203</w:t>
            </w:r>
          </w:p>
        </w:tc>
        <w:tc>
          <w:tcPr>
            <w:tcW w:w="709" w:type="pct"/>
            <w:tcBorders>
              <w:top w:val="nil"/>
              <w:left w:val="nil"/>
              <w:bottom w:val="single" w:sz="4" w:space="0" w:color="auto"/>
              <w:right w:val="single" w:sz="4" w:space="0" w:color="auto"/>
            </w:tcBorders>
            <w:shd w:val="clear" w:color="000000" w:fill="FFFFFF"/>
            <w:noWrap/>
            <w:vAlign w:val="center"/>
          </w:tcPr>
          <w:p w14:paraId="2934E6D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749.63</w:t>
            </w:r>
          </w:p>
        </w:tc>
        <w:tc>
          <w:tcPr>
            <w:tcW w:w="984" w:type="pct"/>
            <w:tcBorders>
              <w:top w:val="nil"/>
              <w:left w:val="nil"/>
              <w:bottom w:val="single" w:sz="4" w:space="0" w:color="auto"/>
              <w:right w:val="single" w:sz="4" w:space="0" w:color="auto"/>
            </w:tcBorders>
            <w:shd w:val="clear" w:color="000000" w:fill="FFFFFF"/>
            <w:noWrap/>
            <w:vAlign w:val="center"/>
          </w:tcPr>
          <w:p w14:paraId="6D88AC1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550.32</w:t>
            </w:r>
          </w:p>
        </w:tc>
        <w:tc>
          <w:tcPr>
            <w:tcW w:w="315" w:type="pct"/>
            <w:tcBorders>
              <w:top w:val="nil"/>
              <w:left w:val="nil"/>
              <w:bottom w:val="single" w:sz="4" w:space="0" w:color="auto"/>
              <w:right w:val="single" w:sz="4" w:space="0" w:color="auto"/>
            </w:tcBorders>
            <w:shd w:val="clear" w:color="000000" w:fill="FFFFFF"/>
            <w:noWrap/>
            <w:vAlign w:val="center"/>
          </w:tcPr>
          <w:p w14:paraId="2F3E83A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0C4CCE2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地上</w:t>
            </w:r>
          </w:p>
        </w:tc>
      </w:tr>
      <w:tr w:rsidR="00000000" w14:paraId="5B19F41D"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5E418B0B"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bottom w:val="single" w:sz="4" w:space="0" w:color="auto"/>
              <w:right w:val="single" w:sz="4" w:space="0" w:color="auto"/>
            </w:tcBorders>
            <w:shd w:val="clear" w:color="000000" w:fill="FFFFFF"/>
            <w:noWrap/>
            <w:vAlign w:val="center"/>
          </w:tcPr>
          <w:p w14:paraId="138016F7"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33FDBFC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69" w:type="pct"/>
            <w:tcBorders>
              <w:top w:val="nil"/>
              <w:left w:val="nil"/>
              <w:bottom w:val="single" w:sz="4" w:space="0" w:color="auto"/>
              <w:right w:val="single" w:sz="4" w:space="0" w:color="auto"/>
            </w:tcBorders>
            <w:shd w:val="clear" w:color="000000" w:fill="FFFFFF"/>
            <w:noWrap/>
            <w:vAlign w:val="bottom"/>
          </w:tcPr>
          <w:p w14:paraId="28B2D1B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小计</w:t>
            </w:r>
          </w:p>
        </w:tc>
        <w:tc>
          <w:tcPr>
            <w:tcW w:w="587" w:type="pct"/>
            <w:tcBorders>
              <w:top w:val="nil"/>
              <w:left w:val="nil"/>
              <w:bottom w:val="single" w:sz="4" w:space="0" w:color="auto"/>
              <w:right w:val="single" w:sz="4" w:space="0" w:color="auto"/>
            </w:tcBorders>
            <w:shd w:val="clear" w:color="000000" w:fill="FFFFFF"/>
            <w:noWrap/>
            <w:vAlign w:val="center"/>
          </w:tcPr>
          <w:p w14:paraId="6F23471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709" w:type="pct"/>
            <w:tcBorders>
              <w:top w:val="nil"/>
              <w:left w:val="nil"/>
              <w:bottom w:val="single" w:sz="4" w:space="0" w:color="auto"/>
              <w:right w:val="single" w:sz="4" w:space="0" w:color="auto"/>
            </w:tcBorders>
            <w:shd w:val="clear" w:color="000000" w:fill="FFFFFF"/>
            <w:noWrap/>
            <w:vAlign w:val="center"/>
          </w:tcPr>
          <w:p w14:paraId="376A5A3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5287.83</w:t>
            </w:r>
          </w:p>
        </w:tc>
        <w:tc>
          <w:tcPr>
            <w:tcW w:w="984" w:type="pct"/>
            <w:tcBorders>
              <w:top w:val="nil"/>
              <w:left w:val="nil"/>
              <w:bottom w:val="single" w:sz="4" w:space="0" w:color="auto"/>
              <w:right w:val="single" w:sz="4" w:space="0" w:color="auto"/>
            </w:tcBorders>
            <w:shd w:val="clear" w:color="000000" w:fill="FFFFFF"/>
            <w:noWrap/>
            <w:vAlign w:val="center"/>
          </w:tcPr>
          <w:p w14:paraId="0614311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4052.97</w:t>
            </w:r>
          </w:p>
        </w:tc>
        <w:tc>
          <w:tcPr>
            <w:tcW w:w="315" w:type="pct"/>
            <w:tcBorders>
              <w:top w:val="nil"/>
              <w:left w:val="nil"/>
              <w:bottom w:val="single" w:sz="4" w:space="0" w:color="auto"/>
              <w:right w:val="single" w:sz="4" w:space="0" w:color="auto"/>
            </w:tcBorders>
            <w:shd w:val="clear" w:color="000000" w:fill="FFFFFF"/>
            <w:noWrap/>
            <w:vAlign w:val="center"/>
          </w:tcPr>
          <w:p w14:paraId="4FAB5CC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575" w:type="pct"/>
            <w:tcBorders>
              <w:top w:val="nil"/>
              <w:left w:val="nil"/>
              <w:bottom w:val="single" w:sz="4" w:space="0" w:color="auto"/>
              <w:right w:val="single" w:sz="4" w:space="0" w:color="auto"/>
            </w:tcBorders>
            <w:shd w:val="clear" w:color="000000" w:fill="FFFFFF"/>
            <w:noWrap/>
            <w:vAlign w:val="center"/>
          </w:tcPr>
          <w:p w14:paraId="7C120A1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r>
      <w:tr w:rsidR="00000000" w14:paraId="639F83C7"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0DB6DBC6"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val="restart"/>
            <w:tcBorders>
              <w:top w:val="nil"/>
              <w:left w:val="nil"/>
              <w:right w:val="single" w:sz="4" w:space="0" w:color="auto"/>
            </w:tcBorders>
            <w:shd w:val="clear" w:color="000000" w:fill="FFFFFF"/>
            <w:noWrap/>
            <w:vAlign w:val="center"/>
          </w:tcPr>
          <w:p w14:paraId="3B19E93C"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房山区阜盛西街11号院6号楼</w:t>
            </w:r>
          </w:p>
        </w:tc>
        <w:tc>
          <w:tcPr>
            <w:tcW w:w="341" w:type="pct"/>
            <w:tcBorders>
              <w:top w:val="nil"/>
              <w:left w:val="nil"/>
              <w:bottom w:val="single" w:sz="4" w:space="0" w:color="auto"/>
              <w:right w:val="single" w:sz="4" w:space="0" w:color="auto"/>
            </w:tcBorders>
            <w:shd w:val="clear" w:color="000000" w:fill="FFFFFF"/>
            <w:noWrap/>
            <w:vAlign w:val="center"/>
          </w:tcPr>
          <w:p w14:paraId="6C15866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8</w:t>
            </w:r>
          </w:p>
        </w:tc>
        <w:tc>
          <w:tcPr>
            <w:tcW w:w="569" w:type="pct"/>
            <w:tcBorders>
              <w:top w:val="nil"/>
              <w:left w:val="nil"/>
              <w:bottom w:val="single" w:sz="4" w:space="0" w:color="auto"/>
              <w:right w:val="single" w:sz="4" w:space="0" w:color="auto"/>
            </w:tcBorders>
            <w:shd w:val="clear" w:color="000000" w:fill="FFFFFF"/>
            <w:noWrap/>
            <w:vAlign w:val="bottom"/>
          </w:tcPr>
          <w:p w14:paraId="10D0FA1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587" w:type="pct"/>
            <w:tcBorders>
              <w:top w:val="nil"/>
              <w:left w:val="nil"/>
              <w:bottom w:val="single" w:sz="4" w:space="0" w:color="auto"/>
              <w:right w:val="single" w:sz="4" w:space="0" w:color="auto"/>
            </w:tcBorders>
            <w:shd w:val="clear" w:color="000000" w:fill="FFFFFF"/>
            <w:noWrap/>
            <w:vAlign w:val="center"/>
          </w:tcPr>
          <w:p w14:paraId="3C1685A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-101</w:t>
            </w:r>
          </w:p>
        </w:tc>
        <w:tc>
          <w:tcPr>
            <w:tcW w:w="709" w:type="pct"/>
            <w:tcBorders>
              <w:top w:val="nil"/>
              <w:left w:val="nil"/>
              <w:bottom w:val="single" w:sz="4" w:space="0" w:color="auto"/>
              <w:right w:val="single" w:sz="4" w:space="0" w:color="auto"/>
            </w:tcBorders>
            <w:shd w:val="clear" w:color="000000" w:fill="FFFFFF"/>
            <w:noWrap/>
            <w:vAlign w:val="center"/>
          </w:tcPr>
          <w:p w14:paraId="4711BD2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969.55</w:t>
            </w:r>
          </w:p>
        </w:tc>
        <w:tc>
          <w:tcPr>
            <w:tcW w:w="984" w:type="pct"/>
            <w:tcBorders>
              <w:top w:val="nil"/>
              <w:left w:val="nil"/>
              <w:bottom w:val="single" w:sz="4" w:space="0" w:color="auto"/>
              <w:right w:val="single" w:sz="4" w:space="0" w:color="auto"/>
            </w:tcBorders>
            <w:shd w:val="clear" w:color="000000" w:fill="FFFFFF"/>
            <w:noWrap/>
            <w:vAlign w:val="center"/>
          </w:tcPr>
          <w:p w14:paraId="0E9202B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577.33</w:t>
            </w:r>
          </w:p>
        </w:tc>
        <w:tc>
          <w:tcPr>
            <w:tcW w:w="315" w:type="pct"/>
            <w:tcBorders>
              <w:top w:val="nil"/>
              <w:left w:val="nil"/>
              <w:bottom w:val="single" w:sz="4" w:space="0" w:color="auto"/>
              <w:right w:val="single" w:sz="4" w:space="0" w:color="auto"/>
            </w:tcBorders>
            <w:shd w:val="clear" w:color="000000" w:fill="FFFFFF"/>
            <w:noWrap/>
            <w:vAlign w:val="center"/>
          </w:tcPr>
          <w:p w14:paraId="128005B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5469383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r>
      <w:tr w:rsidR="00000000" w14:paraId="172CFF98" w14:textId="77777777">
        <w:trPr>
          <w:trHeight w:val="90"/>
          <w:jc w:val="center"/>
        </w:trPr>
        <w:tc>
          <w:tcPr>
            <w:tcW w:w="338" w:type="pct"/>
            <w:vMerge/>
            <w:tcBorders>
              <w:top w:val="nil"/>
              <w:left w:val="single" w:sz="4" w:space="0" w:color="auto"/>
              <w:bottom w:val="single" w:sz="4" w:space="0" w:color="000000"/>
              <w:right w:val="single" w:sz="4" w:space="0" w:color="auto"/>
            </w:tcBorders>
            <w:vAlign w:val="center"/>
          </w:tcPr>
          <w:p w14:paraId="798F60A7"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0C7BCE13"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049D557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9</w:t>
            </w:r>
          </w:p>
        </w:tc>
        <w:tc>
          <w:tcPr>
            <w:tcW w:w="569" w:type="pct"/>
            <w:tcBorders>
              <w:top w:val="nil"/>
              <w:left w:val="nil"/>
              <w:bottom w:val="single" w:sz="4" w:space="0" w:color="auto"/>
              <w:right w:val="single" w:sz="4" w:space="0" w:color="auto"/>
            </w:tcBorders>
            <w:shd w:val="clear" w:color="000000" w:fill="FFFFFF"/>
            <w:noWrap/>
            <w:vAlign w:val="bottom"/>
          </w:tcPr>
          <w:p w14:paraId="22E58B2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587" w:type="pct"/>
            <w:tcBorders>
              <w:top w:val="nil"/>
              <w:left w:val="nil"/>
              <w:bottom w:val="single" w:sz="4" w:space="0" w:color="auto"/>
              <w:right w:val="single" w:sz="4" w:space="0" w:color="auto"/>
            </w:tcBorders>
            <w:shd w:val="clear" w:color="000000" w:fill="FFFFFF"/>
            <w:noWrap/>
            <w:vAlign w:val="center"/>
          </w:tcPr>
          <w:p w14:paraId="5B1842D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-102</w:t>
            </w:r>
          </w:p>
        </w:tc>
        <w:tc>
          <w:tcPr>
            <w:tcW w:w="709" w:type="pct"/>
            <w:tcBorders>
              <w:top w:val="nil"/>
              <w:left w:val="nil"/>
              <w:bottom w:val="single" w:sz="4" w:space="0" w:color="auto"/>
              <w:right w:val="single" w:sz="4" w:space="0" w:color="auto"/>
            </w:tcBorders>
            <w:shd w:val="clear" w:color="000000" w:fill="FFFFFF"/>
            <w:noWrap/>
            <w:vAlign w:val="center"/>
          </w:tcPr>
          <w:p w14:paraId="4CC90C9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1449.79</w:t>
            </w:r>
          </w:p>
        </w:tc>
        <w:tc>
          <w:tcPr>
            <w:tcW w:w="984" w:type="pct"/>
            <w:tcBorders>
              <w:top w:val="nil"/>
              <w:left w:val="nil"/>
              <w:bottom w:val="single" w:sz="4" w:space="0" w:color="auto"/>
              <w:right w:val="single" w:sz="4" w:space="0" w:color="auto"/>
            </w:tcBorders>
            <w:shd w:val="clear" w:color="000000" w:fill="FFFFFF"/>
            <w:noWrap/>
            <w:vAlign w:val="center"/>
          </w:tcPr>
          <w:p w14:paraId="57F5F36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863.29</w:t>
            </w:r>
          </w:p>
        </w:tc>
        <w:tc>
          <w:tcPr>
            <w:tcW w:w="315" w:type="pct"/>
            <w:tcBorders>
              <w:top w:val="nil"/>
              <w:left w:val="nil"/>
              <w:bottom w:val="single" w:sz="4" w:space="0" w:color="auto"/>
              <w:right w:val="single" w:sz="4" w:space="0" w:color="auto"/>
            </w:tcBorders>
            <w:shd w:val="clear" w:color="000000" w:fill="FFFFFF"/>
            <w:noWrap/>
            <w:vAlign w:val="center"/>
          </w:tcPr>
          <w:p w14:paraId="118850E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3594592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r>
      <w:tr w:rsidR="00000000" w14:paraId="0A16A50D"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34561634"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659E9444"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0FAAEA92"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10</w:t>
            </w:r>
          </w:p>
        </w:tc>
        <w:tc>
          <w:tcPr>
            <w:tcW w:w="569" w:type="pct"/>
            <w:tcBorders>
              <w:top w:val="nil"/>
              <w:left w:val="nil"/>
              <w:bottom w:val="single" w:sz="4" w:space="0" w:color="auto"/>
              <w:right w:val="single" w:sz="4" w:space="0" w:color="auto"/>
            </w:tcBorders>
            <w:shd w:val="clear" w:color="000000" w:fill="FFFFFF"/>
            <w:noWrap/>
            <w:vAlign w:val="bottom"/>
          </w:tcPr>
          <w:p w14:paraId="2AF58BC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587" w:type="pct"/>
            <w:tcBorders>
              <w:top w:val="nil"/>
              <w:left w:val="nil"/>
              <w:bottom w:val="single" w:sz="4" w:space="0" w:color="auto"/>
              <w:right w:val="single" w:sz="4" w:space="0" w:color="auto"/>
            </w:tcBorders>
            <w:shd w:val="clear" w:color="000000" w:fill="FFFFFF"/>
            <w:noWrap/>
            <w:vAlign w:val="center"/>
          </w:tcPr>
          <w:p w14:paraId="29010A1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-103</w:t>
            </w:r>
          </w:p>
        </w:tc>
        <w:tc>
          <w:tcPr>
            <w:tcW w:w="709" w:type="pct"/>
            <w:tcBorders>
              <w:top w:val="nil"/>
              <w:left w:val="nil"/>
              <w:bottom w:val="single" w:sz="4" w:space="0" w:color="auto"/>
              <w:right w:val="single" w:sz="4" w:space="0" w:color="auto"/>
            </w:tcBorders>
            <w:shd w:val="clear" w:color="000000" w:fill="FFFFFF"/>
            <w:noWrap/>
            <w:vAlign w:val="center"/>
          </w:tcPr>
          <w:p w14:paraId="27EE082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1041.56</w:t>
            </w:r>
          </w:p>
        </w:tc>
        <w:tc>
          <w:tcPr>
            <w:tcW w:w="984" w:type="pct"/>
            <w:tcBorders>
              <w:top w:val="nil"/>
              <w:left w:val="nil"/>
              <w:bottom w:val="single" w:sz="4" w:space="0" w:color="auto"/>
              <w:right w:val="single" w:sz="4" w:space="0" w:color="auto"/>
            </w:tcBorders>
            <w:shd w:val="clear" w:color="000000" w:fill="FFFFFF"/>
            <w:noWrap/>
            <w:vAlign w:val="center"/>
          </w:tcPr>
          <w:p w14:paraId="71BB7F2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620.21</w:t>
            </w:r>
          </w:p>
        </w:tc>
        <w:tc>
          <w:tcPr>
            <w:tcW w:w="315" w:type="pct"/>
            <w:tcBorders>
              <w:top w:val="nil"/>
              <w:left w:val="nil"/>
              <w:bottom w:val="single" w:sz="4" w:space="0" w:color="auto"/>
              <w:right w:val="single" w:sz="4" w:space="0" w:color="auto"/>
            </w:tcBorders>
            <w:shd w:val="clear" w:color="000000" w:fill="FFFFFF"/>
            <w:noWrap/>
            <w:vAlign w:val="center"/>
          </w:tcPr>
          <w:p w14:paraId="410AFEB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5DD9DD9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r>
      <w:tr w:rsidR="00000000" w14:paraId="744F78E7"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21C6AA3B"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5D7D7059"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304BFB26"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11</w:t>
            </w:r>
          </w:p>
        </w:tc>
        <w:tc>
          <w:tcPr>
            <w:tcW w:w="569" w:type="pct"/>
            <w:tcBorders>
              <w:top w:val="nil"/>
              <w:left w:val="nil"/>
              <w:bottom w:val="single" w:sz="4" w:space="0" w:color="auto"/>
              <w:right w:val="single" w:sz="4" w:space="0" w:color="auto"/>
            </w:tcBorders>
            <w:shd w:val="clear" w:color="000000" w:fill="FFFFFF"/>
            <w:noWrap/>
            <w:vAlign w:val="bottom"/>
          </w:tcPr>
          <w:p w14:paraId="6DEE9B1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587" w:type="pct"/>
            <w:tcBorders>
              <w:top w:val="nil"/>
              <w:left w:val="nil"/>
              <w:bottom w:val="single" w:sz="4" w:space="0" w:color="auto"/>
              <w:right w:val="single" w:sz="4" w:space="0" w:color="auto"/>
            </w:tcBorders>
            <w:shd w:val="clear" w:color="000000" w:fill="FFFFFF"/>
            <w:noWrap/>
            <w:vAlign w:val="center"/>
          </w:tcPr>
          <w:p w14:paraId="75C0F40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-104</w:t>
            </w:r>
          </w:p>
        </w:tc>
        <w:tc>
          <w:tcPr>
            <w:tcW w:w="709" w:type="pct"/>
            <w:tcBorders>
              <w:top w:val="nil"/>
              <w:left w:val="nil"/>
              <w:bottom w:val="single" w:sz="4" w:space="0" w:color="auto"/>
              <w:right w:val="single" w:sz="4" w:space="0" w:color="auto"/>
            </w:tcBorders>
            <w:shd w:val="clear" w:color="000000" w:fill="FFFFFF"/>
            <w:noWrap/>
            <w:vAlign w:val="center"/>
          </w:tcPr>
          <w:p w14:paraId="065FC58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883.94</w:t>
            </w:r>
          </w:p>
        </w:tc>
        <w:tc>
          <w:tcPr>
            <w:tcW w:w="984" w:type="pct"/>
            <w:tcBorders>
              <w:top w:val="nil"/>
              <w:left w:val="nil"/>
              <w:bottom w:val="single" w:sz="4" w:space="0" w:color="auto"/>
              <w:right w:val="single" w:sz="4" w:space="0" w:color="auto"/>
            </w:tcBorders>
            <w:shd w:val="clear" w:color="000000" w:fill="FFFFFF"/>
            <w:noWrap/>
            <w:vAlign w:val="center"/>
          </w:tcPr>
          <w:p w14:paraId="2329C36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526.35</w:t>
            </w:r>
          </w:p>
        </w:tc>
        <w:tc>
          <w:tcPr>
            <w:tcW w:w="315" w:type="pct"/>
            <w:tcBorders>
              <w:top w:val="nil"/>
              <w:left w:val="nil"/>
              <w:bottom w:val="single" w:sz="4" w:space="0" w:color="auto"/>
              <w:right w:val="single" w:sz="4" w:space="0" w:color="auto"/>
            </w:tcBorders>
            <w:shd w:val="clear" w:color="000000" w:fill="FFFFFF"/>
            <w:noWrap/>
            <w:vAlign w:val="center"/>
          </w:tcPr>
          <w:p w14:paraId="143A2DD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16FC9E3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r>
      <w:tr w:rsidR="00000000" w14:paraId="1E751539"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27DE2197"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0FBB7872"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2608780B"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12</w:t>
            </w:r>
          </w:p>
        </w:tc>
        <w:tc>
          <w:tcPr>
            <w:tcW w:w="569" w:type="pct"/>
            <w:tcBorders>
              <w:top w:val="nil"/>
              <w:left w:val="nil"/>
              <w:bottom w:val="single" w:sz="4" w:space="0" w:color="auto"/>
              <w:right w:val="single" w:sz="4" w:space="0" w:color="auto"/>
            </w:tcBorders>
            <w:shd w:val="clear" w:color="000000" w:fill="FFFFFF"/>
            <w:noWrap/>
            <w:vAlign w:val="bottom"/>
          </w:tcPr>
          <w:p w14:paraId="2DF2148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587" w:type="pct"/>
            <w:tcBorders>
              <w:top w:val="nil"/>
              <w:left w:val="nil"/>
              <w:bottom w:val="single" w:sz="4" w:space="0" w:color="auto"/>
              <w:right w:val="single" w:sz="4" w:space="0" w:color="auto"/>
            </w:tcBorders>
            <w:shd w:val="clear" w:color="000000" w:fill="FFFFFF"/>
            <w:noWrap/>
            <w:vAlign w:val="center"/>
          </w:tcPr>
          <w:p w14:paraId="3B0AC41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-105</w:t>
            </w:r>
          </w:p>
        </w:tc>
        <w:tc>
          <w:tcPr>
            <w:tcW w:w="709" w:type="pct"/>
            <w:tcBorders>
              <w:top w:val="nil"/>
              <w:left w:val="nil"/>
              <w:bottom w:val="single" w:sz="4" w:space="0" w:color="auto"/>
              <w:right w:val="single" w:sz="4" w:space="0" w:color="auto"/>
            </w:tcBorders>
            <w:shd w:val="clear" w:color="000000" w:fill="FFFFFF"/>
            <w:noWrap/>
            <w:vAlign w:val="center"/>
          </w:tcPr>
          <w:p w14:paraId="27120EB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863.40</w:t>
            </w:r>
          </w:p>
        </w:tc>
        <w:tc>
          <w:tcPr>
            <w:tcW w:w="984" w:type="pct"/>
            <w:tcBorders>
              <w:top w:val="nil"/>
              <w:left w:val="nil"/>
              <w:bottom w:val="single" w:sz="4" w:space="0" w:color="auto"/>
              <w:right w:val="single" w:sz="4" w:space="0" w:color="auto"/>
            </w:tcBorders>
            <w:shd w:val="clear" w:color="000000" w:fill="FFFFFF"/>
            <w:noWrap/>
            <w:vAlign w:val="center"/>
          </w:tcPr>
          <w:p w14:paraId="7ACB19D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514.12</w:t>
            </w:r>
          </w:p>
        </w:tc>
        <w:tc>
          <w:tcPr>
            <w:tcW w:w="315" w:type="pct"/>
            <w:tcBorders>
              <w:top w:val="nil"/>
              <w:left w:val="nil"/>
              <w:bottom w:val="single" w:sz="4" w:space="0" w:color="auto"/>
              <w:right w:val="single" w:sz="4" w:space="0" w:color="auto"/>
            </w:tcBorders>
            <w:shd w:val="clear" w:color="000000" w:fill="FFFFFF"/>
            <w:noWrap/>
            <w:vAlign w:val="center"/>
          </w:tcPr>
          <w:p w14:paraId="5CABDA2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47DDAE5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r>
      <w:tr w:rsidR="00000000" w14:paraId="3F563202" w14:textId="77777777">
        <w:trPr>
          <w:trHeight w:val="90"/>
          <w:jc w:val="center"/>
        </w:trPr>
        <w:tc>
          <w:tcPr>
            <w:tcW w:w="338" w:type="pct"/>
            <w:vMerge/>
            <w:tcBorders>
              <w:top w:val="nil"/>
              <w:left w:val="single" w:sz="4" w:space="0" w:color="auto"/>
              <w:bottom w:val="single" w:sz="4" w:space="0" w:color="000000"/>
              <w:right w:val="single" w:sz="4" w:space="0" w:color="auto"/>
            </w:tcBorders>
            <w:vAlign w:val="center"/>
          </w:tcPr>
          <w:p w14:paraId="0CBBDD3D"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1E23231C"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4506BA9E"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13</w:t>
            </w:r>
          </w:p>
        </w:tc>
        <w:tc>
          <w:tcPr>
            <w:tcW w:w="569" w:type="pct"/>
            <w:tcBorders>
              <w:top w:val="nil"/>
              <w:left w:val="nil"/>
              <w:bottom w:val="single" w:sz="4" w:space="0" w:color="auto"/>
              <w:right w:val="single" w:sz="4" w:space="0" w:color="auto"/>
            </w:tcBorders>
            <w:shd w:val="clear" w:color="000000" w:fill="FFFFFF"/>
            <w:noWrap/>
            <w:vAlign w:val="bottom"/>
          </w:tcPr>
          <w:p w14:paraId="2E322A3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587" w:type="pct"/>
            <w:tcBorders>
              <w:top w:val="nil"/>
              <w:left w:val="nil"/>
              <w:bottom w:val="single" w:sz="4" w:space="0" w:color="auto"/>
              <w:right w:val="single" w:sz="4" w:space="0" w:color="auto"/>
            </w:tcBorders>
            <w:shd w:val="clear" w:color="000000" w:fill="FFFFFF"/>
            <w:noWrap/>
            <w:vAlign w:val="center"/>
          </w:tcPr>
          <w:p w14:paraId="558B8D7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-106</w:t>
            </w:r>
          </w:p>
        </w:tc>
        <w:tc>
          <w:tcPr>
            <w:tcW w:w="709" w:type="pct"/>
            <w:tcBorders>
              <w:top w:val="nil"/>
              <w:left w:val="nil"/>
              <w:bottom w:val="single" w:sz="4" w:space="0" w:color="auto"/>
              <w:right w:val="single" w:sz="4" w:space="0" w:color="auto"/>
            </w:tcBorders>
            <w:shd w:val="clear" w:color="000000" w:fill="FFFFFF"/>
            <w:noWrap/>
            <w:vAlign w:val="center"/>
          </w:tcPr>
          <w:p w14:paraId="65BF4BF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903.32</w:t>
            </w:r>
          </w:p>
        </w:tc>
        <w:tc>
          <w:tcPr>
            <w:tcW w:w="984" w:type="pct"/>
            <w:tcBorders>
              <w:top w:val="nil"/>
              <w:left w:val="nil"/>
              <w:bottom w:val="single" w:sz="4" w:space="0" w:color="auto"/>
              <w:right w:val="single" w:sz="4" w:space="0" w:color="auto"/>
            </w:tcBorders>
            <w:shd w:val="clear" w:color="000000" w:fill="FFFFFF"/>
            <w:noWrap/>
            <w:vAlign w:val="center"/>
          </w:tcPr>
          <w:p w14:paraId="76D17FD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537.89</w:t>
            </w:r>
          </w:p>
        </w:tc>
        <w:tc>
          <w:tcPr>
            <w:tcW w:w="315" w:type="pct"/>
            <w:tcBorders>
              <w:top w:val="nil"/>
              <w:left w:val="nil"/>
              <w:bottom w:val="single" w:sz="4" w:space="0" w:color="auto"/>
              <w:right w:val="single" w:sz="4" w:space="0" w:color="auto"/>
            </w:tcBorders>
            <w:shd w:val="clear" w:color="000000" w:fill="FFFFFF"/>
            <w:noWrap/>
            <w:vAlign w:val="center"/>
          </w:tcPr>
          <w:p w14:paraId="5E216D4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4369726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r>
      <w:tr w:rsidR="00000000" w14:paraId="32F0DD88"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68C93BBC"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0B05804E"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6D17DE1D"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14</w:t>
            </w:r>
          </w:p>
        </w:tc>
        <w:tc>
          <w:tcPr>
            <w:tcW w:w="569" w:type="pct"/>
            <w:tcBorders>
              <w:top w:val="nil"/>
              <w:left w:val="nil"/>
              <w:bottom w:val="single" w:sz="4" w:space="0" w:color="auto"/>
              <w:right w:val="single" w:sz="4" w:space="0" w:color="auto"/>
            </w:tcBorders>
            <w:shd w:val="clear" w:color="000000" w:fill="FFFFFF"/>
            <w:noWrap/>
            <w:vAlign w:val="bottom"/>
          </w:tcPr>
          <w:p w14:paraId="47B0FE1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587" w:type="pct"/>
            <w:tcBorders>
              <w:top w:val="nil"/>
              <w:left w:val="nil"/>
              <w:bottom w:val="single" w:sz="4" w:space="0" w:color="auto"/>
              <w:right w:val="single" w:sz="4" w:space="0" w:color="auto"/>
            </w:tcBorders>
            <w:shd w:val="clear" w:color="000000" w:fill="FFFFFF"/>
            <w:noWrap/>
            <w:vAlign w:val="center"/>
          </w:tcPr>
          <w:p w14:paraId="6C0F8BA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-107</w:t>
            </w:r>
          </w:p>
        </w:tc>
        <w:tc>
          <w:tcPr>
            <w:tcW w:w="709" w:type="pct"/>
            <w:tcBorders>
              <w:top w:val="nil"/>
              <w:left w:val="nil"/>
              <w:bottom w:val="single" w:sz="4" w:space="0" w:color="auto"/>
              <w:right w:val="single" w:sz="4" w:space="0" w:color="auto"/>
            </w:tcBorders>
            <w:shd w:val="clear" w:color="000000" w:fill="FFFFFF"/>
            <w:noWrap/>
            <w:vAlign w:val="center"/>
          </w:tcPr>
          <w:p w14:paraId="2B6D1EF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892.55</w:t>
            </w:r>
          </w:p>
        </w:tc>
        <w:tc>
          <w:tcPr>
            <w:tcW w:w="984" w:type="pct"/>
            <w:tcBorders>
              <w:top w:val="nil"/>
              <w:left w:val="nil"/>
              <w:bottom w:val="single" w:sz="4" w:space="0" w:color="auto"/>
              <w:right w:val="single" w:sz="4" w:space="0" w:color="auto"/>
            </w:tcBorders>
            <w:shd w:val="clear" w:color="000000" w:fill="FFFFFF"/>
            <w:noWrap/>
            <w:vAlign w:val="center"/>
          </w:tcPr>
          <w:p w14:paraId="144ADF6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531.48</w:t>
            </w:r>
          </w:p>
        </w:tc>
        <w:tc>
          <w:tcPr>
            <w:tcW w:w="315" w:type="pct"/>
            <w:tcBorders>
              <w:top w:val="nil"/>
              <w:left w:val="nil"/>
              <w:bottom w:val="single" w:sz="4" w:space="0" w:color="auto"/>
              <w:right w:val="single" w:sz="4" w:space="0" w:color="auto"/>
            </w:tcBorders>
            <w:shd w:val="clear" w:color="000000" w:fill="FFFFFF"/>
            <w:noWrap/>
            <w:vAlign w:val="center"/>
          </w:tcPr>
          <w:p w14:paraId="17691FD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36F6BE5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r>
      <w:tr w:rsidR="00000000" w14:paraId="2FD5F89E"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5D6F80A6"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19A73CC5"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3FD30A96"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15</w:t>
            </w:r>
          </w:p>
        </w:tc>
        <w:tc>
          <w:tcPr>
            <w:tcW w:w="569" w:type="pct"/>
            <w:tcBorders>
              <w:top w:val="nil"/>
              <w:left w:val="nil"/>
              <w:bottom w:val="single" w:sz="4" w:space="0" w:color="auto"/>
              <w:right w:val="single" w:sz="4" w:space="0" w:color="auto"/>
            </w:tcBorders>
            <w:shd w:val="clear" w:color="000000" w:fill="FFFFFF"/>
            <w:noWrap/>
            <w:vAlign w:val="bottom"/>
          </w:tcPr>
          <w:p w14:paraId="1E49FF1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587" w:type="pct"/>
            <w:tcBorders>
              <w:top w:val="nil"/>
              <w:left w:val="nil"/>
              <w:bottom w:val="single" w:sz="4" w:space="0" w:color="auto"/>
              <w:right w:val="single" w:sz="4" w:space="0" w:color="auto"/>
            </w:tcBorders>
            <w:shd w:val="clear" w:color="000000" w:fill="FFFFFF"/>
            <w:noWrap/>
            <w:vAlign w:val="center"/>
          </w:tcPr>
          <w:p w14:paraId="17CC3D6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-108</w:t>
            </w:r>
          </w:p>
        </w:tc>
        <w:tc>
          <w:tcPr>
            <w:tcW w:w="709" w:type="pct"/>
            <w:tcBorders>
              <w:top w:val="nil"/>
              <w:left w:val="nil"/>
              <w:bottom w:val="single" w:sz="4" w:space="0" w:color="auto"/>
              <w:right w:val="single" w:sz="4" w:space="0" w:color="auto"/>
            </w:tcBorders>
            <w:shd w:val="clear" w:color="000000" w:fill="FFFFFF"/>
            <w:noWrap/>
            <w:vAlign w:val="center"/>
          </w:tcPr>
          <w:p w14:paraId="115D1BD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883.60</w:t>
            </w:r>
          </w:p>
        </w:tc>
        <w:tc>
          <w:tcPr>
            <w:tcW w:w="984" w:type="pct"/>
            <w:tcBorders>
              <w:top w:val="nil"/>
              <w:left w:val="nil"/>
              <w:bottom w:val="single" w:sz="4" w:space="0" w:color="auto"/>
              <w:right w:val="single" w:sz="4" w:space="0" w:color="auto"/>
            </w:tcBorders>
            <w:shd w:val="clear" w:color="000000" w:fill="FFFFFF"/>
            <w:noWrap/>
            <w:vAlign w:val="center"/>
          </w:tcPr>
          <w:p w14:paraId="3C011AF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526.15</w:t>
            </w:r>
          </w:p>
        </w:tc>
        <w:tc>
          <w:tcPr>
            <w:tcW w:w="315" w:type="pct"/>
            <w:tcBorders>
              <w:top w:val="nil"/>
              <w:left w:val="nil"/>
              <w:bottom w:val="single" w:sz="4" w:space="0" w:color="auto"/>
              <w:right w:val="single" w:sz="4" w:space="0" w:color="auto"/>
            </w:tcBorders>
            <w:shd w:val="clear" w:color="000000" w:fill="FFFFFF"/>
            <w:noWrap/>
            <w:vAlign w:val="center"/>
          </w:tcPr>
          <w:p w14:paraId="11750B4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523E01C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r>
      <w:tr w:rsidR="00000000" w14:paraId="6F883B56"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3EAFA562"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73686E39"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085987CE"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16</w:t>
            </w:r>
          </w:p>
        </w:tc>
        <w:tc>
          <w:tcPr>
            <w:tcW w:w="569" w:type="pct"/>
            <w:tcBorders>
              <w:top w:val="nil"/>
              <w:left w:val="nil"/>
              <w:bottom w:val="single" w:sz="4" w:space="0" w:color="auto"/>
              <w:right w:val="single" w:sz="4" w:space="0" w:color="auto"/>
            </w:tcBorders>
            <w:shd w:val="clear" w:color="000000" w:fill="FFFFFF"/>
            <w:noWrap/>
            <w:vAlign w:val="bottom"/>
          </w:tcPr>
          <w:p w14:paraId="6DBBB07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6</w:t>
            </w:r>
          </w:p>
        </w:tc>
        <w:tc>
          <w:tcPr>
            <w:tcW w:w="587" w:type="pct"/>
            <w:tcBorders>
              <w:top w:val="nil"/>
              <w:left w:val="nil"/>
              <w:bottom w:val="single" w:sz="4" w:space="0" w:color="auto"/>
              <w:right w:val="single" w:sz="4" w:space="0" w:color="auto"/>
            </w:tcBorders>
            <w:shd w:val="clear" w:color="000000" w:fill="FFFFFF"/>
            <w:noWrap/>
            <w:vAlign w:val="center"/>
          </w:tcPr>
          <w:p w14:paraId="546EB6A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-109</w:t>
            </w:r>
          </w:p>
        </w:tc>
        <w:tc>
          <w:tcPr>
            <w:tcW w:w="709" w:type="pct"/>
            <w:tcBorders>
              <w:top w:val="nil"/>
              <w:left w:val="nil"/>
              <w:bottom w:val="single" w:sz="4" w:space="0" w:color="auto"/>
              <w:right w:val="single" w:sz="4" w:space="0" w:color="auto"/>
            </w:tcBorders>
            <w:shd w:val="clear" w:color="000000" w:fill="FFFFFF"/>
            <w:noWrap/>
            <w:vAlign w:val="center"/>
          </w:tcPr>
          <w:p w14:paraId="366104D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934.77</w:t>
            </w:r>
          </w:p>
        </w:tc>
        <w:tc>
          <w:tcPr>
            <w:tcW w:w="984" w:type="pct"/>
            <w:tcBorders>
              <w:top w:val="nil"/>
              <w:left w:val="nil"/>
              <w:bottom w:val="single" w:sz="4" w:space="0" w:color="auto"/>
              <w:right w:val="single" w:sz="4" w:space="0" w:color="auto"/>
            </w:tcBorders>
            <w:shd w:val="clear" w:color="000000" w:fill="FFFFFF"/>
            <w:noWrap/>
            <w:vAlign w:val="center"/>
          </w:tcPr>
          <w:p w14:paraId="4303C1D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556.62</w:t>
            </w:r>
          </w:p>
        </w:tc>
        <w:tc>
          <w:tcPr>
            <w:tcW w:w="315" w:type="pct"/>
            <w:tcBorders>
              <w:top w:val="nil"/>
              <w:left w:val="nil"/>
              <w:bottom w:val="single" w:sz="4" w:space="0" w:color="auto"/>
              <w:right w:val="single" w:sz="4" w:space="0" w:color="auto"/>
            </w:tcBorders>
            <w:shd w:val="clear" w:color="000000" w:fill="FFFFFF"/>
            <w:noWrap/>
            <w:vAlign w:val="center"/>
          </w:tcPr>
          <w:p w14:paraId="022F1F4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64CEE08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地下</w:t>
            </w:r>
          </w:p>
        </w:tc>
      </w:tr>
      <w:tr w:rsidR="00000000" w14:paraId="18F228C5"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58594E19"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7515F8A9"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66F1549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69" w:type="pct"/>
            <w:tcBorders>
              <w:top w:val="nil"/>
              <w:left w:val="nil"/>
              <w:bottom w:val="single" w:sz="4" w:space="0" w:color="auto"/>
              <w:right w:val="single" w:sz="4" w:space="0" w:color="auto"/>
            </w:tcBorders>
            <w:shd w:val="clear" w:color="000000" w:fill="FFFFFF"/>
            <w:noWrap/>
            <w:vAlign w:val="bottom"/>
          </w:tcPr>
          <w:p w14:paraId="534725F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小计</w:t>
            </w:r>
          </w:p>
        </w:tc>
        <w:tc>
          <w:tcPr>
            <w:tcW w:w="587" w:type="pct"/>
            <w:tcBorders>
              <w:top w:val="nil"/>
              <w:left w:val="nil"/>
              <w:bottom w:val="single" w:sz="4" w:space="0" w:color="auto"/>
              <w:right w:val="single" w:sz="4" w:space="0" w:color="auto"/>
            </w:tcBorders>
            <w:shd w:val="clear" w:color="000000" w:fill="FFFFFF"/>
            <w:noWrap/>
            <w:vAlign w:val="center"/>
          </w:tcPr>
          <w:p w14:paraId="6B88009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709" w:type="pct"/>
            <w:tcBorders>
              <w:top w:val="nil"/>
              <w:left w:val="nil"/>
              <w:bottom w:val="single" w:sz="4" w:space="0" w:color="auto"/>
              <w:right w:val="single" w:sz="4" w:space="0" w:color="auto"/>
            </w:tcBorders>
            <w:shd w:val="clear" w:color="000000" w:fill="FFFFFF"/>
            <w:noWrap/>
            <w:vAlign w:val="center"/>
          </w:tcPr>
          <w:p w14:paraId="5B8AAF5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8822.48 </w:t>
            </w:r>
          </w:p>
        </w:tc>
        <w:tc>
          <w:tcPr>
            <w:tcW w:w="984" w:type="pct"/>
            <w:tcBorders>
              <w:top w:val="nil"/>
              <w:left w:val="nil"/>
              <w:bottom w:val="single" w:sz="4" w:space="0" w:color="auto"/>
              <w:right w:val="single" w:sz="4" w:space="0" w:color="auto"/>
            </w:tcBorders>
            <w:shd w:val="clear" w:color="000000" w:fill="FFFFFF"/>
            <w:noWrap/>
            <w:vAlign w:val="center"/>
          </w:tcPr>
          <w:p w14:paraId="72756F6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5253.44 </w:t>
            </w:r>
          </w:p>
        </w:tc>
        <w:tc>
          <w:tcPr>
            <w:tcW w:w="315" w:type="pct"/>
            <w:tcBorders>
              <w:top w:val="nil"/>
              <w:left w:val="nil"/>
              <w:bottom w:val="single" w:sz="4" w:space="0" w:color="auto"/>
              <w:right w:val="single" w:sz="4" w:space="0" w:color="auto"/>
            </w:tcBorders>
            <w:shd w:val="clear" w:color="000000" w:fill="FFFFFF"/>
            <w:noWrap/>
            <w:vAlign w:val="center"/>
          </w:tcPr>
          <w:p w14:paraId="1E3F913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575" w:type="pct"/>
            <w:tcBorders>
              <w:top w:val="nil"/>
              <w:left w:val="nil"/>
              <w:bottom w:val="single" w:sz="4" w:space="0" w:color="auto"/>
              <w:right w:val="single" w:sz="4" w:space="0" w:color="auto"/>
            </w:tcBorders>
            <w:shd w:val="clear" w:color="000000" w:fill="FFFFFF"/>
            <w:noWrap/>
            <w:vAlign w:val="center"/>
          </w:tcPr>
          <w:p w14:paraId="07B3D4A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r>
      <w:tr w:rsidR="00000000" w14:paraId="122629D1" w14:textId="77777777">
        <w:trPr>
          <w:trHeight w:val="266"/>
          <w:jc w:val="center"/>
        </w:trPr>
        <w:tc>
          <w:tcPr>
            <w:tcW w:w="338" w:type="pct"/>
            <w:vMerge/>
            <w:tcBorders>
              <w:top w:val="nil"/>
              <w:left w:val="single" w:sz="4" w:space="0" w:color="auto"/>
              <w:bottom w:val="single" w:sz="4" w:space="0" w:color="000000"/>
              <w:right w:val="single" w:sz="4" w:space="0" w:color="auto"/>
            </w:tcBorders>
            <w:vAlign w:val="center"/>
          </w:tcPr>
          <w:p w14:paraId="1D12CB16"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bottom w:val="single" w:sz="4" w:space="0" w:color="auto"/>
              <w:right w:val="single" w:sz="4" w:space="0" w:color="auto"/>
            </w:tcBorders>
            <w:shd w:val="clear" w:color="000000" w:fill="FFFFFF"/>
            <w:noWrap/>
            <w:vAlign w:val="center"/>
          </w:tcPr>
          <w:p w14:paraId="7505C356"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7923AAD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69" w:type="pct"/>
            <w:tcBorders>
              <w:top w:val="nil"/>
              <w:left w:val="nil"/>
              <w:bottom w:val="single" w:sz="4" w:space="0" w:color="auto"/>
              <w:right w:val="single" w:sz="4" w:space="0" w:color="auto"/>
            </w:tcBorders>
            <w:shd w:val="clear" w:color="000000" w:fill="FFFFFF"/>
            <w:noWrap/>
            <w:vAlign w:val="bottom"/>
          </w:tcPr>
          <w:p w14:paraId="685E940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commentRangeStart w:id="66"/>
            <w:r>
              <w:rPr>
                <w:rFonts w:ascii="Arial Unicode MS" w:eastAsia="Arial Unicode MS" w:hAnsi="Arial Unicode MS" w:cs="Arial Unicode MS" w:hint="eastAsia"/>
                <w:color w:val="000000"/>
                <w:sz w:val="16"/>
                <w:szCs w:val="16"/>
              </w:rPr>
              <w:t>合计</w:t>
            </w:r>
            <w:commentRangeEnd w:id="66"/>
            <w:r w:rsidR="0039646A">
              <w:rPr>
                <w:rStyle w:val="af9"/>
              </w:rPr>
              <w:commentReference w:id="66"/>
            </w:r>
          </w:p>
        </w:tc>
        <w:tc>
          <w:tcPr>
            <w:tcW w:w="587" w:type="pct"/>
            <w:tcBorders>
              <w:top w:val="nil"/>
              <w:left w:val="nil"/>
              <w:bottom w:val="single" w:sz="4" w:space="0" w:color="auto"/>
              <w:right w:val="single" w:sz="4" w:space="0" w:color="auto"/>
            </w:tcBorders>
            <w:shd w:val="clear" w:color="000000" w:fill="FFFFFF"/>
            <w:noWrap/>
            <w:vAlign w:val="center"/>
          </w:tcPr>
          <w:p w14:paraId="0F62F11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709" w:type="pct"/>
            <w:tcBorders>
              <w:top w:val="nil"/>
              <w:left w:val="nil"/>
              <w:bottom w:val="single" w:sz="4" w:space="0" w:color="auto"/>
              <w:right w:val="single" w:sz="4" w:space="0" w:color="auto"/>
            </w:tcBorders>
            <w:shd w:val="clear" w:color="000000" w:fill="FFFFFF"/>
            <w:noWrap/>
            <w:vAlign w:val="center"/>
          </w:tcPr>
          <w:p w14:paraId="61C70F69" w14:textId="77777777" w:rsidR="00000000" w:rsidRDefault="00000000">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14110.31</w:t>
            </w:r>
          </w:p>
        </w:tc>
        <w:tc>
          <w:tcPr>
            <w:tcW w:w="984" w:type="pct"/>
            <w:tcBorders>
              <w:top w:val="nil"/>
              <w:left w:val="nil"/>
              <w:bottom w:val="single" w:sz="4" w:space="0" w:color="auto"/>
              <w:right w:val="single" w:sz="4" w:space="0" w:color="auto"/>
            </w:tcBorders>
            <w:shd w:val="clear" w:color="000000" w:fill="FFFFFF"/>
            <w:noWrap/>
            <w:vAlign w:val="center"/>
          </w:tcPr>
          <w:p w14:paraId="2CA7211D" w14:textId="77777777" w:rsidR="00000000" w:rsidRDefault="00000000">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9306.41</w:t>
            </w:r>
          </w:p>
        </w:tc>
        <w:tc>
          <w:tcPr>
            <w:tcW w:w="315" w:type="pct"/>
            <w:tcBorders>
              <w:top w:val="nil"/>
              <w:left w:val="nil"/>
              <w:bottom w:val="single" w:sz="4" w:space="0" w:color="auto"/>
              <w:right w:val="single" w:sz="4" w:space="0" w:color="auto"/>
            </w:tcBorders>
            <w:shd w:val="clear" w:color="000000" w:fill="FFFFFF"/>
            <w:noWrap/>
            <w:vAlign w:val="center"/>
          </w:tcPr>
          <w:p w14:paraId="22AE139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575" w:type="pct"/>
            <w:tcBorders>
              <w:top w:val="nil"/>
              <w:left w:val="nil"/>
              <w:bottom w:val="single" w:sz="4" w:space="0" w:color="auto"/>
              <w:right w:val="single" w:sz="4" w:space="0" w:color="auto"/>
            </w:tcBorders>
            <w:shd w:val="clear" w:color="000000" w:fill="FFFFFF"/>
            <w:noWrap/>
            <w:vAlign w:val="center"/>
          </w:tcPr>
          <w:p w14:paraId="0B31D78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r>
      <w:tr w:rsidR="00000000" w14:paraId="10F7CBEE" w14:textId="77777777">
        <w:trPr>
          <w:trHeight w:val="20"/>
          <w:jc w:val="center"/>
        </w:trPr>
        <w:tc>
          <w:tcPr>
            <w:tcW w:w="338" w:type="pct"/>
            <w:vMerge w:val="restart"/>
            <w:tcBorders>
              <w:top w:val="nil"/>
              <w:left w:val="single" w:sz="4" w:space="0" w:color="auto"/>
              <w:bottom w:val="single" w:sz="4" w:space="0" w:color="000000"/>
              <w:right w:val="single" w:sz="4" w:space="0" w:color="auto"/>
            </w:tcBorders>
            <w:shd w:val="clear" w:color="000000" w:fill="FFFFFF"/>
            <w:noWrap/>
            <w:vAlign w:val="center"/>
          </w:tcPr>
          <w:p w14:paraId="5D1EED3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044地块</w:t>
            </w:r>
          </w:p>
        </w:tc>
        <w:tc>
          <w:tcPr>
            <w:tcW w:w="576" w:type="pct"/>
            <w:vMerge w:val="restart"/>
            <w:tcBorders>
              <w:top w:val="nil"/>
              <w:left w:val="nil"/>
              <w:right w:val="single" w:sz="4" w:space="0" w:color="auto"/>
            </w:tcBorders>
            <w:shd w:val="clear" w:color="000000" w:fill="FFFFFF"/>
            <w:noWrap/>
            <w:vAlign w:val="center"/>
          </w:tcPr>
          <w:p w14:paraId="06807E2E"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房山区长阳镇FS00-LX10-0044地块6#商业楼</w:t>
            </w:r>
          </w:p>
        </w:tc>
        <w:tc>
          <w:tcPr>
            <w:tcW w:w="341" w:type="pct"/>
            <w:tcBorders>
              <w:top w:val="nil"/>
              <w:left w:val="nil"/>
              <w:bottom w:val="single" w:sz="4" w:space="0" w:color="auto"/>
              <w:right w:val="single" w:sz="4" w:space="0" w:color="auto"/>
            </w:tcBorders>
            <w:shd w:val="clear" w:color="000000" w:fill="FFFFFF"/>
            <w:noWrap/>
            <w:vAlign w:val="center"/>
          </w:tcPr>
          <w:p w14:paraId="0A755A98"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17</w:t>
            </w:r>
          </w:p>
        </w:tc>
        <w:tc>
          <w:tcPr>
            <w:tcW w:w="569" w:type="pct"/>
            <w:tcBorders>
              <w:top w:val="nil"/>
              <w:left w:val="nil"/>
              <w:bottom w:val="single" w:sz="4" w:space="0" w:color="auto"/>
              <w:right w:val="single" w:sz="4" w:space="0" w:color="auto"/>
            </w:tcBorders>
            <w:shd w:val="clear" w:color="000000" w:fill="FFFFFF"/>
            <w:noWrap/>
            <w:vAlign w:val="bottom"/>
          </w:tcPr>
          <w:p w14:paraId="53212F5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87" w:type="pct"/>
            <w:tcBorders>
              <w:top w:val="nil"/>
              <w:left w:val="nil"/>
              <w:bottom w:val="single" w:sz="4" w:space="0" w:color="auto"/>
              <w:right w:val="single" w:sz="4" w:space="0" w:color="auto"/>
            </w:tcBorders>
            <w:shd w:val="clear" w:color="000000" w:fill="FFFFFF"/>
            <w:noWrap/>
            <w:vAlign w:val="center"/>
          </w:tcPr>
          <w:p w14:paraId="3B2115C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101</w:t>
            </w:r>
          </w:p>
        </w:tc>
        <w:tc>
          <w:tcPr>
            <w:tcW w:w="709" w:type="pct"/>
            <w:tcBorders>
              <w:top w:val="nil"/>
              <w:left w:val="nil"/>
              <w:bottom w:val="single" w:sz="4" w:space="0" w:color="auto"/>
              <w:right w:val="single" w:sz="4" w:space="0" w:color="auto"/>
            </w:tcBorders>
            <w:shd w:val="clear" w:color="000000" w:fill="FFFFFF"/>
            <w:noWrap/>
            <w:vAlign w:val="center"/>
          </w:tcPr>
          <w:p w14:paraId="7F4E88C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867.37</w:t>
            </w:r>
          </w:p>
        </w:tc>
        <w:tc>
          <w:tcPr>
            <w:tcW w:w="984" w:type="pct"/>
            <w:tcBorders>
              <w:top w:val="nil"/>
              <w:left w:val="nil"/>
              <w:bottom w:val="single" w:sz="4" w:space="0" w:color="auto"/>
              <w:right w:val="single" w:sz="4" w:space="0" w:color="auto"/>
            </w:tcBorders>
            <w:shd w:val="clear" w:color="000000" w:fill="FFFFFF"/>
            <w:noWrap/>
            <w:vAlign w:val="center"/>
          </w:tcPr>
          <w:p w14:paraId="02E3222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734.86 </w:t>
            </w:r>
          </w:p>
        </w:tc>
        <w:tc>
          <w:tcPr>
            <w:tcW w:w="315" w:type="pct"/>
            <w:tcBorders>
              <w:top w:val="nil"/>
              <w:left w:val="nil"/>
              <w:bottom w:val="single" w:sz="4" w:space="0" w:color="auto"/>
              <w:right w:val="single" w:sz="4" w:space="0" w:color="auto"/>
            </w:tcBorders>
            <w:shd w:val="clear" w:color="000000" w:fill="FFFFFF"/>
            <w:noWrap/>
            <w:vAlign w:val="center"/>
          </w:tcPr>
          <w:p w14:paraId="5EA2DC0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28DF136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地上</w:t>
            </w:r>
          </w:p>
        </w:tc>
      </w:tr>
      <w:tr w:rsidR="00000000" w14:paraId="33DB30AF"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0D5732D2"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65454F18"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2EF83D63"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18</w:t>
            </w:r>
          </w:p>
        </w:tc>
        <w:tc>
          <w:tcPr>
            <w:tcW w:w="569" w:type="pct"/>
            <w:tcBorders>
              <w:top w:val="nil"/>
              <w:left w:val="nil"/>
              <w:bottom w:val="single" w:sz="4" w:space="0" w:color="auto"/>
              <w:right w:val="single" w:sz="4" w:space="0" w:color="auto"/>
            </w:tcBorders>
            <w:shd w:val="clear" w:color="000000" w:fill="FFFFFF"/>
            <w:noWrap/>
            <w:vAlign w:val="bottom"/>
          </w:tcPr>
          <w:p w14:paraId="0457C78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87" w:type="pct"/>
            <w:tcBorders>
              <w:top w:val="nil"/>
              <w:left w:val="nil"/>
              <w:bottom w:val="single" w:sz="4" w:space="0" w:color="auto"/>
              <w:right w:val="single" w:sz="4" w:space="0" w:color="auto"/>
            </w:tcBorders>
            <w:shd w:val="clear" w:color="000000" w:fill="FFFFFF"/>
            <w:noWrap/>
            <w:vAlign w:val="center"/>
          </w:tcPr>
          <w:p w14:paraId="368D266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102</w:t>
            </w:r>
          </w:p>
        </w:tc>
        <w:tc>
          <w:tcPr>
            <w:tcW w:w="709" w:type="pct"/>
            <w:tcBorders>
              <w:top w:val="nil"/>
              <w:left w:val="nil"/>
              <w:bottom w:val="single" w:sz="4" w:space="0" w:color="auto"/>
              <w:right w:val="single" w:sz="4" w:space="0" w:color="auto"/>
            </w:tcBorders>
            <w:shd w:val="clear" w:color="000000" w:fill="FFFFFF"/>
            <w:noWrap/>
            <w:vAlign w:val="center"/>
          </w:tcPr>
          <w:p w14:paraId="60064FD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771.32</w:t>
            </w:r>
          </w:p>
        </w:tc>
        <w:tc>
          <w:tcPr>
            <w:tcW w:w="984" w:type="pct"/>
            <w:tcBorders>
              <w:top w:val="nil"/>
              <w:left w:val="nil"/>
              <w:bottom w:val="single" w:sz="4" w:space="0" w:color="auto"/>
              <w:right w:val="single" w:sz="4" w:space="0" w:color="auto"/>
            </w:tcBorders>
            <w:shd w:val="clear" w:color="000000" w:fill="FFFFFF"/>
            <w:noWrap/>
            <w:vAlign w:val="center"/>
          </w:tcPr>
          <w:p w14:paraId="6D3308C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653.48 </w:t>
            </w:r>
          </w:p>
        </w:tc>
        <w:tc>
          <w:tcPr>
            <w:tcW w:w="315" w:type="pct"/>
            <w:tcBorders>
              <w:top w:val="nil"/>
              <w:left w:val="nil"/>
              <w:bottom w:val="single" w:sz="4" w:space="0" w:color="auto"/>
              <w:right w:val="single" w:sz="4" w:space="0" w:color="auto"/>
            </w:tcBorders>
            <w:shd w:val="clear" w:color="000000" w:fill="FFFFFF"/>
            <w:noWrap/>
            <w:vAlign w:val="center"/>
          </w:tcPr>
          <w:p w14:paraId="59E4DAA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3BA4945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地上</w:t>
            </w:r>
          </w:p>
        </w:tc>
      </w:tr>
      <w:tr w:rsidR="00000000" w14:paraId="44B885C0"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7AE77F10"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1E0292AF"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63C1FF71"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19</w:t>
            </w:r>
          </w:p>
        </w:tc>
        <w:tc>
          <w:tcPr>
            <w:tcW w:w="569" w:type="pct"/>
            <w:tcBorders>
              <w:top w:val="nil"/>
              <w:left w:val="nil"/>
              <w:bottom w:val="single" w:sz="4" w:space="0" w:color="auto"/>
              <w:right w:val="single" w:sz="4" w:space="0" w:color="auto"/>
            </w:tcBorders>
            <w:shd w:val="clear" w:color="000000" w:fill="FFFFFF"/>
            <w:noWrap/>
            <w:vAlign w:val="bottom"/>
          </w:tcPr>
          <w:p w14:paraId="247170E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87" w:type="pct"/>
            <w:tcBorders>
              <w:top w:val="nil"/>
              <w:left w:val="nil"/>
              <w:bottom w:val="single" w:sz="4" w:space="0" w:color="auto"/>
              <w:right w:val="single" w:sz="4" w:space="0" w:color="auto"/>
            </w:tcBorders>
            <w:shd w:val="clear" w:color="000000" w:fill="FFFFFF"/>
            <w:noWrap/>
            <w:vAlign w:val="center"/>
          </w:tcPr>
          <w:p w14:paraId="2F0572D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103</w:t>
            </w:r>
          </w:p>
        </w:tc>
        <w:tc>
          <w:tcPr>
            <w:tcW w:w="709" w:type="pct"/>
            <w:tcBorders>
              <w:top w:val="nil"/>
              <w:left w:val="nil"/>
              <w:bottom w:val="single" w:sz="4" w:space="0" w:color="auto"/>
              <w:right w:val="single" w:sz="4" w:space="0" w:color="auto"/>
            </w:tcBorders>
            <w:shd w:val="clear" w:color="000000" w:fill="FFFFFF"/>
            <w:noWrap/>
            <w:vAlign w:val="center"/>
          </w:tcPr>
          <w:p w14:paraId="7F134D8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746.79</w:t>
            </w:r>
          </w:p>
        </w:tc>
        <w:tc>
          <w:tcPr>
            <w:tcW w:w="984" w:type="pct"/>
            <w:tcBorders>
              <w:top w:val="nil"/>
              <w:left w:val="nil"/>
              <w:bottom w:val="single" w:sz="4" w:space="0" w:color="auto"/>
              <w:right w:val="single" w:sz="4" w:space="0" w:color="auto"/>
            </w:tcBorders>
            <w:shd w:val="clear" w:color="000000" w:fill="FFFFFF"/>
            <w:noWrap/>
            <w:vAlign w:val="center"/>
          </w:tcPr>
          <w:p w14:paraId="229374A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632.70 </w:t>
            </w:r>
          </w:p>
        </w:tc>
        <w:tc>
          <w:tcPr>
            <w:tcW w:w="315" w:type="pct"/>
            <w:tcBorders>
              <w:top w:val="nil"/>
              <w:left w:val="nil"/>
              <w:bottom w:val="single" w:sz="4" w:space="0" w:color="auto"/>
              <w:right w:val="single" w:sz="4" w:space="0" w:color="auto"/>
            </w:tcBorders>
            <w:shd w:val="clear" w:color="000000" w:fill="FFFFFF"/>
            <w:noWrap/>
            <w:vAlign w:val="center"/>
          </w:tcPr>
          <w:p w14:paraId="0DEE7DA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1156A9B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地上</w:t>
            </w:r>
          </w:p>
        </w:tc>
      </w:tr>
      <w:tr w:rsidR="00000000" w14:paraId="784CDC54"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75EFF528"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119CFAA4"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4E4829D6"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20</w:t>
            </w:r>
          </w:p>
        </w:tc>
        <w:tc>
          <w:tcPr>
            <w:tcW w:w="569" w:type="pct"/>
            <w:tcBorders>
              <w:top w:val="nil"/>
              <w:left w:val="nil"/>
              <w:bottom w:val="single" w:sz="4" w:space="0" w:color="auto"/>
              <w:right w:val="single" w:sz="4" w:space="0" w:color="auto"/>
            </w:tcBorders>
            <w:shd w:val="clear" w:color="000000" w:fill="FFFFFF"/>
            <w:noWrap/>
            <w:vAlign w:val="bottom"/>
          </w:tcPr>
          <w:p w14:paraId="4179E2C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87" w:type="pct"/>
            <w:tcBorders>
              <w:top w:val="nil"/>
              <w:left w:val="nil"/>
              <w:bottom w:val="single" w:sz="4" w:space="0" w:color="auto"/>
              <w:right w:val="single" w:sz="4" w:space="0" w:color="auto"/>
            </w:tcBorders>
            <w:shd w:val="clear" w:color="000000" w:fill="FFFFFF"/>
            <w:noWrap/>
            <w:vAlign w:val="center"/>
          </w:tcPr>
          <w:p w14:paraId="7BFE365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201</w:t>
            </w:r>
          </w:p>
        </w:tc>
        <w:tc>
          <w:tcPr>
            <w:tcW w:w="709" w:type="pct"/>
            <w:tcBorders>
              <w:top w:val="nil"/>
              <w:left w:val="nil"/>
              <w:bottom w:val="single" w:sz="4" w:space="0" w:color="auto"/>
              <w:right w:val="single" w:sz="4" w:space="0" w:color="auto"/>
            </w:tcBorders>
            <w:shd w:val="clear" w:color="000000" w:fill="FFFFFF"/>
            <w:noWrap/>
            <w:vAlign w:val="center"/>
          </w:tcPr>
          <w:p w14:paraId="6278D64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762.37</w:t>
            </w:r>
          </w:p>
        </w:tc>
        <w:tc>
          <w:tcPr>
            <w:tcW w:w="984" w:type="pct"/>
            <w:tcBorders>
              <w:top w:val="nil"/>
              <w:left w:val="nil"/>
              <w:bottom w:val="single" w:sz="4" w:space="0" w:color="auto"/>
              <w:right w:val="single" w:sz="4" w:space="0" w:color="auto"/>
            </w:tcBorders>
            <w:shd w:val="clear" w:color="000000" w:fill="FFFFFF"/>
            <w:noWrap/>
            <w:vAlign w:val="center"/>
          </w:tcPr>
          <w:p w14:paraId="50C1D7C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645.90 </w:t>
            </w:r>
          </w:p>
        </w:tc>
        <w:tc>
          <w:tcPr>
            <w:tcW w:w="315" w:type="pct"/>
            <w:tcBorders>
              <w:top w:val="nil"/>
              <w:left w:val="nil"/>
              <w:bottom w:val="single" w:sz="4" w:space="0" w:color="auto"/>
              <w:right w:val="single" w:sz="4" w:space="0" w:color="auto"/>
            </w:tcBorders>
            <w:shd w:val="clear" w:color="000000" w:fill="FFFFFF"/>
            <w:noWrap/>
            <w:vAlign w:val="center"/>
          </w:tcPr>
          <w:p w14:paraId="377FFA0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43A6FD3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地上</w:t>
            </w:r>
          </w:p>
        </w:tc>
      </w:tr>
      <w:tr w:rsidR="00000000" w14:paraId="6FAADAFA"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37AD68F2"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129FCB15"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173E9CD4"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21</w:t>
            </w:r>
          </w:p>
        </w:tc>
        <w:tc>
          <w:tcPr>
            <w:tcW w:w="569" w:type="pct"/>
            <w:tcBorders>
              <w:top w:val="nil"/>
              <w:left w:val="nil"/>
              <w:bottom w:val="single" w:sz="4" w:space="0" w:color="auto"/>
              <w:right w:val="single" w:sz="4" w:space="0" w:color="auto"/>
            </w:tcBorders>
            <w:shd w:val="clear" w:color="000000" w:fill="FFFFFF"/>
            <w:noWrap/>
            <w:vAlign w:val="bottom"/>
          </w:tcPr>
          <w:p w14:paraId="58132D5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87" w:type="pct"/>
            <w:tcBorders>
              <w:top w:val="nil"/>
              <w:left w:val="nil"/>
              <w:bottom w:val="single" w:sz="4" w:space="0" w:color="auto"/>
              <w:right w:val="single" w:sz="4" w:space="0" w:color="auto"/>
            </w:tcBorders>
            <w:shd w:val="clear" w:color="000000" w:fill="FFFFFF"/>
            <w:noWrap/>
            <w:vAlign w:val="center"/>
          </w:tcPr>
          <w:p w14:paraId="72BEF82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202</w:t>
            </w:r>
          </w:p>
        </w:tc>
        <w:tc>
          <w:tcPr>
            <w:tcW w:w="709" w:type="pct"/>
            <w:tcBorders>
              <w:top w:val="nil"/>
              <w:left w:val="nil"/>
              <w:bottom w:val="single" w:sz="4" w:space="0" w:color="auto"/>
              <w:right w:val="single" w:sz="4" w:space="0" w:color="auto"/>
            </w:tcBorders>
            <w:shd w:val="clear" w:color="000000" w:fill="FFFFFF"/>
            <w:noWrap/>
            <w:vAlign w:val="center"/>
          </w:tcPr>
          <w:p w14:paraId="234408E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762.21</w:t>
            </w:r>
          </w:p>
        </w:tc>
        <w:tc>
          <w:tcPr>
            <w:tcW w:w="984" w:type="pct"/>
            <w:tcBorders>
              <w:top w:val="nil"/>
              <w:left w:val="nil"/>
              <w:bottom w:val="single" w:sz="4" w:space="0" w:color="auto"/>
              <w:right w:val="single" w:sz="4" w:space="0" w:color="auto"/>
            </w:tcBorders>
            <w:shd w:val="clear" w:color="000000" w:fill="FFFFFF"/>
            <w:noWrap/>
            <w:vAlign w:val="center"/>
          </w:tcPr>
          <w:p w14:paraId="04165A1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645.76 </w:t>
            </w:r>
          </w:p>
        </w:tc>
        <w:tc>
          <w:tcPr>
            <w:tcW w:w="315" w:type="pct"/>
            <w:tcBorders>
              <w:top w:val="nil"/>
              <w:left w:val="nil"/>
              <w:bottom w:val="single" w:sz="4" w:space="0" w:color="auto"/>
              <w:right w:val="single" w:sz="4" w:space="0" w:color="auto"/>
            </w:tcBorders>
            <w:shd w:val="clear" w:color="000000" w:fill="FFFFFF"/>
            <w:noWrap/>
            <w:vAlign w:val="center"/>
          </w:tcPr>
          <w:p w14:paraId="6889F0F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0EEE868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地上</w:t>
            </w:r>
          </w:p>
        </w:tc>
      </w:tr>
      <w:tr w:rsidR="00000000" w14:paraId="1C4C63D6"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089F9A0A"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6DE536CA"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0D73D654"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22</w:t>
            </w:r>
          </w:p>
        </w:tc>
        <w:tc>
          <w:tcPr>
            <w:tcW w:w="569" w:type="pct"/>
            <w:tcBorders>
              <w:top w:val="nil"/>
              <w:left w:val="nil"/>
              <w:bottom w:val="single" w:sz="4" w:space="0" w:color="auto"/>
              <w:right w:val="single" w:sz="4" w:space="0" w:color="auto"/>
            </w:tcBorders>
            <w:shd w:val="clear" w:color="000000" w:fill="FFFFFF"/>
            <w:noWrap/>
            <w:vAlign w:val="bottom"/>
          </w:tcPr>
          <w:p w14:paraId="2FF1FA3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87" w:type="pct"/>
            <w:tcBorders>
              <w:top w:val="nil"/>
              <w:left w:val="nil"/>
              <w:bottom w:val="single" w:sz="4" w:space="0" w:color="auto"/>
              <w:right w:val="single" w:sz="4" w:space="0" w:color="auto"/>
            </w:tcBorders>
            <w:shd w:val="clear" w:color="000000" w:fill="FFFFFF"/>
            <w:noWrap/>
            <w:vAlign w:val="center"/>
          </w:tcPr>
          <w:p w14:paraId="711884B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203</w:t>
            </w:r>
          </w:p>
        </w:tc>
        <w:tc>
          <w:tcPr>
            <w:tcW w:w="709" w:type="pct"/>
            <w:tcBorders>
              <w:top w:val="nil"/>
              <w:left w:val="nil"/>
              <w:bottom w:val="single" w:sz="4" w:space="0" w:color="auto"/>
              <w:right w:val="single" w:sz="4" w:space="0" w:color="auto"/>
            </w:tcBorders>
            <w:shd w:val="clear" w:color="000000" w:fill="FFFFFF"/>
            <w:noWrap/>
            <w:vAlign w:val="center"/>
          </w:tcPr>
          <w:p w14:paraId="54A93D6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875.03</w:t>
            </w:r>
          </w:p>
        </w:tc>
        <w:tc>
          <w:tcPr>
            <w:tcW w:w="984" w:type="pct"/>
            <w:tcBorders>
              <w:top w:val="nil"/>
              <w:left w:val="nil"/>
              <w:bottom w:val="single" w:sz="4" w:space="0" w:color="auto"/>
              <w:right w:val="single" w:sz="4" w:space="0" w:color="auto"/>
            </w:tcBorders>
            <w:shd w:val="clear" w:color="000000" w:fill="FFFFFF"/>
            <w:noWrap/>
            <w:vAlign w:val="center"/>
          </w:tcPr>
          <w:p w14:paraId="7BA62E5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741.35 </w:t>
            </w:r>
          </w:p>
        </w:tc>
        <w:tc>
          <w:tcPr>
            <w:tcW w:w="315" w:type="pct"/>
            <w:tcBorders>
              <w:top w:val="nil"/>
              <w:left w:val="nil"/>
              <w:bottom w:val="single" w:sz="4" w:space="0" w:color="auto"/>
              <w:right w:val="single" w:sz="4" w:space="0" w:color="auto"/>
            </w:tcBorders>
            <w:shd w:val="clear" w:color="000000" w:fill="FFFFFF"/>
            <w:noWrap/>
            <w:vAlign w:val="center"/>
          </w:tcPr>
          <w:p w14:paraId="314C1B0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4FB6364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地上</w:t>
            </w:r>
          </w:p>
        </w:tc>
      </w:tr>
      <w:tr w:rsidR="00000000" w14:paraId="40B049F5"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399EC4C3"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bottom w:val="single" w:sz="4" w:space="0" w:color="auto"/>
              <w:right w:val="single" w:sz="4" w:space="0" w:color="auto"/>
            </w:tcBorders>
            <w:shd w:val="clear" w:color="000000" w:fill="FFFFFF"/>
            <w:noWrap/>
            <w:vAlign w:val="center"/>
          </w:tcPr>
          <w:p w14:paraId="1AEF3346"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658ED46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69" w:type="pct"/>
            <w:tcBorders>
              <w:top w:val="nil"/>
              <w:left w:val="nil"/>
              <w:bottom w:val="single" w:sz="4" w:space="0" w:color="auto"/>
              <w:right w:val="nil"/>
            </w:tcBorders>
            <w:shd w:val="clear" w:color="000000" w:fill="FFFFFF"/>
            <w:noWrap/>
            <w:vAlign w:val="bottom"/>
          </w:tcPr>
          <w:p w14:paraId="33765FC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小计</w:t>
            </w:r>
          </w:p>
        </w:tc>
        <w:tc>
          <w:tcPr>
            <w:tcW w:w="587" w:type="pct"/>
            <w:tcBorders>
              <w:top w:val="nil"/>
              <w:left w:val="single" w:sz="4" w:space="0" w:color="auto"/>
              <w:bottom w:val="single" w:sz="4" w:space="0" w:color="auto"/>
              <w:right w:val="single" w:sz="4" w:space="0" w:color="auto"/>
            </w:tcBorders>
            <w:shd w:val="clear" w:color="000000" w:fill="FFFFFF"/>
            <w:noWrap/>
            <w:vAlign w:val="bottom"/>
          </w:tcPr>
          <w:p w14:paraId="5F46687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709" w:type="pct"/>
            <w:tcBorders>
              <w:top w:val="nil"/>
              <w:left w:val="nil"/>
              <w:bottom w:val="single" w:sz="4" w:space="0" w:color="auto"/>
              <w:right w:val="single" w:sz="4" w:space="0" w:color="auto"/>
            </w:tcBorders>
            <w:shd w:val="clear" w:color="000000" w:fill="FFFFFF"/>
            <w:noWrap/>
            <w:vAlign w:val="center"/>
          </w:tcPr>
          <w:p w14:paraId="2B23202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4785.09 </w:t>
            </w:r>
          </w:p>
        </w:tc>
        <w:tc>
          <w:tcPr>
            <w:tcW w:w="984" w:type="pct"/>
            <w:tcBorders>
              <w:top w:val="nil"/>
              <w:left w:val="nil"/>
              <w:bottom w:val="single" w:sz="4" w:space="0" w:color="auto"/>
              <w:right w:val="single" w:sz="4" w:space="0" w:color="auto"/>
            </w:tcBorders>
            <w:shd w:val="clear" w:color="000000" w:fill="FFFFFF"/>
            <w:noWrap/>
            <w:vAlign w:val="center"/>
          </w:tcPr>
          <w:p w14:paraId="7D967B5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4054.05 </w:t>
            </w:r>
          </w:p>
        </w:tc>
        <w:tc>
          <w:tcPr>
            <w:tcW w:w="315" w:type="pct"/>
            <w:tcBorders>
              <w:top w:val="nil"/>
              <w:left w:val="nil"/>
              <w:bottom w:val="single" w:sz="4" w:space="0" w:color="auto"/>
              <w:right w:val="single" w:sz="4" w:space="0" w:color="auto"/>
            </w:tcBorders>
            <w:shd w:val="clear" w:color="000000" w:fill="FFFFFF"/>
            <w:noWrap/>
            <w:vAlign w:val="center"/>
          </w:tcPr>
          <w:p w14:paraId="1105E73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75" w:type="pct"/>
            <w:tcBorders>
              <w:top w:val="nil"/>
              <w:left w:val="nil"/>
              <w:bottom w:val="single" w:sz="4" w:space="0" w:color="auto"/>
              <w:right w:val="single" w:sz="4" w:space="0" w:color="auto"/>
            </w:tcBorders>
            <w:shd w:val="clear" w:color="000000" w:fill="FFFFFF"/>
            <w:noWrap/>
            <w:vAlign w:val="center"/>
          </w:tcPr>
          <w:p w14:paraId="2A84B8B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r>
      <w:tr w:rsidR="00000000" w14:paraId="1809F008"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46121C49"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val="restart"/>
            <w:tcBorders>
              <w:top w:val="nil"/>
              <w:left w:val="nil"/>
              <w:right w:val="single" w:sz="4" w:space="0" w:color="auto"/>
            </w:tcBorders>
            <w:shd w:val="clear" w:color="000000" w:fill="FFFFFF"/>
            <w:noWrap/>
            <w:vAlign w:val="center"/>
          </w:tcPr>
          <w:p w14:paraId="3FD4060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房山区长于大街28号院100幢</w:t>
            </w:r>
          </w:p>
        </w:tc>
        <w:tc>
          <w:tcPr>
            <w:tcW w:w="341" w:type="pct"/>
            <w:tcBorders>
              <w:top w:val="nil"/>
              <w:left w:val="nil"/>
              <w:bottom w:val="single" w:sz="4" w:space="0" w:color="auto"/>
              <w:right w:val="single" w:sz="4" w:space="0" w:color="auto"/>
            </w:tcBorders>
            <w:shd w:val="clear" w:color="000000" w:fill="FFFFFF"/>
            <w:noWrap/>
            <w:vAlign w:val="center"/>
          </w:tcPr>
          <w:p w14:paraId="43F7BE11"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23</w:t>
            </w:r>
          </w:p>
        </w:tc>
        <w:tc>
          <w:tcPr>
            <w:tcW w:w="569" w:type="pct"/>
            <w:tcBorders>
              <w:top w:val="nil"/>
              <w:left w:val="nil"/>
              <w:bottom w:val="single" w:sz="4" w:space="0" w:color="auto"/>
              <w:right w:val="single" w:sz="4" w:space="0" w:color="auto"/>
            </w:tcBorders>
            <w:shd w:val="clear" w:color="000000" w:fill="FFFFFF"/>
            <w:noWrap/>
            <w:vAlign w:val="bottom"/>
          </w:tcPr>
          <w:p w14:paraId="12435A4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87" w:type="pct"/>
            <w:tcBorders>
              <w:top w:val="nil"/>
              <w:left w:val="nil"/>
              <w:bottom w:val="single" w:sz="4" w:space="0" w:color="auto"/>
              <w:right w:val="single" w:sz="4" w:space="0" w:color="auto"/>
            </w:tcBorders>
            <w:shd w:val="clear" w:color="000000" w:fill="FFFFFF"/>
            <w:noWrap/>
            <w:vAlign w:val="center"/>
          </w:tcPr>
          <w:p w14:paraId="3CEA65C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-102</w:t>
            </w:r>
          </w:p>
        </w:tc>
        <w:tc>
          <w:tcPr>
            <w:tcW w:w="709" w:type="pct"/>
            <w:tcBorders>
              <w:top w:val="nil"/>
              <w:left w:val="nil"/>
              <w:bottom w:val="single" w:sz="4" w:space="0" w:color="auto"/>
              <w:right w:val="single" w:sz="4" w:space="0" w:color="auto"/>
            </w:tcBorders>
            <w:shd w:val="clear" w:color="000000" w:fill="FFFFFF"/>
            <w:noWrap/>
            <w:vAlign w:val="center"/>
          </w:tcPr>
          <w:p w14:paraId="074F47E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 850.52 </w:t>
            </w:r>
          </w:p>
        </w:tc>
        <w:tc>
          <w:tcPr>
            <w:tcW w:w="984" w:type="pct"/>
            <w:tcBorders>
              <w:top w:val="nil"/>
              <w:left w:val="nil"/>
              <w:bottom w:val="single" w:sz="4" w:space="0" w:color="auto"/>
              <w:right w:val="single" w:sz="4" w:space="0" w:color="auto"/>
            </w:tcBorders>
            <w:shd w:val="clear" w:color="000000" w:fill="FFFFFF"/>
            <w:noWrap/>
            <w:vAlign w:val="center"/>
          </w:tcPr>
          <w:p w14:paraId="078737A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545.07 </w:t>
            </w:r>
          </w:p>
        </w:tc>
        <w:tc>
          <w:tcPr>
            <w:tcW w:w="315" w:type="pct"/>
            <w:tcBorders>
              <w:top w:val="nil"/>
              <w:left w:val="nil"/>
              <w:bottom w:val="single" w:sz="4" w:space="0" w:color="auto"/>
              <w:right w:val="single" w:sz="4" w:space="0" w:color="auto"/>
            </w:tcBorders>
            <w:shd w:val="clear" w:color="000000" w:fill="FFFFFF"/>
            <w:noWrap/>
            <w:vAlign w:val="center"/>
          </w:tcPr>
          <w:p w14:paraId="696DB78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3125F3E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地下</w:t>
            </w:r>
          </w:p>
        </w:tc>
      </w:tr>
      <w:tr w:rsidR="00000000" w14:paraId="512FD85A"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504A2EF5"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48F854DB"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79DC25F4"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24</w:t>
            </w:r>
          </w:p>
        </w:tc>
        <w:tc>
          <w:tcPr>
            <w:tcW w:w="569" w:type="pct"/>
            <w:tcBorders>
              <w:top w:val="nil"/>
              <w:left w:val="nil"/>
              <w:bottom w:val="single" w:sz="4" w:space="0" w:color="auto"/>
              <w:right w:val="single" w:sz="4" w:space="0" w:color="auto"/>
            </w:tcBorders>
            <w:shd w:val="clear" w:color="000000" w:fill="FFFFFF"/>
            <w:noWrap/>
            <w:vAlign w:val="bottom"/>
          </w:tcPr>
          <w:p w14:paraId="0DA8FE0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87" w:type="pct"/>
            <w:tcBorders>
              <w:top w:val="nil"/>
              <w:left w:val="nil"/>
              <w:bottom w:val="single" w:sz="4" w:space="0" w:color="auto"/>
              <w:right w:val="single" w:sz="4" w:space="0" w:color="auto"/>
            </w:tcBorders>
            <w:shd w:val="clear" w:color="000000" w:fill="FFFFFF"/>
            <w:noWrap/>
            <w:vAlign w:val="center"/>
          </w:tcPr>
          <w:p w14:paraId="2725F3B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-103</w:t>
            </w:r>
          </w:p>
        </w:tc>
        <w:tc>
          <w:tcPr>
            <w:tcW w:w="709" w:type="pct"/>
            <w:tcBorders>
              <w:top w:val="nil"/>
              <w:left w:val="nil"/>
              <w:bottom w:val="single" w:sz="4" w:space="0" w:color="auto"/>
              <w:right w:val="single" w:sz="4" w:space="0" w:color="auto"/>
            </w:tcBorders>
            <w:shd w:val="clear" w:color="000000" w:fill="FFFFFF"/>
            <w:noWrap/>
            <w:vAlign w:val="center"/>
          </w:tcPr>
          <w:p w14:paraId="76045F0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 882.99 </w:t>
            </w:r>
          </w:p>
        </w:tc>
        <w:tc>
          <w:tcPr>
            <w:tcW w:w="984" w:type="pct"/>
            <w:tcBorders>
              <w:top w:val="nil"/>
              <w:left w:val="nil"/>
              <w:bottom w:val="single" w:sz="4" w:space="0" w:color="auto"/>
              <w:right w:val="single" w:sz="4" w:space="0" w:color="auto"/>
            </w:tcBorders>
            <w:shd w:val="clear" w:color="000000" w:fill="FFFFFF"/>
            <w:noWrap/>
            <w:vAlign w:val="center"/>
          </w:tcPr>
          <w:p w14:paraId="20BF0A7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565.88 </w:t>
            </w:r>
          </w:p>
        </w:tc>
        <w:tc>
          <w:tcPr>
            <w:tcW w:w="315" w:type="pct"/>
            <w:tcBorders>
              <w:top w:val="nil"/>
              <w:left w:val="nil"/>
              <w:bottom w:val="single" w:sz="4" w:space="0" w:color="auto"/>
              <w:right w:val="single" w:sz="4" w:space="0" w:color="auto"/>
            </w:tcBorders>
            <w:shd w:val="clear" w:color="000000" w:fill="FFFFFF"/>
            <w:noWrap/>
            <w:vAlign w:val="center"/>
          </w:tcPr>
          <w:p w14:paraId="5C01D04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4CA0D59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地下</w:t>
            </w:r>
          </w:p>
        </w:tc>
      </w:tr>
      <w:tr w:rsidR="00000000" w14:paraId="2B6DBD8E"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338BD940"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171A3CF3"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64A101CE"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25</w:t>
            </w:r>
          </w:p>
        </w:tc>
        <w:tc>
          <w:tcPr>
            <w:tcW w:w="569" w:type="pct"/>
            <w:tcBorders>
              <w:top w:val="nil"/>
              <w:left w:val="nil"/>
              <w:bottom w:val="single" w:sz="4" w:space="0" w:color="auto"/>
              <w:right w:val="single" w:sz="4" w:space="0" w:color="auto"/>
            </w:tcBorders>
            <w:shd w:val="clear" w:color="000000" w:fill="FFFFFF"/>
            <w:noWrap/>
            <w:vAlign w:val="bottom"/>
          </w:tcPr>
          <w:p w14:paraId="0FCF194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87" w:type="pct"/>
            <w:tcBorders>
              <w:top w:val="nil"/>
              <w:left w:val="nil"/>
              <w:bottom w:val="single" w:sz="4" w:space="0" w:color="auto"/>
              <w:right w:val="single" w:sz="4" w:space="0" w:color="auto"/>
            </w:tcBorders>
            <w:shd w:val="clear" w:color="000000" w:fill="FFFFFF"/>
            <w:noWrap/>
            <w:vAlign w:val="center"/>
          </w:tcPr>
          <w:p w14:paraId="1709595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-104</w:t>
            </w:r>
          </w:p>
        </w:tc>
        <w:tc>
          <w:tcPr>
            <w:tcW w:w="709" w:type="pct"/>
            <w:tcBorders>
              <w:top w:val="nil"/>
              <w:left w:val="nil"/>
              <w:bottom w:val="single" w:sz="4" w:space="0" w:color="auto"/>
              <w:right w:val="single" w:sz="4" w:space="0" w:color="auto"/>
            </w:tcBorders>
            <w:shd w:val="clear" w:color="000000" w:fill="FFFFFF"/>
            <w:noWrap/>
            <w:vAlign w:val="center"/>
          </w:tcPr>
          <w:p w14:paraId="5CB4257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 815.94 </w:t>
            </w:r>
          </w:p>
        </w:tc>
        <w:tc>
          <w:tcPr>
            <w:tcW w:w="984" w:type="pct"/>
            <w:tcBorders>
              <w:top w:val="nil"/>
              <w:left w:val="nil"/>
              <w:bottom w:val="single" w:sz="4" w:space="0" w:color="auto"/>
              <w:right w:val="single" w:sz="4" w:space="0" w:color="auto"/>
            </w:tcBorders>
            <w:shd w:val="clear" w:color="000000" w:fill="FFFFFF"/>
            <w:noWrap/>
            <w:vAlign w:val="center"/>
          </w:tcPr>
          <w:p w14:paraId="060DD9B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522.91 </w:t>
            </w:r>
          </w:p>
        </w:tc>
        <w:tc>
          <w:tcPr>
            <w:tcW w:w="315" w:type="pct"/>
            <w:tcBorders>
              <w:top w:val="nil"/>
              <w:left w:val="nil"/>
              <w:bottom w:val="single" w:sz="4" w:space="0" w:color="auto"/>
              <w:right w:val="single" w:sz="4" w:space="0" w:color="auto"/>
            </w:tcBorders>
            <w:shd w:val="clear" w:color="000000" w:fill="FFFFFF"/>
            <w:noWrap/>
            <w:vAlign w:val="center"/>
          </w:tcPr>
          <w:p w14:paraId="5C65FDA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4FC09DAC"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地下</w:t>
            </w:r>
          </w:p>
        </w:tc>
      </w:tr>
      <w:tr w:rsidR="00000000" w14:paraId="57543A51"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2C0DC3E8"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27217486"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497FF8F8"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26</w:t>
            </w:r>
          </w:p>
        </w:tc>
        <w:tc>
          <w:tcPr>
            <w:tcW w:w="569" w:type="pct"/>
            <w:tcBorders>
              <w:top w:val="nil"/>
              <w:left w:val="nil"/>
              <w:bottom w:val="single" w:sz="4" w:space="0" w:color="auto"/>
              <w:right w:val="single" w:sz="4" w:space="0" w:color="auto"/>
            </w:tcBorders>
            <w:shd w:val="clear" w:color="000000" w:fill="FFFFFF"/>
            <w:noWrap/>
            <w:vAlign w:val="bottom"/>
          </w:tcPr>
          <w:p w14:paraId="4D7F161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87" w:type="pct"/>
            <w:tcBorders>
              <w:top w:val="nil"/>
              <w:left w:val="nil"/>
              <w:bottom w:val="single" w:sz="4" w:space="0" w:color="auto"/>
              <w:right w:val="single" w:sz="4" w:space="0" w:color="auto"/>
            </w:tcBorders>
            <w:shd w:val="clear" w:color="000000" w:fill="FFFFFF"/>
            <w:noWrap/>
            <w:vAlign w:val="center"/>
          </w:tcPr>
          <w:p w14:paraId="1F7F3B9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-105</w:t>
            </w:r>
          </w:p>
        </w:tc>
        <w:tc>
          <w:tcPr>
            <w:tcW w:w="709" w:type="pct"/>
            <w:tcBorders>
              <w:top w:val="nil"/>
              <w:left w:val="nil"/>
              <w:bottom w:val="single" w:sz="4" w:space="0" w:color="auto"/>
              <w:right w:val="single" w:sz="4" w:space="0" w:color="auto"/>
            </w:tcBorders>
            <w:shd w:val="clear" w:color="000000" w:fill="FFFFFF"/>
            <w:noWrap/>
            <w:vAlign w:val="center"/>
          </w:tcPr>
          <w:p w14:paraId="6F1DAB0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 885.53 </w:t>
            </w:r>
          </w:p>
        </w:tc>
        <w:tc>
          <w:tcPr>
            <w:tcW w:w="984" w:type="pct"/>
            <w:tcBorders>
              <w:top w:val="nil"/>
              <w:left w:val="nil"/>
              <w:bottom w:val="single" w:sz="4" w:space="0" w:color="auto"/>
              <w:right w:val="single" w:sz="4" w:space="0" w:color="auto"/>
            </w:tcBorders>
            <w:shd w:val="clear" w:color="000000" w:fill="FFFFFF"/>
            <w:noWrap/>
            <w:vAlign w:val="center"/>
          </w:tcPr>
          <w:p w14:paraId="60380F7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567.51 </w:t>
            </w:r>
          </w:p>
        </w:tc>
        <w:tc>
          <w:tcPr>
            <w:tcW w:w="315" w:type="pct"/>
            <w:tcBorders>
              <w:top w:val="nil"/>
              <w:left w:val="nil"/>
              <w:bottom w:val="single" w:sz="4" w:space="0" w:color="auto"/>
              <w:right w:val="single" w:sz="4" w:space="0" w:color="auto"/>
            </w:tcBorders>
            <w:shd w:val="clear" w:color="000000" w:fill="FFFFFF"/>
            <w:noWrap/>
            <w:vAlign w:val="center"/>
          </w:tcPr>
          <w:p w14:paraId="61B5A72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10DBB24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地下</w:t>
            </w:r>
          </w:p>
        </w:tc>
      </w:tr>
      <w:tr w:rsidR="00000000" w14:paraId="19FBF9EB"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554E296A"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3297A83E"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7F1E191A"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27</w:t>
            </w:r>
          </w:p>
        </w:tc>
        <w:tc>
          <w:tcPr>
            <w:tcW w:w="569" w:type="pct"/>
            <w:tcBorders>
              <w:top w:val="nil"/>
              <w:left w:val="nil"/>
              <w:bottom w:val="single" w:sz="4" w:space="0" w:color="auto"/>
              <w:right w:val="single" w:sz="4" w:space="0" w:color="auto"/>
            </w:tcBorders>
            <w:shd w:val="clear" w:color="000000" w:fill="FFFFFF"/>
            <w:noWrap/>
            <w:vAlign w:val="bottom"/>
          </w:tcPr>
          <w:p w14:paraId="40B5FEB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87" w:type="pct"/>
            <w:tcBorders>
              <w:top w:val="nil"/>
              <w:left w:val="nil"/>
              <w:bottom w:val="single" w:sz="4" w:space="0" w:color="auto"/>
              <w:right w:val="single" w:sz="4" w:space="0" w:color="auto"/>
            </w:tcBorders>
            <w:shd w:val="clear" w:color="000000" w:fill="FFFFFF"/>
            <w:noWrap/>
            <w:vAlign w:val="center"/>
          </w:tcPr>
          <w:p w14:paraId="20F8BD1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-106</w:t>
            </w:r>
          </w:p>
        </w:tc>
        <w:tc>
          <w:tcPr>
            <w:tcW w:w="709" w:type="pct"/>
            <w:tcBorders>
              <w:top w:val="nil"/>
              <w:left w:val="nil"/>
              <w:bottom w:val="single" w:sz="4" w:space="0" w:color="auto"/>
              <w:right w:val="single" w:sz="4" w:space="0" w:color="auto"/>
            </w:tcBorders>
            <w:shd w:val="clear" w:color="000000" w:fill="FFFFFF"/>
            <w:noWrap/>
            <w:vAlign w:val="center"/>
          </w:tcPr>
          <w:p w14:paraId="017A1D2E"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 802.28 </w:t>
            </w:r>
          </w:p>
        </w:tc>
        <w:tc>
          <w:tcPr>
            <w:tcW w:w="984" w:type="pct"/>
            <w:tcBorders>
              <w:top w:val="nil"/>
              <w:left w:val="nil"/>
              <w:bottom w:val="single" w:sz="4" w:space="0" w:color="auto"/>
              <w:right w:val="single" w:sz="4" w:space="0" w:color="auto"/>
            </w:tcBorders>
            <w:shd w:val="clear" w:color="000000" w:fill="FFFFFF"/>
            <w:noWrap/>
            <w:vAlign w:val="center"/>
          </w:tcPr>
          <w:p w14:paraId="44BE25A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514.16 </w:t>
            </w:r>
          </w:p>
        </w:tc>
        <w:tc>
          <w:tcPr>
            <w:tcW w:w="315" w:type="pct"/>
            <w:tcBorders>
              <w:top w:val="nil"/>
              <w:left w:val="nil"/>
              <w:bottom w:val="single" w:sz="4" w:space="0" w:color="auto"/>
              <w:right w:val="single" w:sz="4" w:space="0" w:color="auto"/>
            </w:tcBorders>
            <w:shd w:val="clear" w:color="000000" w:fill="FFFFFF"/>
            <w:noWrap/>
            <w:vAlign w:val="center"/>
          </w:tcPr>
          <w:p w14:paraId="4DB8785A"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38EDE87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地下</w:t>
            </w:r>
          </w:p>
        </w:tc>
      </w:tr>
      <w:tr w:rsidR="00000000" w14:paraId="4C270444"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72AF7A4B"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50F38BDA"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2A4906BC"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28</w:t>
            </w:r>
          </w:p>
        </w:tc>
        <w:tc>
          <w:tcPr>
            <w:tcW w:w="569" w:type="pct"/>
            <w:tcBorders>
              <w:top w:val="nil"/>
              <w:left w:val="nil"/>
              <w:bottom w:val="single" w:sz="4" w:space="0" w:color="auto"/>
              <w:right w:val="single" w:sz="4" w:space="0" w:color="auto"/>
            </w:tcBorders>
            <w:shd w:val="clear" w:color="000000" w:fill="FFFFFF"/>
            <w:noWrap/>
            <w:vAlign w:val="bottom"/>
          </w:tcPr>
          <w:p w14:paraId="4E941A4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87" w:type="pct"/>
            <w:tcBorders>
              <w:top w:val="nil"/>
              <w:left w:val="nil"/>
              <w:bottom w:val="single" w:sz="4" w:space="0" w:color="auto"/>
              <w:right w:val="single" w:sz="4" w:space="0" w:color="auto"/>
            </w:tcBorders>
            <w:shd w:val="clear" w:color="000000" w:fill="FFFFFF"/>
            <w:noWrap/>
            <w:vAlign w:val="center"/>
          </w:tcPr>
          <w:p w14:paraId="22C14102"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-107</w:t>
            </w:r>
          </w:p>
        </w:tc>
        <w:tc>
          <w:tcPr>
            <w:tcW w:w="709" w:type="pct"/>
            <w:tcBorders>
              <w:top w:val="nil"/>
              <w:left w:val="nil"/>
              <w:bottom w:val="single" w:sz="4" w:space="0" w:color="auto"/>
              <w:right w:val="single" w:sz="4" w:space="0" w:color="auto"/>
            </w:tcBorders>
            <w:shd w:val="clear" w:color="000000" w:fill="FFFFFF"/>
            <w:noWrap/>
            <w:vAlign w:val="center"/>
          </w:tcPr>
          <w:p w14:paraId="6AE79F1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 841.70 </w:t>
            </w:r>
          </w:p>
        </w:tc>
        <w:tc>
          <w:tcPr>
            <w:tcW w:w="984" w:type="pct"/>
            <w:tcBorders>
              <w:top w:val="nil"/>
              <w:left w:val="nil"/>
              <w:bottom w:val="single" w:sz="4" w:space="0" w:color="auto"/>
              <w:right w:val="single" w:sz="4" w:space="0" w:color="auto"/>
            </w:tcBorders>
            <w:shd w:val="clear" w:color="000000" w:fill="FFFFFF"/>
            <w:noWrap/>
            <w:vAlign w:val="center"/>
          </w:tcPr>
          <w:p w14:paraId="52CE825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539.42 </w:t>
            </w:r>
          </w:p>
        </w:tc>
        <w:tc>
          <w:tcPr>
            <w:tcW w:w="315" w:type="pct"/>
            <w:tcBorders>
              <w:top w:val="nil"/>
              <w:left w:val="nil"/>
              <w:bottom w:val="single" w:sz="4" w:space="0" w:color="auto"/>
              <w:right w:val="single" w:sz="4" w:space="0" w:color="auto"/>
            </w:tcBorders>
            <w:shd w:val="clear" w:color="000000" w:fill="FFFFFF"/>
            <w:noWrap/>
            <w:vAlign w:val="center"/>
          </w:tcPr>
          <w:p w14:paraId="576AB60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33D6A28F"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地下</w:t>
            </w:r>
          </w:p>
        </w:tc>
      </w:tr>
      <w:tr w:rsidR="00000000" w14:paraId="5821B8C7"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0FDB8703"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73D73D8D"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236144A8"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29</w:t>
            </w:r>
          </w:p>
        </w:tc>
        <w:tc>
          <w:tcPr>
            <w:tcW w:w="569" w:type="pct"/>
            <w:tcBorders>
              <w:top w:val="nil"/>
              <w:left w:val="nil"/>
              <w:bottom w:val="single" w:sz="4" w:space="0" w:color="auto"/>
              <w:right w:val="single" w:sz="4" w:space="0" w:color="auto"/>
            </w:tcBorders>
            <w:shd w:val="clear" w:color="000000" w:fill="FFFFFF"/>
            <w:noWrap/>
            <w:vAlign w:val="bottom"/>
          </w:tcPr>
          <w:p w14:paraId="6593B36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87" w:type="pct"/>
            <w:tcBorders>
              <w:top w:val="nil"/>
              <w:left w:val="nil"/>
              <w:bottom w:val="single" w:sz="4" w:space="0" w:color="auto"/>
              <w:right w:val="single" w:sz="4" w:space="0" w:color="auto"/>
            </w:tcBorders>
            <w:shd w:val="clear" w:color="000000" w:fill="FFFFFF"/>
            <w:noWrap/>
            <w:vAlign w:val="center"/>
          </w:tcPr>
          <w:p w14:paraId="6E555B9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-108</w:t>
            </w:r>
          </w:p>
        </w:tc>
        <w:tc>
          <w:tcPr>
            <w:tcW w:w="709" w:type="pct"/>
            <w:tcBorders>
              <w:top w:val="nil"/>
              <w:left w:val="nil"/>
              <w:bottom w:val="single" w:sz="4" w:space="0" w:color="auto"/>
              <w:right w:val="single" w:sz="4" w:space="0" w:color="auto"/>
            </w:tcBorders>
            <w:shd w:val="clear" w:color="000000" w:fill="FFFFFF"/>
            <w:noWrap/>
            <w:vAlign w:val="center"/>
          </w:tcPr>
          <w:p w14:paraId="5BA88BE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 897.31 </w:t>
            </w:r>
          </w:p>
        </w:tc>
        <w:tc>
          <w:tcPr>
            <w:tcW w:w="984" w:type="pct"/>
            <w:tcBorders>
              <w:top w:val="nil"/>
              <w:left w:val="nil"/>
              <w:bottom w:val="single" w:sz="4" w:space="0" w:color="auto"/>
              <w:right w:val="single" w:sz="4" w:space="0" w:color="auto"/>
            </w:tcBorders>
            <w:shd w:val="clear" w:color="000000" w:fill="FFFFFF"/>
            <w:noWrap/>
            <w:vAlign w:val="center"/>
          </w:tcPr>
          <w:p w14:paraId="6C0BC5C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 xml:space="preserve">575.06 </w:t>
            </w:r>
          </w:p>
        </w:tc>
        <w:tc>
          <w:tcPr>
            <w:tcW w:w="315" w:type="pct"/>
            <w:tcBorders>
              <w:top w:val="nil"/>
              <w:left w:val="nil"/>
              <w:bottom w:val="single" w:sz="4" w:space="0" w:color="auto"/>
              <w:right w:val="single" w:sz="4" w:space="0" w:color="auto"/>
            </w:tcBorders>
            <w:shd w:val="clear" w:color="000000" w:fill="FFFFFF"/>
            <w:noWrap/>
            <w:vAlign w:val="center"/>
          </w:tcPr>
          <w:p w14:paraId="1AAE56B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商业</w:t>
            </w:r>
          </w:p>
        </w:tc>
        <w:tc>
          <w:tcPr>
            <w:tcW w:w="575" w:type="pct"/>
            <w:tcBorders>
              <w:top w:val="nil"/>
              <w:left w:val="nil"/>
              <w:bottom w:val="single" w:sz="4" w:space="0" w:color="auto"/>
              <w:right w:val="single" w:sz="4" w:space="0" w:color="auto"/>
            </w:tcBorders>
            <w:shd w:val="clear" w:color="000000" w:fill="FFFFFF"/>
            <w:noWrap/>
            <w:vAlign w:val="center"/>
          </w:tcPr>
          <w:p w14:paraId="2D4200B4"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地下</w:t>
            </w:r>
          </w:p>
        </w:tc>
      </w:tr>
      <w:tr w:rsidR="00000000" w14:paraId="283E33DF" w14:textId="77777777">
        <w:trPr>
          <w:trHeight w:val="20"/>
          <w:jc w:val="center"/>
        </w:trPr>
        <w:tc>
          <w:tcPr>
            <w:tcW w:w="338" w:type="pct"/>
            <w:vMerge/>
            <w:tcBorders>
              <w:top w:val="nil"/>
              <w:left w:val="single" w:sz="4" w:space="0" w:color="auto"/>
              <w:bottom w:val="single" w:sz="4" w:space="0" w:color="000000"/>
              <w:right w:val="single" w:sz="4" w:space="0" w:color="auto"/>
            </w:tcBorders>
            <w:vAlign w:val="center"/>
          </w:tcPr>
          <w:p w14:paraId="20BA9DC2"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right w:val="single" w:sz="4" w:space="0" w:color="auto"/>
            </w:tcBorders>
            <w:shd w:val="clear" w:color="000000" w:fill="FFFFFF"/>
            <w:noWrap/>
            <w:vAlign w:val="center"/>
          </w:tcPr>
          <w:p w14:paraId="3242F1CC"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4D42DC2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69" w:type="pct"/>
            <w:tcBorders>
              <w:top w:val="nil"/>
              <w:left w:val="nil"/>
              <w:bottom w:val="single" w:sz="4" w:space="0" w:color="auto"/>
              <w:right w:val="nil"/>
            </w:tcBorders>
            <w:shd w:val="clear" w:color="000000" w:fill="FFFFFF"/>
            <w:noWrap/>
            <w:vAlign w:val="bottom"/>
          </w:tcPr>
          <w:p w14:paraId="1905859D"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小计</w:t>
            </w:r>
          </w:p>
        </w:tc>
        <w:tc>
          <w:tcPr>
            <w:tcW w:w="587" w:type="pct"/>
            <w:tcBorders>
              <w:top w:val="nil"/>
              <w:left w:val="single" w:sz="4" w:space="0" w:color="auto"/>
              <w:bottom w:val="single" w:sz="4" w:space="0" w:color="auto"/>
              <w:right w:val="single" w:sz="4" w:space="0" w:color="auto"/>
            </w:tcBorders>
            <w:shd w:val="clear" w:color="000000" w:fill="FFFFFF"/>
            <w:noWrap/>
            <w:vAlign w:val="center"/>
          </w:tcPr>
          <w:p w14:paraId="03E394A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709" w:type="pct"/>
            <w:tcBorders>
              <w:top w:val="nil"/>
              <w:left w:val="nil"/>
              <w:bottom w:val="single" w:sz="4" w:space="0" w:color="auto"/>
              <w:right w:val="single" w:sz="4" w:space="0" w:color="auto"/>
            </w:tcBorders>
            <w:shd w:val="clear" w:color="000000" w:fill="FFFFFF"/>
            <w:noWrap/>
            <w:vAlign w:val="center"/>
          </w:tcPr>
          <w:p w14:paraId="4CCAA27C" w14:textId="77777777" w:rsidR="00000000" w:rsidRDefault="00000000">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5976.27</w:t>
            </w:r>
          </w:p>
        </w:tc>
        <w:tc>
          <w:tcPr>
            <w:tcW w:w="984" w:type="pct"/>
            <w:tcBorders>
              <w:top w:val="nil"/>
              <w:left w:val="nil"/>
              <w:bottom w:val="single" w:sz="4" w:space="0" w:color="auto"/>
              <w:right w:val="single" w:sz="4" w:space="0" w:color="auto"/>
            </w:tcBorders>
            <w:shd w:val="clear" w:color="000000" w:fill="FFFFFF"/>
            <w:noWrap/>
            <w:vAlign w:val="center"/>
          </w:tcPr>
          <w:p w14:paraId="14C84465" w14:textId="77777777" w:rsidR="00000000" w:rsidRDefault="00000000">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3830.01</w:t>
            </w:r>
          </w:p>
        </w:tc>
        <w:tc>
          <w:tcPr>
            <w:tcW w:w="315" w:type="pct"/>
            <w:tcBorders>
              <w:top w:val="nil"/>
              <w:left w:val="nil"/>
              <w:bottom w:val="single" w:sz="4" w:space="0" w:color="auto"/>
              <w:right w:val="single" w:sz="4" w:space="0" w:color="auto"/>
            </w:tcBorders>
            <w:shd w:val="clear" w:color="000000" w:fill="FFFFFF"/>
            <w:noWrap/>
            <w:vAlign w:val="center"/>
          </w:tcPr>
          <w:p w14:paraId="61F485E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75" w:type="pct"/>
            <w:tcBorders>
              <w:top w:val="nil"/>
              <w:left w:val="nil"/>
              <w:bottom w:val="single" w:sz="4" w:space="0" w:color="auto"/>
              <w:right w:val="single" w:sz="4" w:space="0" w:color="auto"/>
            </w:tcBorders>
            <w:shd w:val="clear" w:color="000000" w:fill="FFFFFF"/>
            <w:noWrap/>
            <w:vAlign w:val="center"/>
          </w:tcPr>
          <w:p w14:paraId="7CC18CA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r>
      <w:tr w:rsidR="00000000" w14:paraId="57B936C9" w14:textId="77777777">
        <w:trPr>
          <w:trHeight w:val="20"/>
          <w:jc w:val="center"/>
        </w:trPr>
        <w:tc>
          <w:tcPr>
            <w:tcW w:w="338" w:type="pct"/>
            <w:vMerge/>
            <w:tcBorders>
              <w:top w:val="nil"/>
              <w:left w:val="single" w:sz="4" w:space="0" w:color="auto"/>
              <w:bottom w:val="single" w:sz="4" w:space="0" w:color="auto"/>
              <w:right w:val="single" w:sz="4" w:space="0" w:color="auto"/>
            </w:tcBorders>
            <w:vAlign w:val="center"/>
          </w:tcPr>
          <w:p w14:paraId="7558AAE1"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576" w:type="pct"/>
            <w:vMerge/>
            <w:tcBorders>
              <w:left w:val="nil"/>
              <w:bottom w:val="single" w:sz="4" w:space="0" w:color="auto"/>
              <w:right w:val="single" w:sz="4" w:space="0" w:color="auto"/>
            </w:tcBorders>
            <w:shd w:val="clear" w:color="000000" w:fill="FFFFFF"/>
            <w:noWrap/>
            <w:vAlign w:val="center"/>
          </w:tcPr>
          <w:p w14:paraId="65A074C5" w14:textId="77777777" w:rsidR="00000000" w:rsidRDefault="00000000">
            <w:pPr>
              <w:widowControl/>
              <w:adjustRightInd/>
              <w:spacing w:line="240" w:lineRule="auto"/>
              <w:textAlignment w:val="auto"/>
              <w:rPr>
                <w:rFonts w:ascii="Arial Unicode MS" w:eastAsia="Arial Unicode MS" w:hAnsi="Arial Unicode MS" w:cs="Arial Unicode MS"/>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57AC8D4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69" w:type="pct"/>
            <w:tcBorders>
              <w:top w:val="nil"/>
              <w:left w:val="nil"/>
              <w:bottom w:val="single" w:sz="4" w:space="0" w:color="auto"/>
              <w:right w:val="single" w:sz="4" w:space="0" w:color="auto"/>
            </w:tcBorders>
            <w:shd w:val="clear" w:color="000000" w:fill="FFFFFF"/>
            <w:noWrap/>
            <w:vAlign w:val="bottom"/>
          </w:tcPr>
          <w:p w14:paraId="11B56D6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commentRangeStart w:id="67"/>
            <w:r>
              <w:rPr>
                <w:rFonts w:ascii="Arial Unicode MS" w:eastAsia="Arial Unicode MS" w:hAnsi="Arial Unicode MS" w:cs="Arial Unicode MS" w:hint="eastAsia"/>
                <w:color w:val="000000"/>
                <w:sz w:val="16"/>
                <w:szCs w:val="16"/>
              </w:rPr>
              <w:t>合计</w:t>
            </w:r>
            <w:commentRangeEnd w:id="67"/>
            <w:r w:rsidR="0039646A">
              <w:rPr>
                <w:rStyle w:val="af9"/>
              </w:rPr>
              <w:commentReference w:id="67"/>
            </w:r>
          </w:p>
        </w:tc>
        <w:tc>
          <w:tcPr>
            <w:tcW w:w="587" w:type="pct"/>
            <w:tcBorders>
              <w:top w:val="nil"/>
              <w:left w:val="nil"/>
              <w:bottom w:val="single" w:sz="4" w:space="0" w:color="auto"/>
              <w:right w:val="single" w:sz="4" w:space="0" w:color="auto"/>
            </w:tcBorders>
            <w:shd w:val="clear" w:color="000000" w:fill="FFFFFF"/>
            <w:noWrap/>
            <w:vAlign w:val="center"/>
          </w:tcPr>
          <w:p w14:paraId="78321B18"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sz w:val="16"/>
                <w:szCs w:val="16"/>
              </w:rPr>
            </w:pPr>
            <w:r>
              <w:rPr>
                <w:rFonts w:ascii="Arial Unicode MS" w:eastAsia="Arial Unicode MS" w:hAnsi="Arial Unicode MS" w:cs="Arial Unicode MS" w:hint="eastAsia"/>
                <w:sz w:val="16"/>
                <w:szCs w:val="16"/>
              </w:rPr>
              <w:t>-</w:t>
            </w:r>
          </w:p>
        </w:tc>
        <w:tc>
          <w:tcPr>
            <w:tcW w:w="709" w:type="pct"/>
            <w:tcBorders>
              <w:top w:val="nil"/>
              <w:left w:val="nil"/>
              <w:bottom w:val="single" w:sz="4" w:space="0" w:color="auto"/>
              <w:right w:val="single" w:sz="4" w:space="0" w:color="auto"/>
            </w:tcBorders>
            <w:shd w:val="clear" w:color="000000" w:fill="FFFFFF"/>
            <w:noWrap/>
            <w:vAlign w:val="center"/>
          </w:tcPr>
          <w:p w14:paraId="35466766" w14:textId="77777777" w:rsidR="00000000" w:rsidRDefault="00000000">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10761.36</w:t>
            </w:r>
          </w:p>
        </w:tc>
        <w:tc>
          <w:tcPr>
            <w:tcW w:w="984" w:type="pct"/>
            <w:tcBorders>
              <w:top w:val="nil"/>
              <w:left w:val="nil"/>
              <w:bottom w:val="single" w:sz="4" w:space="0" w:color="auto"/>
              <w:right w:val="single" w:sz="4" w:space="0" w:color="auto"/>
            </w:tcBorders>
            <w:shd w:val="clear" w:color="000000" w:fill="FFFFFF"/>
            <w:noWrap/>
            <w:vAlign w:val="center"/>
          </w:tcPr>
          <w:p w14:paraId="68F97B4F" w14:textId="77777777" w:rsidR="00000000" w:rsidRDefault="00000000">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7884.06</w:t>
            </w:r>
          </w:p>
        </w:tc>
        <w:tc>
          <w:tcPr>
            <w:tcW w:w="315" w:type="pct"/>
            <w:tcBorders>
              <w:top w:val="nil"/>
              <w:left w:val="nil"/>
              <w:bottom w:val="single" w:sz="4" w:space="0" w:color="auto"/>
              <w:right w:val="single" w:sz="4" w:space="0" w:color="auto"/>
            </w:tcBorders>
            <w:shd w:val="clear" w:color="000000" w:fill="FFFFFF"/>
            <w:noWrap/>
            <w:vAlign w:val="center"/>
          </w:tcPr>
          <w:p w14:paraId="45FC7BF0"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75" w:type="pct"/>
            <w:tcBorders>
              <w:top w:val="nil"/>
              <w:left w:val="nil"/>
              <w:bottom w:val="single" w:sz="4" w:space="0" w:color="auto"/>
              <w:right w:val="single" w:sz="4" w:space="0" w:color="auto"/>
            </w:tcBorders>
            <w:shd w:val="clear" w:color="000000" w:fill="FFFFFF"/>
            <w:noWrap/>
            <w:vAlign w:val="center"/>
          </w:tcPr>
          <w:p w14:paraId="022B71CB"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r>
      <w:tr w:rsidR="00000000" w14:paraId="3727D004" w14:textId="77777777">
        <w:trPr>
          <w:trHeight w:val="20"/>
          <w:jc w:val="center"/>
        </w:trPr>
        <w:tc>
          <w:tcPr>
            <w:tcW w:w="338" w:type="pct"/>
            <w:tcBorders>
              <w:top w:val="nil"/>
              <w:left w:val="single" w:sz="4" w:space="0" w:color="auto"/>
              <w:bottom w:val="single" w:sz="4" w:space="0" w:color="auto"/>
              <w:right w:val="single" w:sz="4" w:space="0" w:color="auto"/>
            </w:tcBorders>
            <w:shd w:val="clear" w:color="000000" w:fill="FFFFFF"/>
            <w:noWrap/>
            <w:vAlign w:val="center"/>
          </w:tcPr>
          <w:p w14:paraId="7777A625"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总计</w:t>
            </w:r>
          </w:p>
        </w:tc>
        <w:tc>
          <w:tcPr>
            <w:tcW w:w="576" w:type="pct"/>
            <w:tcBorders>
              <w:top w:val="nil"/>
              <w:left w:val="nil"/>
              <w:bottom w:val="single" w:sz="4" w:space="0" w:color="auto"/>
              <w:right w:val="single" w:sz="4" w:space="0" w:color="auto"/>
            </w:tcBorders>
            <w:shd w:val="clear" w:color="000000" w:fill="FFFFFF"/>
            <w:noWrap/>
            <w:vAlign w:val="center"/>
          </w:tcPr>
          <w:p w14:paraId="442DC43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p>
        </w:tc>
        <w:tc>
          <w:tcPr>
            <w:tcW w:w="341" w:type="pct"/>
            <w:tcBorders>
              <w:top w:val="nil"/>
              <w:left w:val="nil"/>
              <w:bottom w:val="single" w:sz="4" w:space="0" w:color="auto"/>
              <w:right w:val="single" w:sz="4" w:space="0" w:color="auto"/>
            </w:tcBorders>
            <w:shd w:val="clear" w:color="000000" w:fill="FFFFFF"/>
            <w:noWrap/>
            <w:vAlign w:val="center"/>
          </w:tcPr>
          <w:p w14:paraId="2ACD45AD"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29</w:t>
            </w:r>
          </w:p>
        </w:tc>
        <w:tc>
          <w:tcPr>
            <w:tcW w:w="569" w:type="pct"/>
            <w:tcBorders>
              <w:top w:val="nil"/>
              <w:left w:val="nil"/>
              <w:bottom w:val="single" w:sz="4" w:space="0" w:color="auto"/>
              <w:right w:val="single" w:sz="4" w:space="0" w:color="auto"/>
            </w:tcBorders>
            <w:shd w:val="clear" w:color="000000" w:fill="FFFFFF"/>
            <w:noWrap/>
            <w:vAlign w:val="center"/>
          </w:tcPr>
          <w:p w14:paraId="1FF6D391"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87" w:type="pct"/>
            <w:tcBorders>
              <w:top w:val="nil"/>
              <w:left w:val="nil"/>
              <w:bottom w:val="single" w:sz="4" w:space="0" w:color="auto"/>
              <w:right w:val="single" w:sz="4" w:space="0" w:color="auto"/>
            </w:tcBorders>
            <w:shd w:val="clear" w:color="000000" w:fill="FFFFFF"/>
            <w:noWrap/>
            <w:vAlign w:val="center"/>
          </w:tcPr>
          <w:p w14:paraId="5B1F33B9"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709" w:type="pct"/>
            <w:tcBorders>
              <w:top w:val="nil"/>
              <w:left w:val="nil"/>
              <w:bottom w:val="single" w:sz="4" w:space="0" w:color="auto"/>
              <w:right w:val="single" w:sz="4" w:space="0" w:color="auto"/>
            </w:tcBorders>
            <w:shd w:val="clear" w:color="000000" w:fill="FFFFFF"/>
            <w:noWrap/>
            <w:vAlign w:val="center"/>
          </w:tcPr>
          <w:p w14:paraId="57101613"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 xml:space="preserve">24871.67 </w:t>
            </w:r>
          </w:p>
        </w:tc>
        <w:tc>
          <w:tcPr>
            <w:tcW w:w="984" w:type="pct"/>
            <w:tcBorders>
              <w:top w:val="nil"/>
              <w:left w:val="nil"/>
              <w:bottom w:val="single" w:sz="4" w:space="0" w:color="auto"/>
              <w:right w:val="single" w:sz="4" w:space="0" w:color="auto"/>
            </w:tcBorders>
            <w:shd w:val="clear" w:color="000000" w:fill="FFFFFF"/>
            <w:noWrap/>
            <w:vAlign w:val="center"/>
          </w:tcPr>
          <w:p w14:paraId="1F2BB6E3" w14:textId="77777777" w:rsidR="00000000" w:rsidRDefault="00000000">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17190.47</w:t>
            </w:r>
          </w:p>
        </w:tc>
        <w:tc>
          <w:tcPr>
            <w:tcW w:w="315" w:type="pct"/>
            <w:tcBorders>
              <w:top w:val="nil"/>
              <w:left w:val="nil"/>
              <w:bottom w:val="single" w:sz="4" w:space="0" w:color="auto"/>
              <w:right w:val="single" w:sz="4" w:space="0" w:color="auto"/>
            </w:tcBorders>
            <w:shd w:val="clear" w:color="000000" w:fill="FFFFFF"/>
            <w:noWrap/>
            <w:vAlign w:val="center"/>
          </w:tcPr>
          <w:p w14:paraId="6B13F017"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c>
          <w:tcPr>
            <w:tcW w:w="575" w:type="pct"/>
            <w:tcBorders>
              <w:top w:val="nil"/>
              <w:left w:val="nil"/>
              <w:bottom w:val="single" w:sz="4" w:space="0" w:color="auto"/>
              <w:right w:val="single" w:sz="4" w:space="0" w:color="auto"/>
            </w:tcBorders>
            <w:shd w:val="clear" w:color="000000" w:fill="FFFFFF"/>
            <w:noWrap/>
            <w:vAlign w:val="center"/>
          </w:tcPr>
          <w:p w14:paraId="76EE8316" w14:textId="77777777" w:rsidR="00000000" w:rsidRDefault="00000000">
            <w:pPr>
              <w:widowControl/>
              <w:adjustRightInd/>
              <w:spacing w:line="240" w:lineRule="auto"/>
              <w:jc w:val="center"/>
              <w:textAlignment w:val="auto"/>
              <w:rPr>
                <w:rFonts w:ascii="Arial Unicode MS" w:eastAsia="Arial Unicode MS" w:hAnsi="Arial Unicode MS" w:cs="Arial Unicode MS" w:hint="eastAsia"/>
                <w:color w:val="000000"/>
                <w:sz w:val="16"/>
                <w:szCs w:val="16"/>
              </w:rPr>
            </w:pPr>
            <w:r>
              <w:rPr>
                <w:rFonts w:ascii="Arial Unicode MS" w:eastAsia="Arial Unicode MS" w:hAnsi="Arial Unicode MS" w:cs="Arial Unicode MS" w:hint="eastAsia"/>
                <w:color w:val="000000"/>
                <w:sz w:val="16"/>
                <w:szCs w:val="16"/>
              </w:rPr>
              <w:t>-</w:t>
            </w:r>
          </w:p>
        </w:tc>
      </w:tr>
    </w:tbl>
    <w:p w14:paraId="0D63E806" w14:textId="77777777" w:rsidR="00000000" w:rsidRDefault="00000000">
      <w:pPr>
        <w:pStyle w:val="Normal"/>
        <w:autoSpaceDE w:val="0"/>
        <w:autoSpaceDN w:val="0"/>
        <w:spacing w:line="480" w:lineRule="auto"/>
        <w:ind w:right="140"/>
        <w:jc w:val="both"/>
        <w:textAlignment w:val="bottom"/>
        <w:rPr>
          <w:rFonts w:ascii="Arial" w:hAnsi="Arial" w:cs="Arial" w:hint="eastAsia"/>
          <w:b/>
          <w:sz w:val="21"/>
          <w:szCs w:val="21"/>
        </w:rPr>
      </w:pPr>
      <w:r>
        <w:rPr>
          <w:rFonts w:ascii="Arial" w:hAnsi="Arial" w:cs="Arial" w:hint="eastAsia"/>
          <w:b/>
          <w:sz w:val="21"/>
          <w:szCs w:val="21"/>
        </w:rPr>
        <w:t>（一）比较法</w:t>
      </w:r>
    </w:p>
    <w:p w14:paraId="4CC8D4FE"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8"/>
        </w:rPr>
        <w:t>本次评估选取估价对象中房山区阜盛西街</w:t>
      </w:r>
      <w:r>
        <w:rPr>
          <w:rFonts w:ascii="Arial" w:hAnsi="Arial" w:cs="Arial" w:hint="eastAsia"/>
          <w:sz w:val="21"/>
          <w:szCs w:val="28"/>
        </w:rPr>
        <w:t>11</w:t>
      </w:r>
      <w:r>
        <w:rPr>
          <w:rFonts w:ascii="Arial" w:hAnsi="Arial" w:cs="Arial" w:hint="eastAsia"/>
          <w:sz w:val="21"/>
          <w:szCs w:val="28"/>
        </w:rPr>
        <w:t>号院</w:t>
      </w:r>
      <w:r>
        <w:rPr>
          <w:rFonts w:ascii="Arial" w:hAnsi="Arial" w:cs="Arial" w:hint="eastAsia"/>
          <w:sz w:val="21"/>
          <w:szCs w:val="28"/>
        </w:rPr>
        <w:t>3</w:t>
      </w:r>
      <w:r>
        <w:rPr>
          <w:rFonts w:ascii="Arial" w:hAnsi="Arial" w:cs="Arial" w:hint="eastAsia"/>
          <w:sz w:val="21"/>
          <w:szCs w:val="28"/>
        </w:rPr>
        <w:t>号楼</w:t>
      </w:r>
      <w:r>
        <w:rPr>
          <w:rFonts w:ascii="Arial" w:hAnsi="Arial" w:cs="Arial" w:hint="eastAsia"/>
          <w:sz w:val="21"/>
          <w:szCs w:val="28"/>
        </w:rPr>
        <w:t>101</w:t>
      </w:r>
      <w:r>
        <w:rPr>
          <w:rFonts w:ascii="Arial" w:hAnsi="Arial" w:cs="Arial" w:hint="eastAsia"/>
          <w:sz w:val="21"/>
          <w:szCs w:val="28"/>
        </w:rPr>
        <w:t>号商业用房作为标准房，以其为标准求取估价对象</w:t>
      </w:r>
      <w:r>
        <w:rPr>
          <w:rFonts w:ascii="Arial" w:hAnsi="Arial" w:cs="Arial" w:hint="eastAsia"/>
          <w:sz w:val="21"/>
          <w:szCs w:val="28"/>
        </w:rPr>
        <w:t>1</w:t>
      </w:r>
      <w:r>
        <w:rPr>
          <w:rFonts w:ascii="Arial" w:hAnsi="Arial" w:cs="Arial" w:hint="eastAsia"/>
          <w:sz w:val="21"/>
          <w:szCs w:val="28"/>
        </w:rPr>
        <w:t>层商业用房的房地产市场租金水平。</w:t>
      </w:r>
      <w:r>
        <w:rPr>
          <w:rFonts w:ascii="Arial" w:hAnsi="Arial" w:cs="Arial" w:hint="eastAsia"/>
          <w:bCs/>
          <w:sz w:val="21"/>
          <w:szCs w:val="21"/>
        </w:rPr>
        <w:t>通过房地产交易平台等渠道，收集估价对象所</w:t>
      </w:r>
      <w:r>
        <w:rPr>
          <w:rFonts w:ascii="Arial" w:hAnsi="Arial" w:cs="Arial" w:hint="eastAsia"/>
          <w:bCs/>
          <w:sz w:val="21"/>
          <w:szCs w:val="21"/>
        </w:rPr>
        <w:lastRenderedPageBreak/>
        <w:t>在区域同类物业的交易案例，采用房地产交易中的替代原则，筛选出可比案例，统一价格内涵、建立比较基础，而后分别进行交易情况、市场状况、房地产状况</w:t>
      </w:r>
      <w:r>
        <w:rPr>
          <w:rFonts w:ascii="Arial" w:hAnsi="Arial" w:cs="Arial" w:hint="eastAsia"/>
          <w:sz w:val="21"/>
          <w:szCs w:val="21"/>
        </w:rPr>
        <w:t>的修正和调整，计算比较价值。</w:t>
      </w:r>
    </w:p>
    <w:p w14:paraId="4F9FF18F"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1.</w:t>
      </w:r>
      <w:r>
        <w:rPr>
          <w:rFonts w:ascii="Arial" w:hAnsi="Arial" w:cs="Arial" w:hint="eastAsia"/>
          <w:sz w:val="21"/>
          <w:szCs w:val="21"/>
        </w:rPr>
        <w:t>搜集交易实例</w:t>
      </w:r>
      <w:r>
        <w:rPr>
          <w:rFonts w:ascii="Arial" w:hAnsi="Arial" w:cs="Arial" w:hint="eastAsia"/>
          <w:sz w:val="21"/>
          <w:szCs w:val="21"/>
        </w:rPr>
        <w:t xml:space="preserve"> </w:t>
      </w:r>
    </w:p>
    <w:p w14:paraId="4602DA42" w14:textId="77777777" w:rsidR="00000000" w:rsidRDefault="00000000">
      <w:pPr>
        <w:spacing w:line="480" w:lineRule="auto"/>
        <w:ind w:firstLineChars="196" w:firstLine="412"/>
        <w:jc w:val="both"/>
        <w:rPr>
          <w:rFonts w:ascii="Arial" w:hAnsi="Arial" w:cs="Arial" w:hint="eastAsia"/>
          <w:sz w:val="21"/>
          <w:szCs w:val="28"/>
        </w:rPr>
      </w:pPr>
      <w:r>
        <w:rPr>
          <w:rFonts w:ascii="Arial" w:hAnsi="Arial" w:cs="Arial" w:hint="eastAsia"/>
          <w:sz w:val="21"/>
          <w:szCs w:val="21"/>
        </w:rPr>
        <w:t>评估专业人员通过对估价对象周边房地产经纪机构的走访、</w:t>
      </w:r>
      <w:proofErr w:type="gramStart"/>
      <w:r>
        <w:rPr>
          <w:rFonts w:ascii="Arial" w:hAnsi="Arial" w:cs="Arial" w:hint="eastAsia"/>
          <w:sz w:val="21"/>
          <w:szCs w:val="21"/>
        </w:rPr>
        <w:t>现场市</w:t>
      </w:r>
      <w:proofErr w:type="gramEnd"/>
      <w:r>
        <w:rPr>
          <w:rFonts w:ascii="Arial" w:hAnsi="Arial" w:cs="Arial" w:hint="eastAsia"/>
          <w:sz w:val="21"/>
          <w:szCs w:val="21"/>
        </w:rPr>
        <w:t>调以及对网络挂牌案例进行电</w:t>
      </w:r>
      <w:r>
        <w:rPr>
          <w:rFonts w:ascii="Arial" w:hAnsi="Arial" w:cs="Arial" w:hint="eastAsia"/>
          <w:sz w:val="21"/>
          <w:szCs w:val="28"/>
        </w:rPr>
        <w:t>话核实，选择下列</w:t>
      </w:r>
      <w:r>
        <w:rPr>
          <w:rFonts w:ascii="Arial" w:hAnsi="Arial" w:cs="Arial" w:hint="eastAsia"/>
          <w:sz w:val="21"/>
          <w:szCs w:val="28"/>
        </w:rPr>
        <w:t>A</w:t>
      </w:r>
      <w:r>
        <w:rPr>
          <w:rFonts w:ascii="Arial" w:hAnsi="Arial" w:cs="Arial" w:hint="eastAsia"/>
          <w:sz w:val="21"/>
          <w:szCs w:val="28"/>
        </w:rPr>
        <w:t>、</w:t>
      </w:r>
      <w:r>
        <w:rPr>
          <w:rFonts w:ascii="Arial" w:hAnsi="Arial" w:cs="Arial" w:hint="eastAsia"/>
          <w:sz w:val="21"/>
          <w:szCs w:val="28"/>
        </w:rPr>
        <w:t>B</w:t>
      </w:r>
      <w:r>
        <w:rPr>
          <w:rFonts w:ascii="Arial" w:hAnsi="Arial" w:cs="Arial" w:hint="eastAsia"/>
          <w:sz w:val="21"/>
          <w:szCs w:val="28"/>
        </w:rPr>
        <w:t>、</w:t>
      </w:r>
      <w:r>
        <w:rPr>
          <w:rFonts w:ascii="Arial" w:hAnsi="Arial" w:cs="Arial" w:hint="eastAsia"/>
          <w:sz w:val="21"/>
          <w:szCs w:val="28"/>
        </w:rPr>
        <w:t>C</w:t>
      </w:r>
      <w:r>
        <w:rPr>
          <w:rFonts w:ascii="Arial" w:hAnsi="Arial" w:cs="Arial" w:hint="eastAsia"/>
          <w:sz w:val="21"/>
          <w:szCs w:val="28"/>
        </w:rPr>
        <w:t>三个与估价对象交易实例作为可比实例，可比实例基本情况见下表。</w:t>
      </w:r>
    </w:p>
    <w:tbl>
      <w:tblPr>
        <w:tblW w:w="92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325"/>
        <w:gridCol w:w="2324"/>
        <w:gridCol w:w="2325"/>
        <w:gridCol w:w="2325"/>
      </w:tblGrid>
      <w:tr w:rsidR="00000000" w14:paraId="2F4133F7" w14:textId="77777777">
        <w:trPr>
          <w:cantSplit/>
          <w:jc w:val="center"/>
        </w:trPr>
        <w:tc>
          <w:tcPr>
            <w:tcW w:w="2325" w:type="dxa"/>
          </w:tcPr>
          <w:p w14:paraId="767BF19C" w14:textId="77777777" w:rsidR="00000000" w:rsidRDefault="00000000">
            <w:pPr>
              <w:overflowPunct w:val="0"/>
              <w:spacing w:line="240" w:lineRule="exact"/>
              <w:rPr>
                <w:rFonts w:ascii="Arial" w:eastAsia="华文细黑" w:hAnsi="Arial" w:hint="eastAsia"/>
                <w:sz w:val="18"/>
              </w:rPr>
            </w:pPr>
          </w:p>
        </w:tc>
        <w:tc>
          <w:tcPr>
            <w:tcW w:w="2324" w:type="dxa"/>
          </w:tcPr>
          <w:p w14:paraId="0BF0F37F"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案例</w:t>
            </w:r>
            <w:r>
              <w:rPr>
                <w:rFonts w:ascii="Arial" w:eastAsia="华文细黑" w:hAnsi="Arial" w:hint="eastAsia"/>
                <w:sz w:val="18"/>
              </w:rPr>
              <w:t>A</w:t>
            </w:r>
          </w:p>
        </w:tc>
        <w:tc>
          <w:tcPr>
            <w:tcW w:w="2325" w:type="dxa"/>
          </w:tcPr>
          <w:p w14:paraId="35BA1280"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案例</w:t>
            </w:r>
            <w:r>
              <w:rPr>
                <w:rFonts w:ascii="Arial" w:eastAsia="华文细黑" w:hAnsi="Arial" w:hint="eastAsia"/>
                <w:sz w:val="18"/>
              </w:rPr>
              <w:t>B</w:t>
            </w:r>
          </w:p>
        </w:tc>
        <w:tc>
          <w:tcPr>
            <w:tcW w:w="2325" w:type="dxa"/>
          </w:tcPr>
          <w:p w14:paraId="3E64774A"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案例</w:t>
            </w:r>
            <w:r>
              <w:rPr>
                <w:rFonts w:ascii="Arial" w:eastAsia="华文细黑" w:hAnsi="Arial" w:hint="eastAsia"/>
                <w:sz w:val="18"/>
              </w:rPr>
              <w:t>C</w:t>
            </w:r>
          </w:p>
        </w:tc>
      </w:tr>
      <w:tr w:rsidR="00000000" w14:paraId="33C274E0" w14:textId="77777777">
        <w:trPr>
          <w:cantSplit/>
          <w:jc w:val="center"/>
        </w:trPr>
        <w:tc>
          <w:tcPr>
            <w:tcW w:w="2325" w:type="dxa"/>
          </w:tcPr>
          <w:p w14:paraId="73735BA6"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项目名称</w:t>
            </w:r>
          </w:p>
        </w:tc>
        <w:tc>
          <w:tcPr>
            <w:tcW w:w="2324" w:type="dxa"/>
          </w:tcPr>
          <w:p w14:paraId="2B8FF61A"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长阳半岛</w:t>
            </w:r>
            <w:r>
              <w:rPr>
                <w:rFonts w:ascii="Arial" w:eastAsia="华文细黑" w:hAnsi="Arial" w:hint="eastAsia"/>
                <w:sz w:val="18"/>
              </w:rPr>
              <w:t>V</w:t>
            </w:r>
            <w:r>
              <w:rPr>
                <w:rFonts w:ascii="Arial" w:eastAsia="华文细黑" w:hAnsi="Arial" w:hint="eastAsia"/>
                <w:sz w:val="18"/>
              </w:rPr>
              <w:t>公馆</w:t>
            </w:r>
          </w:p>
        </w:tc>
        <w:tc>
          <w:tcPr>
            <w:tcW w:w="2325" w:type="dxa"/>
          </w:tcPr>
          <w:p w14:paraId="4CE11498"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首开福茂购物中心</w:t>
            </w:r>
          </w:p>
        </w:tc>
        <w:tc>
          <w:tcPr>
            <w:tcW w:w="2325" w:type="dxa"/>
          </w:tcPr>
          <w:p w14:paraId="71DFDA31"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旭辉</w:t>
            </w:r>
            <w:r>
              <w:rPr>
                <w:rFonts w:ascii="Arial" w:eastAsia="华文细黑" w:hAnsi="Arial" w:hint="eastAsia"/>
                <w:sz w:val="18"/>
              </w:rPr>
              <w:t>E</w:t>
            </w:r>
            <w:r>
              <w:rPr>
                <w:rFonts w:ascii="Arial" w:eastAsia="华文细黑" w:hAnsi="Arial" w:hint="eastAsia"/>
                <w:sz w:val="18"/>
              </w:rPr>
              <w:t>天地</w:t>
            </w:r>
          </w:p>
        </w:tc>
      </w:tr>
      <w:tr w:rsidR="00000000" w14:paraId="797797D4" w14:textId="77777777">
        <w:trPr>
          <w:cantSplit/>
          <w:jc w:val="center"/>
        </w:trPr>
        <w:tc>
          <w:tcPr>
            <w:tcW w:w="2325" w:type="dxa"/>
          </w:tcPr>
          <w:p w14:paraId="460A7E94"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数据来源</w:t>
            </w:r>
          </w:p>
        </w:tc>
        <w:tc>
          <w:tcPr>
            <w:tcW w:w="2324" w:type="dxa"/>
          </w:tcPr>
          <w:p w14:paraId="1BA6DF5D"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房地产交易平台</w:t>
            </w:r>
          </w:p>
        </w:tc>
        <w:tc>
          <w:tcPr>
            <w:tcW w:w="2325" w:type="dxa"/>
          </w:tcPr>
          <w:p w14:paraId="6BD3C654"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房地产交易平台</w:t>
            </w:r>
          </w:p>
        </w:tc>
        <w:tc>
          <w:tcPr>
            <w:tcW w:w="2325" w:type="dxa"/>
          </w:tcPr>
          <w:p w14:paraId="366C72A9"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房地产交易平台</w:t>
            </w:r>
          </w:p>
        </w:tc>
      </w:tr>
      <w:tr w:rsidR="00000000" w14:paraId="62FF08F8" w14:textId="77777777">
        <w:trPr>
          <w:cantSplit/>
          <w:jc w:val="center"/>
        </w:trPr>
        <w:tc>
          <w:tcPr>
            <w:tcW w:w="2325" w:type="dxa"/>
          </w:tcPr>
          <w:p w14:paraId="7C08A96E"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交易价格（元</w:t>
            </w:r>
            <w:r>
              <w:rPr>
                <w:rFonts w:ascii="Arial" w:eastAsia="华文细黑" w:hAnsi="Arial" w:hint="eastAsia"/>
                <w:sz w:val="18"/>
              </w:rPr>
              <w:t>/</w:t>
            </w:r>
            <w:r>
              <w:rPr>
                <w:rFonts w:ascii="Arial" w:eastAsia="华文细黑" w:hAnsi="Arial" w:hint="eastAsia"/>
                <w:sz w:val="18"/>
              </w:rPr>
              <w:t>㎡</w:t>
            </w:r>
            <w:r>
              <w:rPr>
                <w:rFonts w:ascii="Arial" w:eastAsia="华文细黑" w:hAnsi="Arial" w:hint="eastAsia"/>
                <w:sz w:val="18"/>
              </w:rPr>
              <w:t>/</w:t>
            </w:r>
            <w:r>
              <w:rPr>
                <w:rFonts w:ascii="Arial" w:eastAsia="华文细黑" w:hAnsi="Arial" w:hint="eastAsia"/>
                <w:sz w:val="18"/>
              </w:rPr>
              <w:t>天）</w:t>
            </w:r>
          </w:p>
        </w:tc>
        <w:tc>
          <w:tcPr>
            <w:tcW w:w="2324" w:type="dxa"/>
          </w:tcPr>
          <w:p w14:paraId="7358E641"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3.8</w:t>
            </w:r>
          </w:p>
        </w:tc>
        <w:tc>
          <w:tcPr>
            <w:tcW w:w="2325" w:type="dxa"/>
          </w:tcPr>
          <w:p w14:paraId="34865136"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3.5</w:t>
            </w:r>
          </w:p>
        </w:tc>
        <w:tc>
          <w:tcPr>
            <w:tcW w:w="2325" w:type="dxa"/>
          </w:tcPr>
          <w:p w14:paraId="1FE6595D"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3.56</w:t>
            </w:r>
          </w:p>
        </w:tc>
      </w:tr>
      <w:tr w:rsidR="00000000" w14:paraId="1357472C" w14:textId="77777777">
        <w:trPr>
          <w:cantSplit/>
          <w:jc w:val="center"/>
        </w:trPr>
        <w:tc>
          <w:tcPr>
            <w:tcW w:w="2325" w:type="dxa"/>
          </w:tcPr>
          <w:p w14:paraId="6D07F72B"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挂牌日期</w:t>
            </w:r>
          </w:p>
        </w:tc>
        <w:tc>
          <w:tcPr>
            <w:tcW w:w="2324" w:type="dxa"/>
          </w:tcPr>
          <w:p w14:paraId="65A22E18"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2026</w:t>
            </w:r>
            <w:r>
              <w:rPr>
                <w:rFonts w:ascii="Arial" w:eastAsia="华文细黑" w:hAnsi="Arial" w:hint="eastAsia"/>
                <w:sz w:val="18"/>
              </w:rPr>
              <w:t>年</w:t>
            </w:r>
            <w:r>
              <w:rPr>
                <w:rFonts w:ascii="Arial" w:eastAsia="华文细黑" w:hAnsi="Arial" w:hint="eastAsia"/>
                <w:sz w:val="18"/>
              </w:rPr>
              <w:t>1</w:t>
            </w:r>
            <w:r>
              <w:rPr>
                <w:rFonts w:ascii="Arial" w:eastAsia="华文细黑" w:hAnsi="Arial" w:hint="eastAsia"/>
                <w:sz w:val="18"/>
              </w:rPr>
              <w:t>月</w:t>
            </w:r>
          </w:p>
        </w:tc>
        <w:tc>
          <w:tcPr>
            <w:tcW w:w="2325" w:type="dxa"/>
          </w:tcPr>
          <w:p w14:paraId="19CF4A21"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2025</w:t>
            </w:r>
            <w:r>
              <w:rPr>
                <w:rFonts w:ascii="Arial" w:eastAsia="华文细黑" w:hAnsi="Arial" w:hint="eastAsia"/>
                <w:sz w:val="18"/>
              </w:rPr>
              <w:t>年</w:t>
            </w:r>
            <w:r>
              <w:rPr>
                <w:rFonts w:ascii="Arial" w:eastAsia="华文细黑" w:hAnsi="Arial" w:hint="eastAsia"/>
                <w:sz w:val="18"/>
              </w:rPr>
              <w:t>12</w:t>
            </w:r>
            <w:r>
              <w:rPr>
                <w:rFonts w:ascii="Arial" w:eastAsia="华文细黑" w:hAnsi="Arial" w:hint="eastAsia"/>
                <w:sz w:val="18"/>
              </w:rPr>
              <w:t>月</w:t>
            </w:r>
          </w:p>
        </w:tc>
        <w:tc>
          <w:tcPr>
            <w:tcW w:w="2325" w:type="dxa"/>
          </w:tcPr>
          <w:p w14:paraId="405B8DAF"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2026</w:t>
            </w:r>
            <w:r>
              <w:rPr>
                <w:rFonts w:ascii="Arial" w:eastAsia="华文细黑" w:hAnsi="Arial" w:hint="eastAsia"/>
                <w:sz w:val="18"/>
              </w:rPr>
              <w:t>年</w:t>
            </w:r>
            <w:r>
              <w:rPr>
                <w:rFonts w:ascii="Arial" w:eastAsia="华文细黑" w:hAnsi="Arial" w:hint="eastAsia"/>
                <w:sz w:val="18"/>
              </w:rPr>
              <w:t>1</w:t>
            </w:r>
            <w:r>
              <w:rPr>
                <w:rFonts w:ascii="Arial" w:eastAsia="华文细黑" w:hAnsi="Arial" w:hint="eastAsia"/>
                <w:sz w:val="18"/>
              </w:rPr>
              <w:t>月</w:t>
            </w:r>
          </w:p>
        </w:tc>
      </w:tr>
      <w:tr w:rsidR="00000000" w14:paraId="6F613FC2" w14:textId="77777777">
        <w:trPr>
          <w:cantSplit/>
          <w:jc w:val="center"/>
        </w:trPr>
        <w:tc>
          <w:tcPr>
            <w:tcW w:w="2325" w:type="dxa"/>
          </w:tcPr>
          <w:p w14:paraId="1652193C"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用途（及类型）</w:t>
            </w:r>
          </w:p>
        </w:tc>
        <w:tc>
          <w:tcPr>
            <w:tcW w:w="2324" w:type="dxa"/>
          </w:tcPr>
          <w:p w14:paraId="669ED9C0"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商业</w:t>
            </w:r>
          </w:p>
        </w:tc>
        <w:tc>
          <w:tcPr>
            <w:tcW w:w="2325" w:type="dxa"/>
          </w:tcPr>
          <w:p w14:paraId="77149B79"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商业</w:t>
            </w:r>
          </w:p>
        </w:tc>
        <w:tc>
          <w:tcPr>
            <w:tcW w:w="2325" w:type="dxa"/>
          </w:tcPr>
          <w:p w14:paraId="6C9D7368"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商业</w:t>
            </w:r>
          </w:p>
        </w:tc>
      </w:tr>
      <w:tr w:rsidR="00000000" w14:paraId="69EE0085" w14:textId="77777777">
        <w:trPr>
          <w:cantSplit/>
          <w:jc w:val="center"/>
        </w:trPr>
        <w:tc>
          <w:tcPr>
            <w:tcW w:w="2325" w:type="dxa"/>
          </w:tcPr>
          <w:p w14:paraId="00D7F3BC"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建筑面积（㎡）</w:t>
            </w:r>
          </w:p>
        </w:tc>
        <w:tc>
          <w:tcPr>
            <w:tcW w:w="2324" w:type="dxa"/>
          </w:tcPr>
          <w:p w14:paraId="77AE2951"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500</w:t>
            </w:r>
          </w:p>
        </w:tc>
        <w:tc>
          <w:tcPr>
            <w:tcW w:w="2325" w:type="dxa"/>
          </w:tcPr>
          <w:p w14:paraId="6F740734"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160</w:t>
            </w:r>
          </w:p>
        </w:tc>
        <w:tc>
          <w:tcPr>
            <w:tcW w:w="2325" w:type="dxa"/>
          </w:tcPr>
          <w:p w14:paraId="51454828"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150</w:t>
            </w:r>
          </w:p>
        </w:tc>
      </w:tr>
      <w:tr w:rsidR="00000000" w14:paraId="275696C5" w14:textId="77777777">
        <w:trPr>
          <w:cantSplit/>
          <w:jc w:val="center"/>
        </w:trPr>
        <w:tc>
          <w:tcPr>
            <w:tcW w:w="2325" w:type="dxa"/>
          </w:tcPr>
          <w:p w14:paraId="6A96CDEC"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交易情况</w:t>
            </w:r>
          </w:p>
        </w:tc>
        <w:tc>
          <w:tcPr>
            <w:tcW w:w="2324" w:type="dxa"/>
          </w:tcPr>
          <w:p w14:paraId="3666CE3F"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挂牌</w:t>
            </w:r>
          </w:p>
        </w:tc>
        <w:tc>
          <w:tcPr>
            <w:tcW w:w="2325" w:type="dxa"/>
          </w:tcPr>
          <w:p w14:paraId="210315DD"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挂牌</w:t>
            </w:r>
          </w:p>
        </w:tc>
        <w:tc>
          <w:tcPr>
            <w:tcW w:w="2325" w:type="dxa"/>
          </w:tcPr>
          <w:p w14:paraId="0E6A83FF"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挂牌</w:t>
            </w:r>
          </w:p>
        </w:tc>
      </w:tr>
      <w:tr w:rsidR="00000000" w14:paraId="296D30B0" w14:textId="77777777">
        <w:trPr>
          <w:cantSplit/>
          <w:jc w:val="center"/>
        </w:trPr>
        <w:tc>
          <w:tcPr>
            <w:tcW w:w="2325" w:type="dxa"/>
          </w:tcPr>
          <w:p w14:paraId="3FE2C1D5"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权利性质</w:t>
            </w:r>
          </w:p>
        </w:tc>
        <w:tc>
          <w:tcPr>
            <w:tcW w:w="2324" w:type="dxa"/>
          </w:tcPr>
          <w:p w14:paraId="7932E00B"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商品房</w:t>
            </w:r>
          </w:p>
        </w:tc>
        <w:tc>
          <w:tcPr>
            <w:tcW w:w="2325" w:type="dxa"/>
          </w:tcPr>
          <w:p w14:paraId="2FC9F3C4"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商品房</w:t>
            </w:r>
          </w:p>
        </w:tc>
        <w:tc>
          <w:tcPr>
            <w:tcW w:w="2325" w:type="dxa"/>
          </w:tcPr>
          <w:p w14:paraId="71998416"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商品房</w:t>
            </w:r>
          </w:p>
        </w:tc>
      </w:tr>
      <w:tr w:rsidR="00000000" w14:paraId="3BF101A9" w14:textId="77777777">
        <w:trPr>
          <w:cantSplit/>
          <w:jc w:val="center"/>
        </w:trPr>
        <w:tc>
          <w:tcPr>
            <w:tcW w:w="2325" w:type="dxa"/>
          </w:tcPr>
          <w:p w14:paraId="5CF18A9B"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成新度</w:t>
            </w:r>
          </w:p>
        </w:tc>
        <w:tc>
          <w:tcPr>
            <w:tcW w:w="2324" w:type="dxa"/>
          </w:tcPr>
          <w:p w14:paraId="395F3EC4"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80-90%</w:t>
            </w:r>
          </w:p>
        </w:tc>
        <w:tc>
          <w:tcPr>
            <w:tcW w:w="2325" w:type="dxa"/>
          </w:tcPr>
          <w:p w14:paraId="15F7B29B"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80-90%</w:t>
            </w:r>
          </w:p>
        </w:tc>
        <w:tc>
          <w:tcPr>
            <w:tcW w:w="2325" w:type="dxa"/>
          </w:tcPr>
          <w:p w14:paraId="5A8BB022"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80-90%</w:t>
            </w:r>
          </w:p>
        </w:tc>
      </w:tr>
      <w:tr w:rsidR="00000000" w14:paraId="378D1D13" w14:textId="77777777">
        <w:trPr>
          <w:cantSplit/>
          <w:jc w:val="center"/>
        </w:trPr>
        <w:tc>
          <w:tcPr>
            <w:tcW w:w="2325" w:type="dxa"/>
          </w:tcPr>
          <w:p w14:paraId="27D98D28"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建筑结构</w:t>
            </w:r>
          </w:p>
        </w:tc>
        <w:tc>
          <w:tcPr>
            <w:tcW w:w="2324" w:type="dxa"/>
          </w:tcPr>
          <w:p w14:paraId="60090C6C"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钢混</w:t>
            </w:r>
          </w:p>
        </w:tc>
        <w:tc>
          <w:tcPr>
            <w:tcW w:w="2325" w:type="dxa"/>
          </w:tcPr>
          <w:p w14:paraId="562E83B8"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钢混</w:t>
            </w:r>
          </w:p>
        </w:tc>
        <w:tc>
          <w:tcPr>
            <w:tcW w:w="2325" w:type="dxa"/>
          </w:tcPr>
          <w:p w14:paraId="518006AE"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钢混</w:t>
            </w:r>
          </w:p>
        </w:tc>
      </w:tr>
      <w:tr w:rsidR="00000000" w14:paraId="3D7A9A84" w14:textId="77777777">
        <w:trPr>
          <w:cantSplit/>
          <w:jc w:val="center"/>
        </w:trPr>
        <w:tc>
          <w:tcPr>
            <w:tcW w:w="2325" w:type="dxa"/>
          </w:tcPr>
          <w:p w14:paraId="3BA12FE7"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装修</w:t>
            </w:r>
          </w:p>
        </w:tc>
        <w:tc>
          <w:tcPr>
            <w:tcW w:w="2324" w:type="dxa"/>
          </w:tcPr>
          <w:p w14:paraId="31B78E21"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普通装修</w:t>
            </w:r>
          </w:p>
        </w:tc>
        <w:tc>
          <w:tcPr>
            <w:tcW w:w="2325" w:type="dxa"/>
          </w:tcPr>
          <w:p w14:paraId="69D46054"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普通装修</w:t>
            </w:r>
          </w:p>
        </w:tc>
        <w:tc>
          <w:tcPr>
            <w:tcW w:w="2325" w:type="dxa"/>
          </w:tcPr>
          <w:p w14:paraId="13805647"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普通装修</w:t>
            </w:r>
          </w:p>
        </w:tc>
      </w:tr>
      <w:tr w:rsidR="00000000" w14:paraId="1358DD27" w14:textId="77777777">
        <w:trPr>
          <w:cantSplit/>
          <w:jc w:val="center"/>
        </w:trPr>
        <w:tc>
          <w:tcPr>
            <w:tcW w:w="2325" w:type="dxa"/>
          </w:tcPr>
          <w:p w14:paraId="238680B0"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临街条件（商业）</w:t>
            </w:r>
          </w:p>
        </w:tc>
        <w:tc>
          <w:tcPr>
            <w:tcW w:w="2324" w:type="dxa"/>
          </w:tcPr>
          <w:p w14:paraId="7A03A565"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单面临街</w:t>
            </w:r>
          </w:p>
        </w:tc>
        <w:tc>
          <w:tcPr>
            <w:tcW w:w="2325" w:type="dxa"/>
          </w:tcPr>
          <w:p w14:paraId="78ECFC23"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单面临街</w:t>
            </w:r>
          </w:p>
        </w:tc>
        <w:tc>
          <w:tcPr>
            <w:tcW w:w="2325" w:type="dxa"/>
          </w:tcPr>
          <w:p w14:paraId="3691D303"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单面临街</w:t>
            </w:r>
          </w:p>
        </w:tc>
      </w:tr>
      <w:tr w:rsidR="00000000" w14:paraId="5A2D1CC8" w14:textId="77777777">
        <w:trPr>
          <w:cantSplit/>
          <w:jc w:val="center"/>
        </w:trPr>
        <w:tc>
          <w:tcPr>
            <w:tcW w:w="2325" w:type="dxa"/>
          </w:tcPr>
          <w:p w14:paraId="5328EA72"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商业类型</w:t>
            </w:r>
          </w:p>
        </w:tc>
        <w:tc>
          <w:tcPr>
            <w:tcW w:w="2324" w:type="dxa"/>
          </w:tcPr>
          <w:p w14:paraId="63B709FA"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住宅底商</w:t>
            </w:r>
          </w:p>
        </w:tc>
        <w:tc>
          <w:tcPr>
            <w:tcW w:w="2325" w:type="dxa"/>
          </w:tcPr>
          <w:p w14:paraId="0006B19D"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商业综合体</w:t>
            </w:r>
          </w:p>
        </w:tc>
        <w:tc>
          <w:tcPr>
            <w:tcW w:w="2325" w:type="dxa"/>
          </w:tcPr>
          <w:p w14:paraId="1BD875D5"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住宅底商</w:t>
            </w:r>
          </w:p>
        </w:tc>
      </w:tr>
      <w:tr w:rsidR="00000000" w14:paraId="5C59ACBE" w14:textId="77777777">
        <w:trPr>
          <w:cantSplit/>
          <w:jc w:val="center"/>
        </w:trPr>
        <w:tc>
          <w:tcPr>
            <w:tcW w:w="2325" w:type="dxa"/>
          </w:tcPr>
          <w:p w14:paraId="0FB6192C"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楼层</w:t>
            </w:r>
          </w:p>
        </w:tc>
        <w:tc>
          <w:tcPr>
            <w:tcW w:w="2324" w:type="dxa"/>
          </w:tcPr>
          <w:p w14:paraId="57F071C4"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3E4962AA"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205AF445"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1</w:t>
            </w:r>
            <w:r>
              <w:rPr>
                <w:rFonts w:ascii="Arial" w:eastAsia="华文细黑" w:hAnsi="Arial" w:hint="eastAsia"/>
                <w:sz w:val="18"/>
              </w:rPr>
              <w:t>层</w:t>
            </w:r>
          </w:p>
        </w:tc>
      </w:tr>
      <w:tr w:rsidR="00000000" w14:paraId="4ABAC3D3" w14:textId="77777777">
        <w:trPr>
          <w:cantSplit/>
          <w:jc w:val="center"/>
        </w:trPr>
        <w:tc>
          <w:tcPr>
            <w:tcW w:w="2325" w:type="dxa"/>
          </w:tcPr>
          <w:p w14:paraId="7744DF45"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人流量</w:t>
            </w:r>
          </w:p>
        </w:tc>
        <w:tc>
          <w:tcPr>
            <w:tcW w:w="2324" w:type="dxa"/>
          </w:tcPr>
          <w:p w14:paraId="283649A3"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一般</w:t>
            </w:r>
          </w:p>
        </w:tc>
        <w:tc>
          <w:tcPr>
            <w:tcW w:w="2325" w:type="dxa"/>
          </w:tcPr>
          <w:p w14:paraId="45B3B786"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一般</w:t>
            </w:r>
          </w:p>
        </w:tc>
        <w:tc>
          <w:tcPr>
            <w:tcW w:w="2325" w:type="dxa"/>
          </w:tcPr>
          <w:p w14:paraId="1A946A32"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一般</w:t>
            </w:r>
          </w:p>
        </w:tc>
      </w:tr>
      <w:tr w:rsidR="00000000" w14:paraId="6A279183" w14:textId="77777777">
        <w:trPr>
          <w:cantSplit/>
          <w:jc w:val="center"/>
        </w:trPr>
        <w:tc>
          <w:tcPr>
            <w:tcW w:w="2325" w:type="dxa"/>
          </w:tcPr>
          <w:p w14:paraId="79F75050"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物业管理</w:t>
            </w:r>
          </w:p>
        </w:tc>
        <w:tc>
          <w:tcPr>
            <w:tcW w:w="2324" w:type="dxa"/>
          </w:tcPr>
          <w:p w14:paraId="1FD10506"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专业物业公司管理</w:t>
            </w:r>
          </w:p>
        </w:tc>
        <w:tc>
          <w:tcPr>
            <w:tcW w:w="2325" w:type="dxa"/>
          </w:tcPr>
          <w:p w14:paraId="30BA89AD"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专业物业公司管理</w:t>
            </w:r>
          </w:p>
        </w:tc>
        <w:tc>
          <w:tcPr>
            <w:tcW w:w="2325" w:type="dxa"/>
          </w:tcPr>
          <w:p w14:paraId="7F408B29"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专业物业公司管理</w:t>
            </w:r>
          </w:p>
        </w:tc>
      </w:tr>
    </w:tbl>
    <w:p w14:paraId="0B0644E8" w14:textId="77777777" w:rsidR="00000000" w:rsidRDefault="00000000">
      <w:pPr>
        <w:spacing w:line="480" w:lineRule="auto"/>
        <w:ind w:firstLineChars="196" w:firstLine="412"/>
        <w:jc w:val="both"/>
        <w:rPr>
          <w:rFonts w:ascii="楷体_GB2312" w:eastAsia="楷体_GB2312" w:hAnsi="Arial"/>
        </w:rPr>
        <w:sectPr w:rsidR="00000000">
          <w:headerReference w:type="default" r:id="rId42"/>
          <w:footerReference w:type="default" r:id="rId43"/>
          <w:pgSz w:w="11906" w:h="16838"/>
          <w:pgMar w:top="1843" w:right="1304" w:bottom="1134" w:left="1304" w:header="1134" w:footer="907" w:gutter="0"/>
          <w:cols w:space="720"/>
          <w:docGrid w:type="lines" w:linePitch="312"/>
        </w:sectPr>
      </w:pPr>
      <w:r>
        <w:rPr>
          <w:rFonts w:ascii="Arial" w:hAnsi="Arial" w:cs="Arial" w:hint="eastAsia"/>
          <w:sz w:val="21"/>
          <w:szCs w:val="21"/>
        </w:rPr>
        <w:t>各案例位置及照片如下：</w:t>
      </w:r>
    </w:p>
    <w:tbl>
      <w:tblPr>
        <w:tblW w:w="9299" w:type="dxa"/>
        <w:jc w:val="center"/>
        <w:tblInd w:w="0" w:type="dxa"/>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3099"/>
        <w:gridCol w:w="3100"/>
        <w:gridCol w:w="3100"/>
      </w:tblGrid>
      <w:tr w:rsidR="00000000" w14:paraId="0A1AAFB2" w14:textId="77777777">
        <w:trPr>
          <w:cantSplit/>
          <w:jc w:val="center"/>
        </w:trPr>
        <w:tc>
          <w:tcPr>
            <w:tcW w:w="9299" w:type="dxa"/>
            <w:gridSpan w:val="3"/>
          </w:tcPr>
          <w:p w14:paraId="0A8E247E" w14:textId="77777777" w:rsidR="00000000" w:rsidRDefault="00000000">
            <w:pPr>
              <w:jc w:val="center"/>
              <w:rPr>
                <w:rFonts w:ascii="华文细黑" w:eastAsia="华文细黑" w:hAnsi="华文细黑"/>
              </w:rPr>
            </w:pPr>
            <w:r>
              <w:rPr>
                <w:rFonts w:ascii="华文细黑" w:eastAsia="华文细黑" w:hAnsi="华文细黑" w:hint="eastAsia"/>
              </w:rPr>
              <w:lastRenderedPageBreak/>
              <w:t>案例位置</w:t>
            </w:r>
          </w:p>
        </w:tc>
      </w:tr>
      <w:tr w:rsidR="00000000" w14:paraId="061F42BA" w14:textId="77777777">
        <w:trPr>
          <w:cantSplit/>
          <w:trHeight w:hRule="exact" w:val="7655"/>
          <w:jc w:val="center"/>
        </w:trPr>
        <w:tc>
          <w:tcPr>
            <w:tcW w:w="9299" w:type="dxa"/>
            <w:gridSpan w:val="3"/>
          </w:tcPr>
          <w:p w14:paraId="3CD302CD" w14:textId="277848F0" w:rsidR="00000000" w:rsidRDefault="00690E7D">
            <w:pPr>
              <w:jc w:val="center"/>
              <w:rPr>
                <w:rFonts w:hint="eastAsia"/>
              </w:rPr>
            </w:pPr>
            <w:r>
              <w:rPr>
                <w:noProof/>
              </w:rPr>
              <mc:AlternateContent>
                <mc:Choice Requires="wps">
                  <w:drawing>
                    <wp:anchor distT="0" distB="0" distL="114300" distR="114300" simplePos="0" relativeHeight="251663872" behindDoc="0" locked="0" layoutInCell="1" allowOverlap="1" wp14:anchorId="75BF6CC2" wp14:editId="33999F12">
                      <wp:simplePos x="0" y="0"/>
                      <wp:positionH relativeFrom="column">
                        <wp:posOffset>1668780</wp:posOffset>
                      </wp:positionH>
                      <wp:positionV relativeFrom="paragraph">
                        <wp:posOffset>3204845</wp:posOffset>
                      </wp:positionV>
                      <wp:extent cx="718185" cy="282575"/>
                      <wp:effectExtent l="314325" t="15240" r="15240" b="197485"/>
                      <wp:wrapNone/>
                      <wp:docPr id="1454952590" name="线形标注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185" cy="282575"/>
                              </a:xfrm>
                              <a:prstGeom prst="borderCallout1">
                                <a:avLst>
                                  <a:gd name="adj1" fmla="val 40449"/>
                                  <a:gd name="adj2" fmla="val -10611"/>
                                  <a:gd name="adj3" fmla="val 163148"/>
                                  <a:gd name="adj4" fmla="val -41731"/>
                                </a:avLst>
                              </a:prstGeom>
                              <a:solidFill>
                                <a:srgbClr val="558ED5"/>
                              </a:solidFill>
                              <a:ln w="25400" cmpd="sng" algn="ctr">
                                <a:solidFill>
                                  <a:srgbClr val="385D8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C2A78E" w14:textId="77777777" w:rsidR="00000000" w:rsidRDefault="00000000">
                                  <w:pPr>
                                    <w:jc w:val="center"/>
                                    <w:rPr>
                                      <w:rFonts w:hint="eastAsia"/>
                                      <w:b/>
                                      <w:color w:val="FFFFFF"/>
                                    </w:rPr>
                                  </w:pPr>
                                  <w:r>
                                    <w:rPr>
                                      <w:rFonts w:hint="eastAsia"/>
                                      <w:b/>
                                      <w:color w:val="FFFFFF"/>
                                    </w:rPr>
                                    <w:t>案例</w:t>
                                  </w:r>
                                  <w:r>
                                    <w:rPr>
                                      <w:rFonts w:ascii="Arial" w:hAnsi="Arial" w:cs="Arial" w:hint="eastAsia"/>
                                      <w:b/>
                                      <w:color w:val="FFFFFF"/>
                                    </w:rP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6CC2" id="线形标注 1 11" o:spid="_x0000_s1031" type="#_x0000_t47" style="position:absolute;left:0;text-align:left;margin-left:131.4pt;margin-top:252.35pt;width:56.55pt;height:2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" adj="-9014,35240,-2292,8737" fillcolor="#558ed5" strokecolor="#385d8a" strokeweight="2pt">
                      <v:textbox>
                        <w:txbxContent>
                          <w:p w14:paraId="34C2A78E" w14:textId="77777777" w:rsidR="00000000" w:rsidRDefault="00000000">
                            <w:pPr>
                              <w:jc w:val="center"/>
                              <w:rPr>
                                <w:rFonts w:hint="eastAsia"/>
                                <w:b/>
                                <w:color w:val="FFFFFF"/>
                              </w:rPr>
                            </w:pPr>
                            <w:r>
                              <w:rPr>
                                <w:rFonts w:hint="eastAsia"/>
                                <w:b/>
                                <w:color w:val="FFFFFF"/>
                              </w:rPr>
                              <w:t>案例</w:t>
                            </w:r>
                            <w:r>
                              <w:rPr>
                                <w:rFonts w:ascii="Arial" w:hAnsi="Arial" w:cs="Arial" w:hint="eastAsia"/>
                                <w:b/>
                                <w:color w:val="FFFFFF"/>
                              </w:rPr>
                              <w:t>C</w:t>
                            </w:r>
                          </w:p>
                        </w:txbxContent>
                      </v:textbox>
                      <o:callout v:ext="edit" minusy="t"/>
                    </v:shape>
                  </w:pict>
                </mc:Fallback>
              </mc:AlternateContent>
            </w:r>
            <w:r>
              <w:rPr>
                <w:noProof/>
              </w:rPr>
              <mc:AlternateContent>
                <mc:Choice Requires="wps">
                  <w:drawing>
                    <wp:anchor distT="0" distB="0" distL="114300" distR="114300" simplePos="0" relativeHeight="251662848" behindDoc="0" locked="0" layoutInCell="1" allowOverlap="1" wp14:anchorId="4BBC4C5B" wp14:editId="2FA83EE5">
                      <wp:simplePos x="0" y="0"/>
                      <wp:positionH relativeFrom="column">
                        <wp:posOffset>2564765</wp:posOffset>
                      </wp:positionH>
                      <wp:positionV relativeFrom="paragraph">
                        <wp:posOffset>888365</wp:posOffset>
                      </wp:positionV>
                      <wp:extent cx="718185" cy="282575"/>
                      <wp:effectExtent l="0" t="0" r="253365" b="60325"/>
                      <wp:wrapNone/>
                      <wp:docPr id="93963290" name="线形标注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gd name="adj1" fmla="val 30307"/>
                                  <a:gd name="adj2" fmla="val 103831"/>
                                  <a:gd name="adj3" fmla="val 116352"/>
                                  <a:gd name="adj4" fmla="val 132945"/>
                                </a:avLst>
                              </a:prstGeom>
                              <a:solidFill>
                                <a:srgbClr val="1F497D">
                                  <a:lumMod val="60000"/>
                                  <a:lumOff val="40000"/>
                                </a:srgbClr>
                              </a:solidFill>
                              <a:ln w="25400" cap="flat" cmpd="sng" algn="ctr">
                                <a:solidFill>
                                  <a:srgbClr val="4F81BD">
                                    <a:shade val="50000"/>
                                  </a:srgbClr>
                                </a:solidFill>
                                <a:prstDash val="solid"/>
                              </a:ln>
                              <a:effectLst/>
                            </wps:spPr>
                            <wps:txbx>
                              <w:txbxContent>
                                <w:p w14:paraId="42A0423C" w14:textId="77777777" w:rsidR="00000000" w:rsidRDefault="00000000">
                                  <w:pPr>
                                    <w:jc w:val="center"/>
                                    <w:rPr>
                                      <w:rFonts w:hint="eastAsia"/>
                                      <w:b/>
                                      <w:color w:val="FFFFFF"/>
                                    </w:rPr>
                                  </w:pPr>
                                  <w:r>
                                    <w:rPr>
                                      <w:rFonts w:hint="eastAsia"/>
                                      <w:b/>
                                      <w:color w:val="FFFFFF"/>
                                    </w:rPr>
                                    <w:t>案例</w:t>
                                  </w:r>
                                  <w:r>
                                    <w:rPr>
                                      <w:rFonts w:ascii="Arial" w:hAnsi="Arial" w:cs="Arial" w:hint="eastAsia"/>
                                      <w:b/>
                                      <w:color w:val="FFFFFF"/>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C4C5B" id="线形标注 1 9" o:spid="_x0000_s1032" type="#_x0000_t47" style="position:absolute;left:0;text-align:left;margin-left:201.95pt;margin-top:69.95pt;width:56.55pt;height:2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" adj="28716,25132,22427,6546" fillcolor="#558ed5" strokecolor="#385d8a" strokeweight="2pt">
                      <v:textbox>
                        <w:txbxContent>
                          <w:p w14:paraId="42A0423C" w14:textId="77777777" w:rsidR="00000000" w:rsidRDefault="00000000">
                            <w:pPr>
                              <w:jc w:val="center"/>
                              <w:rPr>
                                <w:rFonts w:hint="eastAsia"/>
                                <w:b/>
                                <w:color w:val="FFFFFF"/>
                              </w:rPr>
                            </w:pPr>
                            <w:r>
                              <w:rPr>
                                <w:rFonts w:hint="eastAsia"/>
                                <w:b/>
                                <w:color w:val="FFFFFF"/>
                              </w:rPr>
                              <w:t>案例</w:t>
                            </w:r>
                            <w:r>
                              <w:rPr>
                                <w:rFonts w:ascii="Arial" w:hAnsi="Arial" w:cs="Arial" w:hint="eastAsia"/>
                                <w:b/>
                                <w:color w:val="FFFFFF"/>
                              </w:rPr>
                              <w:t>B</w:t>
                            </w:r>
                          </w:p>
                        </w:txbxContent>
                      </v:textbox>
                      <o:callout v:ext="edit" minusx="t" minusy="t"/>
                    </v:shape>
                  </w:pict>
                </mc:Fallback>
              </mc:AlternateContent>
            </w:r>
            <w:r>
              <w:rPr>
                <w:noProof/>
              </w:rPr>
              <mc:AlternateContent>
                <mc:Choice Requires="wps">
                  <w:drawing>
                    <wp:anchor distT="0" distB="0" distL="114300" distR="114300" simplePos="0" relativeHeight="251661824" behindDoc="0" locked="0" layoutInCell="1" allowOverlap="1" wp14:anchorId="11CA1EE5" wp14:editId="3C0E3754">
                      <wp:simplePos x="0" y="0"/>
                      <wp:positionH relativeFrom="column">
                        <wp:posOffset>3731895</wp:posOffset>
                      </wp:positionH>
                      <wp:positionV relativeFrom="paragraph">
                        <wp:posOffset>1398905</wp:posOffset>
                      </wp:positionV>
                      <wp:extent cx="718185" cy="282575"/>
                      <wp:effectExtent l="285750" t="0" r="5715" b="41275"/>
                      <wp:wrapNone/>
                      <wp:docPr id="2129118748" name="线形标注 1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prstGeom>
                              <a:solidFill>
                                <a:srgbClr val="1F497D">
                                  <a:lumMod val="60000"/>
                                  <a:lumOff val="40000"/>
                                </a:srgbClr>
                              </a:solidFill>
                              <a:ln w="25400" cap="flat" cmpd="sng" algn="ctr">
                                <a:solidFill>
                                  <a:srgbClr val="4F81BD">
                                    <a:shade val="50000"/>
                                  </a:srgbClr>
                                </a:solidFill>
                                <a:prstDash val="solid"/>
                              </a:ln>
                              <a:effectLst/>
                            </wps:spPr>
                            <wps:txbx>
                              <w:txbxContent>
                                <w:p w14:paraId="0F49E35B" w14:textId="77777777" w:rsidR="00000000" w:rsidRDefault="00000000">
                                  <w:pPr>
                                    <w:jc w:val="center"/>
                                    <w:rPr>
                                      <w:rFonts w:hint="eastAsia"/>
                                      <w:b/>
                                      <w:color w:val="FFFFFF"/>
                                    </w:rPr>
                                  </w:pPr>
                                  <w:r>
                                    <w:rPr>
                                      <w:rFonts w:hint="eastAsia"/>
                                      <w:b/>
                                      <w:color w:val="FFFFFF"/>
                                    </w:rPr>
                                    <w:t>案例</w:t>
                                  </w:r>
                                  <w:r>
                                    <w:rPr>
                                      <w:rFonts w:ascii="Arial" w:hAnsi="Arial" w:cs="Arial"/>
                                      <w:b/>
                                      <w:color w:val="FFFFFF"/>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A1EE5" id="线形标注 1 1" o:spid="_x0000_s1033" type="#_x0000_t47" style="position:absolute;left:0;text-align:left;margin-left:293.85pt;margin-top:110.15pt;width:56.55pt;height:2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" fillcolor="#558ed5" strokecolor="#385d8a" strokeweight="2pt">
                      <v:textbox>
                        <w:txbxContent>
                          <w:p w14:paraId="0F49E35B" w14:textId="77777777" w:rsidR="00000000" w:rsidRDefault="00000000">
                            <w:pPr>
                              <w:jc w:val="center"/>
                              <w:rPr>
                                <w:rFonts w:hint="eastAsia"/>
                                <w:b/>
                                <w:color w:val="FFFFFF"/>
                              </w:rPr>
                            </w:pPr>
                            <w:r>
                              <w:rPr>
                                <w:rFonts w:hint="eastAsia"/>
                                <w:b/>
                                <w:color w:val="FFFFFF"/>
                              </w:rPr>
                              <w:t>案例</w:t>
                            </w:r>
                            <w:r>
                              <w:rPr>
                                <w:rFonts w:ascii="Arial" w:hAnsi="Arial" w:cs="Arial"/>
                                <w:b/>
                                <w:color w:val="FFFFFF"/>
                              </w:rPr>
                              <w:t>A</w:t>
                            </w:r>
                          </w:p>
                        </w:txbxContent>
                      </v:textbox>
                      <o:callout v:ext="edit" minusy="t"/>
                    </v:shape>
                  </w:pict>
                </mc:Fallback>
              </mc:AlternateContent>
            </w:r>
            <w:r>
              <w:rPr>
                <w:noProof/>
              </w:rPr>
              <w:drawing>
                <wp:anchor distT="0" distB="0" distL="114300" distR="114300" simplePos="0" relativeHeight="251660800" behindDoc="0" locked="0" layoutInCell="1" allowOverlap="1" wp14:anchorId="120FF6E2" wp14:editId="06FADDBE">
                  <wp:simplePos x="0" y="0"/>
                  <wp:positionH relativeFrom="column">
                    <wp:posOffset>2050415</wp:posOffset>
                  </wp:positionH>
                  <wp:positionV relativeFrom="paragraph">
                    <wp:posOffset>2421890</wp:posOffset>
                  </wp:positionV>
                  <wp:extent cx="971550" cy="542925"/>
                  <wp:effectExtent l="0" t="0" r="0" b="0"/>
                  <wp:wrapNone/>
                  <wp:docPr id="85414113" name="图片 4" descr="说明: 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估价对象tag-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27059E6" wp14:editId="60477859">
                  <wp:extent cx="5868035" cy="4773930"/>
                  <wp:effectExtent l="0" t="0" r="0" b="0"/>
                  <wp:docPr id="1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8035" cy="4773930"/>
                          </a:xfrm>
                          <a:prstGeom prst="rect">
                            <a:avLst/>
                          </a:prstGeom>
                          <a:noFill/>
                          <a:ln>
                            <a:noFill/>
                          </a:ln>
                          <a:effectLst/>
                        </pic:spPr>
                      </pic:pic>
                    </a:graphicData>
                  </a:graphic>
                </wp:inline>
              </w:drawing>
            </w:r>
          </w:p>
        </w:tc>
      </w:tr>
      <w:tr w:rsidR="00000000" w14:paraId="1C3995AF" w14:textId="77777777">
        <w:trPr>
          <w:cantSplit/>
          <w:jc w:val="center"/>
        </w:trPr>
        <w:tc>
          <w:tcPr>
            <w:tcW w:w="9299" w:type="dxa"/>
            <w:gridSpan w:val="3"/>
          </w:tcPr>
          <w:p w14:paraId="784F7B49" w14:textId="77777777" w:rsidR="00000000" w:rsidRDefault="00000000">
            <w:pPr>
              <w:jc w:val="center"/>
              <w:rPr>
                <w:rFonts w:ascii="华文细黑" w:eastAsia="华文细黑" w:hAnsi="华文细黑" w:hint="eastAsia"/>
              </w:rPr>
            </w:pPr>
            <w:r>
              <w:rPr>
                <w:rFonts w:ascii="华文细黑" w:eastAsia="华文细黑" w:hAnsi="华文细黑" w:hint="eastAsia"/>
              </w:rPr>
              <w:t>案例照片</w:t>
            </w:r>
          </w:p>
        </w:tc>
      </w:tr>
      <w:tr w:rsidR="00000000" w14:paraId="115EB87E" w14:textId="77777777">
        <w:trPr>
          <w:cantSplit/>
          <w:jc w:val="center"/>
        </w:trPr>
        <w:tc>
          <w:tcPr>
            <w:tcW w:w="3099" w:type="dxa"/>
            <w:tcBorders>
              <w:bottom w:val="dotted" w:sz="2" w:space="0" w:color="404040"/>
            </w:tcBorders>
          </w:tcPr>
          <w:p w14:paraId="68301F48" w14:textId="77777777" w:rsidR="00000000" w:rsidRDefault="00000000">
            <w:pPr>
              <w:jc w:val="center"/>
              <w:rPr>
                <w:rFonts w:ascii="华文细黑" w:eastAsia="华文细黑" w:hAnsi="华文细黑" w:hint="eastAsia"/>
                <w:color w:val="E36C0A"/>
              </w:rPr>
            </w:pPr>
            <w:r>
              <w:rPr>
                <w:rFonts w:ascii="华文细黑" w:eastAsia="华文细黑" w:hAnsi="华文细黑" w:hint="eastAsia"/>
                <w:color w:val="E36C0A"/>
              </w:rPr>
              <w:t>案例A</w:t>
            </w:r>
          </w:p>
        </w:tc>
        <w:tc>
          <w:tcPr>
            <w:tcW w:w="3100" w:type="dxa"/>
            <w:tcBorders>
              <w:bottom w:val="dotted" w:sz="2" w:space="0" w:color="404040"/>
            </w:tcBorders>
          </w:tcPr>
          <w:p w14:paraId="192CFCA7" w14:textId="77777777" w:rsidR="00000000" w:rsidRDefault="00000000">
            <w:pPr>
              <w:jc w:val="center"/>
              <w:rPr>
                <w:rFonts w:ascii="华文细黑" w:eastAsia="华文细黑" w:hAnsi="华文细黑" w:hint="eastAsia"/>
                <w:color w:val="E36C0A"/>
              </w:rPr>
            </w:pPr>
            <w:r>
              <w:rPr>
                <w:rFonts w:ascii="华文细黑" w:eastAsia="华文细黑" w:hAnsi="华文细黑" w:hint="eastAsia"/>
                <w:color w:val="E36C0A"/>
              </w:rPr>
              <w:t>案例B</w:t>
            </w:r>
          </w:p>
        </w:tc>
        <w:tc>
          <w:tcPr>
            <w:tcW w:w="3100" w:type="dxa"/>
            <w:tcBorders>
              <w:bottom w:val="dotted" w:sz="2" w:space="0" w:color="404040"/>
            </w:tcBorders>
          </w:tcPr>
          <w:p w14:paraId="6DE550EE" w14:textId="77777777" w:rsidR="00000000" w:rsidRDefault="00000000">
            <w:pPr>
              <w:jc w:val="center"/>
              <w:rPr>
                <w:rFonts w:ascii="华文细黑" w:eastAsia="华文细黑" w:hAnsi="华文细黑" w:hint="eastAsia"/>
                <w:color w:val="E36C0A"/>
              </w:rPr>
            </w:pPr>
            <w:r>
              <w:rPr>
                <w:rFonts w:ascii="华文细黑" w:eastAsia="华文细黑" w:hAnsi="华文细黑" w:hint="eastAsia"/>
                <w:color w:val="E36C0A"/>
              </w:rPr>
              <w:t>案例C</w:t>
            </w:r>
          </w:p>
        </w:tc>
      </w:tr>
      <w:tr w:rsidR="00000000" w14:paraId="4C6B13EF" w14:textId="77777777">
        <w:trPr>
          <w:cantSplit/>
          <w:trHeight w:val="3639"/>
          <w:jc w:val="center"/>
        </w:trPr>
        <w:tc>
          <w:tcPr>
            <w:tcW w:w="3099" w:type="dxa"/>
          </w:tcPr>
          <w:p w14:paraId="79D88154" w14:textId="5605CCEF" w:rsidR="00000000" w:rsidRDefault="00690E7D">
            <w:pPr>
              <w:jc w:val="center"/>
              <w:rPr>
                <w:rFonts w:hint="eastAsia"/>
              </w:rPr>
            </w:pPr>
            <w:r>
              <w:rPr>
                <w:noProof/>
              </w:rPr>
              <w:drawing>
                <wp:inline distT="0" distB="0" distL="0" distR="0" wp14:anchorId="4B359649" wp14:editId="244BB210">
                  <wp:extent cx="1929765" cy="2193290"/>
                  <wp:effectExtent l="0" t="0" r="0" b="0"/>
                  <wp:docPr id="1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9765" cy="2193290"/>
                          </a:xfrm>
                          <a:prstGeom prst="rect">
                            <a:avLst/>
                          </a:prstGeom>
                          <a:noFill/>
                          <a:ln>
                            <a:noFill/>
                          </a:ln>
                          <a:effectLst/>
                        </pic:spPr>
                      </pic:pic>
                    </a:graphicData>
                  </a:graphic>
                </wp:inline>
              </w:drawing>
            </w:r>
          </w:p>
        </w:tc>
        <w:tc>
          <w:tcPr>
            <w:tcW w:w="3100" w:type="dxa"/>
          </w:tcPr>
          <w:p w14:paraId="01E65F44" w14:textId="5FFE4F62" w:rsidR="00000000" w:rsidRDefault="00690E7D">
            <w:pPr>
              <w:jc w:val="center"/>
              <w:rPr>
                <w:rFonts w:hint="eastAsia"/>
              </w:rPr>
            </w:pPr>
            <w:r>
              <w:rPr>
                <w:noProof/>
              </w:rPr>
              <w:drawing>
                <wp:inline distT="0" distB="0" distL="0" distR="0" wp14:anchorId="61D33E2B" wp14:editId="40B614E0">
                  <wp:extent cx="1929765" cy="2221230"/>
                  <wp:effectExtent l="0" t="0" r="0" b="0"/>
                  <wp:docPr id="1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29765" cy="2221230"/>
                          </a:xfrm>
                          <a:prstGeom prst="rect">
                            <a:avLst/>
                          </a:prstGeom>
                          <a:noFill/>
                          <a:ln>
                            <a:noFill/>
                          </a:ln>
                          <a:effectLst/>
                        </pic:spPr>
                      </pic:pic>
                    </a:graphicData>
                  </a:graphic>
                </wp:inline>
              </w:drawing>
            </w:r>
          </w:p>
        </w:tc>
        <w:tc>
          <w:tcPr>
            <w:tcW w:w="3100" w:type="dxa"/>
          </w:tcPr>
          <w:p w14:paraId="7DE16EF8" w14:textId="76F4A4B0" w:rsidR="00000000" w:rsidRDefault="00690E7D">
            <w:pPr>
              <w:jc w:val="center"/>
              <w:rPr>
                <w:rFonts w:hint="eastAsia"/>
              </w:rPr>
            </w:pPr>
            <w:r>
              <w:rPr>
                <w:noProof/>
              </w:rPr>
              <w:drawing>
                <wp:inline distT="0" distB="0" distL="0" distR="0" wp14:anchorId="0004D4B0" wp14:editId="21EA9DD7">
                  <wp:extent cx="1929765" cy="2221230"/>
                  <wp:effectExtent l="0" t="0" r="0" b="0"/>
                  <wp:docPr id="1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9765" cy="2221230"/>
                          </a:xfrm>
                          <a:prstGeom prst="rect">
                            <a:avLst/>
                          </a:prstGeom>
                          <a:noFill/>
                          <a:ln>
                            <a:noFill/>
                          </a:ln>
                          <a:effectLst/>
                        </pic:spPr>
                      </pic:pic>
                    </a:graphicData>
                  </a:graphic>
                </wp:inline>
              </w:drawing>
            </w:r>
          </w:p>
        </w:tc>
      </w:tr>
    </w:tbl>
    <w:p w14:paraId="42E8A1B3"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3.</w:t>
      </w:r>
      <w:r>
        <w:rPr>
          <w:rFonts w:ascii="Arial" w:hAnsi="Arial" w:cs="Arial" w:hint="eastAsia"/>
          <w:sz w:val="21"/>
          <w:szCs w:val="21"/>
        </w:rPr>
        <w:t>建立比较基础</w:t>
      </w:r>
    </w:p>
    <w:p w14:paraId="71901CC0"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）统一财产范围：设定估价对象与可比案例的实物范围相同，均不含有房地产以外的资产，不</w:t>
      </w:r>
      <w:r>
        <w:rPr>
          <w:rFonts w:ascii="Arial" w:hAnsi="Arial" w:cs="Arial" w:hint="eastAsia"/>
          <w:sz w:val="21"/>
          <w:szCs w:val="21"/>
        </w:rPr>
        <w:lastRenderedPageBreak/>
        <w:t>存在债权债务，没有其他权益或负担；</w:t>
      </w:r>
    </w:p>
    <w:p w14:paraId="40ABF1F4"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）统一付款方式：设定估价对象与可比案例的付款方式均为一次性付清；</w:t>
      </w:r>
    </w:p>
    <w:p w14:paraId="1F6DEF64"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）统一融资条件：常规融资条件；</w:t>
      </w:r>
    </w:p>
    <w:p w14:paraId="57858952"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）统一税费负担：买卖双方各付各税；</w:t>
      </w:r>
    </w:p>
    <w:p w14:paraId="38F1FF42"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）统一计价单位：统一为单价，为单位建筑面积租金价格，即“元</w:t>
      </w:r>
      <w:r>
        <w:rPr>
          <w:rFonts w:ascii="Arial" w:hAnsi="Arial" w:cs="Arial" w:hint="eastAsia"/>
          <w:sz w:val="21"/>
          <w:szCs w:val="21"/>
        </w:rPr>
        <w:t>/</w:t>
      </w:r>
      <w:r>
        <w:rPr>
          <w:rFonts w:ascii="Arial" w:hAnsi="Arial" w:cs="Arial" w:hint="eastAsia"/>
          <w:sz w:val="21"/>
          <w:szCs w:val="21"/>
        </w:rPr>
        <w:t>建筑平方米</w:t>
      </w:r>
      <w:r>
        <w:rPr>
          <w:rFonts w:ascii="Arial" w:hAnsi="Arial" w:cs="Arial" w:hint="eastAsia"/>
          <w:sz w:val="21"/>
          <w:szCs w:val="21"/>
        </w:rPr>
        <w:t>/</w:t>
      </w:r>
      <w:r>
        <w:rPr>
          <w:rFonts w:ascii="Arial" w:hAnsi="Arial" w:cs="Arial" w:hint="eastAsia"/>
          <w:sz w:val="21"/>
          <w:szCs w:val="21"/>
        </w:rPr>
        <w:t>天”，币种为人民币。</w:t>
      </w:r>
    </w:p>
    <w:p w14:paraId="36DA531B"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4.</w:t>
      </w:r>
      <w:r>
        <w:rPr>
          <w:rFonts w:ascii="Arial" w:hAnsi="Arial" w:cs="Arial" w:hint="eastAsia"/>
          <w:sz w:val="21"/>
          <w:szCs w:val="21"/>
        </w:rPr>
        <w:t>因素条件说明</w:t>
      </w:r>
    </w:p>
    <w:p w14:paraId="70B2FB43" w14:textId="77777777" w:rsidR="00000000" w:rsidRDefault="00000000">
      <w:pPr>
        <w:jc w:val="center"/>
        <w:rPr>
          <w:rFonts w:ascii="Arial" w:eastAsia="方正黑体简体" w:hAnsi="Arial" w:cs="Arial" w:hint="eastAsia"/>
          <w:bCs/>
          <w:szCs w:val="24"/>
        </w:rPr>
      </w:pPr>
      <w:r>
        <w:rPr>
          <w:rFonts w:ascii="Arial" w:eastAsia="方正黑体简体" w:hAnsi="Arial" w:cs="Arial" w:hint="eastAsia"/>
          <w:bCs/>
          <w:szCs w:val="24"/>
        </w:rPr>
        <w:t>表</w:t>
      </w:r>
      <w:r>
        <w:rPr>
          <w:rFonts w:ascii="Arial" w:eastAsia="方正黑体简体" w:hAnsi="Arial" w:cs="Arial" w:hint="eastAsia"/>
          <w:bCs/>
          <w:szCs w:val="24"/>
        </w:rPr>
        <w:t>1</w:t>
      </w:r>
      <w:r>
        <w:rPr>
          <w:rFonts w:ascii="Arial" w:eastAsia="方正黑体简体" w:hAnsi="Arial" w:cs="Arial" w:hint="eastAsia"/>
          <w:bCs/>
          <w:szCs w:val="24"/>
        </w:rPr>
        <w:t>：因素条件说明表</w:t>
      </w:r>
    </w:p>
    <w:tbl>
      <w:tblPr>
        <w:tblW w:w="9299" w:type="dxa"/>
        <w:jc w:val="cente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994"/>
        <w:gridCol w:w="1888"/>
        <w:gridCol w:w="1604"/>
        <w:gridCol w:w="1604"/>
        <w:gridCol w:w="1604"/>
        <w:gridCol w:w="1605"/>
      </w:tblGrid>
      <w:tr w:rsidR="00000000" w14:paraId="0447AF5D" w14:textId="77777777">
        <w:trPr>
          <w:cantSplit/>
          <w:tblHeader/>
          <w:jc w:val="center"/>
        </w:trPr>
        <w:tc>
          <w:tcPr>
            <w:tcW w:w="2882" w:type="dxa"/>
            <w:gridSpan w:val="2"/>
            <w:vMerge w:val="restart"/>
            <w:noWrap/>
            <w:vAlign w:val="center"/>
          </w:tcPr>
          <w:p w14:paraId="1D5E2BFC"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比较因素</w:t>
            </w:r>
          </w:p>
        </w:tc>
        <w:tc>
          <w:tcPr>
            <w:tcW w:w="1604" w:type="dxa"/>
            <w:vAlign w:val="center"/>
          </w:tcPr>
          <w:p w14:paraId="40CA12BA"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估价对象</w:t>
            </w:r>
          </w:p>
        </w:tc>
        <w:tc>
          <w:tcPr>
            <w:tcW w:w="1604" w:type="dxa"/>
            <w:vAlign w:val="center"/>
          </w:tcPr>
          <w:p w14:paraId="233D3B8B"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案例：</w:t>
            </w:r>
            <w:r>
              <w:rPr>
                <w:rFonts w:ascii="Arial" w:eastAsia="华文细黑" w:hAnsi="Arial" w:hint="eastAsia"/>
                <w:sz w:val="18"/>
              </w:rPr>
              <w:t>A</w:t>
            </w:r>
          </w:p>
        </w:tc>
        <w:tc>
          <w:tcPr>
            <w:tcW w:w="1604" w:type="dxa"/>
            <w:vAlign w:val="center"/>
          </w:tcPr>
          <w:p w14:paraId="7F221264"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案例：</w:t>
            </w:r>
            <w:r>
              <w:rPr>
                <w:rFonts w:ascii="Arial" w:eastAsia="华文细黑" w:hAnsi="Arial" w:hint="eastAsia"/>
                <w:sz w:val="18"/>
              </w:rPr>
              <w:t>B</w:t>
            </w:r>
          </w:p>
        </w:tc>
        <w:tc>
          <w:tcPr>
            <w:tcW w:w="1605" w:type="dxa"/>
            <w:vAlign w:val="center"/>
          </w:tcPr>
          <w:p w14:paraId="592890CB"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案例：</w:t>
            </w:r>
            <w:r>
              <w:rPr>
                <w:rFonts w:ascii="Arial" w:eastAsia="华文细黑" w:hAnsi="Arial" w:hint="eastAsia"/>
                <w:sz w:val="18"/>
              </w:rPr>
              <w:t>C</w:t>
            </w:r>
          </w:p>
        </w:tc>
      </w:tr>
      <w:tr w:rsidR="00000000" w14:paraId="632AB907" w14:textId="77777777">
        <w:trPr>
          <w:cantSplit/>
          <w:tblHeader/>
          <w:jc w:val="center"/>
        </w:trPr>
        <w:tc>
          <w:tcPr>
            <w:tcW w:w="2882" w:type="dxa"/>
            <w:gridSpan w:val="2"/>
            <w:vMerge/>
            <w:vAlign w:val="center"/>
          </w:tcPr>
          <w:p w14:paraId="4D1F40AD" w14:textId="77777777" w:rsidR="00000000" w:rsidRDefault="00000000">
            <w:pPr>
              <w:widowControl/>
              <w:spacing w:line="240" w:lineRule="exact"/>
              <w:rPr>
                <w:rFonts w:ascii="华文细黑" w:eastAsia="华文细黑" w:hAnsi="华文细黑" w:cs="Arial"/>
                <w:color w:val="000000"/>
                <w:sz w:val="18"/>
                <w:szCs w:val="18"/>
              </w:rPr>
            </w:pPr>
          </w:p>
        </w:tc>
        <w:tc>
          <w:tcPr>
            <w:tcW w:w="1604" w:type="dxa"/>
          </w:tcPr>
          <w:p w14:paraId="43010809" w14:textId="77777777" w:rsidR="00000000" w:rsidRDefault="00000000">
            <w:pPr>
              <w:wordWrap w:val="0"/>
              <w:overflowPunct w:val="0"/>
              <w:spacing w:line="240" w:lineRule="exact"/>
              <w:rPr>
                <w:rFonts w:ascii="Arial" w:eastAsia="华文细黑" w:hAnsi="Arial"/>
                <w:sz w:val="18"/>
              </w:rPr>
            </w:pPr>
            <w:proofErr w:type="gramStart"/>
            <w:r>
              <w:rPr>
                <w:rFonts w:ascii="Arial" w:eastAsia="华文细黑" w:hAnsi="Arial" w:hint="eastAsia"/>
                <w:sz w:val="18"/>
              </w:rPr>
              <w:t>熙悦天</w:t>
            </w:r>
            <w:proofErr w:type="gramEnd"/>
            <w:r>
              <w:rPr>
                <w:rFonts w:ascii="Arial" w:eastAsia="华文细黑" w:hAnsi="Arial" w:hint="eastAsia"/>
                <w:sz w:val="18"/>
              </w:rPr>
              <w:t>街</w:t>
            </w:r>
          </w:p>
        </w:tc>
        <w:tc>
          <w:tcPr>
            <w:tcW w:w="1604" w:type="dxa"/>
          </w:tcPr>
          <w:p w14:paraId="199E1D49"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长阳半岛</w:t>
            </w:r>
            <w:r>
              <w:rPr>
                <w:rFonts w:ascii="Arial" w:eastAsia="华文细黑" w:hAnsi="Arial" w:hint="eastAsia"/>
                <w:sz w:val="18"/>
              </w:rPr>
              <w:t>V</w:t>
            </w:r>
            <w:r>
              <w:rPr>
                <w:rFonts w:ascii="Arial" w:eastAsia="华文细黑" w:hAnsi="Arial" w:hint="eastAsia"/>
                <w:sz w:val="18"/>
              </w:rPr>
              <w:t>公馆</w:t>
            </w:r>
          </w:p>
        </w:tc>
        <w:tc>
          <w:tcPr>
            <w:tcW w:w="1604" w:type="dxa"/>
          </w:tcPr>
          <w:p w14:paraId="61D62F17"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首开福茂购物中心</w:t>
            </w:r>
          </w:p>
        </w:tc>
        <w:tc>
          <w:tcPr>
            <w:tcW w:w="1605" w:type="dxa"/>
          </w:tcPr>
          <w:p w14:paraId="70D980AF"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旭辉</w:t>
            </w:r>
            <w:r>
              <w:rPr>
                <w:rFonts w:ascii="Arial" w:eastAsia="华文细黑" w:hAnsi="Arial" w:hint="eastAsia"/>
                <w:sz w:val="18"/>
              </w:rPr>
              <w:t>E</w:t>
            </w:r>
            <w:r>
              <w:rPr>
                <w:rFonts w:ascii="Arial" w:eastAsia="华文细黑" w:hAnsi="Arial" w:hint="eastAsia"/>
                <w:sz w:val="18"/>
              </w:rPr>
              <w:t>天地</w:t>
            </w:r>
          </w:p>
        </w:tc>
      </w:tr>
      <w:tr w:rsidR="00000000" w14:paraId="123107EF" w14:textId="77777777">
        <w:trPr>
          <w:cantSplit/>
          <w:tblHeader/>
          <w:jc w:val="center"/>
        </w:trPr>
        <w:tc>
          <w:tcPr>
            <w:tcW w:w="2882" w:type="dxa"/>
            <w:gridSpan w:val="2"/>
            <w:vMerge/>
            <w:vAlign w:val="center"/>
          </w:tcPr>
          <w:p w14:paraId="79091A54" w14:textId="77777777" w:rsidR="00000000" w:rsidRDefault="00000000">
            <w:pPr>
              <w:widowControl/>
              <w:spacing w:line="240" w:lineRule="exact"/>
              <w:rPr>
                <w:rFonts w:ascii="华文细黑" w:eastAsia="华文细黑" w:hAnsi="华文细黑" w:cs="Arial"/>
                <w:color w:val="000000"/>
                <w:sz w:val="18"/>
                <w:szCs w:val="18"/>
              </w:rPr>
            </w:pPr>
          </w:p>
        </w:tc>
        <w:tc>
          <w:tcPr>
            <w:tcW w:w="1604" w:type="dxa"/>
          </w:tcPr>
          <w:p w14:paraId="6D441215"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房山区阜盛西街</w:t>
            </w:r>
            <w:r>
              <w:rPr>
                <w:rFonts w:ascii="Arial" w:eastAsia="华文细黑" w:hAnsi="Arial" w:hint="eastAsia"/>
                <w:sz w:val="18"/>
              </w:rPr>
              <w:t>11</w:t>
            </w:r>
            <w:r>
              <w:rPr>
                <w:rFonts w:ascii="Arial" w:eastAsia="华文细黑" w:hAnsi="Arial" w:hint="eastAsia"/>
                <w:sz w:val="18"/>
              </w:rPr>
              <w:t>号院</w:t>
            </w:r>
          </w:p>
        </w:tc>
        <w:tc>
          <w:tcPr>
            <w:tcW w:w="1604" w:type="dxa"/>
            <w:vAlign w:val="center"/>
          </w:tcPr>
          <w:p w14:paraId="67769C59"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房山区长阳路与长泽南街交汇处</w:t>
            </w:r>
          </w:p>
        </w:tc>
        <w:tc>
          <w:tcPr>
            <w:tcW w:w="1604" w:type="dxa"/>
            <w:vAlign w:val="center"/>
          </w:tcPr>
          <w:p w14:paraId="4C58F1C0"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房山区怡和北路</w:t>
            </w:r>
            <w:r>
              <w:rPr>
                <w:rFonts w:ascii="Arial" w:eastAsia="华文细黑" w:hAnsi="Arial" w:hint="eastAsia"/>
                <w:sz w:val="18"/>
              </w:rPr>
              <w:t>3</w:t>
            </w:r>
            <w:r>
              <w:rPr>
                <w:rFonts w:ascii="Arial" w:eastAsia="华文细黑" w:hAnsi="Arial" w:hint="eastAsia"/>
                <w:sz w:val="18"/>
              </w:rPr>
              <w:t>号院</w:t>
            </w:r>
          </w:p>
        </w:tc>
        <w:tc>
          <w:tcPr>
            <w:tcW w:w="1605" w:type="dxa"/>
            <w:vAlign w:val="center"/>
          </w:tcPr>
          <w:p w14:paraId="0B3F306A"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房山区书院南街</w:t>
            </w:r>
            <w:r>
              <w:rPr>
                <w:rFonts w:ascii="Arial" w:eastAsia="华文细黑" w:hAnsi="Arial" w:hint="eastAsia"/>
                <w:sz w:val="18"/>
              </w:rPr>
              <w:t>12</w:t>
            </w:r>
            <w:r>
              <w:rPr>
                <w:rFonts w:ascii="Arial" w:eastAsia="华文细黑" w:hAnsi="Arial" w:hint="eastAsia"/>
                <w:sz w:val="18"/>
              </w:rPr>
              <w:t>号院</w:t>
            </w:r>
          </w:p>
        </w:tc>
      </w:tr>
      <w:tr w:rsidR="00000000" w14:paraId="36CD3213" w14:textId="77777777">
        <w:trPr>
          <w:cantSplit/>
          <w:jc w:val="center"/>
        </w:trPr>
        <w:tc>
          <w:tcPr>
            <w:tcW w:w="2882" w:type="dxa"/>
            <w:gridSpan w:val="2"/>
            <w:noWrap/>
            <w:vAlign w:val="center"/>
          </w:tcPr>
          <w:p w14:paraId="7E0A22DA"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交易情况</w:t>
            </w:r>
          </w:p>
        </w:tc>
        <w:tc>
          <w:tcPr>
            <w:tcW w:w="1604" w:type="dxa"/>
            <w:vAlign w:val="center"/>
          </w:tcPr>
          <w:p w14:paraId="65E80CE3" w14:textId="77777777" w:rsidR="00000000" w:rsidRDefault="00000000">
            <w:pPr>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正常</w:t>
            </w:r>
          </w:p>
        </w:tc>
        <w:tc>
          <w:tcPr>
            <w:tcW w:w="1604" w:type="dxa"/>
            <w:vAlign w:val="center"/>
          </w:tcPr>
          <w:p w14:paraId="12435EDF" w14:textId="77777777" w:rsidR="00000000" w:rsidRDefault="00000000">
            <w:pPr>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挂牌</w:t>
            </w:r>
          </w:p>
        </w:tc>
        <w:tc>
          <w:tcPr>
            <w:tcW w:w="1604" w:type="dxa"/>
            <w:vAlign w:val="center"/>
          </w:tcPr>
          <w:p w14:paraId="3D9B54E6" w14:textId="77777777" w:rsidR="00000000" w:rsidRDefault="00000000">
            <w:pPr>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挂牌</w:t>
            </w:r>
          </w:p>
        </w:tc>
        <w:tc>
          <w:tcPr>
            <w:tcW w:w="1605" w:type="dxa"/>
            <w:vAlign w:val="center"/>
          </w:tcPr>
          <w:p w14:paraId="0B14C4C3" w14:textId="77777777" w:rsidR="00000000" w:rsidRDefault="00000000">
            <w:pPr>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挂牌</w:t>
            </w:r>
          </w:p>
        </w:tc>
      </w:tr>
      <w:tr w:rsidR="00000000" w14:paraId="52019890" w14:textId="77777777">
        <w:trPr>
          <w:cantSplit/>
          <w:jc w:val="center"/>
        </w:trPr>
        <w:tc>
          <w:tcPr>
            <w:tcW w:w="994" w:type="dxa"/>
            <w:vMerge w:val="restart"/>
            <w:vAlign w:val="center"/>
          </w:tcPr>
          <w:p w14:paraId="7906D672"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权益状况</w:t>
            </w:r>
          </w:p>
        </w:tc>
        <w:tc>
          <w:tcPr>
            <w:tcW w:w="1888" w:type="dxa"/>
            <w:noWrap/>
            <w:vAlign w:val="center"/>
          </w:tcPr>
          <w:p w14:paraId="165DC190"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用途</w:t>
            </w:r>
          </w:p>
        </w:tc>
        <w:tc>
          <w:tcPr>
            <w:tcW w:w="1604" w:type="dxa"/>
            <w:vAlign w:val="center"/>
          </w:tcPr>
          <w:p w14:paraId="25D76564" w14:textId="77777777" w:rsidR="00000000" w:rsidRDefault="00000000">
            <w:pPr>
              <w:widowControl/>
              <w:tabs>
                <w:tab w:val="left" w:pos="1165"/>
              </w:tabs>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w:t>
            </w:r>
          </w:p>
        </w:tc>
        <w:tc>
          <w:tcPr>
            <w:tcW w:w="1604" w:type="dxa"/>
            <w:vAlign w:val="center"/>
          </w:tcPr>
          <w:p w14:paraId="53596A05" w14:textId="77777777" w:rsidR="00000000" w:rsidRDefault="00000000">
            <w:pPr>
              <w:widowControl/>
              <w:tabs>
                <w:tab w:val="left" w:pos="1165"/>
              </w:tabs>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w:t>
            </w:r>
          </w:p>
        </w:tc>
        <w:tc>
          <w:tcPr>
            <w:tcW w:w="1604" w:type="dxa"/>
            <w:vAlign w:val="center"/>
          </w:tcPr>
          <w:p w14:paraId="2845209A" w14:textId="77777777" w:rsidR="00000000" w:rsidRDefault="00000000">
            <w:pPr>
              <w:widowControl/>
              <w:tabs>
                <w:tab w:val="left" w:pos="1165"/>
              </w:tabs>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w:t>
            </w:r>
          </w:p>
        </w:tc>
        <w:tc>
          <w:tcPr>
            <w:tcW w:w="1605" w:type="dxa"/>
            <w:vAlign w:val="center"/>
          </w:tcPr>
          <w:p w14:paraId="7F00852A" w14:textId="77777777" w:rsidR="00000000" w:rsidRDefault="00000000">
            <w:pPr>
              <w:widowControl/>
              <w:tabs>
                <w:tab w:val="left" w:pos="1165"/>
              </w:tabs>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w:t>
            </w:r>
          </w:p>
        </w:tc>
      </w:tr>
      <w:tr w:rsidR="00000000" w14:paraId="70400D3C" w14:textId="77777777">
        <w:trPr>
          <w:cantSplit/>
          <w:trHeight w:val="157"/>
          <w:jc w:val="center"/>
        </w:trPr>
        <w:tc>
          <w:tcPr>
            <w:tcW w:w="994" w:type="dxa"/>
            <w:vMerge/>
            <w:vAlign w:val="center"/>
          </w:tcPr>
          <w:p w14:paraId="2246B357" w14:textId="77777777" w:rsidR="00000000" w:rsidRDefault="00000000">
            <w:pPr>
              <w:widowControl/>
              <w:spacing w:line="240" w:lineRule="exact"/>
              <w:rPr>
                <w:rFonts w:ascii="华文细黑" w:eastAsia="华文细黑" w:hAnsi="华文细黑" w:cs="Arial"/>
                <w:color w:val="000000"/>
                <w:sz w:val="18"/>
                <w:szCs w:val="18"/>
              </w:rPr>
            </w:pPr>
          </w:p>
        </w:tc>
        <w:tc>
          <w:tcPr>
            <w:tcW w:w="1888" w:type="dxa"/>
            <w:noWrap/>
            <w:vAlign w:val="center"/>
          </w:tcPr>
          <w:p w14:paraId="0D5AE115"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highlight w:val="lightGray"/>
              </w:rPr>
              <w:t>权利性质</w:t>
            </w:r>
          </w:p>
        </w:tc>
        <w:tc>
          <w:tcPr>
            <w:tcW w:w="1604" w:type="dxa"/>
            <w:vAlign w:val="center"/>
          </w:tcPr>
          <w:p w14:paraId="72799940" w14:textId="77777777" w:rsidR="00000000" w:rsidRDefault="00000000">
            <w:pPr>
              <w:widowControl/>
              <w:spacing w:line="240" w:lineRule="exact"/>
              <w:rPr>
                <w:rFonts w:ascii="Arial" w:eastAsia="华文细黑" w:hAnsi="Arial" w:cs="Arial"/>
                <w:color w:val="000000"/>
                <w:sz w:val="18"/>
                <w:szCs w:val="18"/>
              </w:rPr>
            </w:pPr>
            <w:r>
              <w:rPr>
                <w:rFonts w:ascii="Arial" w:eastAsia="华文细黑" w:hAnsi="Arial" w:hint="eastAsia"/>
                <w:sz w:val="18"/>
              </w:rPr>
              <w:t>商品房</w:t>
            </w:r>
          </w:p>
        </w:tc>
        <w:tc>
          <w:tcPr>
            <w:tcW w:w="1604" w:type="dxa"/>
            <w:vAlign w:val="center"/>
          </w:tcPr>
          <w:p w14:paraId="3DF9160D" w14:textId="77777777" w:rsidR="00000000" w:rsidRDefault="00000000">
            <w:pPr>
              <w:widowControl/>
              <w:spacing w:line="240" w:lineRule="exact"/>
              <w:rPr>
                <w:rFonts w:ascii="Arial" w:eastAsia="华文细黑" w:hAnsi="Arial" w:cs="Arial"/>
                <w:color w:val="000000"/>
                <w:sz w:val="18"/>
                <w:szCs w:val="18"/>
              </w:rPr>
            </w:pPr>
            <w:r>
              <w:rPr>
                <w:rFonts w:ascii="Arial" w:eastAsia="华文细黑" w:hAnsi="Arial" w:hint="eastAsia"/>
                <w:sz w:val="18"/>
              </w:rPr>
              <w:t>商品房</w:t>
            </w:r>
          </w:p>
        </w:tc>
        <w:tc>
          <w:tcPr>
            <w:tcW w:w="1604" w:type="dxa"/>
            <w:vAlign w:val="center"/>
          </w:tcPr>
          <w:p w14:paraId="17CFB67C" w14:textId="77777777" w:rsidR="00000000" w:rsidRDefault="00000000">
            <w:pPr>
              <w:widowControl/>
              <w:spacing w:line="240" w:lineRule="exact"/>
              <w:rPr>
                <w:rFonts w:ascii="Arial" w:eastAsia="华文细黑" w:hAnsi="Arial" w:cs="Arial"/>
                <w:color w:val="000000"/>
                <w:sz w:val="18"/>
                <w:szCs w:val="18"/>
              </w:rPr>
            </w:pPr>
            <w:r>
              <w:rPr>
                <w:rFonts w:ascii="Arial" w:eastAsia="华文细黑" w:hAnsi="Arial" w:hint="eastAsia"/>
                <w:sz w:val="18"/>
              </w:rPr>
              <w:t>商品房</w:t>
            </w:r>
          </w:p>
        </w:tc>
        <w:tc>
          <w:tcPr>
            <w:tcW w:w="1605" w:type="dxa"/>
            <w:vAlign w:val="center"/>
          </w:tcPr>
          <w:p w14:paraId="16986AA6" w14:textId="77777777" w:rsidR="00000000" w:rsidRDefault="00000000">
            <w:pPr>
              <w:widowControl/>
              <w:spacing w:line="240" w:lineRule="exact"/>
              <w:rPr>
                <w:rFonts w:ascii="Arial" w:eastAsia="华文细黑" w:hAnsi="Arial" w:cs="Arial"/>
                <w:color w:val="000000"/>
                <w:sz w:val="18"/>
                <w:szCs w:val="18"/>
              </w:rPr>
            </w:pPr>
            <w:r>
              <w:rPr>
                <w:rFonts w:ascii="Arial" w:eastAsia="华文细黑" w:hAnsi="Arial" w:hint="eastAsia"/>
                <w:sz w:val="18"/>
              </w:rPr>
              <w:t>商品房</w:t>
            </w:r>
          </w:p>
        </w:tc>
      </w:tr>
      <w:tr w:rsidR="00000000" w14:paraId="4338F757" w14:textId="77777777">
        <w:trPr>
          <w:cantSplit/>
          <w:jc w:val="center"/>
        </w:trPr>
        <w:tc>
          <w:tcPr>
            <w:tcW w:w="994" w:type="dxa"/>
            <w:vAlign w:val="center"/>
          </w:tcPr>
          <w:p w14:paraId="6448BA12"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市场状况</w:t>
            </w:r>
          </w:p>
        </w:tc>
        <w:tc>
          <w:tcPr>
            <w:tcW w:w="1888" w:type="dxa"/>
            <w:noWrap/>
            <w:vAlign w:val="center"/>
          </w:tcPr>
          <w:p w14:paraId="5517275E"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交易时间</w:t>
            </w:r>
          </w:p>
        </w:tc>
        <w:tc>
          <w:tcPr>
            <w:tcW w:w="1604" w:type="dxa"/>
            <w:vAlign w:val="center"/>
          </w:tcPr>
          <w:p w14:paraId="744E3163"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2026年1月14日</w:t>
            </w:r>
          </w:p>
        </w:tc>
        <w:tc>
          <w:tcPr>
            <w:tcW w:w="1604" w:type="dxa"/>
            <w:vAlign w:val="center"/>
          </w:tcPr>
          <w:p w14:paraId="76C9A6E9" w14:textId="77777777" w:rsidR="00000000" w:rsidRDefault="00000000">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2026年1月</w:t>
            </w:r>
          </w:p>
        </w:tc>
        <w:tc>
          <w:tcPr>
            <w:tcW w:w="1604" w:type="dxa"/>
            <w:vAlign w:val="center"/>
          </w:tcPr>
          <w:p w14:paraId="311533E7" w14:textId="77777777" w:rsidR="00000000" w:rsidRDefault="00000000">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2025年12月</w:t>
            </w:r>
          </w:p>
        </w:tc>
        <w:tc>
          <w:tcPr>
            <w:tcW w:w="1605" w:type="dxa"/>
            <w:vAlign w:val="center"/>
          </w:tcPr>
          <w:p w14:paraId="1574F71E" w14:textId="77777777" w:rsidR="00000000" w:rsidRDefault="00000000">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2026年1月</w:t>
            </w:r>
          </w:p>
        </w:tc>
      </w:tr>
      <w:tr w:rsidR="00000000" w14:paraId="67CF9F92" w14:textId="77777777">
        <w:trPr>
          <w:cantSplit/>
          <w:jc w:val="center"/>
        </w:trPr>
        <w:tc>
          <w:tcPr>
            <w:tcW w:w="994" w:type="dxa"/>
            <w:vMerge w:val="restart"/>
            <w:vAlign w:val="center"/>
          </w:tcPr>
          <w:p w14:paraId="7B759C58"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区位状况</w:t>
            </w:r>
          </w:p>
        </w:tc>
        <w:tc>
          <w:tcPr>
            <w:tcW w:w="1888" w:type="dxa"/>
            <w:noWrap/>
            <w:vAlign w:val="center"/>
          </w:tcPr>
          <w:p w14:paraId="69FBD0B4"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商业繁华度</w:t>
            </w:r>
          </w:p>
        </w:tc>
        <w:tc>
          <w:tcPr>
            <w:tcW w:w="1604" w:type="dxa"/>
            <w:vAlign w:val="center"/>
          </w:tcPr>
          <w:p w14:paraId="7C828997" w14:textId="77777777" w:rsidR="00000000" w:rsidRDefault="00000000">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一般</w:t>
            </w:r>
          </w:p>
        </w:tc>
        <w:tc>
          <w:tcPr>
            <w:tcW w:w="1604" w:type="dxa"/>
            <w:vAlign w:val="center"/>
          </w:tcPr>
          <w:p w14:paraId="36E55DE4"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c>
          <w:tcPr>
            <w:tcW w:w="1604" w:type="dxa"/>
            <w:vAlign w:val="center"/>
          </w:tcPr>
          <w:p w14:paraId="184FCD5F"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c>
          <w:tcPr>
            <w:tcW w:w="1605" w:type="dxa"/>
            <w:vAlign w:val="center"/>
          </w:tcPr>
          <w:p w14:paraId="48866B4F"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r>
      <w:tr w:rsidR="00000000" w14:paraId="095D1746" w14:textId="77777777">
        <w:trPr>
          <w:cantSplit/>
          <w:jc w:val="center"/>
        </w:trPr>
        <w:tc>
          <w:tcPr>
            <w:tcW w:w="994" w:type="dxa"/>
            <w:vMerge/>
            <w:vAlign w:val="center"/>
          </w:tcPr>
          <w:p w14:paraId="23299722" w14:textId="77777777" w:rsidR="00000000" w:rsidRDefault="00000000">
            <w:pPr>
              <w:widowControl/>
              <w:spacing w:line="240" w:lineRule="exact"/>
              <w:rPr>
                <w:rFonts w:ascii="华文细黑" w:eastAsia="华文细黑" w:hAnsi="华文细黑" w:cs="Arial"/>
                <w:color w:val="000000"/>
                <w:sz w:val="18"/>
                <w:szCs w:val="18"/>
              </w:rPr>
            </w:pPr>
          </w:p>
        </w:tc>
        <w:tc>
          <w:tcPr>
            <w:tcW w:w="1888" w:type="dxa"/>
            <w:noWrap/>
            <w:vAlign w:val="center"/>
          </w:tcPr>
          <w:p w14:paraId="0D97A6D5"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交通便捷度</w:t>
            </w:r>
          </w:p>
        </w:tc>
        <w:tc>
          <w:tcPr>
            <w:tcW w:w="1604" w:type="dxa"/>
            <w:vAlign w:val="center"/>
          </w:tcPr>
          <w:p w14:paraId="0DE7E4B1" w14:textId="77777777" w:rsidR="00000000" w:rsidRDefault="00000000">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较好</w:t>
            </w:r>
          </w:p>
        </w:tc>
        <w:tc>
          <w:tcPr>
            <w:tcW w:w="1604" w:type="dxa"/>
            <w:vAlign w:val="center"/>
          </w:tcPr>
          <w:p w14:paraId="143D0D54"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较好</w:t>
            </w:r>
          </w:p>
        </w:tc>
        <w:tc>
          <w:tcPr>
            <w:tcW w:w="1604" w:type="dxa"/>
            <w:vAlign w:val="center"/>
          </w:tcPr>
          <w:p w14:paraId="05351DBF"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较好</w:t>
            </w:r>
          </w:p>
        </w:tc>
        <w:tc>
          <w:tcPr>
            <w:tcW w:w="1605" w:type="dxa"/>
            <w:vAlign w:val="center"/>
          </w:tcPr>
          <w:p w14:paraId="61C2CDC6"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较好</w:t>
            </w:r>
          </w:p>
        </w:tc>
      </w:tr>
      <w:tr w:rsidR="00000000" w14:paraId="21B5C06C" w14:textId="77777777">
        <w:trPr>
          <w:cantSplit/>
          <w:jc w:val="center"/>
        </w:trPr>
        <w:tc>
          <w:tcPr>
            <w:tcW w:w="994" w:type="dxa"/>
            <w:vMerge/>
            <w:vAlign w:val="center"/>
          </w:tcPr>
          <w:p w14:paraId="535292F3" w14:textId="77777777" w:rsidR="00000000" w:rsidRDefault="00000000">
            <w:pPr>
              <w:widowControl/>
              <w:spacing w:line="240" w:lineRule="exact"/>
              <w:rPr>
                <w:rFonts w:ascii="华文细黑" w:eastAsia="华文细黑" w:hAnsi="华文细黑" w:cs="Arial"/>
                <w:color w:val="000000"/>
                <w:sz w:val="18"/>
                <w:szCs w:val="18"/>
              </w:rPr>
            </w:pPr>
          </w:p>
        </w:tc>
        <w:tc>
          <w:tcPr>
            <w:tcW w:w="1888" w:type="dxa"/>
            <w:noWrap/>
            <w:vAlign w:val="center"/>
          </w:tcPr>
          <w:p w14:paraId="21DC48CC"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公共配套设施</w:t>
            </w:r>
          </w:p>
        </w:tc>
        <w:tc>
          <w:tcPr>
            <w:tcW w:w="1604" w:type="dxa"/>
            <w:vAlign w:val="center"/>
          </w:tcPr>
          <w:p w14:paraId="1AE18FC1" w14:textId="77777777" w:rsidR="00000000" w:rsidRDefault="00000000">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一般</w:t>
            </w:r>
          </w:p>
        </w:tc>
        <w:tc>
          <w:tcPr>
            <w:tcW w:w="1604" w:type="dxa"/>
            <w:vAlign w:val="center"/>
          </w:tcPr>
          <w:p w14:paraId="5A54AA31"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c>
          <w:tcPr>
            <w:tcW w:w="1604" w:type="dxa"/>
            <w:vAlign w:val="center"/>
          </w:tcPr>
          <w:p w14:paraId="7D11F3C9"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c>
          <w:tcPr>
            <w:tcW w:w="1605" w:type="dxa"/>
            <w:vAlign w:val="center"/>
          </w:tcPr>
          <w:p w14:paraId="34C26BFE"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r>
      <w:tr w:rsidR="00000000" w14:paraId="674F44B4" w14:textId="77777777">
        <w:trPr>
          <w:cantSplit/>
          <w:jc w:val="center"/>
        </w:trPr>
        <w:tc>
          <w:tcPr>
            <w:tcW w:w="994" w:type="dxa"/>
            <w:vMerge/>
            <w:vAlign w:val="center"/>
          </w:tcPr>
          <w:p w14:paraId="54A3BE35" w14:textId="77777777" w:rsidR="00000000" w:rsidRDefault="00000000">
            <w:pPr>
              <w:widowControl/>
              <w:spacing w:line="240" w:lineRule="exact"/>
              <w:rPr>
                <w:rFonts w:ascii="华文细黑" w:eastAsia="华文细黑" w:hAnsi="华文细黑" w:cs="Arial"/>
                <w:color w:val="000000"/>
                <w:sz w:val="18"/>
                <w:szCs w:val="18"/>
              </w:rPr>
            </w:pPr>
          </w:p>
        </w:tc>
        <w:tc>
          <w:tcPr>
            <w:tcW w:w="1888" w:type="dxa"/>
            <w:noWrap/>
            <w:vAlign w:val="center"/>
          </w:tcPr>
          <w:p w14:paraId="28C4E254"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基础设施水平</w:t>
            </w:r>
          </w:p>
        </w:tc>
        <w:tc>
          <w:tcPr>
            <w:tcW w:w="1604" w:type="dxa"/>
            <w:vAlign w:val="center"/>
          </w:tcPr>
          <w:p w14:paraId="242B79A6"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七通</w:t>
            </w:r>
          </w:p>
        </w:tc>
        <w:tc>
          <w:tcPr>
            <w:tcW w:w="1604" w:type="dxa"/>
            <w:vAlign w:val="center"/>
          </w:tcPr>
          <w:p w14:paraId="32E69392"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七通</w:t>
            </w:r>
          </w:p>
        </w:tc>
        <w:tc>
          <w:tcPr>
            <w:tcW w:w="1604" w:type="dxa"/>
            <w:vAlign w:val="center"/>
          </w:tcPr>
          <w:p w14:paraId="52B81FB4"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七通</w:t>
            </w:r>
          </w:p>
        </w:tc>
        <w:tc>
          <w:tcPr>
            <w:tcW w:w="1605" w:type="dxa"/>
            <w:vAlign w:val="center"/>
          </w:tcPr>
          <w:p w14:paraId="7CA52A28"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七通</w:t>
            </w:r>
          </w:p>
        </w:tc>
      </w:tr>
      <w:tr w:rsidR="00000000" w14:paraId="4CA94DE7" w14:textId="77777777">
        <w:trPr>
          <w:cantSplit/>
          <w:jc w:val="center"/>
        </w:trPr>
        <w:tc>
          <w:tcPr>
            <w:tcW w:w="994" w:type="dxa"/>
            <w:vMerge/>
            <w:vAlign w:val="center"/>
          </w:tcPr>
          <w:p w14:paraId="670B971D" w14:textId="77777777" w:rsidR="00000000" w:rsidRDefault="00000000">
            <w:pPr>
              <w:widowControl/>
              <w:spacing w:line="240" w:lineRule="exact"/>
              <w:rPr>
                <w:rFonts w:ascii="华文细黑" w:eastAsia="华文细黑" w:hAnsi="华文细黑" w:cs="Arial"/>
                <w:color w:val="000000"/>
                <w:sz w:val="18"/>
                <w:szCs w:val="18"/>
              </w:rPr>
            </w:pPr>
          </w:p>
        </w:tc>
        <w:tc>
          <w:tcPr>
            <w:tcW w:w="1888" w:type="dxa"/>
            <w:noWrap/>
            <w:vAlign w:val="center"/>
          </w:tcPr>
          <w:p w14:paraId="42B118B0"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自然及人文环境</w:t>
            </w:r>
          </w:p>
        </w:tc>
        <w:tc>
          <w:tcPr>
            <w:tcW w:w="1604" w:type="dxa"/>
            <w:vAlign w:val="center"/>
          </w:tcPr>
          <w:p w14:paraId="1F0CFA05" w14:textId="77777777" w:rsidR="00000000" w:rsidRDefault="00000000">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较好</w:t>
            </w:r>
          </w:p>
        </w:tc>
        <w:tc>
          <w:tcPr>
            <w:tcW w:w="1604" w:type="dxa"/>
            <w:vAlign w:val="center"/>
          </w:tcPr>
          <w:p w14:paraId="4FE062BD"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较好</w:t>
            </w:r>
          </w:p>
        </w:tc>
        <w:tc>
          <w:tcPr>
            <w:tcW w:w="1604" w:type="dxa"/>
            <w:vAlign w:val="center"/>
          </w:tcPr>
          <w:p w14:paraId="6E38CD17"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较好</w:t>
            </w:r>
          </w:p>
        </w:tc>
        <w:tc>
          <w:tcPr>
            <w:tcW w:w="1605" w:type="dxa"/>
            <w:vAlign w:val="center"/>
          </w:tcPr>
          <w:p w14:paraId="1420E2CB"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较好</w:t>
            </w:r>
          </w:p>
        </w:tc>
      </w:tr>
      <w:tr w:rsidR="00000000" w14:paraId="75274EBF" w14:textId="77777777">
        <w:trPr>
          <w:cantSplit/>
          <w:jc w:val="center"/>
        </w:trPr>
        <w:tc>
          <w:tcPr>
            <w:tcW w:w="994" w:type="dxa"/>
            <w:vMerge/>
            <w:vAlign w:val="center"/>
          </w:tcPr>
          <w:p w14:paraId="161E6DB0" w14:textId="77777777" w:rsidR="00000000" w:rsidRDefault="00000000">
            <w:pPr>
              <w:widowControl/>
              <w:spacing w:line="240" w:lineRule="exact"/>
              <w:rPr>
                <w:rFonts w:ascii="华文细黑" w:eastAsia="华文细黑" w:hAnsi="华文细黑" w:cs="Arial"/>
                <w:color w:val="000000"/>
                <w:sz w:val="18"/>
                <w:szCs w:val="18"/>
              </w:rPr>
            </w:pPr>
          </w:p>
        </w:tc>
        <w:tc>
          <w:tcPr>
            <w:tcW w:w="1888" w:type="dxa"/>
            <w:noWrap/>
            <w:vAlign w:val="center"/>
          </w:tcPr>
          <w:p w14:paraId="2862B974"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临街状况</w:t>
            </w:r>
          </w:p>
        </w:tc>
        <w:tc>
          <w:tcPr>
            <w:tcW w:w="1604" w:type="dxa"/>
            <w:vAlign w:val="center"/>
          </w:tcPr>
          <w:p w14:paraId="6E7159AD"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单面临街</w:t>
            </w:r>
          </w:p>
        </w:tc>
        <w:tc>
          <w:tcPr>
            <w:tcW w:w="1604" w:type="dxa"/>
            <w:vAlign w:val="center"/>
          </w:tcPr>
          <w:p w14:paraId="0D8A2714"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单面临街</w:t>
            </w:r>
          </w:p>
        </w:tc>
        <w:tc>
          <w:tcPr>
            <w:tcW w:w="1604" w:type="dxa"/>
            <w:vAlign w:val="center"/>
          </w:tcPr>
          <w:p w14:paraId="0809ED08"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单面临街</w:t>
            </w:r>
          </w:p>
        </w:tc>
        <w:tc>
          <w:tcPr>
            <w:tcW w:w="1605" w:type="dxa"/>
            <w:vAlign w:val="center"/>
          </w:tcPr>
          <w:p w14:paraId="7FD6F94F"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单面临街</w:t>
            </w:r>
          </w:p>
        </w:tc>
      </w:tr>
      <w:tr w:rsidR="00000000" w14:paraId="530A5401" w14:textId="77777777">
        <w:trPr>
          <w:cantSplit/>
          <w:jc w:val="center"/>
        </w:trPr>
        <w:tc>
          <w:tcPr>
            <w:tcW w:w="994" w:type="dxa"/>
            <w:vMerge/>
            <w:vAlign w:val="center"/>
          </w:tcPr>
          <w:p w14:paraId="0004E9C1" w14:textId="77777777" w:rsidR="00000000" w:rsidRDefault="00000000">
            <w:pPr>
              <w:widowControl/>
              <w:spacing w:line="240" w:lineRule="exact"/>
              <w:rPr>
                <w:rFonts w:ascii="华文细黑" w:eastAsia="华文细黑" w:hAnsi="华文细黑" w:cs="Arial"/>
                <w:color w:val="000000"/>
                <w:sz w:val="18"/>
                <w:szCs w:val="18"/>
              </w:rPr>
            </w:pPr>
          </w:p>
        </w:tc>
        <w:tc>
          <w:tcPr>
            <w:tcW w:w="1888" w:type="dxa"/>
            <w:noWrap/>
            <w:vAlign w:val="center"/>
          </w:tcPr>
          <w:p w14:paraId="57884809" w14:textId="77777777" w:rsidR="00000000" w:rsidRDefault="00000000">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604" w:type="dxa"/>
            <w:vAlign w:val="center"/>
          </w:tcPr>
          <w:p w14:paraId="22406095" w14:textId="77777777" w:rsidR="00000000" w:rsidRDefault="00000000">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一般</w:t>
            </w:r>
          </w:p>
        </w:tc>
        <w:tc>
          <w:tcPr>
            <w:tcW w:w="1604" w:type="dxa"/>
            <w:vAlign w:val="center"/>
          </w:tcPr>
          <w:p w14:paraId="1AC5F744"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c>
          <w:tcPr>
            <w:tcW w:w="1604" w:type="dxa"/>
            <w:vAlign w:val="center"/>
          </w:tcPr>
          <w:p w14:paraId="37ABBBF4"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c>
          <w:tcPr>
            <w:tcW w:w="1605" w:type="dxa"/>
            <w:vAlign w:val="center"/>
          </w:tcPr>
          <w:p w14:paraId="525647B9"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r>
      <w:tr w:rsidR="00000000" w14:paraId="049B14C6" w14:textId="77777777">
        <w:trPr>
          <w:cantSplit/>
          <w:jc w:val="center"/>
        </w:trPr>
        <w:tc>
          <w:tcPr>
            <w:tcW w:w="994" w:type="dxa"/>
            <w:vMerge/>
            <w:vAlign w:val="center"/>
          </w:tcPr>
          <w:p w14:paraId="4E45955C" w14:textId="77777777" w:rsidR="00000000" w:rsidRDefault="00000000">
            <w:pPr>
              <w:widowControl/>
              <w:spacing w:line="240" w:lineRule="exact"/>
              <w:rPr>
                <w:rFonts w:ascii="华文细黑" w:eastAsia="华文细黑" w:hAnsi="华文细黑" w:cs="Arial"/>
                <w:color w:val="000000"/>
                <w:sz w:val="18"/>
                <w:szCs w:val="18"/>
              </w:rPr>
            </w:pPr>
          </w:p>
        </w:tc>
        <w:tc>
          <w:tcPr>
            <w:tcW w:w="1888" w:type="dxa"/>
            <w:noWrap/>
            <w:vAlign w:val="center"/>
          </w:tcPr>
          <w:p w14:paraId="5E7FD2F2"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楼层</w:t>
            </w:r>
          </w:p>
        </w:tc>
        <w:tc>
          <w:tcPr>
            <w:tcW w:w="1604" w:type="dxa"/>
            <w:vAlign w:val="center"/>
          </w:tcPr>
          <w:p w14:paraId="68CC76A9"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1</w:t>
            </w:r>
            <w:r>
              <w:rPr>
                <w:rFonts w:ascii="Arial" w:eastAsia="华文细黑" w:hAnsi="Arial" w:hint="eastAsia"/>
                <w:sz w:val="18"/>
              </w:rPr>
              <w:t>层</w:t>
            </w:r>
          </w:p>
        </w:tc>
        <w:tc>
          <w:tcPr>
            <w:tcW w:w="1604" w:type="dxa"/>
            <w:vAlign w:val="center"/>
          </w:tcPr>
          <w:p w14:paraId="06F12F0E"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1</w:t>
            </w:r>
            <w:r>
              <w:rPr>
                <w:rFonts w:ascii="Arial" w:eastAsia="华文细黑" w:hAnsi="Arial" w:hint="eastAsia"/>
                <w:sz w:val="18"/>
              </w:rPr>
              <w:t>层</w:t>
            </w:r>
          </w:p>
        </w:tc>
        <w:tc>
          <w:tcPr>
            <w:tcW w:w="1604" w:type="dxa"/>
            <w:vAlign w:val="center"/>
          </w:tcPr>
          <w:p w14:paraId="6DA6D0A6"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1</w:t>
            </w:r>
            <w:r>
              <w:rPr>
                <w:rFonts w:ascii="Arial" w:eastAsia="华文细黑" w:hAnsi="Arial" w:hint="eastAsia"/>
                <w:sz w:val="18"/>
              </w:rPr>
              <w:t>层</w:t>
            </w:r>
          </w:p>
        </w:tc>
        <w:tc>
          <w:tcPr>
            <w:tcW w:w="1605" w:type="dxa"/>
            <w:vAlign w:val="center"/>
          </w:tcPr>
          <w:p w14:paraId="339F62B9"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1</w:t>
            </w:r>
            <w:r>
              <w:rPr>
                <w:rFonts w:ascii="Arial" w:eastAsia="华文细黑" w:hAnsi="Arial" w:hint="eastAsia"/>
                <w:sz w:val="18"/>
              </w:rPr>
              <w:t>层</w:t>
            </w:r>
          </w:p>
        </w:tc>
      </w:tr>
      <w:tr w:rsidR="00000000" w14:paraId="0FBAB84F" w14:textId="77777777">
        <w:trPr>
          <w:cantSplit/>
          <w:jc w:val="center"/>
        </w:trPr>
        <w:tc>
          <w:tcPr>
            <w:tcW w:w="994" w:type="dxa"/>
            <w:vMerge w:val="restart"/>
            <w:vAlign w:val="center"/>
          </w:tcPr>
          <w:p w14:paraId="4C78A0EF"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实物状况</w:t>
            </w:r>
          </w:p>
        </w:tc>
        <w:tc>
          <w:tcPr>
            <w:tcW w:w="1888" w:type="dxa"/>
            <w:noWrap/>
            <w:vAlign w:val="center"/>
          </w:tcPr>
          <w:p w14:paraId="4AC2C2B8"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商业类型</w:t>
            </w:r>
          </w:p>
        </w:tc>
        <w:tc>
          <w:tcPr>
            <w:tcW w:w="1604" w:type="dxa"/>
            <w:vAlign w:val="center"/>
          </w:tcPr>
          <w:p w14:paraId="2CB4FB24"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商业综合体</w:t>
            </w:r>
          </w:p>
        </w:tc>
        <w:tc>
          <w:tcPr>
            <w:tcW w:w="1604" w:type="dxa"/>
            <w:vAlign w:val="center"/>
          </w:tcPr>
          <w:p w14:paraId="361355F1"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住宅底商</w:t>
            </w:r>
          </w:p>
        </w:tc>
        <w:tc>
          <w:tcPr>
            <w:tcW w:w="1604" w:type="dxa"/>
            <w:vAlign w:val="center"/>
          </w:tcPr>
          <w:p w14:paraId="1ED4CB6E"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商业综合体</w:t>
            </w:r>
          </w:p>
        </w:tc>
        <w:tc>
          <w:tcPr>
            <w:tcW w:w="1605" w:type="dxa"/>
            <w:vAlign w:val="center"/>
          </w:tcPr>
          <w:p w14:paraId="648CFC5F"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住宅底商</w:t>
            </w:r>
          </w:p>
        </w:tc>
      </w:tr>
      <w:tr w:rsidR="00000000" w14:paraId="3C4A2F42" w14:textId="77777777">
        <w:trPr>
          <w:cantSplit/>
          <w:jc w:val="center"/>
        </w:trPr>
        <w:tc>
          <w:tcPr>
            <w:tcW w:w="994" w:type="dxa"/>
            <w:vMerge/>
            <w:vAlign w:val="center"/>
          </w:tcPr>
          <w:p w14:paraId="093D627A" w14:textId="77777777" w:rsidR="00000000" w:rsidRDefault="00000000">
            <w:pPr>
              <w:widowControl/>
              <w:spacing w:line="240" w:lineRule="exact"/>
              <w:rPr>
                <w:rFonts w:ascii="华文细黑" w:eastAsia="华文细黑" w:hAnsi="华文细黑" w:cs="Arial"/>
                <w:color w:val="000000"/>
                <w:sz w:val="18"/>
                <w:szCs w:val="18"/>
              </w:rPr>
            </w:pPr>
          </w:p>
        </w:tc>
        <w:tc>
          <w:tcPr>
            <w:tcW w:w="1888" w:type="dxa"/>
            <w:noWrap/>
            <w:vAlign w:val="center"/>
          </w:tcPr>
          <w:p w14:paraId="12F7A981"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建筑面积</w:t>
            </w:r>
          </w:p>
        </w:tc>
        <w:tc>
          <w:tcPr>
            <w:tcW w:w="1604" w:type="dxa"/>
            <w:vAlign w:val="center"/>
          </w:tcPr>
          <w:p w14:paraId="422E82C5"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647.17</w:t>
            </w:r>
          </w:p>
        </w:tc>
        <w:tc>
          <w:tcPr>
            <w:tcW w:w="1604" w:type="dxa"/>
          </w:tcPr>
          <w:p w14:paraId="0D5B8F4B" w14:textId="77777777" w:rsidR="00000000" w:rsidRDefault="00000000">
            <w:pPr>
              <w:wordWrap w:val="0"/>
              <w:overflowPunct w:val="0"/>
              <w:spacing w:line="240" w:lineRule="exact"/>
              <w:rPr>
                <w:rFonts w:ascii="华文细黑" w:eastAsia="华文细黑" w:hAnsi="华文细黑" w:cs="Arial"/>
                <w:color w:val="000000"/>
                <w:sz w:val="18"/>
                <w:szCs w:val="18"/>
              </w:rPr>
            </w:pPr>
            <w:r>
              <w:rPr>
                <w:rFonts w:ascii="Arial" w:eastAsia="华文细黑" w:hAnsi="Arial" w:hint="eastAsia"/>
                <w:sz w:val="18"/>
              </w:rPr>
              <w:t>500</w:t>
            </w:r>
          </w:p>
        </w:tc>
        <w:tc>
          <w:tcPr>
            <w:tcW w:w="1604" w:type="dxa"/>
          </w:tcPr>
          <w:p w14:paraId="0C94EDEA" w14:textId="77777777" w:rsidR="00000000" w:rsidRDefault="00000000">
            <w:pPr>
              <w:wordWrap w:val="0"/>
              <w:overflowPunct w:val="0"/>
              <w:spacing w:line="240" w:lineRule="exact"/>
              <w:rPr>
                <w:rFonts w:ascii="华文细黑" w:eastAsia="华文细黑" w:hAnsi="华文细黑" w:cs="Arial"/>
                <w:color w:val="000000"/>
                <w:sz w:val="18"/>
                <w:szCs w:val="18"/>
              </w:rPr>
            </w:pPr>
            <w:r>
              <w:rPr>
                <w:rFonts w:ascii="Arial" w:eastAsia="华文细黑" w:hAnsi="Arial" w:hint="eastAsia"/>
                <w:sz w:val="18"/>
              </w:rPr>
              <w:t>160</w:t>
            </w:r>
          </w:p>
        </w:tc>
        <w:tc>
          <w:tcPr>
            <w:tcW w:w="1605" w:type="dxa"/>
          </w:tcPr>
          <w:p w14:paraId="4877F04A" w14:textId="77777777" w:rsidR="00000000" w:rsidRDefault="00000000">
            <w:pPr>
              <w:wordWrap w:val="0"/>
              <w:overflowPunct w:val="0"/>
              <w:spacing w:line="240" w:lineRule="exact"/>
              <w:rPr>
                <w:rFonts w:ascii="华文细黑" w:eastAsia="华文细黑" w:hAnsi="华文细黑" w:cs="Arial"/>
                <w:color w:val="000000"/>
                <w:sz w:val="18"/>
                <w:szCs w:val="18"/>
              </w:rPr>
            </w:pPr>
            <w:r>
              <w:rPr>
                <w:rFonts w:ascii="Arial" w:eastAsia="华文细黑" w:hAnsi="Arial" w:hint="eastAsia"/>
                <w:sz w:val="18"/>
              </w:rPr>
              <w:t>150</w:t>
            </w:r>
          </w:p>
        </w:tc>
      </w:tr>
      <w:tr w:rsidR="00000000" w14:paraId="121D5ED0" w14:textId="77777777">
        <w:trPr>
          <w:cantSplit/>
          <w:jc w:val="center"/>
        </w:trPr>
        <w:tc>
          <w:tcPr>
            <w:tcW w:w="994" w:type="dxa"/>
            <w:vMerge/>
            <w:vAlign w:val="center"/>
          </w:tcPr>
          <w:p w14:paraId="0503D1CB" w14:textId="77777777" w:rsidR="00000000" w:rsidRDefault="00000000">
            <w:pPr>
              <w:widowControl/>
              <w:spacing w:line="240" w:lineRule="exact"/>
              <w:rPr>
                <w:rFonts w:ascii="华文细黑" w:eastAsia="华文细黑" w:hAnsi="华文细黑" w:cs="Arial"/>
                <w:color w:val="000000"/>
                <w:sz w:val="18"/>
                <w:szCs w:val="18"/>
              </w:rPr>
            </w:pPr>
          </w:p>
        </w:tc>
        <w:tc>
          <w:tcPr>
            <w:tcW w:w="1888" w:type="dxa"/>
            <w:noWrap/>
            <w:vAlign w:val="center"/>
          </w:tcPr>
          <w:p w14:paraId="7E9411EA"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建筑结构</w:t>
            </w:r>
          </w:p>
        </w:tc>
        <w:tc>
          <w:tcPr>
            <w:tcW w:w="1604" w:type="dxa"/>
            <w:vAlign w:val="center"/>
          </w:tcPr>
          <w:p w14:paraId="11802E8E"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钢混</w:t>
            </w:r>
          </w:p>
        </w:tc>
        <w:tc>
          <w:tcPr>
            <w:tcW w:w="1604" w:type="dxa"/>
            <w:vAlign w:val="center"/>
          </w:tcPr>
          <w:p w14:paraId="7D86AA77"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钢混</w:t>
            </w:r>
          </w:p>
        </w:tc>
        <w:tc>
          <w:tcPr>
            <w:tcW w:w="1604" w:type="dxa"/>
            <w:vAlign w:val="center"/>
          </w:tcPr>
          <w:p w14:paraId="32468FDE"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钢混</w:t>
            </w:r>
          </w:p>
        </w:tc>
        <w:tc>
          <w:tcPr>
            <w:tcW w:w="1605" w:type="dxa"/>
            <w:vAlign w:val="center"/>
          </w:tcPr>
          <w:p w14:paraId="5809FC35"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钢混</w:t>
            </w:r>
          </w:p>
        </w:tc>
      </w:tr>
      <w:tr w:rsidR="00000000" w14:paraId="7B874D73" w14:textId="77777777">
        <w:trPr>
          <w:cantSplit/>
          <w:jc w:val="center"/>
        </w:trPr>
        <w:tc>
          <w:tcPr>
            <w:tcW w:w="994" w:type="dxa"/>
            <w:vMerge/>
            <w:vAlign w:val="center"/>
          </w:tcPr>
          <w:p w14:paraId="0BCB1813" w14:textId="77777777" w:rsidR="00000000" w:rsidRDefault="00000000">
            <w:pPr>
              <w:widowControl/>
              <w:spacing w:line="240" w:lineRule="exact"/>
              <w:rPr>
                <w:rFonts w:ascii="华文细黑" w:eastAsia="华文细黑" w:hAnsi="华文细黑" w:cs="Arial"/>
                <w:color w:val="000000"/>
                <w:sz w:val="18"/>
                <w:szCs w:val="18"/>
              </w:rPr>
            </w:pPr>
          </w:p>
        </w:tc>
        <w:tc>
          <w:tcPr>
            <w:tcW w:w="1888" w:type="dxa"/>
            <w:noWrap/>
            <w:vAlign w:val="center"/>
          </w:tcPr>
          <w:p w14:paraId="09674176"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内部装修</w:t>
            </w:r>
          </w:p>
        </w:tc>
        <w:tc>
          <w:tcPr>
            <w:tcW w:w="1604" w:type="dxa"/>
            <w:vAlign w:val="center"/>
          </w:tcPr>
          <w:p w14:paraId="5946F3F4" w14:textId="77777777" w:rsidR="00000000" w:rsidRDefault="00000000">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毛坯</w:t>
            </w:r>
          </w:p>
        </w:tc>
        <w:tc>
          <w:tcPr>
            <w:tcW w:w="1604" w:type="dxa"/>
            <w:vAlign w:val="center"/>
          </w:tcPr>
          <w:p w14:paraId="1209B84D"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普通装修</w:t>
            </w:r>
          </w:p>
        </w:tc>
        <w:tc>
          <w:tcPr>
            <w:tcW w:w="1604" w:type="dxa"/>
            <w:vAlign w:val="center"/>
          </w:tcPr>
          <w:p w14:paraId="19F02197"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普通装修</w:t>
            </w:r>
          </w:p>
        </w:tc>
        <w:tc>
          <w:tcPr>
            <w:tcW w:w="1605" w:type="dxa"/>
            <w:vAlign w:val="center"/>
          </w:tcPr>
          <w:p w14:paraId="2C455980" w14:textId="77777777" w:rsidR="00000000" w:rsidRDefault="00000000">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普通装修</w:t>
            </w:r>
          </w:p>
        </w:tc>
      </w:tr>
      <w:tr w:rsidR="00000000" w14:paraId="442A00A8" w14:textId="77777777">
        <w:trPr>
          <w:cantSplit/>
          <w:jc w:val="center"/>
        </w:trPr>
        <w:tc>
          <w:tcPr>
            <w:tcW w:w="994" w:type="dxa"/>
            <w:vMerge/>
            <w:vAlign w:val="center"/>
          </w:tcPr>
          <w:p w14:paraId="10B33FB3" w14:textId="77777777" w:rsidR="00000000" w:rsidRDefault="00000000">
            <w:pPr>
              <w:widowControl/>
              <w:spacing w:line="240" w:lineRule="exact"/>
              <w:rPr>
                <w:rFonts w:ascii="华文细黑" w:eastAsia="华文细黑" w:hAnsi="华文细黑" w:cs="Arial"/>
                <w:color w:val="000000"/>
                <w:sz w:val="18"/>
                <w:szCs w:val="18"/>
              </w:rPr>
            </w:pPr>
          </w:p>
        </w:tc>
        <w:tc>
          <w:tcPr>
            <w:tcW w:w="1888" w:type="dxa"/>
            <w:noWrap/>
            <w:vAlign w:val="center"/>
          </w:tcPr>
          <w:p w14:paraId="479F6083" w14:textId="77777777" w:rsidR="00000000" w:rsidRDefault="00000000">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604" w:type="dxa"/>
          </w:tcPr>
          <w:p w14:paraId="48465B0E" w14:textId="77777777" w:rsidR="00000000" w:rsidRDefault="00000000">
            <w:pPr>
              <w:wordWrap w:val="0"/>
              <w:overflowPunct w:val="0"/>
              <w:spacing w:line="240" w:lineRule="exact"/>
              <w:rPr>
                <w:rFonts w:ascii="Arial" w:eastAsia="华文细黑" w:hAnsi="Arial"/>
                <w:sz w:val="18"/>
              </w:rPr>
            </w:pPr>
            <w:r>
              <w:rPr>
                <w:rFonts w:ascii="Arial" w:eastAsia="华文细黑" w:hAnsi="Arial" w:hint="eastAsia"/>
                <w:sz w:val="18"/>
              </w:rPr>
              <w:t>90-100%</w:t>
            </w:r>
          </w:p>
        </w:tc>
        <w:tc>
          <w:tcPr>
            <w:tcW w:w="1604" w:type="dxa"/>
          </w:tcPr>
          <w:p w14:paraId="4E1FFD47"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80-90%</w:t>
            </w:r>
          </w:p>
        </w:tc>
        <w:tc>
          <w:tcPr>
            <w:tcW w:w="1604" w:type="dxa"/>
          </w:tcPr>
          <w:p w14:paraId="3C447ACA"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80-90%</w:t>
            </w:r>
          </w:p>
        </w:tc>
        <w:tc>
          <w:tcPr>
            <w:tcW w:w="1605" w:type="dxa"/>
          </w:tcPr>
          <w:p w14:paraId="2A2763BD" w14:textId="77777777" w:rsidR="00000000" w:rsidRDefault="00000000">
            <w:pPr>
              <w:wordWrap w:val="0"/>
              <w:overflowPunct w:val="0"/>
              <w:spacing w:line="240" w:lineRule="exact"/>
              <w:rPr>
                <w:rFonts w:ascii="华文细黑" w:eastAsia="华文细黑" w:hAnsi="华文细黑" w:cs="Arial"/>
                <w:color w:val="000000"/>
                <w:sz w:val="18"/>
                <w:szCs w:val="18"/>
              </w:rPr>
            </w:pPr>
            <w:r>
              <w:rPr>
                <w:rFonts w:ascii="Arial" w:eastAsia="华文细黑" w:hAnsi="Arial" w:hint="eastAsia"/>
                <w:sz w:val="18"/>
              </w:rPr>
              <w:t>80-90%</w:t>
            </w:r>
          </w:p>
        </w:tc>
      </w:tr>
      <w:tr w:rsidR="00000000" w14:paraId="5AE07DA9" w14:textId="77777777">
        <w:trPr>
          <w:cantSplit/>
          <w:jc w:val="center"/>
        </w:trPr>
        <w:tc>
          <w:tcPr>
            <w:tcW w:w="994" w:type="dxa"/>
            <w:vMerge/>
            <w:vAlign w:val="center"/>
          </w:tcPr>
          <w:p w14:paraId="1A681350" w14:textId="77777777" w:rsidR="00000000" w:rsidRDefault="00000000">
            <w:pPr>
              <w:widowControl/>
              <w:spacing w:line="240" w:lineRule="exact"/>
              <w:rPr>
                <w:rFonts w:ascii="华文细黑" w:eastAsia="华文细黑" w:hAnsi="华文细黑" w:cs="Arial"/>
                <w:color w:val="000000"/>
                <w:sz w:val="18"/>
                <w:szCs w:val="18"/>
              </w:rPr>
            </w:pPr>
          </w:p>
        </w:tc>
        <w:tc>
          <w:tcPr>
            <w:tcW w:w="1888" w:type="dxa"/>
            <w:noWrap/>
          </w:tcPr>
          <w:p w14:paraId="25B99538" w14:textId="77777777" w:rsidR="00000000" w:rsidRDefault="00000000">
            <w:pPr>
              <w:wordWrap w:val="0"/>
              <w:overflowPunct w:val="0"/>
              <w:spacing w:line="240" w:lineRule="exact"/>
              <w:rPr>
                <w:rFonts w:ascii="华文细黑" w:eastAsia="华文细黑" w:hAnsi="华文细黑" w:cs="Arial" w:hint="eastAsia"/>
                <w:color w:val="000000"/>
                <w:sz w:val="18"/>
                <w:szCs w:val="18"/>
              </w:rPr>
            </w:pPr>
            <w:r>
              <w:rPr>
                <w:rFonts w:ascii="Arial" w:eastAsia="华文细黑" w:hAnsi="Arial" w:hint="eastAsia"/>
                <w:sz w:val="18"/>
              </w:rPr>
              <w:t>物业管理</w:t>
            </w:r>
          </w:p>
        </w:tc>
        <w:tc>
          <w:tcPr>
            <w:tcW w:w="1604" w:type="dxa"/>
          </w:tcPr>
          <w:p w14:paraId="5B9E3ED0"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专业物业公司管理</w:t>
            </w:r>
          </w:p>
        </w:tc>
        <w:tc>
          <w:tcPr>
            <w:tcW w:w="1604" w:type="dxa"/>
          </w:tcPr>
          <w:p w14:paraId="60DC979D"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专业物业公司管理</w:t>
            </w:r>
          </w:p>
        </w:tc>
        <w:tc>
          <w:tcPr>
            <w:tcW w:w="1604" w:type="dxa"/>
          </w:tcPr>
          <w:p w14:paraId="09B14B03"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专业物业公司管理</w:t>
            </w:r>
          </w:p>
        </w:tc>
        <w:tc>
          <w:tcPr>
            <w:tcW w:w="1605" w:type="dxa"/>
          </w:tcPr>
          <w:p w14:paraId="719777EC" w14:textId="77777777" w:rsidR="00000000" w:rsidRDefault="00000000">
            <w:pPr>
              <w:wordWrap w:val="0"/>
              <w:overflowPunct w:val="0"/>
              <w:spacing w:line="240" w:lineRule="exact"/>
              <w:rPr>
                <w:rFonts w:ascii="Arial" w:eastAsia="华文细黑" w:hAnsi="Arial" w:hint="eastAsia"/>
                <w:sz w:val="18"/>
              </w:rPr>
            </w:pPr>
            <w:r>
              <w:rPr>
                <w:rFonts w:ascii="Arial" w:eastAsia="华文细黑" w:hAnsi="Arial" w:hint="eastAsia"/>
                <w:sz w:val="18"/>
              </w:rPr>
              <w:t>专业物业公司管理</w:t>
            </w:r>
          </w:p>
        </w:tc>
      </w:tr>
    </w:tbl>
    <w:p w14:paraId="7141B002" w14:textId="77777777" w:rsidR="00000000" w:rsidRDefault="00000000">
      <w:pPr>
        <w:spacing w:beforeLines="50" w:before="120" w:line="480" w:lineRule="auto"/>
        <w:ind w:firstLineChars="196" w:firstLine="412"/>
        <w:jc w:val="both"/>
        <w:rPr>
          <w:rFonts w:ascii="Arial" w:hAnsi="Arial" w:cs="Arial" w:hint="eastAsia"/>
          <w:sz w:val="21"/>
          <w:szCs w:val="21"/>
        </w:rPr>
      </w:pPr>
      <w:r>
        <w:rPr>
          <w:rFonts w:ascii="Arial" w:hAnsi="Arial" w:cs="Arial" w:hint="eastAsia"/>
          <w:sz w:val="21"/>
          <w:szCs w:val="21"/>
        </w:rPr>
        <w:br w:type="page"/>
      </w:r>
      <w:r>
        <w:rPr>
          <w:rFonts w:ascii="Arial" w:hAnsi="Arial" w:cs="Arial" w:hint="eastAsia"/>
          <w:sz w:val="21"/>
          <w:szCs w:val="21"/>
        </w:rPr>
        <w:lastRenderedPageBreak/>
        <w:t>5.</w:t>
      </w:r>
      <w:r>
        <w:rPr>
          <w:rFonts w:ascii="Arial" w:hAnsi="Arial" w:cs="Arial" w:hint="eastAsia"/>
          <w:sz w:val="21"/>
          <w:szCs w:val="21"/>
        </w:rPr>
        <w:t>编制因素修正及调整系数表（见表</w:t>
      </w:r>
      <w:r>
        <w:rPr>
          <w:rFonts w:ascii="Arial" w:hAnsi="Arial" w:cs="Arial" w:hint="eastAsia"/>
          <w:sz w:val="21"/>
          <w:szCs w:val="21"/>
        </w:rPr>
        <w:t>2</w:t>
      </w:r>
      <w:r>
        <w:rPr>
          <w:rFonts w:ascii="Arial" w:hAnsi="Arial" w:cs="Arial" w:hint="eastAsia"/>
          <w:sz w:val="21"/>
          <w:szCs w:val="21"/>
        </w:rPr>
        <w:t>）</w:t>
      </w:r>
    </w:p>
    <w:p w14:paraId="000A20FC" w14:textId="77777777" w:rsidR="00000000" w:rsidRDefault="00000000">
      <w:pPr>
        <w:spacing w:line="360" w:lineRule="auto"/>
        <w:jc w:val="center"/>
        <w:rPr>
          <w:rFonts w:ascii="Arial" w:eastAsia="方正黑体简体" w:hAnsi="Arial" w:cs="Arial"/>
          <w:bCs/>
          <w:szCs w:val="24"/>
        </w:rPr>
      </w:pPr>
      <w:r>
        <w:rPr>
          <w:rFonts w:ascii="Arial" w:eastAsia="方正黑体简体" w:hAnsi="Arial" w:cs="Arial" w:hint="eastAsia"/>
          <w:bCs/>
          <w:szCs w:val="24"/>
        </w:rPr>
        <w:t>表</w:t>
      </w:r>
      <w:r>
        <w:rPr>
          <w:rFonts w:ascii="Arial" w:eastAsia="方正黑体简体" w:hAnsi="Arial" w:cs="Arial" w:hint="eastAsia"/>
          <w:bCs/>
          <w:szCs w:val="24"/>
        </w:rPr>
        <w:t>2</w:t>
      </w:r>
      <w:r>
        <w:rPr>
          <w:rFonts w:ascii="Arial" w:eastAsia="方正黑体简体" w:hAnsi="Arial" w:cs="Arial" w:hint="eastAsia"/>
          <w:bCs/>
          <w:szCs w:val="24"/>
        </w:rPr>
        <w:t>：比较因素条件指数表</w:t>
      </w:r>
    </w:p>
    <w:tbl>
      <w:tblPr>
        <w:tblW w:w="9299" w:type="dxa"/>
        <w:jc w:val="cente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559"/>
        <w:gridCol w:w="2352"/>
        <w:gridCol w:w="1597"/>
        <w:gridCol w:w="1597"/>
        <w:gridCol w:w="1597"/>
        <w:gridCol w:w="1597"/>
      </w:tblGrid>
      <w:tr w:rsidR="00000000" w14:paraId="61CBEC97" w14:textId="77777777">
        <w:trPr>
          <w:cantSplit/>
          <w:tblHeader/>
          <w:jc w:val="center"/>
        </w:trPr>
        <w:tc>
          <w:tcPr>
            <w:tcW w:w="2911" w:type="dxa"/>
            <w:gridSpan w:val="2"/>
            <w:noWrap/>
            <w:vAlign w:val="center"/>
          </w:tcPr>
          <w:p w14:paraId="1FA01886"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比较因素</w:t>
            </w:r>
          </w:p>
        </w:tc>
        <w:tc>
          <w:tcPr>
            <w:tcW w:w="1597" w:type="dxa"/>
            <w:vAlign w:val="center"/>
          </w:tcPr>
          <w:p w14:paraId="5BD99044"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估价对象</w:t>
            </w:r>
          </w:p>
        </w:tc>
        <w:tc>
          <w:tcPr>
            <w:tcW w:w="1597" w:type="dxa"/>
            <w:vAlign w:val="center"/>
          </w:tcPr>
          <w:p w14:paraId="44806209"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案例：</w:t>
            </w:r>
            <w:r>
              <w:rPr>
                <w:rFonts w:ascii="Arial" w:eastAsia="华文细黑" w:hAnsi="Arial" w:cs="Arial"/>
                <w:sz w:val="18"/>
                <w:szCs w:val="18"/>
              </w:rPr>
              <w:t>A</w:t>
            </w:r>
          </w:p>
        </w:tc>
        <w:tc>
          <w:tcPr>
            <w:tcW w:w="1597" w:type="dxa"/>
            <w:vAlign w:val="center"/>
          </w:tcPr>
          <w:p w14:paraId="0C3DCB3D"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案例：</w:t>
            </w:r>
            <w:r>
              <w:rPr>
                <w:rFonts w:ascii="Arial" w:eastAsia="华文细黑" w:hAnsi="Arial" w:cs="Arial"/>
                <w:sz w:val="18"/>
                <w:szCs w:val="18"/>
              </w:rPr>
              <w:t>B</w:t>
            </w:r>
          </w:p>
        </w:tc>
        <w:tc>
          <w:tcPr>
            <w:tcW w:w="1597" w:type="dxa"/>
            <w:vAlign w:val="center"/>
          </w:tcPr>
          <w:p w14:paraId="39AAA014"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案例：</w:t>
            </w:r>
            <w:r>
              <w:rPr>
                <w:rFonts w:ascii="Arial" w:eastAsia="华文细黑" w:hAnsi="Arial" w:cs="Arial"/>
                <w:sz w:val="18"/>
                <w:szCs w:val="18"/>
              </w:rPr>
              <w:t>C</w:t>
            </w:r>
          </w:p>
        </w:tc>
      </w:tr>
      <w:tr w:rsidR="00000000" w14:paraId="17A1F22A" w14:textId="77777777">
        <w:trPr>
          <w:jc w:val="center"/>
        </w:trPr>
        <w:tc>
          <w:tcPr>
            <w:tcW w:w="2911" w:type="dxa"/>
            <w:gridSpan w:val="2"/>
            <w:noWrap/>
            <w:vAlign w:val="center"/>
          </w:tcPr>
          <w:p w14:paraId="67404813" w14:textId="77777777" w:rsidR="00000000" w:rsidRDefault="00000000">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交易情况</w:t>
            </w:r>
          </w:p>
        </w:tc>
        <w:tc>
          <w:tcPr>
            <w:tcW w:w="1597" w:type="dxa"/>
            <w:vAlign w:val="center"/>
          </w:tcPr>
          <w:p w14:paraId="2819FE56"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083EDF45"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w:t>
            </w:r>
            <w:r>
              <w:rPr>
                <w:rFonts w:ascii="Arial" w:eastAsia="华文细黑" w:hAnsi="Arial" w:cs="Arial" w:hint="eastAsia"/>
                <w:sz w:val="18"/>
                <w:szCs w:val="18"/>
              </w:rPr>
              <w:t>12</w:t>
            </w:r>
          </w:p>
        </w:tc>
        <w:tc>
          <w:tcPr>
            <w:tcW w:w="1597" w:type="dxa"/>
            <w:vAlign w:val="center"/>
          </w:tcPr>
          <w:p w14:paraId="6F080C1E"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w:t>
            </w:r>
            <w:r>
              <w:rPr>
                <w:rFonts w:ascii="Arial" w:eastAsia="华文细黑" w:hAnsi="Arial" w:cs="Arial" w:hint="eastAsia"/>
                <w:sz w:val="18"/>
                <w:szCs w:val="18"/>
              </w:rPr>
              <w:t>12</w:t>
            </w:r>
          </w:p>
        </w:tc>
        <w:tc>
          <w:tcPr>
            <w:tcW w:w="1597" w:type="dxa"/>
            <w:vAlign w:val="center"/>
          </w:tcPr>
          <w:p w14:paraId="22C5C1A1"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w:t>
            </w:r>
            <w:r>
              <w:rPr>
                <w:rFonts w:ascii="Arial" w:eastAsia="华文细黑" w:hAnsi="Arial" w:cs="Arial" w:hint="eastAsia"/>
                <w:sz w:val="18"/>
                <w:szCs w:val="18"/>
              </w:rPr>
              <w:t>12</w:t>
            </w:r>
          </w:p>
        </w:tc>
      </w:tr>
      <w:tr w:rsidR="00000000" w14:paraId="7F0FF96F" w14:textId="77777777">
        <w:trPr>
          <w:jc w:val="center"/>
        </w:trPr>
        <w:tc>
          <w:tcPr>
            <w:tcW w:w="559" w:type="dxa"/>
            <w:vMerge w:val="restart"/>
            <w:vAlign w:val="center"/>
          </w:tcPr>
          <w:p w14:paraId="3AD40355"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权益状况</w:t>
            </w:r>
          </w:p>
        </w:tc>
        <w:tc>
          <w:tcPr>
            <w:tcW w:w="2352" w:type="dxa"/>
            <w:noWrap/>
            <w:vAlign w:val="center"/>
          </w:tcPr>
          <w:p w14:paraId="7290B80E"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用途</w:t>
            </w:r>
          </w:p>
        </w:tc>
        <w:tc>
          <w:tcPr>
            <w:tcW w:w="1597" w:type="dxa"/>
            <w:vAlign w:val="center"/>
          </w:tcPr>
          <w:p w14:paraId="34F1EBAB"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3FEADF41"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30839C2D"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440B42D7"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000000" w14:paraId="51374CA8" w14:textId="77777777">
        <w:trPr>
          <w:jc w:val="center"/>
        </w:trPr>
        <w:tc>
          <w:tcPr>
            <w:tcW w:w="559" w:type="dxa"/>
            <w:vMerge/>
            <w:vAlign w:val="center"/>
          </w:tcPr>
          <w:p w14:paraId="22E11488" w14:textId="77777777" w:rsidR="00000000" w:rsidRDefault="00000000">
            <w:pPr>
              <w:widowControl/>
              <w:spacing w:line="240" w:lineRule="exact"/>
              <w:rPr>
                <w:rFonts w:ascii="华文细黑" w:eastAsia="华文细黑" w:hAnsi="华文细黑" w:cs="Arial"/>
                <w:sz w:val="18"/>
                <w:szCs w:val="18"/>
              </w:rPr>
            </w:pPr>
          </w:p>
        </w:tc>
        <w:tc>
          <w:tcPr>
            <w:tcW w:w="2352" w:type="dxa"/>
            <w:noWrap/>
            <w:vAlign w:val="center"/>
          </w:tcPr>
          <w:p w14:paraId="2FDD6CF7"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highlight w:val="lightGray"/>
              </w:rPr>
              <w:t>权利性质</w:t>
            </w:r>
          </w:p>
        </w:tc>
        <w:tc>
          <w:tcPr>
            <w:tcW w:w="1597" w:type="dxa"/>
            <w:vAlign w:val="center"/>
          </w:tcPr>
          <w:p w14:paraId="5CAA051D"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01930B05"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011A7E5C"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706E4418"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000000" w14:paraId="2E3C2480" w14:textId="77777777">
        <w:trPr>
          <w:jc w:val="center"/>
        </w:trPr>
        <w:tc>
          <w:tcPr>
            <w:tcW w:w="559" w:type="dxa"/>
            <w:vAlign w:val="center"/>
          </w:tcPr>
          <w:p w14:paraId="5184A4F8"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市场状况</w:t>
            </w:r>
          </w:p>
        </w:tc>
        <w:tc>
          <w:tcPr>
            <w:tcW w:w="2352" w:type="dxa"/>
            <w:noWrap/>
            <w:vAlign w:val="center"/>
          </w:tcPr>
          <w:p w14:paraId="68B9930F"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交易时间</w:t>
            </w:r>
          </w:p>
        </w:tc>
        <w:tc>
          <w:tcPr>
            <w:tcW w:w="1597" w:type="dxa"/>
            <w:vAlign w:val="center"/>
          </w:tcPr>
          <w:p w14:paraId="324BA5E7"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1B2867A3"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781C8E16"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7A83D2D5"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000000" w14:paraId="02084B52" w14:textId="77777777">
        <w:trPr>
          <w:jc w:val="center"/>
        </w:trPr>
        <w:tc>
          <w:tcPr>
            <w:tcW w:w="559" w:type="dxa"/>
            <w:vMerge w:val="restart"/>
            <w:vAlign w:val="center"/>
          </w:tcPr>
          <w:p w14:paraId="5451045C"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区位状况</w:t>
            </w:r>
          </w:p>
        </w:tc>
        <w:tc>
          <w:tcPr>
            <w:tcW w:w="2352" w:type="dxa"/>
            <w:noWrap/>
            <w:vAlign w:val="center"/>
          </w:tcPr>
          <w:p w14:paraId="432130A9"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商业繁华度</w:t>
            </w:r>
          </w:p>
        </w:tc>
        <w:tc>
          <w:tcPr>
            <w:tcW w:w="1597" w:type="dxa"/>
            <w:vAlign w:val="center"/>
          </w:tcPr>
          <w:p w14:paraId="6B54AB2B"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2A37806A"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2E463CA6"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5791737C"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000000" w14:paraId="2825FC30" w14:textId="77777777">
        <w:trPr>
          <w:jc w:val="center"/>
        </w:trPr>
        <w:tc>
          <w:tcPr>
            <w:tcW w:w="559" w:type="dxa"/>
            <w:vMerge/>
            <w:vAlign w:val="center"/>
          </w:tcPr>
          <w:p w14:paraId="133E3227" w14:textId="77777777" w:rsidR="00000000" w:rsidRDefault="00000000">
            <w:pPr>
              <w:widowControl/>
              <w:spacing w:line="240" w:lineRule="exact"/>
              <w:rPr>
                <w:rFonts w:ascii="华文细黑" w:eastAsia="华文细黑" w:hAnsi="华文细黑" w:cs="Arial"/>
                <w:sz w:val="18"/>
                <w:szCs w:val="18"/>
              </w:rPr>
            </w:pPr>
          </w:p>
        </w:tc>
        <w:tc>
          <w:tcPr>
            <w:tcW w:w="2352" w:type="dxa"/>
            <w:noWrap/>
            <w:vAlign w:val="center"/>
          </w:tcPr>
          <w:p w14:paraId="5416BFD6"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交通便捷度</w:t>
            </w:r>
          </w:p>
        </w:tc>
        <w:tc>
          <w:tcPr>
            <w:tcW w:w="1597" w:type="dxa"/>
            <w:vAlign w:val="center"/>
          </w:tcPr>
          <w:p w14:paraId="07CA5208"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77B9B5D9"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2A8247D6"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630A95E9"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000000" w14:paraId="4BB7407B" w14:textId="77777777">
        <w:trPr>
          <w:jc w:val="center"/>
        </w:trPr>
        <w:tc>
          <w:tcPr>
            <w:tcW w:w="559" w:type="dxa"/>
            <w:vMerge/>
            <w:vAlign w:val="center"/>
          </w:tcPr>
          <w:p w14:paraId="54489088" w14:textId="77777777" w:rsidR="00000000" w:rsidRDefault="00000000">
            <w:pPr>
              <w:widowControl/>
              <w:spacing w:line="240" w:lineRule="exact"/>
              <w:rPr>
                <w:rFonts w:ascii="华文细黑" w:eastAsia="华文细黑" w:hAnsi="华文细黑" w:cs="Arial"/>
                <w:sz w:val="18"/>
                <w:szCs w:val="18"/>
              </w:rPr>
            </w:pPr>
          </w:p>
        </w:tc>
        <w:tc>
          <w:tcPr>
            <w:tcW w:w="2352" w:type="dxa"/>
            <w:noWrap/>
            <w:vAlign w:val="center"/>
          </w:tcPr>
          <w:p w14:paraId="7EDD9C1A"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公共配套设施</w:t>
            </w:r>
          </w:p>
        </w:tc>
        <w:tc>
          <w:tcPr>
            <w:tcW w:w="1597" w:type="dxa"/>
            <w:vAlign w:val="center"/>
          </w:tcPr>
          <w:p w14:paraId="16BA8477"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0C7875D1"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044C8954"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073D0A0D"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000000" w14:paraId="30752375" w14:textId="77777777">
        <w:trPr>
          <w:jc w:val="center"/>
        </w:trPr>
        <w:tc>
          <w:tcPr>
            <w:tcW w:w="559" w:type="dxa"/>
            <w:vMerge/>
            <w:vAlign w:val="center"/>
          </w:tcPr>
          <w:p w14:paraId="50318B85" w14:textId="77777777" w:rsidR="00000000" w:rsidRDefault="00000000">
            <w:pPr>
              <w:widowControl/>
              <w:spacing w:line="240" w:lineRule="exact"/>
              <w:rPr>
                <w:rFonts w:ascii="华文细黑" w:eastAsia="华文细黑" w:hAnsi="华文细黑" w:cs="Arial"/>
                <w:sz w:val="18"/>
                <w:szCs w:val="18"/>
              </w:rPr>
            </w:pPr>
          </w:p>
        </w:tc>
        <w:tc>
          <w:tcPr>
            <w:tcW w:w="2352" w:type="dxa"/>
            <w:noWrap/>
            <w:vAlign w:val="center"/>
          </w:tcPr>
          <w:p w14:paraId="17C2492E"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基础设施水平</w:t>
            </w:r>
          </w:p>
        </w:tc>
        <w:tc>
          <w:tcPr>
            <w:tcW w:w="1597" w:type="dxa"/>
            <w:vAlign w:val="center"/>
          </w:tcPr>
          <w:p w14:paraId="137E37B7"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6C2C1E53"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739454DA"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1C883565"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000000" w14:paraId="72828A36" w14:textId="77777777">
        <w:trPr>
          <w:jc w:val="center"/>
        </w:trPr>
        <w:tc>
          <w:tcPr>
            <w:tcW w:w="559" w:type="dxa"/>
            <w:vMerge/>
            <w:vAlign w:val="center"/>
          </w:tcPr>
          <w:p w14:paraId="18DE0916" w14:textId="77777777" w:rsidR="00000000" w:rsidRDefault="00000000">
            <w:pPr>
              <w:widowControl/>
              <w:spacing w:line="240" w:lineRule="exact"/>
              <w:rPr>
                <w:rFonts w:ascii="华文细黑" w:eastAsia="华文细黑" w:hAnsi="华文细黑" w:cs="Arial"/>
                <w:sz w:val="18"/>
                <w:szCs w:val="18"/>
              </w:rPr>
            </w:pPr>
          </w:p>
        </w:tc>
        <w:tc>
          <w:tcPr>
            <w:tcW w:w="2352" w:type="dxa"/>
            <w:noWrap/>
            <w:vAlign w:val="center"/>
          </w:tcPr>
          <w:p w14:paraId="190F52B5"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自然及人文环境</w:t>
            </w:r>
          </w:p>
        </w:tc>
        <w:tc>
          <w:tcPr>
            <w:tcW w:w="1597" w:type="dxa"/>
            <w:vAlign w:val="center"/>
          </w:tcPr>
          <w:p w14:paraId="7BE4A8B1"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0E287E52"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4282D88B"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30BA34A6"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000000" w14:paraId="0EAAE3F9" w14:textId="77777777">
        <w:trPr>
          <w:jc w:val="center"/>
        </w:trPr>
        <w:tc>
          <w:tcPr>
            <w:tcW w:w="559" w:type="dxa"/>
            <w:vMerge/>
            <w:vAlign w:val="center"/>
          </w:tcPr>
          <w:p w14:paraId="14FD2584" w14:textId="77777777" w:rsidR="00000000" w:rsidRDefault="00000000">
            <w:pPr>
              <w:widowControl/>
              <w:spacing w:line="240" w:lineRule="exact"/>
              <w:rPr>
                <w:rFonts w:ascii="华文细黑" w:eastAsia="华文细黑" w:hAnsi="华文细黑" w:cs="Arial"/>
                <w:sz w:val="18"/>
                <w:szCs w:val="18"/>
              </w:rPr>
            </w:pPr>
          </w:p>
        </w:tc>
        <w:tc>
          <w:tcPr>
            <w:tcW w:w="2352" w:type="dxa"/>
            <w:noWrap/>
            <w:vAlign w:val="center"/>
          </w:tcPr>
          <w:p w14:paraId="4E950202"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临街状况</w:t>
            </w:r>
          </w:p>
        </w:tc>
        <w:tc>
          <w:tcPr>
            <w:tcW w:w="1597" w:type="dxa"/>
            <w:vAlign w:val="center"/>
          </w:tcPr>
          <w:p w14:paraId="457AE463"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169885C1"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74500424"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3CBBE0C6"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000000" w14:paraId="1F2B054E" w14:textId="77777777">
        <w:trPr>
          <w:jc w:val="center"/>
        </w:trPr>
        <w:tc>
          <w:tcPr>
            <w:tcW w:w="559" w:type="dxa"/>
            <w:vMerge/>
            <w:vAlign w:val="center"/>
          </w:tcPr>
          <w:p w14:paraId="4CF88B57" w14:textId="77777777" w:rsidR="00000000" w:rsidRDefault="00000000">
            <w:pPr>
              <w:widowControl/>
              <w:spacing w:line="240" w:lineRule="exact"/>
              <w:rPr>
                <w:rFonts w:ascii="华文细黑" w:eastAsia="华文细黑" w:hAnsi="华文细黑" w:cs="Arial"/>
                <w:sz w:val="18"/>
                <w:szCs w:val="18"/>
              </w:rPr>
            </w:pPr>
          </w:p>
        </w:tc>
        <w:tc>
          <w:tcPr>
            <w:tcW w:w="2352" w:type="dxa"/>
            <w:noWrap/>
            <w:vAlign w:val="center"/>
          </w:tcPr>
          <w:p w14:paraId="7606782C"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人流量</w:t>
            </w:r>
          </w:p>
        </w:tc>
        <w:tc>
          <w:tcPr>
            <w:tcW w:w="1597" w:type="dxa"/>
            <w:vAlign w:val="center"/>
          </w:tcPr>
          <w:p w14:paraId="713D1B94"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5057F6AC"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599F12B4"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469D64A6"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000000" w14:paraId="06627669" w14:textId="77777777">
        <w:trPr>
          <w:jc w:val="center"/>
        </w:trPr>
        <w:tc>
          <w:tcPr>
            <w:tcW w:w="559" w:type="dxa"/>
            <w:vMerge/>
            <w:vAlign w:val="center"/>
          </w:tcPr>
          <w:p w14:paraId="5077425F" w14:textId="77777777" w:rsidR="00000000" w:rsidRDefault="00000000">
            <w:pPr>
              <w:widowControl/>
              <w:spacing w:line="240" w:lineRule="exact"/>
              <w:rPr>
                <w:rFonts w:ascii="华文细黑" w:eastAsia="华文细黑" w:hAnsi="华文细黑" w:cs="Arial"/>
                <w:sz w:val="18"/>
                <w:szCs w:val="18"/>
              </w:rPr>
            </w:pPr>
          </w:p>
        </w:tc>
        <w:tc>
          <w:tcPr>
            <w:tcW w:w="2352" w:type="dxa"/>
            <w:noWrap/>
            <w:vAlign w:val="center"/>
          </w:tcPr>
          <w:p w14:paraId="0A3A29D4"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楼层</w:t>
            </w:r>
          </w:p>
        </w:tc>
        <w:tc>
          <w:tcPr>
            <w:tcW w:w="1597" w:type="dxa"/>
            <w:vAlign w:val="center"/>
          </w:tcPr>
          <w:p w14:paraId="74637265"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2628785E"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799E625F"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4C30C781"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000000" w14:paraId="0AE0FC8F" w14:textId="77777777">
        <w:trPr>
          <w:jc w:val="center"/>
        </w:trPr>
        <w:tc>
          <w:tcPr>
            <w:tcW w:w="559" w:type="dxa"/>
            <w:vMerge w:val="restart"/>
            <w:vAlign w:val="center"/>
          </w:tcPr>
          <w:p w14:paraId="0A6545C2"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实物状况</w:t>
            </w:r>
          </w:p>
        </w:tc>
        <w:tc>
          <w:tcPr>
            <w:tcW w:w="2352" w:type="dxa"/>
            <w:noWrap/>
            <w:vAlign w:val="center"/>
          </w:tcPr>
          <w:p w14:paraId="6A31CC03"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商业类型</w:t>
            </w:r>
          </w:p>
        </w:tc>
        <w:tc>
          <w:tcPr>
            <w:tcW w:w="1597" w:type="dxa"/>
            <w:vAlign w:val="center"/>
          </w:tcPr>
          <w:p w14:paraId="136C7332"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428C126A"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94</w:t>
            </w:r>
          </w:p>
        </w:tc>
        <w:tc>
          <w:tcPr>
            <w:tcW w:w="1597" w:type="dxa"/>
            <w:vAlign w:val="center"/>
          </w:tcPr>
          <w:p w14:paraId="12AB50C4"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51462407"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94</w:t>
            </w:r>
          </w:p>
        </w:tc>
      </w:tr>
      <w:tr w:rsidR="00000000" w14:paraId="1CB41AD3" w14:textId="77777777">
        <w:trPr>
          <w:jc w:val="center"/>
        </w:trPr>
        <w:tc>
          <w:tcPr>
            <w:tcW w:w="559" w:type="dxa"/>
            <w:vMerge/>
            <w:textDirection w:val="tbRlV"/>
            <w:vAlign w:val="center"/>
          </w:tcPr>
          <w:p w14:paraId="7445AF85" w14:textId="77777777" w:rsidR="00000000" w:rsidRDefault="00000000">
            <w:pPr>
              <w:widowControl/>
              <w:spacing w:line="240" w:lineRule="exact"/>
              <w:rPr>
                <w:rFonts w:ascii="华文细黑" w:eastAsia="华文细黑" w:hAnsi="华文细黑" w:cs="Arial"/>
                <w:sz w:val="18"/>
                <w:szCs w:val="18"/>
              </w:rPr>
            </w:pPr>
          </w:p>
        </w:tc>
        <w:tc>
          <w:tcPr>
            <w:tcW w:w="2352" w:type="dxa"/>
            <w:noWrap/>
            <w:vAlign w:val="center"/>
          </w:tcPr>
          <w:p w14:paraId="306B7CA6"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建筑面积</w:t>
            </w:r>
          </w:p>
        </w:tc>
        <w:tc>
          <w:tcPr>
            <w:tcW w:w="1597" w:type="dxa"/>
            <w:vAlign w:val="center"/>
          </w:tcPr>
          <w:p w14:paraId="2699C58C"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743C4C25" w14:textId="77777777" w:rsidR="00000000" w:rsidRDefault="00000000">
            <w:pPr>
              <w:spacing w:line="240" w:lineRule="exact"/>
              <w:rPr>
                <w:rFonts w:ascii="华文细黑" w:eastAsia="华文细黑" w:hAnsi="华文细黑" w:cs="Arial" w:hint="eastAsia"/>
                <w:sz w:val="18"/>
                <w:szCs w:val="18"/>
              </w:rPr>
            </w:pPr>
            <w:r>
              <w:rPr>
                <w:rFonts w:ascii="Arial" w:eastAsia="华文细黑" w:hAnsi="Arial" w:cs="Arial"/>
                <w:sz w:val="18"/>
                <w:szCs w:val="18"/>
              </w:rPr>
              <w:t>10</w:t>
            </w:r>
            <w:r>
              <w:rPr>
                <w:rFonts w:ascii="Arial" w:eastAsia="华文细黑" w:hAnsi="Arial" w:cs="Arial" w:hint="eastAsia"/>
                <w:sz w:val="18"/>
                <w:szCs w:val="18"/>
              </w:rPr>
              <w:t>2</w:t>
            </w:r>
          </w:p>
        </w:tc>
        <w:tc>
          <w:tcPr>
            <w:tcW w:w="1597" w:type="dxa"/>
            <w:vAlign w:val="center"/>
          </w:tcPr>
          <w:p w14:paraId="484221CD" w14:textId="77777777" w:rsidR="00000000" w:rsidRDefault="00000000">
            <w:pPr>
              <w:spacing w:line="240" w:lineRule="exact"/>
              <w:rPr>
                <w:rFonts w:ascii="华文细黑" w:eastAsia="华文细黑" w:hAnsi="华文细黑" w:cs="Arial" w:hint="eastAsia"/>
                <w:sz w:val="18"/>
                <w:szCs w:val="18"/>
              </w:rPr>
            </w:pPr>
            <w:r>
              <w:rPr>
                <w:rFonts w:ascii="Arial" w:eastAsia="华文细黑" w:hAnsi="Arial" w:cs="Arial"/>
                <w:sz w:val="18"/>
                <w:szCs w:val="18"/>
              </w:rPr>
              <w:t>10</w:t>
            </w:r>
            <w:r>
              <w:rPr>
                <w:rFonts w:ascii="Arial" w:eastAsia="华文细黑" w:hAnsi="Arial" w:cs="Arial" w:hint="eastAsia"/>
                <w:sz w:val="18"/>
                <w:szCs w:val="18"/>
              </w:rPr>
              <w:t>4</w:t>
            </w:r>
          </w:p>
        </w:tc>
        <w:tc>
          <w:tcPr>
            <w:tcW w:w="1597" w:type="dxa"/>
            <w:vAlign w:val="center"/>
          </w:tcPr>
          <w:p w14:paraId="2C1780C7" w14:textId="77777777" w:rsidR="00000000" w:rsidRDefault="00000000">
            <w:pPr>
              <w:spacing w:line="240" w:lineRule="exact"/>
              <w:rPr>
                <w:rFonts w:ascii="华文细黑" w:eastAsia="华文细黑" w:hAnsi="华文细黑" w:cs="Arial" w:hint="eastAsia"/>
                <w:sz w:val="18"/>
                <w:szCs w:val="18"/>
              </w:rPr>
            </w:pPr>
            <w:r>
              <w:rPr>
                <w:rFonts w:ascii="Arial" w:eastAsia="华文细黑" w:hAnsi="Arial" w:cs="Arial"/>
                <w:sz w:val="18"/>
                <w:szCs w:val="18"/>
              </w:rPr>
              <w:t>10</w:t>
            </w:r>
            <w:r>
              <w:rPr>
                <w:rFonts w:ascii="Arial" w:eastAsia="华文细黑" w:hAnsi="Arial" w:cs="Arial" w:hint="eastAsia"/>
                <w:sz w:val="18"/>
                <w:szCs w:val="18"/>
              </w:rPr>
              <w:t>4</w:t>
            </w:r>
          </w:p>
        </w:tc>
      </w:tr>
      <w:tr w:rsidR="00000000" w14:paraId="197D912A" w14:textId="77777777">
        <w:trPr>
          <w:jc w:val="center"/>
        </w:trPr>
        <w:tc>
          <w:tcPr>
            <w:tcW w:w="559" w:type="dxa"/>
            <w:vMerge/>
            <w:vAlign w:val="center"/>
          </w:tcPr>
          <w:p w14:paraId="4475E3E6" w14:textId="77777777" w:rsidR="00000000" w:rsidRDefault="00000000">
            <w:pPr>
              <w:widowControl/>
              <w:spacing w:line="240" w:lineRule="exact"/>
              <w:rPr>
                <w:rFonts w:ascii="华文细黑" w:eastAsia="华文细黑" w:hAnsi="华文细黑" w:cs="Arial"/>
                <w:sz w:val="18"/>
                <w:szCs w:val="18"/>
              </w:rPr>
            </w:pPr>
          </w:p>
        </w:tc>
        <w:tc>
          <w:tcPr>
            <w:tcW w:w="2352" w:type="dxa"/>
            <w:noWrap/>
            <w:vAlign w:val="center"/>
          </w:tcPr>
          <w:p w14:paraId="79B4C0D3"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建筑结构</w:t>
            </w:r>
          </w:p>
        </w:tc>
        <w:tc>
          <w:tcPr>
            <w:tcW w:w="1597" w:type="dxa"/>
            <w:vAlign w:val="center"/>
          </w:tcPr>
          <w:p w14:paraId="2656496D"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574BAE4B"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0D6A48F8"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417DFDC7"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000000" w14:paraId="2E22FC73" w14:textId="77777777">
        <w:trPr>
          <w:jc w:val="center"/>
        </w:trPr>
        <w:tc>
          <w:tcPr>
            <w:tcW w:w="559" w:type="dxa"/>
            <w:vMerge/>
            <w:vAlign w:val="center"/>
          </w:tcPr>
          <w:p w14:paraId="0136B1E2" w14:textId="77777777" w:rsidR="00000000" w:rsidRDefault="00000000">
            <w:pPr>
              <w:widowControl/>
              <w:spacing w:line="240" w:lineRule="exact"/>
              <w:rPr>
                <w:rFonts w:ascii="华文细黑" w:eastAsia="华文细黑" w:hAnsi="华文细黑" w:cs="Arial"/>
                <w:sz w:val="18"/>
                <w:szCs w:val="18"/>
              </w:rPr>
            </w:pPr>
          </w:p>
        </w:tc>
        <w:tc>
          <w:tcPr>
            <w:tcW w:w="2352" w:type="dxa"/>
            <w:noWrap/>
            <w:vAlign w:val="center"/>
          </w:tcPr>
          <w:p w14:paraId="2A52D25E"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内部装修</w:t>
            </w:r>
          </w:p>
        </w:tc>
        <w:tc>
          <w:tcPr>
            <w:tcW w:w="1597" w:type="dxa"/>
            <w:vAlign w:val="center"/>
          </w:tcPr>
          <w:p w14:paraId="465D1A85"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7CCF3266" w14:textId="77777777" w:rsidR="00000000" w:rsidRDefault="00000000">
            <w:pPr>
              <w:spacing w:line="240" w:lineRule="exact"/>
              <w:rPr>
                <w:rFonts w:ascii="华文细黑" w:eastAsia="华文细黑" w:hAnsi="华文细黑" w:cs="Arial" w:hint="eastAsia"/>
                <w:sz w:val="18"/>
                <w:szCs w:val="18"/>
              </w:rPr>
            </w:pPr>
            <w:r>
              <w:rPr>
                <w:rFonts w:ascii="Arial" w:eastAsia="华文细黑" w:hAnsi="Arial" w:cs="Arial"/>
                <w:sz w:val="18"/>
                <w:szCs w:val="18"/>
              </w:rPr>
              <w:t>10</w:t>
            </w:r>
            <w:r>
              <w:rPr>
                <w:rFonts w:ascii="Arial" w:eastAsia="华文细黑" w:hAnsi="Arial" w:cs="Arial" w:hint="eastAsia"/>
                <w:sz w:val="18"/>
                <w:szCs w:val="18"/>
              </w:rPr>
              <w:t>5</w:t>
            </w:r>
          </w:p>
        </w:tc>
        <w:tc>
          <w:tcPr>
            <w:tcW w:w="1597" w:type="dxa"/>
            <w:vAlign w:val="center"/>
          </w:tcPr>
          <w:p w14:paraId="33CD5F8D" w14:textId="77777777" w:rsidR="00000000" w:rsidRDefault="00000000">
            <w:pPr>
              <w:spacing w:line="240" w:lineRule="exact"/>
              <w:rPr>
                <w:rFonts w:ascii="华文细黑" w:eastAsia="华文细黑" w:hAnsi="华文细黑" w:cs="Arial" w:hint="eastAsia"/>
                <w:sz w:val="18"/>
                <w:szCs w:val="18"/>
              </w:rPr>
            </w:pPr>
            <w:r>
              <w:rPr>
                <w:rFonts w:ascii="Arial" w:eastAsia="华文细黑" w:hAnsi="Arial" w:cs="Arial"/>
                <w:sz w:val="18"/>
                <w:szCs w:val="18"/>
              </w:rPr>
              <w:t>10</w:t>
            </w:r>
            <w:r>
              <w:rPr>
                <w:rFonts w:ascii="Arial" w:eastAsia="华文细黑" w:hAnsi="Arial" w:cs="Arial" w:hint="eastAsia"/>
                <w:sz w:val="18"/>
                <w:szCs w:val="18"/>
              </w:rPr>
              <w:t>5</w:t>
            </w:r>
          </w:p>
        </w:tc>
        <w:tc>
          <w:tcPr>
            <w:tcW w:w="1597" w:type="dxa"/>
            <w:vAlign w:val="center"/>
          </w:tcPr>
          <w:p w14:paraId="68D77EA9" w14:textId="77777777" w:rsidR="00000000" w:rsidRDefault="00000000">
            <w:pPr>
              <w:spacing w:line="240" w:lineRule="exact"/>
              <w:rPr>
                <w:rFonts w:ascii="华文细黑" w:eastAsia="华文细黑" w:hAnsi="华文细黑" w:cs="Arial" w:hint="eastAsia"/>
                <w:sz w:val="18"/>
                <w:szCs w:val="18"/>
              </w:rPr>
            </w:pPr>
            <w:r>
              <w:rPr>
                <w:rFonts w:ascii="Arial" w:eastAsia="华文细黑" w:hAnsi="Arial" w:cs="Arial"/>
                <w:sz w:val="18"/>
                <w:szCs w:val="18"/>
              </w:rPr>
              <w:t>10</w:t>
            </w:r>
            <w:r>
              <w:rPr>
                <w:rFonts w:ascii="Arial" w:eastAsia="华文细黑" w:hAnsi="Arial" w:cs="Arial" w:hint="eastAsia"/>
                <w:sz w:val="18"/>
                <w:szCs w:val="18"/>
              </w:rPr>
              <w:t>5</w:t>
            </w:r>
          </w:p>
        </w:tc>
      </w:tr>
      <w:tr w:rsidR="00000000" w14:paraId="27F874F7" w14:textId="77777777">
        <w:trPr>
          <w:jc w:val="center"/>
        </w:trPr>
        <w:tc>
          <w:tcPr>
            <w:tcW w:w="559" w:type="dxa"/>
            <w:vMerge/>
            <w:vAlign w:val="center"/>
          </w:tcPr>
          <w:p w14:paraId="0F3BA691" w14:textId="77777777" w:rsidR="00000000" w:rsidRDefault="00000000">
            <w:pPr>
              <w:widowControl/>
              <w:spacing w:line="240" w:lineRule="exact"/>
              <w:rPr>
                <w:rFonts w:ascii="华文细黑" w:eastAsia="华文细黑" w:hAnsi="华文细黑" w:cs="Arial"/>
                <w:sz w:val="18"/>
                <w:szCs w:val="18"/>
              </w:rPr>
            </w:pPr>
          </w:p>
        </w:tc>
        <w:tc>
          <w:tcPr>
            <w:tcW w:w="2352" w:type="dxa"/>
            <w:noWrap/>
            <w:vAlign w:val="center"/>
          </w:tcPr>
          <w:p w14:paraId="7E71B388" w14:textId="77777777" w:rsidR="00000000" w:rsidRDefault="00000000">
            <w:pPr>
              <w:widowControl/>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成新度</w:t>
            </w:r>
          </w:p>
        </w:tc>
        <w:tc>
          <w:tcPr>
            <w:tcW w:w="1597" w:type="dxa"/>
            <w:vAlign w:val="center"/>
          </w:tcPr>
          <w:p w14:paraId="6B0164B6"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2F818125" w14:textId="77777777" w:rsidR="00000000" w:rsidRDefault="00000000">
            <w:pPr>
              <w:tabs>
                <w:tab w:val="left" w:pos="573"/>
              </w:tabs>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95</w:t>
            </w:r>
          </w:p>
        </w:tc>
        <w:tc>
          <w:tcPr>
            <w:tcW w:w="1597" w:type="dxa"/>
            <w:vAlign w:val="center"/>
          </w:tcPr>
          <w:p w14:paraId="164438FE"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95</w:t>
            </w:r>
          </w:p>
        </w:tc>
        <w:tc>
          <w:tcPr>
            <w:tcW w:w="1597" w:type="dxa"/>
            <w:vAlign w:val="center"/>
          </w:tcPr>
          <w:p w14:paraId="524B25DD"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95</w:t>
            </w:r>
          </w:p>
        </w:tc>
      </w:tr>
      <w:tr w:rsidR="00000000" w14:paraId="41F57500" w14:textId="77777777">
        <w:trPr>
          <w:jc w:val="center"/>
        </w:trPr>
        <w:tc>
          <w:tcPr>
            <w:tcW w:w="559" w:type="dxa"/>
            <w:vMerge/>
            <w:vAlign w:val="center"/>
          </w:tcPr>
          <w:p w14:paraId="01ABEDDE" w14:textId="77777777" w:rsidR="00000000" w:rsidRDefault="00000000">
            <w:pPr>
              <w:widowControl/>
              <w:spacing w:line="240" w:lineRule="exact"/>
              <w:rPr>
                <w:rFonts w:ascii="华文细黑" w:eastAsia="华文细黑" w:hAnsi="华文细黑" w:cs="Arial"/>
                <w:sz w:val="18"/>
                <w:szCs w:val="18"/>
              </w:rPr>
            </w:pPr>
          </w:p>
        </w:tc>
        <w:tc>
          <w:tcPr>
            <w:tcW w:w="2352" w:type="dxa"/>
            <w:noWrap/>
          </w:tcPr>
          <w:p w14:paraId="3BD111B9" w14:textId="77777777" w:rsidR="00000000" w:rsidRDefault="00000000">
            <w:pPr>
              <w:wordWrap w:val="0"/>
              <w:overflowPunct w:val="0"/>
              <w:spacing w:line="240" w:lineRule="exact"/>
              <w:rPr>
                <w:rFonts w:ascii="华文细黑" w:eastAsia="华文细黑" w:hAnsi="华文细黑" w:cs="Arial" w:hint="eastAsia"/>
                <w:sz w:val="18"/>
                <w:szCs w:val="18"/>
              </w:rPr>
            </w:pPr>
            <w:r>
              <w:rPr>
                <w:rFonts w:ascii="Arial" w:eastAsia="华文细黑" w:hAnsi="Arial" w:hint="eastAsia"/>
                <w:sz w:val="18"/>
              </w:rPr>
              <w:t>物业管理</w:t>
            </w:r>
          </w:p>
        </w:tc>
        <w:tc>
          <w:tcPr>
            <w:tcW w:w="1597" w:type="dxa"/>
            <w:vAlign w:val="center"/>
          </w:tcPr>
          <w:p w14:paraId="5EA1C943"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7FB30520"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11D88B26"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14:paraId="3B5EE149"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100</w:t>
            </w:r>
          </w:p>
        </w:tc>
      </w:tr>
    </w:tbl>
    <w:p w14:paraId="009665C8" w14:textId="77777777" w:rsidR="00000000" w:rsidRDefault="00000000">
      <w:pPr>
        <w:spacing w:beforeLines="100" w:before="240" w:line="480" w:lineRule="auto"/>
        <w:ind w:firstLineChars="196" w:firstLine="412"/>
        <w:jc w:val="both"/>
        <w:rPr>
          <w:rFonts w:ascii="Arial" w:hAnsi="Arial" w:cs="Arial" w:hint="eastAsia"/>
          <w:sz w:val="21"/>
          <w:szCs w:val="21"/>
        </w:rPr>
      </w:pPr>
      <w:r>
        <w:rPr>
          <w:rFonts w:ascii="Arial" w:hAnsi="Arial" w:cs="Arial" w:hint="eastAsia"/>
          <w:sz w:val="21"/>
          <w:szCs w:val="21"/>
        </w:rPr>
        <w:t>各因素条件指数确定说明如下：</w:t>
      </w:r>
    </w:p>
    <w:p w14:paraId="24CB68E6"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）交易情况修正指数的确定</w:t>
      </w:r>
    </w:p>
    <w:p w14:paraId="2A83FEB9"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由于估价对象和各案例交易情况不同，各案例租金均为挂牌租金水平，故估价对象及可比案例的修正系数分别为</w:t>
      </w:r>
      <w:r>
        <w:rPr>
          <w:rFonts w:ascii="Arial" w:hAnsi="Arial" w:cs="Arial" w:hint="eastAsia"/>
          <w:sz w:val="21"/>
          <w:szCs w:val="21"/>
        </w:rPr>
        <w:t>100</w:t>
      </w:r>
      <w:r>
        <w:rPr>
          <w:rFonts w:ascii="Arial" w:hAnsi="Arial" w:cs="Arial" w:hint="eastAsia"/>
          <w:sz w:val="21"/>
          <w:szCs w:val="21"/>
        </w:rPr>
        <w:t>；</w:t>
      </w:r>
      <w:r>
        <w:rPr>
          <w:rFonts w:ascii="Arial" w:hAnsi="Arial" w:cs="Arial" w:hint="eastAsia"/>
          <w:sz w:val="21"/>
          <w:szCs w:val="21"/>
        </w:rPr>
        <w:t>105</w:t>
      </w:r>
      <w:r>
        <w:rPr>
          <w:rFonts w:ascii="Arial" w:hAnsi="Arial" w:cs="Arial" w:hint="eastAsia"/>
          <w:sz w:val="21"/>
          <w:szCs w:val="21"/>
        </w:rPr>
        <w:t>；</w:t>
      </w:r>
      <w:r>
        <w:rPr>
          <w:rFonts w:ascii="Arial" w:hAnsi="Arial" w:cs="Arial" w:hint="eastAsia"/>
          <w:sz w:val="21"/>
          <w:szCs w:val="21"/>
        </w:rPr>
        <w:t>105</w:t>
      </w:r>
      <w:r>
        <w:rPr>
          <w:rFonts w:ascii="Arial" w:hAnsi="Arial" w:cs="Arial" w:hint="eastAsia"/>
          <w:sz w:val="21"/>
          <w:szCs w:val="21"/>
        </w:rPr>
        <w:t>；</w:t>
      </w:r>
      <w:r>
        <w:rPr>
          <w:rFonts w:ascii="Arial" w:hAnsi="Arial" w:cs="Arial" w:hint="eastAsia"/>
          <w:sz w:val="21"/>
          <w:szCs w:val="21"/>
        </w:rPr>
        <w:t>105</w:t>
      </w:r>
      <w:r>
        <w:rPr>
          <w:rFonts w:ascii="Arial" w:hAnsi="Arial" w:cs="Arial" w:hint="eastAsia"/>
          <w:sz w:val="21"/>
          <w:szCs w:val="21"/>
        </w:rPr>
        <w:t>。</w:t>
      </w:r>
    </w:p>
    <w:p w14:paraId="24CFC2E8"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）市场状况调整</w:t>
      </w:r>
    </w:p>
    <w:p w14:paraId="5175093F"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估价对象的价值时点为</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 xml:space="preserve"> </w:t>
      </w:r>
      <w:r>
        <w:rPr>
          <w:rFonts w:ascii="Arial" w:hAnsi="Arial" w:cs="Arial" w:hint="eastAsia"/>
          <w:sz w:val="21"/>
          <w:szCs w:val="21"/>
        </w:rPr>
        <w:t>，可比实例交易日期分别为</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月，根据注册房地产估价师所掌握该区域商业房地产市场情况，此段时间该类型房地产市场价格平稳，故估价对象及可比案例的调整系数均为</w:t>
      </w:r>
      <w:r>
        <w:rPr>
          <w:rFonts w:ascii="Arial" w:hAnsi="Arial" w:cs="Arial" w:hint="eastAsia"/>
          <w:sz w:val="21"/>
          <w:szCs w:val="21"/>
        </w:rPr>
        <w:t>100</w:t>
      </w:r>
      <w:r>
        <w:rPr>
          <w:rFonts w:ascii="Arial" w:hAnsi="Arial" w:cs="Arial" w:hint="eastAsia"/>
          <w:sz w:val="21"/>
          <w:szCs w:val="21"/>
        </w:rPr>
        <w:t>。</w:t>
      </w:r>
    </w:p>
    <w:p w14:paraId="11F0989C"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）房地产状况调整</w:t>
      </w:r>
    </w:p>
    <w:p w14:paraId="561B44E1"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本次评估以估价对象房地产的状况为基准，调整系数设定为</w:t>
      </w:r>
      <w:r>
        <w:rPr>
          <w:rFonts w:ascii="Arial" w:hAnsi="Arial" w:cs="Arial" w:hint="eastAsia"/>
          <w:sz w:val="21"/>
          <w:szCs w:val="21"/>
        </w:rPr>
        <w:t>100</w:t>
      </w:r>
      <w:r>
        <w:rPr>
          <w:rFonts w:ascii="Arial" w:hAnsi="Arial" w:cs="Arial" w:hint="eastAsia"/>
          <w:sz w:val="21"/>
          <w:szCs w:val="21"/>
        </w:rPr>
        <w:t>，可比实例的调整系数为逐项与</w:t>
      </w:r>
      <w:r>
        <w:rPr>
          <w:rFonts w:ascii="Arial" w:hAnsi="Arial" w:cs="Arial" w:hint="eastAsia"/>
          <w:sz w:val="21"/>
          <w:szCs w:val="21"/>
        </w:rPr>
        <w:lastRenderedPageBreak/>
        <w:t>之比较得出。</w:t>
      </w:r>
    </w:p>
    <w:p w14:paraId="6F2E4C05"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hint="eastAsia"/>
          <w:sz w:val="21"/>
          <w:szCs w:val="21"/>
        </w:rPr>
        <w:t xml:space="preserve"> </w:t>
      </w:r>
      <w:r>
        <w:rPr>
          <w:rFonts w:ascii="Arial" w:hAnsi="Arial" w:cs="Arial" w:hint="eastAsia"/>
          <w:sz w:val="21"/>
          <w:szCs w:val="21"/>
        </w:rPr>
        <w:t>权益状况</w:t>
      </w:r>
    </w:p>
    <w:p w14:paraId="5E274550" w14:textId="77777777" w:rsidR="00000000" w:rsidRDefault="00000000">
      <w:pPr>
        <w:autoSpaceDE w:val="0"/>
        <w:autoSpaceDN w:val="0"/>
        <w:jc w:val="center"/>
        <w:rPr>
          <w:rFonts w:ascii="宋体" w:hAnsi="宋体"/>
          <w:szCs w:val="24"/>
        </w:rPr>
      </w:pPr>
      <w:r>
        <w:rPr>
          <w:rFonts w:ascii="方正黑体简体" w:eastAsia="方正黑体简体" w:hAnsi="华文细黑" w:hint="eastAsia"/>
          <w:szCs w:val="24"/>
        </w:rPr>
        <w:t>权益状况等级说明表</w:t>
      </w:r>
    </w:p>
    <w:tbl>
      <w:tblPr>
        <w:tblW w:w="4939" w:type="pct"/>
        <w:jc w:val="cente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396"/>
        <w:gridCol w:w="6723"/>
        <w:gridCol w:w="1061"/>
      </w:tblGrid>
      <w:tr w:rsidR="00000000" w14:paraId="773D88F9" w14:textId="77777777">
        <w:trPr>
          <w:cantSplit/>
          <w:jc w:val="center"/>
        </w:trPr>
        <w:tc>
          <w:tcPr>
            <w:tcW w:w="760" w:type="pct"/>
            <w:vAlign w:val="center"/>
          </w:tcPr>
          <w:p w14:paraId="239B04AD"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权益状况</w:t>
            </w:r>
          </w:p>
        </w:tc>
        <w:tc>
          <w:tcPr>
            <w:tcW w:w="3661" w:type="pct"/>
            <w:vAlign w:val="center"/>
          </w:tcPr>
          <w:p w14:paraId="0D0F28EF"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等级划分</w:t>
            </w:r>
          </w:p>
        </w:tc>
        <w:tc>
          <w:tcPr>
            <w:tcW w:w="578" w:type="pct"/>
            <w:vAlign w:val="center"/>
          </w:tcPr>
          <w:p w14:paraId="19A20243"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每等级向下调整幅度</w:t>
            </w:r>
          </w:p>
        </w:tc>
      </w:tr>
      <w:tr w:rsidR="00000000" w14:paraId="0B7F48DF" w14:textId="77777777">
        <w:trPr>
          <w:cantSplit/>
          <w:jc w:val="center"/>
        </w:trPr>
        <w:tc>
          <w:tcPr>
            <w:tcW w:w="760" w:type="pct"/>
            <w:vAlign w:val="center"/>
          </w:tcPr>
          <w:p w14:paraId="0EBCA0FC" w14:textId="77777777" w:rsidR="00000000" w:rsidRDefault="00000000">
            <w:pPr>
              <w:widowControl/>
              <w:spacing w:line="240" w:lineRule="exact"/>
              <w:rPr>
                <w:rFonts w:ascii="Arial" w:eastAsia="华文细黑" w:hAnsi="Arial" w:cs="Arial"/>
                <w:sz w:val="18"/>
                <w:szCs w:val="18"/>
              </w:rPr>
            </w:pPr>
            <w:r>
              <w:rPr>
                <w:rFonts w:ascii="Arial" w:eastAsia="华文细黑" w:hAnsi="Arial" w:cs="Arial"/>
                <w:sz w:val="18"/>
                <w:szCs w:val="18"/>
              </w:rPr>
              <w:t>用途</w:t>
            </w:r>
          </w:p>
        </w:tc>
        <w:tc>
          <w:tcPr>
            <w:tcW w:w="3661" w:type="pct"/>
            <w:vAlign w:val="center"/>
          </w:tcPr>
          <w:p w14:paraId="7578A601"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估价对象与</w:t>
            </w:r>
            <w:r>
              <w:rPr>
                <w:rFonts w:ascii="Arial" w:eastAsia="华文细黑" w:hAnsi="Arial" w:cs="Arial" w:hint="eastAsia"/>
                <w:sz w:val="18"/>
                <w:szCs w:val="18"/>
              </w:rPr>
              <w:t>可比实例</w:t>
            </w:r>
            <w:r>
              <w:rPr>
                <w:rFonts w:ascii="Arial" w:eastAsia="华文细黑" w:hAnsi="Arial" w:cs="Arial"/>
                <w:sz w:val="18"/>
                <w:szCs w:val="18"/>
              </w:rPr>
              <w:t>用途均为</w:t>
            </w:r>
            <w:r>
              <w:rPr>
                <w:rFonts w:ascii="Arial" w:eastAsia="华文细黑" w:hAnsi="Arial" w:cs="Arial" w:hint="eastAsia"/>
                <w:sz w:val="18"/>
                <w:szCs w:val="18"/>
              </w:rPr>
              <w:t>商业，故估价对象及可比案例的调整系数均为</w:t>
            </w:r>
            <w:r>
              <w:rPr>
                <w:rFonts w:ascii="Arial" w:eastAsia="华文细黑" w:hAnsi="Arial" w:cs="Arial" w:hint="eastAsia"/>
                <w:sz w:val="18"/>
                <w:szCs w:val="18"/>
              </w:rPr>
              <w:t>100</w:t>
            </w:r>
          </w:p>
        </w:tc>
        <w:tc>
          <w:tcPr>
            <w:tcW w:w="578" w:type="pct"/>
            <w:vAlign w:val="center"/>
          </w:tcPr>
          <w:p w14:paraId="308578FD" w14:textId="77777777" w:rsidR="00000000" w:rsidRDefault="00000000">
            <w:pPr>
              <w:spacing w:line="240" w:lineRule="exact"/>
              <w:rPr>
                <w:rFonts w:ascii="Arial" w:eastAsia="华文细黑" w:hAnsi="Arial" w:cs="Arial" w:hint="eastAsia"/>
                <w:sz w:val="18"/>
                <w:szCs w:val="18"/>
              </w:rPr>
            </w:pPr>
            <w:r>
              <w:rPr>
                <w:rFonts w:ascii="Arial" w:eastAsia="华文细黑" w:hAnsi="Arial" w:cs="Arial" w:hint="eastAsia"/>
                <w:sz w:val="18"/>
                <w:szCs w:val="18"/>
              </w:rPr>
              <w:t>-</w:t>
            </w:r>
          </w:p>
        </w:tc>
      </w:tr>
      <w:tr w:rsidR="00000000" w14:paraId="12E47577" w14:textId="77777777">
        <w:trPr>
          <w:cantSplit/>
          <w:jc w:val="center"/>
        </w:trPr>
        <w:tc>
          <w:tcPr>
            <w:tcW w:w="760" w:type="pct"/>
            <w:vAlign w:val="center"/>
          </w:tcPr>
          <w:p w14:paraId="2D1B4703" w14:textId="77777777" w:rsidR="00000000" w:rsidRDefault="00000000">
            <w:pPr>
              <w:widowControl/>
              <w:spacing w:line="240" w:lineRule="exact"/>
              <w:rPr>
                <w:rFonts w:ascii="Arial" w:eastAsia="华文细黑" w:hAnsi="Arial" w:cs="Arial"/>
                <w:sz w:val="18"/>
                <w:szCs w:val="18"/>
              </w:rPr>
            </w:pPr>
            <w:r>
              <w:rPr>
                <w:rFonts w:ascii="Arial" w:eastAsia="华文细黑" w:hAnsi="Arial" w:cs="Arial" w:hint="eastAsia"/>
                <w:sz w:val="18"/>
                <w:szCs w:val="18"/>
              </w:rPr>
              <w:t>权利性质</w:t>
            </w:r>
          </w:p>
        </w:tc>
        <w:tc>
          <w:tcPr>
            <w:tcW w:w="3661" w:type="pct"/>
            <w:vAlign w:val="center"/>
          </w:tcPr>
          <w:p w14:paraId="0A801A2E"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估价对象与</w:t>
            </w:r>
            <w:r>
              <w:rPr>
                <w:rFonts w:ascii="Arial" w:eastAsia="华文细黑" w:hAnsi="Arial" w:cs="Arial" w:hint="eastAsia"/>
                <w:sz w:val="18"/>
                <w:szCs w:val="18"/>
              </w:rPr>
              <w:t>可比实例土地性质均为国有出让，房屋性质为商品房，均为完全产权，故估价对象及可比案例的调整系数均为</w:t>
            </w:r>
            <w:r>
              <w:rPr>
                <w:rFonts w:ascii="Arial" w:eastAsia="华文细黑" w:hAnsi="Arial" w:cs="Arial" w:hint="eastAsia"/>
                <w:sz w:val="18"/>
                <w:szCs w:val="18"/>
              </w:rPr>
              <w:t>100</w:t>
            </w:r>
          </w:p>
        </w:tc>
        <w:tc>
          <w:tcPr>
            <w:tcW w:w="578" w:type="pct"/>
            <w:vAlign w:val="center"/>
          </w:tcPr>
          <w:p w14:paraId="6F791340" w14:textId="77777777" w:rsidR="00000000" w:rsidRDefault="00000000">
            <w:pPr>
              <w:spacing w:line="240" w:lineRule="exact"/>
              <w:rPr>
                <w:rFonts w:ascii="Arial" w:eastAsia="华文细黑" w:hAnsi="Arial" w:cs="Arial" w:hint="eastAsia"/>
                <w:sz w:val="18"/>
                <w:szCs w:val="18"/>
              </w:rPr>
            </w:pPr>
            <w:r>
              <w:rPr>
                <w:rFonts w:ascii="Arial" w:eastAsia="华文细黑" w:hAnsi="Arial" w:cs="Arial" w:hint="eastAsia"/>
                <w:sz w:val="18"/>
                <w:szCs w:val="18"/>
              </w:rPr>
              <w:t>-</w:t>
            </w:r>
          </w:p>
        </w:tc>
      </w:tr>
    </w:tbl>
    <w:p w14:paraId="617B0968" w14:textId="77777777" w:rsidR="00000000" w:rsidRDefault="00000000">
      <w:pPr>
        <w:spacing w:beforeLines="100" w:before="240" w:line="480" w:lineRule="auto"/>
        <w:ind w:firstLineChars="196" w:firstLine="412"/>
        <w:jc w:val="both"/>
        <w:rPr>
          <w:rFonts w:ascii="Arial" w:hAnsi="Arial" w:cs="Arial" w:hint="eastAsia"/>
          <w:sz w:val="21"/>
          <w:szCs w:val="21"/>
        </w:rPr>
      </w:pPr>
      <w:r>
        <w:rPr>
          <w:rFonts w:ascii="Arial" w:hAnsi="Arial" w:cs="Arial" w:hint="eastAsia"/>
          <w:sz w:val="21"/>
          <w:szCs w:val="21"/>
        </w:rPr>
        <w:t>2</w:t>
      </w:r>
      <w:r>
        <w:rPr>
          <w:rFonts w:ascii="Arial" w:hAnsi="Arial" w:cs="Arial" w:hint="eastAsia"/>
          <w:sz w:val="21"/>
          <w:szCs w:val="21"/>
        </w:rPr>
        <w:t>）区位状况</w:t>
      </w:r>
    </w:p>
    <w:p w14:paraId="4824B6F1" w14:textId="77777777" w:rsidR="00000000" w:rsidRDefault="00000000">
      <w:pPr>
        <w:autoSpaceDE w:val="0"/>
        <w:autoSpaceDN w:val="0"/>
        <w:jc w:val="center"/>
        <w:rPr>
          <w:rFonts w:ascii="方正黑体简体" w:eastAsia="方正黑体简体" w:hAnsi="华文细黑"/>
          <w:szCs w:val="24"/>
        </w:rPr>
      </w:pPr>
      <w:r>
        <w:rPr>
          <w:rFonts w:ascii="方正黑体简体" w:eastAsia="方正黑体简体" w:hAnsi="华文细黑" w:hint="eastAsia"/>
          <w:szCs w:val="24"/>
        </w:rPr>
        <w:t>区位状况等级说明表</w:t>
      </w:r>
    </w:p>
    <w:tbl>
      <w:tblPr>
        <w:tblW w:w="4939" w:type="pct"/>
        <w:jc w:val="cente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396"/>
        <w:gridCol w:w="1343"/>
        <w:gridCol w:w="899"/>
        <w:gridCol w:w="445"/>
        <w:gridCol w:w="677"/>
        <w:gridCol w:w="665"/>
        <w:gridCol w:w="455"/>
        <w:gridCol w:w="889"/>
        <w:gridCol w:w="1353"/>
        <w:gridCol w:w="1058"/>
      </w:tblGrid>
      <w:tr w:rsidR="00000000" w14:paraId="63D1D1F2" w14:textId="77777777">
        <w:trPr>
          <w:cantSplit/>
          <w:jc w:val="center"/>
        </w:trPr>
        <w:tc>
          <w:tcPr>
            <w:tcW w:w="760" w:type="pct"/>
            <w:vAlign w:val="center"/>
          </w:tcPr>
          <w:p w14:paraId="438B256D"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区位状况</w:t>
            </w:r>
          </w:p>
        </w:tc>
        <w:tc>
          <w:tcPr>
            <w:tcW w:w="3662" w:type="pct"/>
            <w:gridSpan w:val="8"/>
            <w:vAlign w:val="center"/>
          </w:tcPr>
          <w:p w14:paraId="4C279353"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等级划分</w:t>
            </w:r>
          </w:p>
        </w:tc>
        <w:tc>
          <w:tcPr>
            <w:tcW w:w="576" w:type="pct"/>
            <w:vAlign w:val="center"/>
          </w:tcPr>
          <w:p w14:paraId="254BB0FE"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每等级向下调整幅度</w:t>
            </w:r>
          </w:p>
        </w:tc>
      </w:tr>
      <w:tr w:rsidR="00000000" w14:paraId="4681B845" w14:textId="77777777">
        <w:trPr>
          <w:cantSplit/>
          <w:jc w:val="center"/>
        </w:trPr>
        <w:tc>
          <w:tcPr>
            <w:tcW w:w="760" w:type="pct"/>
            <w:vAlign w:val="center"/>
          </w:tcPr>
          <w:p w14:paraId="03700A4F"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商业繁华</w:t>
            </w:r>
            <w:r>
              <w:rPr>
                <w:rFonts w:ascii="华文细黑" w:eastAsia="华文细黑" w:hAnsi="华文细黑" w:cs="Arial"/>
                <w:sz w:val="18"/>
                <w:szCs w:val="18"/>
              </w:rPr>
              <w:t>度</w:t>
            </w:r>
          </w:p>
        </w:tc>
        <w:tc>
          <w:tcPr>
            <w:tcW w:w="731" w:type="pct"/>
            <w:vAlign w:val="center"/>
          </w:tcPr>
          <w:p w14:paraId="7C48208F"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好</w:t>
            </w:r>
          </w:p>
        </w:tc>
        <w:tc>
          <w:tcPr>
            <w:tcW w:w="731" w:type="pct"/>
            <w:gridSpan w:val="2"/>
            <w:vAlign w:val="center"/>
          </w:tcPr>
          <w:p w14:paraId="76160010"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较好</w:t>
            </w:r>
          </w:p>
        </w:tc>
        <w:tc>
          <w:tcPr>
            <w:tcW w:w="731" w:type="pct"/>
            <w:gridSpan w:val="2"/>
            <w:vAlign w:val="center"/>
          </w:tcPr>
          <w:p w14:paraId="450D583A"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一般</w:t>
            </w:r>
          </w:p>
        </w:tc>
        <w:tc>
          <w:tcPr>
            <w:tcW w:w="732" w:type="pct"/>
            <w:gridSpan w:val="2"/>
            <w:vAlign w:val="center"/>
          </w:tcPr>
          <w:p w14:paraId="2BFE90FF"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较差</w:t>
            </w:r>
          </w:p>
        </w:tc>
        <w:tc>
          <w:tcPr>
            <w:tcW w:w="735" w:type="pct"/>
            <w:vAlign w:val="center"/>
          </w:tcPr>
          <w:p w14:paraId="600D5E00"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差</w:t>
            </w:r>
          </w:p>
        </w:tc>
        <w:tc>
          <w:tcPr>
            <w:tcW w:w="576" w:type="pct"/>
            <w:vAlign w:val="center"/>
          </w:tcPr>
          <w:p w14:paraId="7BDC1E42"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2</w:t>
            </w:r>
          </w:p>
        </w:tc>
      </w:tr>
      <w:tr w:rsidR="00000000" w14:paraId="7651B77C" w14:textId="77777777">
        <w:trPr>
          <w:cantSplit/>
          <w:jc w:val="center"/>
        </w:trPr>
        <w:tc>
          <w:tcPr>
            <w:tcW w:w="760" w:type="pct"/>
            <w:vAlign w:val="center"/>
          </w:tcPr>
          <w:p w14:paraId="7987174A"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交通便捷度</w:t>
            </w:r>
          </w:p>
        </w:tc>
        <w:tc>
          <w:tcPr>
            <w:tcW w:w="731" w:type="pct"/>
            <w:vAlign w:val="center"/>
          </w:tcPr>
          <w:p w14:paraId="4E95651F"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好</w:t>
            </w:r>
          </w:p>
        </w:tc>
        <w:tc>
          <w:tcPr>
            <w:tcW w:w="731" w:type="pct"/>
            <w:gridSpan w:val="2"/>
            <w:vAlign w:val="center"/>
          </w:tcPr>
          <w:p w14:paraId="54553E30"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较好</w:t>
            </w:r>
          </w:p>
        </w:tc>
        <w:tc>
          <w:tcPr>
            <w:tcW w:w="731" w:type="pct"/>
            <w:gridSpan w:val="2"/>
            <w:vAlign w:val="center"/>
          </w:tcPr>
          <w:p w14:paraId="653F8ECD"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一般</w:t>
            </w:r>
          </w:p>
        </w:tc>
        <w:tc>
          <w:tcPr>
            <w:tcW w:w="732" w:type="pct"/>
            <w:gridSpan w:val="2"/>
            <w:vAlign w:val="center"/>
          </w:tcPr>
          <w:p w14:paraId="525646BB"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较差</w:t>
            </w:r>
          </w:p>
        </w:tc>
        <w:tc>
          <w:tcPr>
            <w:tcW w:w="735" w:type="pct"/>
            <w:vAlign w:val="center"/>
          </w:tcPr>
          <w:p w14:paraId="52E4623A"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差</w:t>
            </w:r>
          </w:p>
        </w:tc>
        <w:tc>
          <w:tcPr>
            <w:tcW w:w="576" w:type="pct"/>
            <w:vAlign w:val="center"/>
          </w:tcPr>
          <w:p w14:paraId="1E99334C"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2</w:t>
            </w:r>
          </w:p>
        </w:tc>
      </w:tr>
      <w:tr w:rsidR="00000000" w14:paraId="1280CDE2" w14:textId="77777777">
        <w:trPr>
          <w:cantSplit/>
          <w:jc w:val="center"/>
        </w:trPr>
        <w:tc>
          <w:tcPr>
            <w:tcW w:w="760" w:type="pct"/>
            <w:vAlign w:val="center"/>
          </w:tcPr>
          <w:p w14:paraId="37F8F7D3"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公共配套设施</w:t>
            </w:r>
          </w:p>
        </w:tc>
        <w:tc>
          <w:tcPr>
            <w:tcW w:w="731" w:type="pct"/>
            <w:vAlign w:val="center"/>
          </w:tcPr>
          <w:p w14:paraId="65482328"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好</w:t>
            </w:r>
          </w:p>
        </w:tc>
        <w:tc>
          <w:tcPr>
            <w:tcW w:w="731" w:type="pct"/>
            <w:gridSpan w:val="2"/>
            <w:vAlign w:val="center"/>
          </w:tcPr>
          <w:p w14:paraId="1B7996A4"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较好</w:t>
            </w:r>
          </w:p>
        </w:tc>
        <w:tc>
          <w:tcPr>
            <w:tcW w:w="731" w:type="pct"/>
            <w:gridSpan w:val="2"/>
            <w:vAlign w:val="center"/>
          </w:tcPr>
          <w:p w14:paraId="2294D4A4"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一般</w:t>
            </w:r>
          </w:p>
        </w:tc>
        <w:tc>
          <w:tcPr>
            <w:tcW w:w="732" w:type="pct"/>
            <w:gridSpan w:val="2"/>
            <w:vAlign w:val="center"/>
          </w:tcPr>
          <w:p w14:paraId="42AE60DC"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较差</w:t>
            </w:r>
          </w:p>
        </w:tc>
        <w:tc>
          <w:tcPr>
            <w:tcW w:w="735" w:type="pct"/>
            <w:vAlign w:val="center"/>
          </w:tcPr>
          <w:p w14:paraId="36C6A420"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差</w:t>
            </w:r>
          </w:p>
        </w:tc>
        <w:tc>
          <w:tcPr>
            <w:tcW w:w="576" w:type="pct"/>
            <w:vAlign w:val="center"/>
          </w:tcPr>
          <w:p w14:paraId="7D932F0C"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2</w:t>
            </w:r>
          </w:p>
        </w:tc>
      </w:tr>
      <w:tr w:rsidR="00000000" w14:paraId="63A20FCD" w14:textId="77777777">
        <w:trPr>
          <w:cantSplit/>
          <w:jc w:val="center"/>
        </w:trPr>
        <w:tc>
          <w:tcPr>
            <w:tcW w:w="760" w:type="pct"/>
            <w:vAlign w:val="center"/>
          </w:tcPr>
          <w:p w14:paraId="72670794"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基础设施水平</w:t>
            </w:r>
          </w:p>
        </w:tc>
        <w:tc>
          <w:tcPr>
            <w:tcW w:w="731" w:type="pct"/>
            <w:vAlign w:val="center"/>
          </w:tcPr>
          <w:p w14:paraId="759AA69C"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七通</w:t>
            </w:r>
          </w:p>
        </w:tc>
        <w:tc>
          <w:tcPr>
            <w:tcW w:w="731" w:type="pct"/>
            <w:gridSpan w:val="2"/>
            <w:vAlign w:val="center"/>
          </w:tcPr>
          <w:p w14:paraId="48F6939A"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六通</w:t>
            </w:r>
          </w:p>
        </w:tc>
        <w:tc>
          <w:tcPr>
            <w:tcW w:w="731" w:type="pct"/>
            <w:gridSpan w:val="2"/>
            <w:vAlign w:val="center"/>
          </w:tcPr>
          <w:p w14:paraId="36894833"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五通</w:t>
            </w:r>
          </w:p>
        </w:tc>
        <w:tc>
          <w:tcPr>
            <w:tcW w:w="732" w:type="pct"/>
            <w:gridSpan w:val="2"/>
            <w:vAlign w:val="center"/>
          </w:tcPr>
          <w:p w14:paraId="4BA38A6B"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四通</w:t>
            </w:r>
          </w:p>
        </w:tc>
        <w:tc>
          <w:tcPr>
            <w:tcW w:w="735" w:type="pct"/>
            <w:vAlign w:val="center"/>
          </w:tcPr>
          <w:p w14:paraId="5C02060F"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三通</w:t>
            </w:r>
          </w:p>
        </w:tc>
        <w:tc>
          <w:tcPr>
            <w:tcW w:w="576" w:type="pct"/>
            <w:vAlign w:val="center"/>
          </w:tcPr>
          <w:p w14:paraId="54AF4976"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1</w:t>
            </w:r>
          </w:p>
        </w:tc>
      </w:tr>
      <w:tr w:rsidR="00000000" w14:paraId="08291161" w14:textId="77777777">
        <w:trPr>
          <w:cantSplit/>
          <w:jc w:val="center"/>
        </w:trPr>
        <w:tc>
          <w:tcPr>
            <w:tcW w:w="760" w:type="pct"/>
            <w:vAlign w:val="center"/>
          </w:tcPr>
          <w:p w14:paraId="5B4526CE"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环境质量</w:t>
            </w:r>
          </w:p>
        </w:tc>
        <w:tc>
          <w:tcPr>
            <w:tcW w:w="731" w:type="pct"/>
            <w:vAlign w:val="center"/>
          </w:tcPr>
          <w:p w14:paraId="06EE85EE"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好</w:t>
            </w:r>
          </w:p>
        </w:tc>
        <w:tc>
          <w:tcPr>
            <w:tcW w:w="731" w:type="pct"/>
            <w:gridSpan w:val="2"/>
            <w:vAlign w:val="center"/>
          </w:tcPr>
          <w:p w14:paraId="0794ADD1"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较好</w:t>
            </w:r>
          </w:p>
        </w:tc>
        <w:tc>
          <w:tcPr>
            <w:tcW w:w="731" w:type="pct"/>
            <w:gridSpan w:val="2"/>
            <w:vAlign w:val="center"/>
          </w:tcPr>
          <w:p w14:paraId="6DDCE0CC"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一般</w:t>
            </w:r>
          </w:p>
        </w:tc>
        <w:tc>
          <w:tcPr>
            <w:tcW w:w="732" w:type="pct"/>
            <w:gridSpan w:val="2"/>
            <w:vAlign w:val="center"/>
          </w:tcPr>
          <w:p w14:paraId="4DA8E2F3"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较差</w:t>
            </w:r>
          </w:p>
        </w:tc>
        <w:tc>
          <w:tcPr>
            <w:tcW w:w="735" w:type="pct"/>
            <w:vAlign w:val="center"/>
          </w:tcPr>
          <w:p w14:paraId="63177365"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差</w:t>
            </w:r>
          </w:p>
        </w:tc>
        <w:tc>
          <w:tcPr>
            <w:tcW w:w="576" w:type="pct"/>
            <w:vAlign w:val="center"/>
          </w:tcPr>
          <w:p w14:paraId="15B2D1D8"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2</w:t>
            </w:r>
          </w:p>
        </w:tc>
      </w:tr>
      <w:tr w:rsidR="00000000" w14:paraId="5349FE07" w14:textId="77777777">
        <w:trPr>
          <w:cantSplit/>
          <w:jc w:val="center"/>
        </w:trPr>
        <w:tc>
          <w:tcPr>
            <w:tcW w:w="760" w:type="pct"/>
            <w:vAlign w:val="center"/>
          </w:tcPr>
          <w:p w14:paraId="2A8C7BC6"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临街状况</w:t>
            </w:r>
          </w:p>
        </w:tc>
        <w:tc>
          <w:tcPr>
            <w:tcW w:w="1831" w:type="pct"/>
            <w:gridSpan w:val="4"/>
            <w:vAlign w:val="center"/>
          </w:tcPr>
          <w:p w14:paraId="6A7523FC"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双面临街</w:t>
            </w:r>
          </w:p>
        </w:tc>
        <w:tc>
          <w:tcPr>
            <w:tcW w:w="1831" w:type="pct"/>
            <w:gridSpan w:val="4"/>
            <w:vAlign w:val="center"/>
          </w:tcPr>
          <w:p w14:paraId="2AF25835"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单面临街</w:t>
            </w:r>
          </w:p>
        </w:tc>
        <w:tc>
          <w:tcPr>
            <w:tcW w:w="576" w:type="pct"/>
            <w:vAlign w:val="center"/>
          </w:tcPr>
          <w:p w14:paraId="2E2EC50B"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2</w:t>
            </w:r>
          </w:p>
        </w:tc>
      </w:tr>
      <w:tr w:rsidR="00000000" w14:paraId="52B91D36" w14:textId="77777777">
        <w:trPr>
          <w:cantSplit/>
          <w:jc w:val="center"/>
        </w:trPr>
        <w:tc>
          <w:tcPr>
            <w:tcW w:w="760" w:type="pct"/>
            <w:vAlign w:val="center"/>
          </w:tcPr>
          <w:p w14:paraId="58A333E0" w14:textId="77777777" w:rsidR="00000000" w:rsidRDefault="00000000">
            <w:pPr>
              <w:widowControl/>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人流量</w:t>
            </w:r>
          </w:p>
        </w:tc>
        <w:tc>
          <w:tcPr>
            <w:tcW w:w="731" w:type="pct"/>
            <w:vAlign w:val="center"/>
          </w:tcPr>
          <w:p w14:paraId="0809F058"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好</w:t>
            </w:r>
          </w:p>
        </w:tc>
        <w:tc>
          <w:tcPr>
            <w:tcW w:w="731" w:type="pct"/>
            <w:gridSpan w:val="2"/>
            <w:vAlign w:val="center"/>
          </w:tcPr>
          <w:p w14:paraId="00561CE4"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较好</w:t>
            </w:r>
          </w:p>
        </w:tc>
        <w:tc>
          <w:tcPr>
            <w:tcW w:w="731" w:type="pct"/>
            <w:gridSpan w:val="2"/>
            <w:vAlign w:val="center"/>
          </w:tcPr>
          <w:p w14:paraId="029EFDCB"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一般</w:t>
            </w:r>
          </w:p>
        </w:tc>
        <w:tc>
          <w:tcPr>
            <w:tcW w:w="732" w:type="pct"/>
            <w:gridSpan w:val="2"/>
            <w:vAlign w:val="center"/>
          </w:tcPr>
          <w:p w14:paraId="287B199C"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较差</w:t>
            </w:r>
          </w:p>
        </w:tc>
        <w:tc>
          <w:tcPr>
            <w:tcW w:w="735" w:type="pct"/>
            <w:vAlign w:val="center"/>
          </w:tcPr>
          <w:p w14:paraId="159234C1"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差</w:t>
            </w:r>
          </w:p>
        </w:tc>
        <w:tc>
          <w:tcPr>
            <w:tcW w:w="576" w:type="pct"/>
            <w:vAlign w:val="center"/>
          </w:tcPr>
          <w:p w14:paraId="24FE8175"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2</w:t>
            </w:r>
          </w:p>
        </w:tc>
      </w:tr>
      <w:tr w:rsidR="00000000" w14:paraId="4FFE3D3E" w14:textId="77777777">
        <w:trPr>
          <w:cantSplit/>
          <w:jc w:val="center"/>
        </w:trPr>
        <w:tc>
          <w:tcPr>
            <w:tcW w:w="760" w:type="pct"/>
            <w:vAlign w:val="center"/>
          </w:tcPr>
          <w:p w14:paraId="22A28F8D"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楼层</w:t>
            </w:r>
          </w:p>
        </w:tc>
        <w:tc>
          <w:tcPr>
            <w:tcW w:w="1220" w:type="pct"/>
            <w:gridSpan w:val="2"/>
            <w:vAlign w:val="center"/>
          </w:tcPr>
          <w:p w14:paraId="5169D7CF"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1层</w:t>
            </w:r>
          </w:p>
        </w:tc>
        <w:tc>
          <w:tcPr>
            <w:tcW w:w="1221" w:type="pct"/>
            <w:gridSpan w:val="4"/>
            <w:vAlign w:val="center"/>
          </w:tcPr>
          <w:p w14:paraId="6488F3E4"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2层</w:t>
            </w:r>
          </w:p>
        </w:tc>
        <w:tc>
          <w:tcPr>
            <w:tcW w:w="1221" w:type="pct"/>
            <w:gridSpan w:val="2"/>
            <w:vAlign w:val="center"/>
          </w:tcPr>
          <w:p w14:paraId="75016DE8"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3层</w:t>
            </w:r>
          </w:p>
        </w:tc>
        <w:tc>
          <w:tcPr>
            <w:tcW w:w="576" w:type="pct"/>
            <w:vAlign w:val="center"/>
          </w:tcPr>
          <w:p w14:paraId="52E255B1"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2</w:t>
            </w:r>
          </w:p>
        </w:tc>
      </w:tr>
    </w:tbl>
    <w:p w14:paraId="67805A79" w14:textId="77777777" w:rsidR="00000000" w:rsidRDefault="00000000">
      <w:pPr>
        <w:spacing w:beforeLines="100" w:before="240" w:line="480" w:lineRule="auto"/>
        <w:ind w:firstLineChars="196" w:firstLine="412"/>
        <w:jc w:val="both"/>
        <w:rPr>
          <w:rFonts w:ascii="Arial" w:hAnsi="Arial" w:cs="Arial" w:hint="eastAsia"/>
          <w:sz w:val="21"/>
          <w:szCs w:val="21"/>
        </w:rPr>
      </w:pPr>
      <w:r>
        <w:rPr>
          <w:rFonts w:ascii="Arial" w:hAnsi="Arial" w:cs="Arial" w:hint="eastAsia"/>
          <w:sz w:val="21"/>
          <w:szCs w:val="21"/>
        </w:rPr>
        <w:t>3</w:t>
      </w:r>
      <w:r>
        <w:rPr>
          <w:rFonts w:ascii="Arial" w:hAnsi="Arial" w:cs="Arial" w:hint="eastAsia"/>
          <w:sz w:val="21"/>
          <w:szCs w:val="21"/>
        </w:rPr>
        <w:t>）实物状况</w:t>
      </w:r>
    </w:p>
    <w:p w14:paraId="421BC3D3" w14:textId="77777777" w:rsidR="00000000" w:rsidRDefault="00000000">
      <w:pPr>
        <w:autoSpaceDE w:val="0"/>
        <w:autoSpaceDN w:val="0"/>
        <w:jc w:val="center"/>
        <w:rPr>
          <w:rFonts w:ascii="方正黑体简体" w:eastAsia="方正黑体简体" w:hAnsi="华文细黑"/>
          <w:szCs w:val="24"/>
        </w:rPr>
      </w:pPr>
      <w:r>
        <w:rPr>
          <w:rFonts w:ascii="方正黑体简体" w:eastAsia="方正黑体简体" w:hAnsi="华文细黑" w:hint="eastAsia"/>
          <w:szCs w:val="24"/>
        </w:rPr>
        <w:t>实物状况等级说明表</w:t>
      </w:r>
    </w:p>
    <w:tbl>
      <w:tblPr>
        <w:tblpPr w:leftFromText="180" w:rightFromText="180" w:vertAnchor="text" w:horzAnchor="page" w:tblpX="1270" w:tblpY="153"/>
        <w:tblOverlap w:val="never"/>
        <w:tblW w:w="9299" w:type="dxa"/>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8"/>
        <w:gridCol w:w="1360"/>
        <w:gridCol w:w="341"/>
        <w:gridCol w:w="567"/>
        <w:gridCol w:w="453"/>
        <w:gridCol w:w="681"/>
        <w:gridCol w:w="680"/>
        <w:gridCol w:w="454"/>
        <w:gridCol w:w="567"/>
        <w:gridCol w:w="340"/>
        <w:gridCol w:w="1361"/>
        <w:gridCol w:w="1077"/>
      </w:tblGrid>
      <w:tr w:rsidR="00000000" w14:paraId="18119CE2" w14:textId="77777777">
        <w:trPr>
          <w:cantSplit/>
        </w:trPr>
        <w:tc>
          <w:tcPr>
            <w:tcW w:w="1418" w:type="dxa"/>
            <w:noWrap/>
            <w:vAlign w:val="center"/>
          </w:tcPr>
          <w:p w14:paraId="3E3456C3"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实物状况</w:t>
            </w:r>
          </w:p>
        </w:tc>
        <w:tc>
          <w:tcPr>
            <w:tcW w:w="6804" w:type="dxa"/>
            <w:gridSpan w:val="10"/>
            <w:noWrap/>
            <w:vAlign w:val="center"/>
          </w:tcPr>
          <w:p w14:paraId="78F139E6"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等级划分</w:t>
            </w:r>
          </w:p>
        </w:tc>
        <w:tc>
          <w:tcPr>
            <w:tcW w:w="1077" w:type="dxa"/>
            <w:noWrap/>
            <w:vAlign w:val="center"/>
          </w:tcPr>
          <w:p w14:paraId="59471C32"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每等级向下调整幅度</w:t>
            </w:r>
          </w:p>
        </w:tc>
      </w:tr>
      <w:tr w:rsidR="00000000" w14:paraId="43916A54" w14:textId="77777777">
        <w:trPr>
          <w:cantSplit/>
        </w:trPr>
        <w:tc>
          <w:tcPr>
            <w:tcW w:w="1418" w:type="dxa"/>
            <w:noWrap/>
            <w:vAlign w:val="center"/>
          </w:tcPr>
          <w:p w14:paraId="76BC4119"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商业</w:t>
            </w:r>
            <w:r>
              <w:rPr>
                <w:rFonts w:ascii="华文细黑" w:eastAsia="华文细黑" w:hAnsi="华文细黑" w:cs="Arial"/>
                <w:sz w:val="18"/>
                <w:szCs w:val="18"/>
              </w:rPr>
              <w:t>类型</w:t>
            </w:r>
          </w:p>
        </w:tc>
        <w:tc>
          <w:tcPr>
            <w:tcW w:w="1701" w:type="dxa"/>
            <w:gridSpan w:val="2"/>
            <w:noWrap/>
            <w:vAlign w:val="center"/>
          </w:tcPr>
          <w:p w14:paraId="2F1A425C"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商业综合体</w:t>
            </w:r>
          </w:p>
        </w:tc>
        <w:tc>
          <w:tcPr>
            <w:tcW w:w="1701" w:type="dxa"/>
            <w:gridSpan w:val="3"/>
            <w:noWrap/>
            <w:vAlign w:val="center"/>
          </w:tcPr>
          <w:p w14:paraId="1D709B04"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商业街商铺</w:t>
            </w:r>
          </w:p>
        </w:tc>
        <w:tc>
          <w:tcPr>
            <w:tcW w:w="1701" w:type="dxa"/>
            <w:gridSpan w:val="3"/>
            <w:noWrap/>
            <w:vAlign w:val="center"/>
          </w:tcPr>
          <w:p w14:paraId="03F7A8E5"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写字楼底商</w:t>
            </w:r>
          </w:p>
        </w:tc>
        <w:tc>
          <w:tcPr>
            <w:tcW w:w="1701" w:type="dxa"/>
            <w:gridSpan w:val="2"/>
            <w:noWrap/>
            <w:vAlign w:val="center"/>
          </w:tcPr>
          <w:p w14:paraId="4F1714C2"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住宅底商</w:t>
            </w:r>
          </w:p>
        </w:tc>
        <w:tc>
          <w:tcPr>
            <w:tcW w:w="1077" w:type="dxa"/>
            <w:noWrap/>
            <w:vAlign w:val="center"/>
          </w:tcPr>
          <w:p w14:paraId="43843FD3"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2</w:t>
            </w:r>
          </w:p>
        </w:tc>
      </w:tr>
      <w:tr w:rsidR="00000000" w14:paraId="7A4F5AA3" w14:textId="77777777">
        <w:trPr>
          <w:cantSplit/>
        </w:trPr>
        <w:tc>
          <w:tcPr>
            <w:tcW w:w="1418" w:type="dxa"/>
            <w:noWrap/>
            <w:vAlign w:val="center"/>
          </w:tcPr>
          <w:p w14:paraId="3CA8E8D7"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sz w:val="18"/>
                <w:szCs w:val="18"/>
              </w:rPr>
              <w:t>建筑</w:t>
            </w:r>
            <w:r>
              <w:rPr>
                <w:rFonts w:ascii="华文细黑" w:eastAsia="华文细黑" w:hAnsi="华文细黑" w:cs="Arial" w:hint="eastAsia"/>
                <w:sz w:val="18"/>
                <w:szCs w:val="18"/>
              </w:rPr>
              <w:t>面积</w:t>
            </w:r>
          </w:p>
        </w:tc>
        <w:tc>
          <w:tcPr>
            <w:tcW w:w="1360" w:type="dxa"/>
            <w:noWrap/>
            <w:vAlign w:val="center"/>
          </w:tcPr>
          <w:p w14:paraId="36F94F28"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0</w:t>
            </w:r>
          </w:p>
        </w:tc>
        <w:tc>
          <w:tcPr>
            <w:tcW w:w="1361" w:type="dxa"/>
            <w:gridSpan w:val="3"/>
            <w:noWrap/>
            <w:vAlign w:val="center"/>
          </w:tcPr>
          <w:p w14:paraId="155E7D36"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300</w:t>
            </w:r>
          </w:p>
        </w:tc>
        <w:tc>
          <w:tcPr>
            <w:tcW w:w="1361" w:type="dxa"/>
            <w:gridSpan w:val="2"/>
            <w:noWrap/>
            <w:vAlign w:val="center"/>
          </w:tcPr>
          <w:p w14:paraId="64F645A0"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600</w:t>
            </w:r>
          </w:p>
        </w:tc>
        <w:tc>
          <w:tcPr>
            <w:tcW w:w="1361" w:type="dxa"/>
            <w:gridSpan w:val="3"/>
            <w:noWrap/>
            <w:vAlign w:val="center"/>
          </w:tcPr>
          <w:p w14:paraId="56D9F021"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900</w:t>
            </w:r>
          </w:p>
        </w:tc>
        <w:tc>
          <w:tcPr>
            <w:tcW w:w="1361" w:type="dxa"/>
            <w:noWrap/>
            <w:vAlign w:val="center"/>
          </w:tcPr>
          <w:p w14:paraId="01DDF623"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1200</w:t>
            </w:r>
          </w:p>
        </w:tc>
        <w:tc>
          <w:tcPr>
            <w:tcW w:w="1077" w:type="dxa"/>
            <w:noWrap/>
            <w:vAlign w:val="center"/>
          </w:tcPr>
          <w:p w14:paraId="3B384F84"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2</w:t>
            </w:r>
          </w:p>
        </w:tc>
      </w:tr>
      <w:tr w:rsidR="00000000" w14:paraId="3D83DFC4" w14:textId="77777777">
        <w:trPr>
          <w:cantSplit/>
        </w:trPr>
        <w:tc>
          <w:tcPr>
            <w:tcW w:w="1418" w:type="dxa"/>
            <w:noWrap/>
            <w:vAlign w:val="center"/>
          </w:tcPr>
          <w:p w14:paraId="51550E55"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建筑结构</w:t>
            </w:r>
          </w:p>
        </w:tc>
        <w:tc>
          <w:tcPr>
            <w:tcW w:w="2268" w:type="dxa"/>
            <w:gridSpan w:val="3"/>
            <w:noWrap/>
            <w:vAlign w:val="center"/>
          </w:tcPr>
          <w:p w14:paraId="4713BB1B"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钢结构</w:t>
            </w:r>
          </w:p>
        </w:tc>
        <w:tc>
          <w:tcPr>
            <w:tcW w:w="2268" w:type="dxa"/>
            <w:gridSpan w:val="4"/>
            <w:noWrap/>
            <w:vAlign w:val="center"/>
          </w:tcPr>
          <w:p w14:paraId="5AFDC7AF"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钢混结构</w:t>
            </w:r>
          </w:p>
        </w:tc>
        <w:tc>
          <w:tcPr>
            <w:tcW w:w="2268" w:type="dxa"/>
            <w:gridSpan w:val="3"/>
            <w:noWrap/>
            <w:vAlign w:val="center"/>
          </w:tcPr>
          <w:p w14:paraId="54E26C59"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砖混结构</w:t>
            </w:r>
          </w:p>
        </w:tc>
        <w:tc>
          <w:tcPr>
            <w:tcW w:w="1077" w:type="dxa"/>
            <w:noWrap/>
            <w:vAlign w:val="center"/>
          </w:tcPr>
          <w:p w14:paraId="0D638221"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2</w:t>
            </w:r>
          </w:p>
        </w:tc>
      </w:tr>
      <w:tr w:rsidR="00000000" w14:paraId="5D594D74" w14:textId="77777777">
        <w:trPr>
          <w:cantSplit/>
        </w:trPr>
        <w:tc>
          <w:tcPr>
            <w:tcW w:w="1418" w:type="dxa"/>
            <w:noWrap/>
            <w:vAlign w:val="center"/>
          </w:tcPr>
          <w:p w14:paraId="072C2964"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成新度</w:t>
            </w:r>
          </w:p>
        </w:tc>
        <w:tc>
          <w:tcPr>
            <w:tcW w:w="1360" w:type="dxa"/>
            <w:noWrap/>
            <w:vAlign w:val="center"/>
          </w:tcPr>
          <w:p w14:paraId="443C83DF"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90</w:t>
            </w:r>
            <w:r>
              <w:rPr>
                <w:rFonts w:ascii="华文细黑" w:eastAsia="华文细黑" w:hAnsi="华文细黑" w:cs="Arial"/>
                <w:sz w:val="18"/>
                <w:szCs w:val="18"/>
              </w:rPr>
              <w:t>%（含）以上</w:t>
            </w:r>
          </w:p>
        </w:tc>
        <w:tc>
          <w:tcPr>
            <w:tcW w:w="1361" w:type="dxa"/>
            <w:gridSpan w:val="3"/>
            <w:noWrap/>
            <w:vAlign w:val="center"/>
          </w:tcPr>
          <w:p w14:paraId="609BD1BC"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80</w:t>
            </w:r>
            <w:r>
              <w:rPr>
                <w:rFonts w:ascii="华文细黑" w:eastAsia="华文细黑" w:hAnsi="华文细黑" w:cs="Arial"/>
                <w:sz w:val="18"/>
                <w:szCs w:val="18"/>
              </w:rPr>
              <w:t>%（含）-</w:t>
            </w:r>
            <w:r>
              <w:rPr>
                <w:rFonts w:ascii="Arial" w:eastAsia="华文细黑" w:hAnsi="Arial" w:cs="Arial"/>
                <w:sz w:val="18"/>
                <w:szCs w:val="18"/>
              </w:rPr>
              <w:t>90</w:t>
            </w:r>
          </w:p>
        </w:tc>
        <w:tc>
          <w:tcPr>
            <w:tcW w:w="1361" w:type="dxa"/>
            <w:gridSpan w:val="2"/>
            <w:noWrap/>
            <w:vAlign w:val="center"/>
          </w:tcPr>
          <w:p w14:paraId="54C9FD53"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70</w:t>
            </w:r>
            <w:r>
              <w:rPr>
                <w:rFonts w:ascii="华文细黑" w:eastAsia="华文细黑" w:hAnsi="华文细黑" w:cs="Arial"/>
                <w:sz w:val="18"/>
                <w:szCs w:val="18"/>
              </w:rPr>
              <w:t>%（含）-</w:t>
            </w:r>
            <w:r>
              <w:rPr>
                <w:rFonts w:ascii="Arial" w:eastAsia="华文细黑" w:hAnsi="Arial" w:cs="Arial"/>
                <w:sz w:val="18"/>
                <w:szCs w:val="18"/>
              </w:rPr>
              <w:t>80</w:t>
            </w:r>
          </w:p>
        </w:tc>
        <w:tc>
          <w:tcPr>
            <w:tcW w:w="1361" w:type="dxa"/>
            <w:gridSpan w:val="3"/>
            <w:noWrap/>
            <w:vAlign w:val="center"/>
          </w:tcPr>
          <w:p w14:paraId="640845CC"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60</w:t>
            </w:r>
            <w:r>
              <w:rPr>
                <w:rFonts w:ascii="华文细黑" w:eastAsia="华文细黑" w:hAnsi="华文细黑" w:cs="Arial"/>
                <w:sz w:val="18"/>
                <w:szCs w:val="18"/>
              </w:rPr>
              <w:t>%（含）-</w:t>
            </w:r>
            <w:r>
              <w:rPr>
                <w:rFonts w:ascii="Arial" w:eastAsia="华文细黑" w:hAnsi="Arial" w:cs="Arial"/>
                <w:sz w:val="18"/>
                <w:szCs w:val="18"/>
              </w:rPr>
              <w:t>70</w:t>
            </w:r>
          </w:p>
        </w:tc>
        <w:tc>
          <w:tcPr>
            <w:tcW w:w="1361" w:type="dxa"/>
            <w:noWrap/>
            <w:vAlign w:val="center"/>
          </w:tcPr>
          <w:p w14:paraId="2C6A8B7C" w14:textId="77777777" w:rsidR="00000000" w:rsidRDefault="00000000">
            <w:pPr>
              <w:spacing w:line="240" w:lineRule="exact"/>
              <w:rPr>
                <w:rFonts w:ascii="华文细黑" w:eastAsia="华文细黑" w:hAnsi="华文细黑" w:cs="Arial"/>
                <w:sz w:val="18"/>
                <w:szCs w:val="18"/>
              </w:rPr>
            </w:pPr>
            <w:r>
              <w:rPr>
                <w:rFonts w:ascii="Arial" w:eastAsia="华文细黑" w:hAnsi="Arial" w:cs="Arial"/>
                <w:sz w:val="18"/>
                <w:szCs w:val="18"/>
              </w:rPr>
              <w:t>50</w:t>
            </w:r>
            <w:r>
              <w:rPr>
                <w:rFonts w:ascii="华文细黑" w:eastAsia="华文细黑" w:hAnsi="华文细黑" w:cs="Arial"/>
                <w:sz w:val="18"/>
                <w:szCs w:val="18"/>
              </w:rPr>
              <w:t>%（含）-</w:t>
            </w:r>
            <w:r>
              <w:rPr>
                <w:rFonts w:ascii="Arial" w:eastAsia="华文细黑" w:hAnsi="Arial" w:cs="Arial"/>
                <w:sz w:val="18"/>
                <w:szCs w:val="18"/>
              </w:rPr>
              <w:t>60</w:t>
            </w:r>
          </w:p>
        </w:tc>
        <w:tc>
          <w:tcPr>
            <w:tcW w:w="1077" w:type="dxa"/>
            <w:noWrap/>
            <w:vAlign w:val="center"/>
          </w:tcPr>
          <w:p w14:paraId="0E75EEDD"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5</w:t>
            </w:r>
          </w:p>
        </w:tc>
      </w:tr>
      <w:tr w:rsidR="00000000" w14:paraId="219C756C" w14:textId="77777777">
        <w:trPr>
          <w:cantSplit/>
        </w:trPr>
        <w:tc>
          <w:tcPr>
            <w:tcW w:w="1418" w:type="dxa"/>
            <w:noWrap/>
            <w:vAlign w:val="center"/>
          </w:tcPr>
          <w:p w14:paraId="45FD4BAF"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物业管理</w:t>
            </w:r>
          </w:p>
        </w:tc>
        <w:tc>
          <w:tcPr>
            <w:tcW w:w="3402" w:type="dxa"/>
            <w:gridSpan w:val="5"/>
            <w:noWrap/>
            <w:vAlign w:val="center"/>
          </w:tcPr>
          <w:p w14:paraId="214D4BAC"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专业</w:t>
            </w:r>
          </w:p>
        </w:tc>
        <w:tc>
          <w:tcPr>
            <w:tcW w:w="3402" w:type="dxa"/>
            <w:gridSpan w:val="5"/>
            <w:noWrap/>
            <w:vAlign w:val="center"/>
          </w:tcPr>
          <w:p w14:paraId="2D5CC9D2"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普通</w:t>
            </w:r>
          </w:p>
        </w:tc>
        <w:tc>
          <w:tcPr>
            <w:tcW w:w="1077" w:type="dxa"/>
            <w:noWrap/>
            <w:vAlign w:val="center"/>
          </w:tcPr>
          <w:p w14:paraId="5BB749F0"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2</w:t>
            </w:r>
          </w:p>
        </w:tc>
      </w:tr>
      <w:tr w:rsidR="00000000" w14:paraId="09691F28" w14:textId="77777777">
        <w:trPr>
          <w:cantSplit/>
        </w:trPr>
        <w:tc>
          <w:tcPr>
            <w:tcW w:w="1418" w:type="dxa"/>
            <w:noWrap/>
            <w:vAlign w:val="center"/>
          </w:tcPr>
          <w:p w14:paraId="0A518608"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层高</w:t>
            </w:r>
          </w:p>
        </w:tc>
        <w:tc>
          <w:tcPr>
            <w:tcW w:w="3402" w:type="dxa"/>
            <w:gridSpan w:val="5"/>
            <w:noWrap/>
            <w:vAlign w:val="center"/>
          </w:tcPr>
          <w:p w14:paraId="748F938E"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超高层高</w:t>
            </w:r>
          </w:p>
        </w:tc>
        <w:tc>
          <w:tcPr>
            <w:tcW w:w="3402" w:type="dxa"/>
            <w:gridSpan w:val="5"/>
            <w:noWrap/>
            <w:vAlign w:val="center"/>
          </w:tcPr>
          <w:p w14:paraId="431CA6B2"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标准层高</w:t>
            </w:r>
          </w:p>
        </w:tc>
        <w:tc>
          <w:tcPr>
            <w:tcW w:w="1077" w:type="dxa"/>
            <w:noWrap/>
            <w:vAlign w:val="center"/>
          </w:tcPr>
          <w:p w14:paraId="3D33DB19"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2</w:t>
            </w:r>
          </w:p>
        </w:tc>
      </w:tr>
      <w:tr w:rsidR="00000000" w14:paraId="06B83FC4" w14:textId="77777777">
        <w:trPr>
          <w:cantSplit/>
        </w:trPr>
        <w:tc>
          <w:tcPr>
            <w:tcW w:w="1418" w:type="dxa"/>
            <w:noWrap/>
            <w:vAlign w:val="center"/>
          </w:tcPr>
          <w:p w14:paraId="20DD098A"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内部装修</w:t>
            </w:r>
          </w:p>
        </w:tc>
        <w:tc>
          <w:tcPr>
            <w:tcW w:w="1701" w:type="dxa"/>
            <w:gridSpan w:val="2"/>
            <w:noWrap/>
            <w:vAlign w:val="center"/>
          </w:tcPr>
          <w:p w14:paraId="5AC3BBF6"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精装修</w:t>
            </w:r>
          </w:p>
        </w:tc>
        <w:tc>
          <w:tcPr>
            <w:tcW w:w="1701" w:type="dxa"/>
            <w:gridSpan w:val="3"/>
            <w:noWrap/>
            <w:vAlign w:val="center"/>
          </w:tcPr>
          <w:p w14:paraId="220EBB7D" w14:textId="77777777" w:rsidR="00000000" w:rsidRDefault="00000000">
            <w:pPr>
              <w:spacing w:line="240" w:lineRule="exact"/>
              <w:rPr>
                <w:rFonts w:ascii="华文细黑" w:eastAsia="华文细黑" w:hAnsi="华文细黑" w:cs="Arial"/>
                <w:sz w:val="18"/>
                <w:szCs w:val="18"/>
              </w:rPr>
            </w:pPr>
            <w:proofErr w:type="gramStart"/>
            <w:r>
              <w:rPr>
                <w:rFonts w:ascii="华文细黑" w:eastAsia="华文细黑" w:hAnsi="华文细黑" w:cs="Arial" w:hint="eastAsia"/>
                <w:sz w:val="18"/>
                <w:szCs w:val="18"/>
              </w:rPr>
              <w:t>普装</w:t>
            </w:r>
            <w:proofErr w:type="gramEnd"/>
          </w:p>
        </w:tc>
        <w:tc>
          <w:tcPr>
            <w:tcW w:w="1701" w:type="dxa"/>
            <w:gridSpan w:val="3"/>
            <w:noWrap/>
            <w:vAlign w:val="center"/>
          </w:tcPr>
          <w:p w14:paraId="2A3B6C33"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简装</w:t>
            </w:r>
          </w:p>
        </w:tc>
        <w:tc>
          <w:tcPr>
            <w:tcW w:w="1701" w:type="dxa"/>
            <w:gridSpan w:val="2"/>
            <w:noWrap/>
            <w:vAlign w:val="center"/>
          </w:tcPr>
          <w:p w14:paraId="44B2A66F" w14:textId="77777777" w:rsidR="00000000" w:rsidRDefault="00000000">
            <w:pPr>
              <w:spacing w:line="240" w:lineRule="exact"/>
              <w:rPr>
                <w:rFonts w:ascii="华文细黑" w:eastAsia="华文细黑" w:hAnsi="华文细黑" w:cs="Arial"/>
                <w:sz w:val="18"/>
                <w:szCs w:val="18"/>
              </w:rPr>
            </w:pPr>
            <w:r>
              <w:rPr>
                <w:rFonts w:ascii="华文细黑" w:eastAsia="华文细黑" w:hAnsi="华文细黑" w:cs="Arial"/>
                <w:sz w:val="18"/>
                <w:szCs w:val="18"/>
              </w:rPr>
              <w:t>毛坯</w:t>
            </w:r>
          </w:p>
        </w:tc>
        <w:tc>
          <w:tcPr>
            <w:tcW w:w="1077" w:type="dxa"/>
            <w:noWrap/>
            <w:vAlign w:val="center"/>
          </w:tcPr>
          <w:p w14:paraId="14A7DC39" w14:textId="77777777" w:rsidR="00000000" w:rsidRDefault="00000000">
            <w:pPr>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5</w:t>
            </w:r>
          </w:p>
        </w:tc>
      </w:tr>
    </w:tbl>
    <w:p w14:paraId="6572F980" w14:textId="77777777" w:rsidR="00000000" w:rsidRDefault="00000000">
      <w:pPr>
        <w:widowControl/>
        <w:spacing w:line="240" w:lineRule="exact"/>
        <w:rPr>
          <w:rFonts w:ascii="华文细黑" w:eastAsia="华文细黑" w:hAnsi="华文细黑" w:cs="Arial" w:hint="eastAsia"/>
          <w:color w:val="000000"/>
          <w:sz w:val="18"/>
          <w:szCs w:val="18"/>
        </w:rPr>
      </w:pPr>
    </w:p>
    <w:p w14:paraId="06DA7F4A"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 xml:space="preserve">6. </w:t>
      </w:r>
      <w:r>
        <w:rPr>
          <w:rFonts w:ascii="Arial" w:hAnsi="Arial" w:cs="Arial" w:hint="eastAsia"/>
          <w:sz w:val="21"/>
          <w:szCs w:val="21"/>
        </w:rPr>
        <w:t>因素修正及调整</w:t>
      </w:r>
    </w:p>
    <w:p w14:paraId="075200EB"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在各因素条件指数表的基础上，进行交易情况修正、市场状况及房地产状况调整，即估价对象的因素条件指数与比较实例的因素条件进行比较，得到各因素修正及调整系数，计算得出估价对象比较价</w:t>
      </w:r>
      <w:r>
        <w:rPr>
          <w:rFonts w:ascii="Arial" w:hAnsi="Arial" w:cs="Arial" w:hint="eastAsia"/>
          <w:sz w:val="21"/>
          <w:szCs w:val="21"/>
        </w:rPr>
        <w:lastRenderedPageBreak/>
        <w:t>值</w:t>
      </w:r>
      <w:r>
        <w:rPr>
          <w:rFonts w:ascii="Arial" w:hAnsi="Arial" w:cs="Arial" w:hint="eastAsia"/>
          <w:sz w:val="21"/>
          <w:szCs w:val="21"/>
        </w:rPr>
        <w:t xml:space="preserve"> (</w:t>
      </w:r>
      <w:r>
        <w:rPr>
          <w:rFonts w:ascii="Arial" w:hAnsi="Arial" w:cs="Arial" w:hint="eastAsia"/>
          <w:sz w:val="21"/>
          <w:szCs w:val="21"/>
        </w:rPr>
        <w:t>见表</w:t>
      </w:r>
      <w:r>
        <w:rPr>
          <w:rFonts w:ascii="Arial" w:hAnsi="Arial" w:cs="Arial" w:hint="eastAsia"/>
          <w:sz w:val="21"/>
          <w:szCs w:val="21"/>
        </w:rPr>
        <w:t>3)</w:t>
      </w:r>
      <w:r>
        <w:rPr>
          <w:rFonts w:ascii="Arial" w:hAnsi="Arial" w:cs="Arial" w:hint="eastAsia"/>
          <w:sz w:val="21"/>
          <w:szCs w:val="21"/>
        </w:rPr>
        <w:t>：</w:t>
      </w:r>
    </w:p>
    <w:p w14:paraId="6FF9F256" w14:textId="77777777" w:rsidR="00000000" w:rsidRDefault="00000000">
      <w:pPr>
        <w:jc w:val="center"/>
        <w:rPr>
          <w:rFonts w:ascii="Arial" w:eastAsia="方正黑体简体" w:hAnsi="Arial" w:cs="Arial"/>
          <w:bCs/>
          <w:szCs w:val="24"/>
        </w:rPr>
      </w:pPr>
      <w:r>
        <w:rPr>
          <w:rFonts w:ascii="Arial" w:eastAsia="方正黑体简体" w:hAnsi="Arial" w:cs="Arial" w:hint="eastAsia"/>
          <w:bCs/>
          <w:szCs w:val="24"/>
        </w:rPr>
        <w:t>表</w:t>
      </w:r>
      <w:r>
        <w:rPr>
          <w:rFonts w:ascii="Arial" w:eastAsia="方正黑体简体" w:hAnsi="Arial" w:cs="Arial" w:hint="eastAsia"/>
          <w:bCs/>
          <w:szCs w:val="24"/>
        </w:rPr>
        <w:t>3</w:t>
      </w:r>
      <w:r>
        <w:rPr>
          <w:rFonts w:ascii="Arial" w:eastAsia="方正黑体简体" w:hAnsi="Arial" w:cs="Arial" w:hint="eastAsia"/>
          <w:bCs/>
          <w:szCs w:val="24"/>
        </w:rPr>
        <w:t>：因素修正及调整系数表</w:t>
      </w:r>
    </w:p>
    <w:tbl>
      <w:tblPr>
        <w:tblW w:w="9299" w:type="dxa"/>
        <w:jc w:val="cente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135"/>
        <w:gridCol w:w="2386"/>
        <w:gridCol w:w="524"/>
        <w:gridCol w:w="1456"/>
        <w:gridCol w:w="451"/>
        <w:gridCol w:w="1461"/>
        <w:gridCol w:w="441"/>
        <w:gridCol w:w="1445"/>
      </w:tblGrid>
      <w:tr w:rsidR="00000000" w14:paraId="173A7EF4" w14:textId="77777777">
        <w:trPr>
          <w:cantSplit/>
          <w:tblHeader/>
          <w:jc w:val="center"/>
        </w:trPr>
        <w:tc>
          <w:tcPr>
            <w:tcW w:w="3521" w:type="dxa"/>
            <w:gridSpan w:val="2"/>
            <w:noWrap/>
            <w:vAlign w:val="center"/>
          </w:tcPr>
          <w:p w14:paraId="62D2CB92"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比较因素</w:t>
            </w:r>
          </w:p>
        </w:tc>
        <w:tc>
          <w:tcPr>
            <w:tcW w:w="1980" w:type="dxa"/>
            <w:gridSpan w:val="2"/>
          </w:tcPr>
          <w:p w14:paraId="4BD88378"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案例：</w:t>
            </w:r>
            <w:r>
              <w:rPr>
                <w:rFonts w:ascii="Arial" w:eastAsia="华文细黑" w:hAnsi="Arial" w:cs="Arial"/>
                <w:sz w:val="18"/>
                <w:szCs w:val="18"/>
              </w:rPr>
              <w:t>A</w:t>
            </w:r>
          </w:p>
        </w:tc>
        <w:tc>
          <w:tcPr>
            <w:tcW w:w="1912" w:type="dxa"/>
            <w:gridSpan w:val="2"/>
          </w:tcPr>
          <w:p w14:paraId="4C386DDB"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案例：</w:t>
            </w:r>
            <w:r>
              <w:rPr>
                <w:rFonts w:ascii="Arial" w:eastAsia="华文细黑" w:hAnsi="Arial" w:cs="Arial"/>
                <w:sz w:val="18"/>
                <w:szCs w:val="18"/>
              </w:rPr>
              <w:t>B</w:t>
            </w:r>
          </w:p>
        </w:tc>
        <w:tc>
          <w:tcPr>
            <w:tcW w:w="1886" w:type="dxa"/>
            <w:gridSpan w:val="2"/>
          </w:tcPr>
          <w:p w14:paraId="2BDB4D8A"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案例：</w:t>
            </w:r>
            <w:r>
              <w:rPr>
                <w:rFonts w:ascii="Arial" w:eastAsia="华文细黑" w:hAnsi="Arial" w:cs="Arial"/>
                <w:sz w:val="18"/>
                <w:szCs w:val="18"/>
              </w:rPr>
              <w:t>C</w:t>
            </w:r>
          </w:p>
        </w:tc>
      </w:tr>
      <w:tr w:rsidR="00000000" w14:paraId="526CBC8E" w14:textId="77777777">
        <w:trPr>
          <w:jc w:val="center"/>
        </w:trPr>
        <w:tc>
          <w:tcPr>
            <w:tcW w:w="3521" w:type="dxa"/>
            <w:gridSpan w:val="2"/>
            <w:noWrap/>
            <w:vAlign w:val="bottom"/>
          </w:tcPr>
          <w:p w14:paraId="3A25059F"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交易情况</w:t>
            </w:r>
          </w:p>
        </w:tc>
        <w:tc>
          <w:tcPr>
            <w:tcW w:w="524" w:type="dxa"/>
            <w:tcBorders>
              <w:right w:val="nil"/>
            </w:tcBorders>
            <w:vAlign w:val="center"/>
          </w:tcPr>
          <w:p w14:paraId="39557A55"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1F42D2FE"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w:t>
            </w:r>
            <w:r>
              <w:rPr>
                <w:rFonts w:ascii="Arial" w:eastAsia="华文细黑" w:hAnsi="Arial" w:cs="Arial" w:hint="eastAsia"/>
                <w:sz w:val="18"/>
                <w:szCs w:val="18"/>
              </w:rPr>
              <w:t>12</w:t>
            </w:r>
          </w:p>
        </w:tc>
        <w:tc>
          <w:tcPr>
            <w:tcW w:w="451" w:type="dxa"/>
            <w:tcBorders>
              <w:right w:val="nil"/>
            </w:tcBorders>
            <w:vAlign w:val="center"/>
          </w:tcPr>
          <w:p w14:paraId="61A51205"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14B1290E"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w:t>
            </w:r>
            <w:r>
              <w:rPr>
                <w:rFonts w:ascii="Arial" w:eastAsia="华文细黑" w:hAnsi="Arial" w:cs="Arial" w:hint="eastAsia"/>
                <w:sz w:val="18"/>
                <w:szCs w:val="18"/>
              </w:rPr>
              <w:t>12</w:t>
            </w:r>
          </w:p>
        </w:tc>
        <w:tc>
          <w:tcPr>
            <w:tcW w:w="441" w:type="dxa"/>
            <w:tcBorders>
              <w:right w:val="nil"/>
            </w:tcBorders>
            <w:vAlign w:val="center"/>
          </w:tcPr>
          <w:p w14:paraId="6B80AC64"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42625BE8"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w:t>
            </w:r>
            <w:r>
              <w:rPr>
                <w:rFonts w:ascii="Arial" w:eastAsia="华文细黑" w:hAnsi="Arial" w:cs="Arial" w:hint="eastAsia"/>
                <w:sz w:val="18"/>
                <w:szCs w:val="18"/>
              </w:rPr>
              <w:t>12</w:t>
            </w:r>
          </w:p>
        </w:tc>
      </w:tr>
      <w:tr w:rsidR="00000000" w14:paraId="01FDB747" w14:textId="77777777">
        <w:trPr>
          <w:jc w:val="center"/>
        </w:trPr>
        <w:tc>
          <w:tcPr>
            <w:tcW w:w="3521" w:type="dxa"/>
            <w:gridSpan w:val="2"/>
            <w:noWrap/>
            <w:vAlign w:val="bottom"/>
          </w:tcPr>
          <w:p w14:paraId="308A754B"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市场状况</w:t>
            </w:r>
          </w:p>
        </w:tc>
        <w:tc>
          <w:tcPr>
            <w:tcW w:w="524" w:type="dxa"/>
            <w:tcBorders>
              <w:right w:val="nil"/>
            </w:tcBorders>
            <w:vAlign w:val="center"/>
          </w:tcPr>
          <w:p w14:paraId="4AC292B1"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25825EFA"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14:paraId="15826C06"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4776D56E"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14:paraId="34E6C018"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1364181C"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r>
      <w:tr w:rsidR="00000000" w14:paraId="36B9589C" w14:textId="77777777">
        <w:trPr>
          <w:jc w:val="center"/>
        </w:trPr>
        <w:tc>
          <w:tcPr>
            <w:tcW w:w="1135" w:type="dxa"/>
            <w:vMerge w:val="restart"/>
            <w:vAlign w:val="center"/>
          </w:tcPr>
          <w:p w14:paraId="7D6CCEBE"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权益状况</w:t>
            </w:r>
          </w:p>
        </w:tc>
        <w:tc>
          <w:tcPr>
            <w:tcW w:w="2386" w:type="dxa"/>
            <w:noWrap/>
            <w:tcMar>
              <w:left w:w="57" w:type="dxa"/>
              <w:right w:w="57" w:type="dxa"/>
            </w:tcMar>
            <w:vAlign w:val="bottom"/>
          </w:tcPr>
          <w:p w14:paraId="524458D1"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用途</w:t>
            </w:r>
          </w:p>
        </w:tc>
        <w:tc>
          <w:tcPr>
            <w:tcW w:w="524" w:type="dxa"/>
            <w:tcBorders>
              <w:right w:val="nil"/>
            </w:tcBorders>
            <w:vAlign w:val="center"/>
          </w:tcPr>
          <w:p w14:paraId="23103C32"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40E1FDB7"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14:paraId="38CF2E1F"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7F293087"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14:paraId="6A37A001"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73023508"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r>
      <w:tr w:rsidR="00000000" w14:paraId="5FE0042E" w14:textId="77777777">
        <w:trPr>
          <w:jc w:val="center"/>
        </w:trPr>
        <w:tc>
          <w:tcPr>
            <w:tcW w:w="1135" w:type="dxa"/>
            <w:vMerge/>
            <w:vAlign w:val="center"/>
          </w:tcPr>
          <w:p w14:paraId="7F89374E" w14:textId="77777777" w:rsidR="00000000" w:rsidRDefault="00000000">
            <w:pPr>
              <w:widowControl/>
              <w:spacing w:line="240" w:lineRule="exact"/>
              <w:rPr>
                <w:rFonts w:ascii="华文细黑" w:eastAsia="华文细黑" w:hAnsi="华文细黑" w:cs="Arial"/>
                <w:sz w:val="18"/>
                <w:szCs w:val="18"/>
              </w:rPr>
            </w:pPr>
          </w:p>
        </w:tc>
        <w:tc>
          <w:tcPr>
            <w:tcW w:w="2386" w:type="dxa"/>
            <w:noWrap/>
            <w:tcMar>
              <w:left w:w="57" w:type="dxa"/>
              <w:right w:w="57" w:type="dxa"/>
            </w:tcMar>
            <w:vAlign w:val="bottom"/>
          </w:tcPr>
          <w:p w14:paraId="4E1B94FC"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权利限制</w:t>
            </w:r>
          </w:p>
        </w:tc>
        <w:tc>
          <w:tcPr>
            <w:tcW w:w="524" w:type="dxa"/>
            <w:tcBorders>
              <w:right w:val="nil"/>
            </w:tcBorders>
            <w:vAlign w:val="center"/>
          </w:tcPr>
          <w:p w14:paraId="132F65E2"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1C645CE1"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14:paraId="514BEC0B"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68AB46B3"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14:paraId="0DC41FAA"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37FF800B"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r>
      <w:tr w:rsidR="00000000" w14:paraId="22E3A3BE" w14:textId="77777777">
        <w:trPr>
          <w:jc w:val="center"/>
        </w:trPr>
        <w:tc>
          <w:tcPr>
            <w:tcW w:w="1135" w:type="dxa"/>
            <w:vMerge w:val="restart"/>
            <w:vAlign w:val="center"/>
          </w:tcPr>
          <w:p w14:paraId="300D3EEA"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区位状况</w:t>
            </w:r>
          </w:p>
        </w:tc>
        <w:tc>
          <w:tcPr>
            <w:tcW w:w="2386" w:type="dxa"/>
            <w:noWrap/>
            <w:vAlign w:val="center"/>
          </w:tcPr>
          <w:p w14:paraId="0733678F"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商业繁华度</w:t>
            </w:r>
          </w:p>
        </w:tc>
        <w:tc>
          <w:tcPr>
            <w:tcW w:w="524" w:type="dxa"/>
            <w:tcBorders>
              <w:right w:val="nil"/>
            </w:tcBorders>
            <w:vAlign w:val="center"/>
          </w:tcPr>
          <w:p w14:paraId="5A18968A"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7C5411CF"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14:paraId="403C1EB2"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5D726D1A"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14:paraId="09D06181"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1A394A49"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r>
      <w:tr w:rsidR="00000000" w14:paraId="72D742EC" w14:textId="77777777">
        <w:trPr>
          <w:jc w:val="center"/>
        </w:trPr>
        <w:tc>
          <w:tcPr>
            <w:tcW w:w="1135" w:type="dxa"/>
            <w:vMerge/>
            <w:vAlign w:val="center"/>
          </w:tcPr>
          <w:p w14:paraId="120D85F8" w14:textId="77777777" w:rsidR="00000000" w:rsidRDefault="00000000">
            <w:pPr>
              <w:widowControl/>
              <w:spacing w:line="240" w:lineRule="exact"/>
              <w:rPr>
                <w:rFonts w:ascii="华文细黑" w:eastAsia="华文细黑" w:hAnsi="华文细黑" w:cs="Arial"/>
                <w:sz w:val="18"/>
                <w:szCs w:val="18"/>
              </w:rPr>
            </w:pPr>
          </w:p>
        </w:tc>
        <w:tc>
          <w:tcPr>
            <w:tcW w:w="2386" w:type="dxa"/>
            <w:noWrap/>
            <w:vAlign w:val="center"/>
          </w:tcPr>
          <w:p w14:paraId="2BD93BAF"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交通便捷度</w:t>
            </w:r>
          </w:p>
        </w:tc>
        <w:tc>
          <w:tcPr>
            <w:tcW w:w="524" w:type="dxa"/>
            <w:tcBorders>
              <w:right w:val="nil"/>
            </w:tcBorders>
            <w:vAlign w:val="center"/>
          </w:tcPr>
          <w:p w14:paraId="47D37214"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15CC4A60"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14:paraId="594E07EF"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21934B78"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14:paraId="2AC306CC"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16E88F89"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r>
      <w:tr w:rsidR="00000000" w14:paraId="077EA450" w14:textId="77777777">
        <w:trPr>
          <w:jc w:val="center"/>
        </w:trPr>
        <w:tc>
          <w:tcPr>
            <w:tcW w:w="1135" w:type="dxa"/>
            <w:vMerge/>
            <w:vAlign w:val="center"/>
          </w:tcPr>
          <w:p w14:paraId="472F54DD" w14:textId="77777777" w:rsidR="00000000" w:rsidRDefault="00000000">
            <w:pPr>
              <w:widowControl/>
              <w:spacing w:line="240" w:lineRule="exact"/>
              <w:rPr>
                <w:rFonts w:ascii="华文细黑" w:eastAsia="华文细黑" w:hAnsi="华文细黑" w:cs="Arial"/>
                <w:sz w:val="18"/>
                <w:szCs w:val="18"/>
              </w:rPr>
            </w:pPr>
          </w:p>
        </w:tc>
        <w:tc>
          <w:tcPr>
            <w:tcW w:w="2386" w:type="dxa"/>
            <w:noWrap/>
            <w:vAlign w:val="center"/>
          </w:tcPr>
          <w:p w14:paraId="7DD7894F"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公共配套设施</w:t>
            </w:r>
          </w:p>
        </w:tc>
        <w:tc>
          <w:tcPr>
            <w:tcW w:w="524" w:type="dxa"/>
            <w:tcBorders>
              <w:right w:val="nil"/>
            </w:tcBorders>
            <w:vAlign w:val="center"/>
          </w:tcPr>
          <w:p w14:paraId="50BB9289"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46F16EE8"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14:paraId="37388BA7"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0F52698D"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14:paraId="67A7FE91"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32DDF14B"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r>
      <w:tr w:rsidR="00000000" w14:paraId="7766E8FE" w14:textId="77777777">
        <w:trPr>
          <w:jc w:val="center"/>
        </w:trPr>
        <w:tc>
          <w:tcPr>
            <w:tcW w:w="1135" w:type="dxa"/>
            <w:vMerge/>
            <w:vAlign w:val="center"/>
          </w:tcPr>
          <w:p w14:paraId="20725147" w14:textId="77777777" w:rsidR="00000000" w:rsidRDefault="00000000">
            <w:pPr>
              <w:widowControl/>
              <w:spacing w:line="240" w:lineRule="exact"/>
              <w:rPr>
                <w:rFonts w:ascii="华文细黑" w:eastAsia="华文细黑" w:hAnsi="华文细黑" w:cs="Arial"/>
                <w:sz w:val="18"/>
                <w:szCs w:val="18"/>
              </w:rPr>
            </w:pPr>
          </w:p>
        </w:tc>
        <w:tc>
          <w:tcPr>
            <w:tcW w:w="2386" w:type="dxa"/>
            <w:noWrap/>
            <w:vAlign w:val="center"/>
          </w:tcPr>
          <w:p w14:paraId="5CA4DDD1"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基础设施水平</w:t>
            </w:r>
          </w:p>
        </w:tc>
        <w:tc>
          <w:tcPr>
            <w:tcW w:w="524" w:type="dxa"/>
            <w:tcBorders>
              <w:right w:val="nil"/>
            </w:tcBorders>
            <w:vAlign w:val="center"/>
          </w:tcPr>
          <w:p w14:paraId="3BDE90A4"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645FA4C4"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14:paraId="4440CE17"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052F2EDC"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14:paraId="7E2573FA"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7DDF37A6"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r>
      <w:tr w:rsidR="00000000" w14:paraId="29BB0B73" w14:textId="77777777">
        <w:trPr>
          <w:jc w:val="center"/>
        </w:trPr>
        <w:tc>
          <w:tcPr>
            <w:tcW w:w="1135" w:type="dxa"/>
            <w:vMerge/>
            <w:vAlign w:val="center"/>
          </w:tcPr>
          <w:p w14:paraId="420544B2" w14:textId="77777777" w:rsidR="00000000" w:rsidRDefault="00000000">
            <w:pPr>
              <w:widowControl/>
              <w:spacing w:line="240" w:lineRule="exact"/>
              <w:rPr>
                <w:rFonts w:ascii="华文细黑" w:eastAsia="华文细黑" w:hAnsi="华文细黑" w:cs="Arial"/>
                <w:sz w:val="18"/>
                <w:szCs w:val="18"/>
              </w:rPr>
            </w:pPr>
          </w:p>
        </w:tc>
        <w:tc>
          <w:tcPr>
            <w:tcW w:w="2386" w:type="dxa"/>
            <w:noWrap/>
            <w:vAlign w:val="center"/>
          </w:tcPr>
          <w:p w14:paraId="5F293435"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自然及人文环境</w:t>
            </w:r>
          </w:p>
        </w:tc>
        <w:tc>
          <w:tcPr>
            <w:tcW w:w="524" w:type="dxa"/>
            <w:tcBorders>
              <w:right w:val="nil"/>
            </w:tcBorders>
            <w:vAlign w:val="center"/>
          </w:tcPr>
          <w:p w14:paraId="4AC4C366"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7988FA57"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14:paraId="16F8D717"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63604E04"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14:paraId="009DE64B"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449881DE"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r>
      <w:tr w:rsidR="00000000" w14:paraId="4B0F56DB" w14:textId="77777777">
        <w:trPr>
          <w:jc w:val="center"/>
        </w:trPr>
        <w:tc>
          <w:tcPr>
            <w:tcW w:w="1135" w:type="dxa"/>
            <w:vMerge/>
            <w:vAlign w:val="center"/>
          </w:tcPr>
          <w:p w14:paraId="07B30C01" w14:textId="77777777" w:rsidR="00000000" w:rsidRDefault="00000000">
            <w:pPr>
              <w:widowControl/>
              <w:spacing w:line="240" w:lineRule="exact"/>
              <w:rPr>
                <w:rFonts w:ascii="华文细黑" w:eastAsia="华文细黑" w:hAnsi="华文细黑" w:cs="Arial"/>
                <w:sz w:val="18"/>
                <w:szCs w:val="18"/>
              </w:rPr>
            </w:pPr>
          </w:p>
        </w:tc>
        <w:tc>
          <w:tcPr>
            <w:tcW w:w="2386" w:type="dxa"/>
            <w:noWrap/>
            <w:vAlign w:val="center"/>
          </w:tcPr>
          <w:p w14:paraId="7AE031F1"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临街状况</w:t>
            </w:r>
          </w:p>
        </w:tc>
        <w:tc>
          <w:tcPr>
            <w:tcW w:w="524" w:type="dxa"/>
            <w:tcBorders>
              <w:right w:val="nil"/>
            </w:tcBorders>
            <w:vAlign w:val="center"/>
          </w:tcPr>
          <w:p w14:paraId="05E8D182"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4FBA0B84"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14:paraId="2F58B600"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794AD8D1"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14:paraId="476CBA51"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3134A0F3"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r>
      <w:tr w:rsidR="00000000" w14:paraId="4C2755EA" w14:textId="77777777">
        <w:trPr>
          <w:jc w:val="center"/>
        </w:trPr>
        <w:tc>
          <w:tcPr>
            <w:tcW w:w="1135" w:type="dxa"/>
            <w:vMerge/>
            <w:vAlign w:val="center"/>
          </w:tcPr>
          <w:p w14:paraId="2683DB76" w14:textId="77777777" w:rsidR="00000000" w:rsidRDefault="00000000">
            <w:pPr>
              <w:widowControl/>
              <w:spacing w:line="240" w:lineRule="exact"/>
              <w:rPr>
                <w:rFonts w:ascii="华文细黑" w:eastAsia="华文细黑" w:hAnsi="华文细黑" w:cs="Arial"/>
                <w:sz w:val="18"/>
                <w:szCs w:val="18"/>
              </w:rPr>
            </w:pPr>
          </w:p>
        </w:tc>
        <w:tc>
          <w:tcPr>
            <w:tcW w:w="2386" w:type="dxa"/>
            <w:noWrap/>
            <w:vAlign w:val="center"/>
          </w:tcPr>
          <w:p w14:paraId="2B8717C8" w14:textId="77777777" w:rsidR="00000000" w:rsidRDefault="00000000">
            <w:pPr>
              <w:widowControl/>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人流量</w:t>
            </w:r>
          </w:p>
        </w:tc>
        <w:tc>
          <w:tcPr>
            <w:tcW w:w="524" w:type="dxa"/>
            <w:tcBorders>
              <w:right w:val="nil"/>
            </w:tcBorders>
            <w:vAlign w:val="center"/>
          </w:tcPr>
          <w:p w14:paraId="78A82C4B"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66B834E0" w14:textId="77777777" w:rsidR="00000000" w:rsidRDefault="00000000">
            <w:pPr>
              <w:spacing w:line="240" w:lineRule="exact"/>
              <w:rPr>
                <w:rFonts w:ascii="Arial" w:eastAsia="华文细黑" w:hAnsi="Arial" w:cs="Arial"/>
                <w:color w:val="E36C0A"/>
                <w:sz w:val="18"/>
                <w:szCs w:val="18"/>
              </w:rPr>
            </w:pPr>
            <w:r>
              <w:rPr>
                <w:rFonts w:ascii="Arial" w:eastAsia="华文细黑" w:hAnsi="Arial" w:cs="Arial"/>
                <w:sz w:val="18"/>
                <w:szCs w:val="18"/>
              </w:rPr>
              <w:t>100</w:t>
            </w:r>
          </w:p>
        </w:tc>
        <w:tc>
          <w:tcPr>
            <w:tcW w:w="451" w:type="dxa"/>
            <w:tcBorders>
              <w:right w:val="nil"/>
            </w:tcBorders>
            <w:vAlign w:val="center"/>
          </w:tcPr>
          <w:p w14:paraId="43D16A7D"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53EF1394" w14:textId="77777777" w:rsidR="00000000" w:rsidRDefault="00000000">
            <w:pPr>
              <w:spacing w:line="240" w:lineRule="exact"/>
              <w:rPr>
                <w:rFonts w:ascii="Arial" w:eastAsia="华文细黑" w:hAnsi="Arial" w:cs="Arial"/>
                <w:color w:val="E36C0A"/>
                <w:sz w:val="18"/>
                <w:szCs w:val="18"/>
              </w:rPr>
            </w:pPr>
            <w:r>
              <w:rPr>
                <w:rFonts w:ascii="Arial" w:eastAsia="华文细黑" w:hAnsi="Arial" w:cs="Arial"/>
                <w:sz w:val="18"/>
                <w:szCs w:val="18"/>
              </w:rPr>
              <w:t>100</w:t>
            </w:r>
          </w:p>
        </w:tc>
        <w:tc>
          <w:tcPr>
            <w:tcW w:w="441" w:type="dxa"/>
            <w:tcBorders>
              <w:right w:val="nil"/>
            </w:tcBorders>
            <w:vAlign w:val="center"/>
          </w:tcPr>
          <w:p w14:paraId="15CEEA43"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3DFDC97B" w14:textId="77777777" w:rsidR="00000000" w:rsidRDefault="00000000">
            <w:pPr>
              <w:spacing w:line="240" w:lineRule="exact"/>
              <w:rPr>
                <w:rFonts w:ascii="Arial" w:eastAsia="华文细黑" w:hAnsi="Arial" w:cs="Arial"/>
                <w:color w:val="E36C0A"/>
                <w:sz w:val="18"/>
                <w:szCs w:val="18"/>
              </w:rPr>
            </w:pPr>
            <w:r>
              <w:rPr>
                <w:rFonts w:ascii="Arial" w:eastAsia="华文细黑" w:hAnsi="Arial" w:cs="Arial"/>
                <w:sz w:val="18"/>
                <w:szCs w:val="18"/>
              </w:rPr>
              <w:t>100</w:t>
            </w:r>
          </w:p>
        </w:tc>
      </w:tr>
      <w:tr w:rsidR="00000000" w14:paraId="32C2345A" w14:textId="77777777">
        <w:trPr>
          <w:jc w:val="center"/>
        </w:trPr>
        <w:tc>
          <w:tcPr>
            <w:tcW w:w="1135" w:type="dxa"/>
            <w:vMerge/>
            <w:vAlign w:val="center"/>
          </w:tcPr>
          <w:p w14:paraId="1C17D0DF" w14:textId="77777777" w:rsidR="00000000" w:rsidRDefault="00000000">
            <w:pPr>
              <w:widowControl/>
              <w:spacing w:line="240" w:lineRule="exact"/>
              <w:rPr>
                <w:rFonts w:ascii="华文细黑" w:eastAsia="华文细黑" w:hAnsi="华文细黑" w:cs="Arial"/>
                <w:sz w:val="18"/>
                <w:szCs w:val="18"/>
              </w:rPr>
            </w:pPr>
          </w:p>
        </w:tc>
        <w:tc>
          <w:tcPr>
            <w:tcW w:w="2386" w:type="dxa"/>
            <w:noWrap/>
            <w:vAlign w:val="center"/>
          </w:tcPr>
          <w:p w14:paraId="58B4ACD6"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楼层</w:t>
            </w:r>
          </w:p>
        </w:tc>
        <w:tc>
          <w:tcPr>
            <w:tcW w:w="524" w:type="dxa"/>
            <w:tcBorders>
              <w:right w:val="nil"/>
            </w:tcBorders>
            <w:vAlign w:val="center"/>
          </w:tcPr>
          <w:p w14:paraId="265785EE"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06B9BC6D" w14:textId="77777777" w:rsidR="00000000" w:rsidRDefault="00000000">
            <w:pPr>
              <w:spacing w:line="240" w:lineRule="exact"/>
              <w:rPr>
                <w:rFonts w:ascii="Arial" w:eastAsia="华文细黑" w:hAnsi="Arial" w:cs="Arial"/>
                <w:color w:val="E36C0A"/>
                <w:sz w:val="18"/>
                <w:szCs w:val="18"/>
              </w:rPr>
            </w:pPr>
            <w:r>
              <w:rPr>
                <w:rFonts w:ascii="Arial" w:eastAsia="华文细黑" w:hAnsi="Arial" w:cs="Arial"/>
                <w:sz w:val="18"/>
                <w:szCs w:val="18"/>
              </w:rPr>
              <w:t>100</w:t>
            </w:r>
          </w:p>
        </w:tc>
        <w:tc>
          <w:tcPr>
            <w:tcW w:w="451" w:type="dxa"/>
            <w:tcBorders>
              <w:right w:val="nil"/>
            </w:tcBorders>
            <w:vAlign w:val="center"/>
          </w:tcPr>
          <w:p w14:paraId="1E7E6795"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72588BA1" w14:textId="77777777" w:rsidR="00000000" w:rsidRDefault="00000000">
            <w:pPr>
              <w:spacing w:line="240" w:lineRule="exact"/>
              <w:rPr>
                <w:rFonts w:ascii="Arial" w:eastAsia="华文细黑" w:hAnsi="Arial" w:cs="Arial"/>
                <w:color w:val="E36C0A"/>
                <w:sz w:val="18"/>
                <w:szCs w:val="18"/>
              </w:rPr>
            </w:pPr>
            <w:r>
              <w:rPr>
                <w:rFonts w:ascii="Arial" w:eastAsia="华文细黑" w:hAnsi="Arial" w:cs="Arial"/>
                <w:sz w:val="18"/>
                <w:szCs w:val="18"/>
              </w:rPr>
              <w:t>100</w:t>
            </w:r>
          </w:p>
        </w:tc>
        <w:tc>
          <w:tcPr>
            <w:tcW w:w="441" w:type="dxa"/>
            <w:tcBorders>
              <w:right w:val="nil"/>
            </w:tcBorders>
            <w:vAlign w:val="center"/>
          </w:tcPr>
          <w:p w14:paraId="49F18AC9"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52661F0E" w14:textId="77777777" w:rsidR="00000000" w:rsidRDefault="00000000">
            <w:pPr>
              <w:spacing w:line="240" w:lineRule="exact"/>
              <w:rPr>
                <w:rFonts w:ascii="Arial" w:eastAsia="华文细黑" w:hAnsi="Arial" w:cs="Arial"/>
                <w:color w:val="E36C0A"/>
                <w:sz w:val="18"/>
                <w:szCs w:val="18"/>
              </w:rPr>
            </w:pPr>
            <w:r>
              <w:rPr>
                <w:rFonts w:ascii="Arial" w:eastAsia="华文细黑" w:hAnsi="Arial" w:cs="Arial"/>
                <w:sz w:val="18"/>
                <w:szCs w:val="18"/>
              </w:rPr>
              <w:t>100</w:t>
            </w:r>
          </w:p>
        </w:tc>
      </w:tr>
      <w:tr w:rsidR="00000000" w14:paraId="5DDE9B6A" w14:textId="77777777">
        <w:trPr>
          <w:trHeight w:val="265"/>
          <w:jc w:val="center"/>
        </w:trPr>
        <w:tc>
          <w:tcPr>
            <w:tcW w:w="1135" w:type="dxa"/>
            <w:vMerge w:val="restart"/>
            <w:vAlign w:val="center"/>
          </w:tcPr>
          <w:p w14:paraId="5F5F397C"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实物状况</w:t>
            </w:r>
          </w:p>
        </w:tc>
        <w:tc>
          <w:tcPr>
            <w:tcW w:w="2386" w:type="dxa"/>
            <w:noWrap/>
            <w:vAlign w:val="center"/>
          </w:tcPr>
          <w:p w14:paraId="632D2D40"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商业类型</w:t>
            </w:r>
          </w:p>
        </w:tc>
        <w:tc>
          <w:tcPr>
            <w:tcW w:w="524" w:type="dxa"/>
            <w:tcBorders>
              <w:right w:val="nil"/>
            </w:tcBorders>
            <w:vAlign w:val="center"/>
          </w:tcPr>
          <w:p w14:paraId="572DDCF8"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15830571" w14:textId="77777777" w:rsidR="00000000" w:rsidRDefault="00000000">
            <w:pPr>
              <w:spacing w:line="240" w:lineRule="exact"/>
              <w:rPr>
                <w:rFonts w:ascii="Arial" w:eastAsia="华文细黑" w:hAnsi="Arial" w:cs="Arial"/>
                <w:sz w:val="18"/>
                <w:szCs w:val="18"/>
              </w:rPr>
            </w:pPr>
            <w:r>
              <w:rPr>
                <w:rFonts w:ascii="Arial" w:eastAsia="华文细黑" w:hAnsi="Arial" w:cs="Arial" w:hint="eastAsia"/>
                <w:sz w:val="18"/>
                <w:szCs w:val="18"/>
              </w:rPr>
              <w:t>94</w:t>
            </w:r>
          </w:p>
        </w:tc>
        <w:tc>
          <w:tcPr>
            <w:tcW w:w="451" w:type="dxa"/>
            <w:tcBorders>
              <w:right w:val="nil"/>
            </w:tcBorders>
            <w:vAlign w:val="center"/>
          </w:tcPr>
          <w:p w14:paraId="5E747061"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34081926"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14:paraId="35B98D77"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2A74CCB9" w14:textId="77777777" w:rsidR="00000000" w:rsidRDefault="00000000">
            <w:pPr>
              <w:spacing w:line="240" w:lineRule="exact"/>
              <w:rPr>
                <w:rFonts w:ascii="Arial" w:eastAsia="华文细黑" w:hAnsi="Arial" w:cs="Arial"/>
                <w:sz w:val="18"/>
                <w:szCs w:val="18"/>
              </w:rPr>
            </w:pPr>
            <w:r>
              <w:rPr>
                <w:rFonts w:ascii="Arial" w:eastAsia="华文细黑" w:hAnsi="Arial" w:cs="Arial" w:hint="eastAsia"/>
                <w:sz w:val="18"/>
                <w:szCs w:val="18"/>
              </w:rPr>
              <w:t>94</w:t>
            </w:r>
          </w:p>
        </w:tc>
      </w:tr>
      <w:tr w:rsidR="00000000" w14:paraId="14262EDE" w14:textId="77777777">
        <w:trPr>
          <w:jc w:val="center"/>
        </w:trPr>
        <w:tc>
          <w:tcPr>
            <w:tcW w:w="1135" w:type="dxa"/>
            <w:vMerge/>
            <w:textDirection w:val="tbRlV"/>
            <w:vAlign w:val="center"/>
          </w:tcPr>
          <w:p w14:paraId="3FFD12EA" w14:textId="77777777" w:rsidR="00000000" w:rsidRDefault="00000000">
            <w:pPr>
              <w:widowControl/>
              <w:spacing w:line="240" w:lineRule="exact"/>
              <w:rPr>
                <w:rFonts w:ascii="华文细黑" w:eastAsia="华文细黑" w:hAnsi="华文细黑" w:cs="Arial"/>
                <w:sz w:val="18"/>
                <w:szCs w:val="18"/>
              </w:rPr>
            </w:pPr>
          </w:p>
        </w:tc>
        <w:tc>
          <w:tcPr>
            <w:tcW w:w="2386" w:type="dxa"/>
            <w:noWrap/>
            <w:vAlign w:val="center"/>
          </w:tcPr>
          <w:p w14:paraId="6ACB79F1"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建筑面积</w:t>
            </w:r>
          </w:p>
        </w:tc>
        <w:tc>
          <w:tcPr>
            <w:tcW w:w="524" w:type="dxa"/>
            <w:tcBorders>
              <w:right w:val="nil"/>
            </w:tcBorders>
            <w:vAlign w:val="center"/>
          </w:tcPr>
          <w:p w14:paraId="1B11F1B6"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1A72A0F8" w14:textId="77777777" w:rsidR="00000000" w:rsidRDefault="00000000">
            <w:pPr>
              <w:spacing w:line="240" w:lineRule="exact"/>
              <w:rPr>
                <w:rFonts w:ascii="Arial" w:eastAsia="华文细黑" w:hAnsi="Arial" w:cs="Arial" w:hint="eastAsia"/>
                <w:sz w:val="18"/>
                <w:szCs w:val="18"/>
              </w:rPr>
            </w:pPr>
            <w:r>
              <w:rPr>
                <w:rFonts w:ascii="Arial" w:eastAsia="华文细黑" w:hAnsi="Arial" w:cs="Arial"/>
                <w:sz w:val="18"/>
                <w:szCs w:val="18"/>
              </w:rPr>
              <w:t>10</w:t>
            </w:r>
            <w:r>
              <w:rPr>
                <w:rFonts w:ascii="Arial" w:eastAsia="华文细黑" w:hAnsi="Arial" w:cs="Arial" w:hint="eastAsia"/>
                <w:sz w:val="18"/>
                <w:szCs w:val="18"/>
              </w:rPr>
              <w:t>2</w:t>
            </w:r>
          </w:p>
        </w:tc>
        <w:tc>
          <w:tcPr>
            <w:tcW w:w="451" w:type="dxa"/>
            <w:tcBorders>
              <w:right w:val="nil"/>
            </w:tcBorders>
            <w:vAlign w:val="center"/>
          </w:tcPr>
          <w:p w14:paraId="3A96195E"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2B580BBC" w14:textId="77777777" w:rsidR="00000000" w:rsidRDefault="00000000">
            <w:pPr>
              <w:spacing w:line="240" w:lineRule="exact"/>
              <w:rPr>
                <w:rFonts w:ascii="Arial" w:eastAsia="华文细黑" w:hAnsi="Arial" w:cs="Arial" w:hint="eastAsia"/>
                <w:sz w:val="18"/>
                <w:szCs w:val="18"/>
              </w:rPr>
            </w:pPr>
            <w:r>
              <w:rPr>
                <w:rFonts w:ascii="Arial" w:eastAsia="华文细黑" w:hAnsi="Arial" w:cs="Arial"/>
                <w:sz w:val="18"/>
                <w:szCs w:val="18"/>
              </w:rPr>
              <w:t>10</w:t>
            </w:r>
            <w:r>
              <w:rPr>
                <w:rFonts w:ascii="Arial" w:eastAsia="华文细黑" w:hAnsi="Arial" w:cs="Arial" w:hint="eastAsia"/>
                <w:sz w:val="18"/>
                <w:szCs w:val="18"/>
              </w:rPr>
              <w:t>4</w:t>
            </w:r>
          </w:p>
        </w:tc>
        <w:tc>
          <w:tcPr>
            <w:tcW w:w="441" w:type="dxa"/>
            <w:tcBorders>
              <w:right w:val="nil"/>
            </w:tcBorders>
            <w:vAlign w:val="center"/>
          </w:tcPr>
          <w:p w14:paraId="6BC6E3F1"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48237AAE" w14:textId="77777777" w:rsidR="00000000" w:rsidRDefault="00000000">
            <w:pPr>
              <w:spacing w:line="240" w:lineRule="exact"/>
              <w:rPr>
                <w:rFonts w:ascii="Arial" w:eastAsia="华文细黑" w:hAnsi="Arial" w:cs="Arial" w:hint="eastAsia"/>
                <w:sz w:val="18"/>
                <w:szCs w:val="18"/>
              </w:rPr>
            </w:pPr>
            <w:r>
              <w:rPr>
                <w:rFonts w:ascii="Arial" w:eastAsia="华文细黑" w:hAnsi="Arial" w:cs="Arial"/>
                <w:sz w:val="18"/>
                <w:szCs w:val="18"/>
              </w:rPr>
              <w:t>10</w:t>
            </w:r>
            <w:r>
              <w:rPr>
                <w:rFonts w:ascii="Arial" w:eastAsia="华文细黑" w:hAnsi="Arial" w:cs="Arial" w:hint="eastAsia"/>
                <w:sz w:val="18"/>
                <w:szCs w:val="18"/>
              </w:rPr>
              <w:t>2</w:t>
            </w:r>
          </w:p>
        </w:tc>
      </w:tr>
      <w:tr w:rsidR="00000000" w14:paraId="63B3AF7B" w14:textId="77777777">
        <w:trPr>
          <w:jc w:val="center"/>
        </w:trPr>
        <w:tc>
          <w:tcPr>
            <w:tcW w:w="1135" w:type="dxa"/>
            <w:vMerge/>
            <w:textDirection w:val="tbRlV"/>
            <w:vAlign w:val="center"/>
          </w:tcPr>
          <w:p w14:paraId="17E0C355" w14:textId="77777777" w:rsidR="00000000" w:rsidRDefault="00000000">
            <w:pPr>
              <w:widowControl/>
              <w:spacing w:line="240" w:lineRule="exact"/>
              <w:rPr>
                <w:rFonts w:ascii="华文细黑" w:eastAsia="华文细黑" w:hAnsi="华文细黑" w:cs="Arial"/>
                <w:sz w:val="18"/>
                <w:szCs w:val="18"/>
              </w:rPr>
            </w:pPr>
          </w:p>
        </w:tc>
        <w:tc>
          <w:tcPr>
            <w:tcW w:w="2386" w:type="dxa"/>
            <w:noWrap/>
            <w:vAlign w:val="center"/>
          </w:tcPr>
          <w:p w14:paraId="24B24EB3"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建筑结构</w:t>
            </w:r>
          </w:p>
        </w:tc>
        <w:tc>
          <w:tcPr>
            <w:tcW w:w="524" w:type="dxa"/>
            <w:tcBorders>
              <w:right w:val="nil"/>
            </w:tcBorders>
            <w:vAlign w:val="center"/>
          </w:tcPr>
          <w:p w14:paraId="6781F30E"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7F564B9B" w14:textId="77777777" w:rsidR="00000000" w:rsidRDefault="00000000">
            <w:pPr>
              <w:spacing w:line="240" w:lineRule="exact"/>
              <w:rPr>
                <w:rFonts w:ascii="Arial" w:eastAsia="华文细黑" w:hAnsi="Arial" w:cs="Arial" w:hint="eastAsia"/>
                <w:sz w:val="18"/>
                <w:szCs w:val="18"/>
              </w:rPr>
            </w:pPr>
            <w:r>
              <w:rPr>
                <w:rFonts w:ascii="Arial" w:eastAsia="华文细黑" w:hAnsi="Arial" w:cs="Arial"/>
                <w:sz w:val="18"/>
                <w:szCs w:val="18"/>
              </w:rPr>
              <w:t>10</w:t>
            </w:r>
            <w:r>
              <w:rPr>
                <w:rFonts w:ascii="Arial" w:eastAsia="华文细黑" w:hAnsi="Arial" w:cs="Arial" w:hint="eastAsia"/>
                <w:sz w:val="18"/>
                <w:szCs w:val="18"/>
              </w:rPr>
              <w:t>0</w:t>
            </w:r>
          </w:p>
        </w:tc>
        <w:tc>
          <w:tcPr>
            <w:tcW w:w="451" w:type="dxa"/>
            <w:tcBorders>
              <w:right w:val="nil"/>
            </w:tcBorders>
            <w:vAlign w:val="center"/>
          </w:tcPr>
          <w:p w14:paraId="2C9F6C40"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7B089F4D"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14:paraId="14D434D4"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2BFB5334"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r>
      <w:tr w:rsidR="00000000" w14:paraId="02C507F6" w14:textId="77777777">
        <w:trPr>
          <w:jc w:val="center"/>
        </w:trPr>
        <w:tc>
          <w:tcPr>
            <w:tcW w:w="1135" w:type="dxa"/>
            <w:vMerge/>
            <w:textDirection w:val="tbRlV"/>
            <w:vAlign w:val="center"/>
          </w:tcPr>
          <w:p w14:paraId="7F5FE75C" w14:textId="77777777" w:rsidR="00000000" w:rsidRDefault="00000000">
            <w:pPr>
              <w:widowControl/>
              <w:spacing w:line="240" w:lineRule="exact"/>
              <w:rPr>
                <w:rFonts w:ascii="华文细黑" w:eastAsia="华文细黑" w:hAnsi="华文细黑" w:cs="Arial"/>
                <w:sz w:val="18"/>
                <w:szCs w:val="18"/>
              </w:rPr>
            </w:pPr>
          </w:p>
        </w:tc>
        <w:tc>
          <w:tcPr>
            <w:tcW w:w="2386" w:type="dxa"/>
            <w:noWrap/>
            <w:vAlign w:val="center"/>
          </w:tcPr>
          <w:p w14:paraId="1D3BA0EC"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内部装修</w:t>
            </w:r>
          </w:p>
        </w:tc>
        <w:tc>
          <w:tcPr>
            <w:tcW w:w="524" w:type="dxa"/>
            <w:tcBorders>
              <w:right w:val="nil"/>
            </w:tcBorders>
            <w:vAlign w:val="center"/>
          </w:tcPr>
          <w:p w14:paraId="139931D0"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7718B540" w14:textId="77777777" w:rsidR="00000000" w:rsidRDefault="00000000">
            <w:pPr>
              <w:spacing w:line="240" w:lineRule="exact"/>
              <w:rPr>
                <w:rFonts w:ascii="Arial" w:eastAsia="华文细黑" w:hAnsi="Arial" w:cs="Arial"/>
                <w:sz w:val="18"/>
                <w:szCs w:val="18"/>
              </w:rPr>
            </w:pPr>
            <w:r>
              <w:rPr>
                <w:rFonts w:ascii="Arial" w:eastAsia="华文细黑" w:hAnsi="Arial" w:cs="Arial" w:hint="eastAsia"/>
                <w:sz w:val="18"/>
                <w:szCs w:val="18"/>
              </w:rPr>
              <w:t>105</w:t>
            </w:r>
          </w:p>
        </w:tc>
        <w:tc>
          <w:tcPr>
            <w:tcW w:w="451" w:type="dxa"/>
            <w:tcBorders>
              <w:right w:val="nil"/>
            </w:tcBorders>
            <w:vAlign w:val="center"/>
          </w:tcPr>
          <w:p w14:paraId="09EE5D67"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1881E35B" w14:textId="77777777" w:rsidR="00000000" w:rsidRDefault="00000000">
            <w:pPr>
              <w:spacing w:line="240" w:lineRule="exact"/>
              <w:rPr>
                <w:rFonts w:ascii="Arial" w:eastAsia="华文细黑" w:hAnsi="Arial" w:cs="Arial" w:hint="eastAsia"/>
                <w:sz w:val="18"/>
                <w:szCs w:val="18"/>
              </w:rPr>
            </w:pPr>
            <w:r>
              <w:rPr>
                <w:rFonts w:ascii="Arial" w:eastAsia="华文细黑" w:hAnsi="Arial" w:cs="Arial"/>
                <w:sz w:val="18"/>
                <w:szCs w:val="18"/>
              </w:rPr>
              <w:t>10</w:t>
            </w:r>
            <w:r>
              <w:rPr>
                <w:rFonts w:ascii="Arial" w:eastAsia="华文细黑" w:hAnsi="Arial" w:cs="Arial" w:hint="eastAsia"/>
                <w:sz w:val="18"/>
                <w:szCs w:val="18"/>
              </w:rPr>
              <w:t>5</w:t>
            </w:r>
          </w:p>
        </w:tc>
        <w:tc>
          <w:tcPr>
            <w:tcW w:w="441" w:type="dxa"/>
            <w:tcBorders>
              <w:right w:val="nil"/>
            </w:tcBorders>
            <w:vAlign w:val="center"/>
          </w:tcPr>
          <w:p w14:paraId="49FBD09B"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5C7EAD23" w14:textId="77777777" w:rsidR="00000000" w:rsidRDefault="00000000">
            <w:pPr>
              <w:spacing w:line="240" w:lineRule="exact"/>
              <w:rPr>
                <w:rFonts w:ascii="Arial" w:eastAsia="华文细黑" w:hAnsi="Arial" w:cs="Arial" w:hint="eastAsia"/>
                <w:sz w:val="18"/>
                <w:szCs w:val="18"/>
              </w:rPr>
            </w:pPr>
            <w:r>
              <w:rPr>
                <w:rFonts w:ascii="Arial" w:eastAsia="华文细黑" w:hAnsi="Arial" w:cs="Arial"/>
                <w:sz w:val="18"/>
                <w:szCs w:val="18"/>
              </w:rPr>
              <w:t>10</w:t>
            </w:r>
            <w:r>
              <w:rPr>
                <w:rFonts w:ascii="Arial" w:eastAsia="华文细黑" w:hAnsi="Arial" w:cs="Arial" w:hint="eastAsia"/>
                <w:sz w:val="18"/>
                <w:szCs w:val="18"/>
              </w:rPr>
              <w:t>5</w:t>
            </w:r>
          </w:p>
        </w:tc>
      </w:tr>
      <w:tr w:rsidR="00000000" w14:paraId="1CE8D8A8" w14:textId="77777777">
        <w:trPr>
          <w:jc w:val="center"/>
        </w:trPr>
        <w:tc>
          <w:tcPr>
            <w:tcW w:w="1135" w:type="dxa"/>
            <w:vMerge/>
            <w:vAlign w:val="center"/>
          </w:tcPr>
          <w:p w14:paraId="5BCF1F97" w14:textId="77777777" w:rsidR="00000000" w:rsidRDefault="00000000">
            <w:pPr>
              <w:widowControl/>
              <w:spacing w:line="240" w:lineRule="exact"/>
              <w:rPr>
                <w:rFonts w:ascii="华文细黑" w:eastAsia="华文细黑" w:hAnsi="华文细黑" w:cs="Arial"/>
                <w:sz w:val="18"/>
                <w:szCs w:val="18"/>
              </w:rPr>
            </w:pPr>
          </w:p>
        </w:tc>
        <w:tc>
          <w:tcPr>
            <w:tcW w:w="2386" w:type="dxa"/>
            <w:noWrap/>
            <w:vAlign w:val="center"/>
          </w:tcPr>
          <w:p w14:paraId="33FBB8AD" w14:textId="77777777" w:rsidR="00000000" w:rsidRDefault="00000000">
            <w:pPr>
              <w:widowControl/>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成新度</w:t>
            </w:r>
          </w:p>
        </w:tc>
        <w:tc>
          <w:tcPr>
            <w:tcW w:w="524" w:type="dxa"/>
            <w:tcBorders>
              <w:right w:val="nil"/>
            </w:tcBorders>
            <w:vAlign w:val="center"/>
          </w:tcPr>
          <w:p w14:paraId="5AE8A701"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2A5BA941" w14:textId="77777777" w:rsidR="00000000" w:rsidRDefault="00000000">
            <w:pPr>
              <w:spacing w:line="240" w:lineRule="exact"/>
              <w:rPr>
                <w:rFonts w:ascii="Arial" w:eastAsia="华文细黑" w:hAnsi="Arial" w:cs="Arial"/>
                <w:sz w:val="18"/>
                <w:szCs w:val="18"/>
              </w:rPr>
            </w:pPr>
            <w:r>
              <w:rPr>
                <w:rFonts w:ascii="Arial" w:eastAsia="华文细黑" w:hAnsi="Arial" w:cs="Arial" w:hint="eastAsia"/>
                <w:sz w:val="18"/>
                <w:szCs w:val="18"/>
              </w:rPr>
              <w:t>95</w:t>
            </w:r>
          </w:p>
        </w:tc>
        <w:tc>
          <w:tcPr>
            <w:tcW w:w="451" w:type="dxa"/>
            <w:tcBorders>
              <w:right w:val="nil"/>
            </w:tcBorders>
            <w:vAlign w:val="center"/>
          </w:tcPr>
          <w:p w14:paraId="1978FEED"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51D89B8B" w14:textId="77777777" w:rsidR="00000000" w:rsidRDefault="00000000">
            <w:pPr>
              <w:spacing w:line="240" w:lineRule="exact"/>
              <w:rPr>
                <w:rFonts w:ascii="Arial" w:eastAsia="华文细黑" w:hAnsi="Arial" w:cs="Arial"/>
                <w:sz w:val="18"/>
                <w:szCs w:val="18"/>
              </w:rPr>
            </w:pPr>
            <w:r>
              <w:rPr>
                <w:rFonts w:ascii="Arial" w:eastAsia="华文细黑" w:hAnsi="Arial" w:cs="Arial" w:hint="eastAsia"/>
                <w:sz w:val="18"/>
                <w:szCs w:val="18"/>
              </w:rPr>
              <w:t>95</w:t>
            </w:r>
          </w:p>
        </w:tc>
        <w:tc>
          <w:tcPr>
            <w:tcW w:w="441" w:type="dxa"/>
            <w:tcBorders>
              <w:right w:val="nil"/>
            </w:tcBorders>
            <w:vAlign w:val="center"/>
          </w:tcPr>
          <w:p w14:paraId="7DD40E57"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4B37208F" w14:textId="77777777" w:rsidR="00000000" w:rsidRDefault="00000000">
            <w:pPr>
              <w:spacing w:line="240" w:lineRule="exact"/>
              <w:rPr>
                <w:rFonts w:ascii="Arial" w:eastAsia="华文细黑" w:hAnsi="Arial" w:cs="Arial"/>
                <w:sz w:val="18"/>
                <w:szCs w:val="18"/>
              </w:rPr>
            </w:pPr>
            <w:r>
              <w:rPr>
                <w:rFonts w:ascii="Arial" w:eastAsia="华文细黑" w:hAnsi="Arial" w:cs="Arial" w:hint="eastAsia"/>
                <w:sz w:val="18"/>
                <w:szCs w:val="18"/>
              </w:rPr>
              <w:t>95</w:t>
            </w:r>
          </w:p>
        </w:tc>
      </w:tr>
      <w:tr w:rsidR="00000000" w14:paraId="4FA72236" w14:textId="77777777">
        <w:trPr>
          <w:jc w:val="center"/>
        </w:trPr>
        <w:tc>
          <w:tcPr>
            <w:tcW w:w="1135" w:type="dxa"/>
            <w:vMerge/>
            <w:vAlign w:val="center"/>
          </w:tcPr>
          <w:p w14:paraId="2BCC5C2E" w14:textId="77777777" w:rsidR="00000000" w:rsidRDefault="00000000">
            <w:pPr>
              <w:widowControl/>
              <w:spacing w:line="240" w:lineRule="exact"/>
              <w:rPr>
                <w:rFonts w:ascii="华文细黑" w:eastAsia="华文细黑" w:hAnsi="华文细黑" w:cs="Arial"/>
                <w:sz w:val="18"/>
                <w:szCs w:val="18"/>
              </w:rPr>
            </w:pPr>
          </w:p>
        </w:tc>
        <w:tc>
          <w:tcPr>
            <w:tcW w:w="2386" w:type="dxa"/>
            <w:noWrap/>
          </w:tcPr>
          <w:p w14:paraId="59F91E8F" w14:textId="77777777" w:rsidR="00000000" w:rsidRDefault="00000000">
            <w:pPr>
              <w:wordWrap w:val="0"/>
              <w:overflowPunct w:val="0"/>
              <w:spacing w:line="240" w:lineRule="exact"/>
              <w:rPr>
                <w:rFonts w:ascii="华文细黑" w:eastAsia="华文细黑" w:hAnsi="华文细黑" w:cs="Arial" w:hint="eastAsia"/>
                <w:sz w:val="18"/>
                <w:szCs w:val="18"/>
              </w:rPr>
            </w:pPr>
            <w:r>
              <w:rPr>
                <w:rFonts w:ascii="Arial" w:eastAsia="华文细黑" w:hAnsi="Arial" w:hint="eastAsia"/>
                <w:sz w:val="18"/>
              </w:rPr>
              <w:t>物业管理</w:t>
            </w:r>
          </w:p>
        </w:tc>
        <w:tc>
          <w:tcPr>
            <w:tcW w:w="524" w:type="dxa"/>
            <w:tcBorders>
              <w:right w:val="nil"/>
            </w:tcBorders>
            <w:vAlign w:val="center"/>
          </w:tcPr>
          <w:p w14:paraId="45164996"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14:paraId="0311E014"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14:paraId="5FCE17E9"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14:paraId="00782BC7"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14:paraId="1D342B84"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14:paraId="75761F99" w14:textId="77777777" w:rsidR="00000000" w:rsidRDefault="00000000">
            <w:pPr>
              <w:spacing w:line="240" w:lineRule="exact"/>
              <w:rPr>
                <w:rFonts w:ascii="Arial" w:eastAsia="华文细黑" w:hAnsi="Arial" w:cs="Arial"/>
                <w:sz w:val="18"/>
                <w:szCs w:val="18"/>
              </w:rPr>
            </w:pPr>
            <w:r>
              <w:rPr>
                <w:rFonts w:ascii="Arial" w:eastAsia="华文细黑" w:hAnsi="Arial" w:cs="Arial"/>
                <w:sz w:val="18"/>
                <w:szCs w:val="18"/>
              </w:rPr>
              <w:t>100</w:t>
            </w:r>
          </w:p>
        </w:tc>
      </w:tr>
      <w:tr w:rsidR="00000000" w14:paraId="1CD528D7" w14:textId="77777777">
        <w:trPr>
          <w:jc w:val="center"/>
        </w:trPr>
        <w:tc>
          <w:tcPr>
            <w:tcW w:w="3521" w:type="dxa"/>
            <w:gridSpan w:val="2"/>
            <w:vAlign w:val="center"/>
          </w:tcPr>
          <w:p w14:paraId="59D849F5"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交易</w:t>
            </w:r>
            <w:r>
              <w:rPr>
                <w:rFonts w:ascii="华文细黑" w:eastAsia="华文细黑" w:hAnsi="华文细黑" w:cs="Arial"/>
                <w:sz w:val="18"/>
                <w:szCs w:val="18"/>
              </w:rPr>
              <w:t>价格（元/平方米）</w:t>
            </w:r>
          </w:p>
        </w:tc>
        <w:tc>
          <w:tcPr>
            <w:tcW w:w="1980" w:type="dxa"/>
            <w:gridSpan w:val="2"/>
            <w:noWrap/>
            <w:tcMar>
              <w:left w:w="85" w:type="dxa"/>
              <w:right w:w="85" w:type="dxa"/>
            </w:tcMar>
            <w:vAlign w:val="center"/>
          </w:tcPr>
          <w:p w14:paraId="599A1BC3"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3.80</w:t>
            </w:r>
          </w:p>
        </w:tc>
        <w:tc>
          <w:tcPr>
            <w:tcW w:w="1912" w:type="dxa"/>
            <w:gridSpan w:val="2"/>
            <w:noWrap/>
            <w:tcMar>
              <w:left w:w="85" w:type="dxa"/>
              <w:right w:w="85" w:type="dxa"/>
            </w:tcMar>
            <w:vAlign w:val="center"/>
          </w:tcPr>
          <w:p w14:paraId="0827E6ED"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3.50</w:t>
            </w:r>
          </w:p>
        </w:tc>
        <w:tc>
          <w:tcPr>
            <w:tcW w:w="1886" w:type="dxa"/>
            <w:gridSpan w:val="2"/>
            <w:noWrap/>
            <w:tcMar>
              <w:left w:w="85" w:type="dxa"/>
              <w:right w:w="85" w:type="dxa"/>
            </w:tcMar>
            <w:vAlign w:val="center"/>
          </w:tcPr>
          <w:p w14:paraId="7DD2D8D4"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3.56</w:t>
            </w:r>
          </w:p>
        </w:tc>
      </w:tr>
      <w:tr w:rsidR="00000000" w14:paraId="15C48E2B" w14:textId="77777777">
        <w:trPr>
          <w:jc w:val="center"/>
        </w:trPr>
        <w:tc>
          <w:tcPr>
            <w:tcW w:w="3521" w:type="dxa"/>
            <w:gridSpan w:val="2"/>
            <w:vAlign w:val="center"/>
          </w:tcPr>
          <w:p w14:paraId="388C8245"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比较价值（元/平方米）</w:t>
            </w:r>
          </w:p>
        </w:tc>
        <w:tc>
          <w:tcPr>
            <w:tcW w:w="1980" w:type="dxa"/>
            <w:gridSpan w:val="2"/>
            <w:noWrap/>
            <w:tcMar>
              <w:left w:w="85" w:type="dxa"/>
              <w:right w:w="85" w:type="dxa"/>
            </w:tcMar>
            <w:vAlign w:val="center"/>
          </w:tcPr>
          <w:p w14:paraId="016E5375"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3.50</w:t>
            </w:r>
          </w:p>
        </w:tc>
        <w:tc>
          <w:tcPr>
            <w:tcW w:w="1912" w:type="dxa"/>
            <w:gridSpan w:val="2"/>
            <w:noWrap/>
            <w:tcMar>
              <w:left w:w="85" w:type="dxa"/>
              <w:right w:w="85" w:type="dxa"/>
            </w:tcMar>
            <w:vAlign w:val="center"/>
          </w:tcPr>
          <w:p w14:paraId="00846070"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3.00</w:t>
            </w:r>
          </w:p>
        </w:tc>
        <w:tc>
          <w:tcPr>
            <w:tcW w:w="1886" w:type="dxa"/>
            <w:gridSpan w:val="2"/>
            <w:noWrap/>
            <w:tcMar>
              <w:left w:w="85" w:type="dxa"/>
              <w:right w:w="85" w:type="dxa"/>
            </w:tcMar>
            <w:vAlign w:val="center"/>
          </w:tcPr>
          <w:p w14:paraId="71744D40" w14:textId="77777777" w:rsidR="00000000" w:rsidRDefault="00000000">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3.30</w:t>
            </w:r>
          </w:p>
        </w:tc>
      </w:tr>
    </w:tbl>
    <w:p w14:paraId="308EC0CB" w14:textId="77777777" w:rsidR="00000000" w:rsidRDefault="00000000">
      <w:pPr>
        <w:widowControl/>
        <w:spacing w:line="240" w:lineRule="exact"/>
        <w:rPr>
          <w:rFonts w:ascii="华文细黑" w:eastAsia="华文细黑" w:hAnsi="华文细黑" w:cs="Arial" w:hint="eastAsia"/>
          <w:sz w:val="18"/>
          <w:szCs w:val="18"/>
        </w:rPr>
      </w:pPr>
    </w:p>
    <w:p w14:paraId="6F86F5EC"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7.</w:t>
      </w:r>
      <w:r>
        <w:rPr>
          <w:rFonts w:ascii="Arial" w:hAnsi="Arial" w:cs="Arial" w:hint="eastAsia"/>
          <w:sz w:val="21"/>
          <w:szCs w:val="21"/>
        </w:rPr>
        <w:t>估价对象的比较价值</w:t>
      </w:r>
    </w:p>
    <w:p w14:paraId="27955832"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27653A93" w14:textId="77777777" w:rsidR="00000000" w:rsidRDefault="00000000">
      <w:pPr>
        <w:spacing w:line="480" w:lineRule="auto"/>
        <w:ind w:firstLineChars="196" w:firstLine="412"/>
        <w:jc w:val="both"/>
        <w:rPr>
          <w:rFonts w:ascii="Arial" w:hAnsi="Arial" w:cs="Arial" w:hint="eastAsia"/>
          <w:sz w:val="21"/>
          <w:szCs w:val="21"/>
        </w:rPr>
      </w:pPr>
      <w:r>
        <w:rPr>
          <w:rFonts w:ascii="Arial" w:hAnsi="Arial" w:cs="Arial" w:hint="eastAsia"/>
          <w:sz w:val="21"/>
          <w:szCs w:val="21"/>
        </w:rPr>
        <w:t>楼面单价＝（</w:t>
      </w:r>
      <w:r>
        <w:rPr>
          <w:rFonts w:ascii="Arial" w:hAnsi="Arial" w:cs="Arial" w:hint="eastAsia"/>
          <w:sz w:val="21"/>
          <w:szCs w:val="21"/>
        </w:rPr>
        <w:t>3.50</w:t>
      </w:r>
      <w:r>
        <w:rPr>
          <w:rFonts w:ascii="Arial" w:hAnsi="Arial" w:cs="Arial" w:hint="eastAsia"/>
          <w:sz w:val="21"/>
          <w:szCs w:val="21"/>
        </w:rPr>
        <w:t>＋</w:t>
      </w:r>
      <w:r>
        <w:rPr>
          <w:rFonts w:ascii="Arial" w:hAnsi="Arial" w:cs="Arial" w:hint="eastAsia"/>
          <w:sz w:val="21"/>
          <w:szCs w:val="21"/>
        </w:rPr>
        <w:t>3.00</w:t>
      </w:r>
      <w:r>
        <w:rPr>
          <w:rFonts w:ascii="Arial" w:hAnsi="Arial" w:cs="Arial" w:hint="eastAsia"/>
          <w:sz w:val="21"/>
          <w:szCs w:val="21"/>
        </w:rPr>
        <w:t>＋</w:t>
      </w:r>
      <w:r>
        <w:rPr>
          <w:rFonts w:ascii="Arial" w:hAnsi="Arial" w:cs="Arial" w:hint="eastAsia"/>
          <w:sz w:val="21"/>
          <w:szCs w:val="21"/>
        </w:rPr>
        <w:t>3.30</w:t>
      </w: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hint="eastAsia"/>
          <w:sz w:val="21"/>
          <w:szCs w:val="21"/>
        </w:rPr>
        <w:t>3.30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w:t>
      </w:r>
    </w:p>
    <w:p w14:paraId="7184ED05" w14:textId="77777777" w:rsidR="00000000" w:rsidRDefault="00000000">
      <w:pPr>
        <w:spacing w:line="480" w:lineRule="auto"/>
        <w:ind w:firstLineChars="200" w:firstLine="422"/>
        <w:jc w:val="both"/>
        <w:rPr>
          <w:rFonts w:ascii="Arial" w:hAnsi="Arial" w:cs="Arial" w:hint="eastAsia"/>
          <w:b/>
          <w:bCs/>
          <w:kern w:val="2"/>
          <w:sz w:val="21"/>
          <w:szCs w:val="21"/>
        </w:rPr>
      </w:pPr>
      <w:r>
        <w:rPr>
          <w:rFonts w:ascii="Calibri" w:hAnsi="Calibri" w:cs="Calibri" w:hint="eastAsia"/>
          <w:b/>
          <w:bCs/>
          <w:kern w:val="2"/>
          <w:sz w:val="21"/>
          <w:szCs w:val="21"/>
        </w:rPr>
        <w:br w:type="page"/>
      </w:r>
      <w:r>
        <w:rPr>
          <w:rFonts w:ascii="Calibri" w:hAnsi="Calibri" w:cs="Calibri" w:hint="eastAsia"/>
          <w:b/>
          <w:bCs/>
          <w:kern w:val="2"/>
          <w:sz w:val="21"/>
          <w:szCs w:val="21"/>
        </w:rPr>
        <w:lastRenderedPageBreak/>
        <w:t>（二）</w:t>
      </w:r>
      <w:r>
        <w:rPr>
          <w:rFonts w:ascii="Arial" w:hAnsi="Arial" w:cs="Arial" w:hint="eastAsia"/>
          <w:b/>
          <w:bCs/>
          <w:kern w:val="2"/>
          <w:sz w:val="21"/>
          <w:szCs w:val="21"/>
        </w:rPr>
        <w:t>求取估价对象各楼层商业用房市场租金水平</w:t>
      </w:r>
    </w:p>
    <w:p w14:paraId="1385CDEF" w14:textId="77777777" w:rsidR="00000000" w:rsidRDefault="00000000">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估价</w:t>
      </w:r>
      <w:r>
        <w:rPr>
          <w:rFonts w:ascii="Arial" w:hAnsi="Arial" w:hint="eastAsia"/>
          <w:kern w:val="2"/>
          <w:sz w:val="21"/>
        </w:rPr>
        <w:t>对象为</w:t>
      </w:r>
      <w:r>
        <w:rPr>
          <w:rFonts w:ascii="Arial" w:hAnsi="Arial"/>
          <w:kern w:val="2"/>
          <w:sz w:val="21"/>
        </w:rPr>
        <w:t>北京市房山区阜盛西街</w:t>
      </w:r>
      <w:r>
        <w:rPr>
          <w:rFonts w:ascii="Arial" w:hAnsi="Arial"/>
          <w:kern w:val="2"/>
          <w:sz w:val="21"/>
        </w:rPr>
        <w:t>11</w:t>
      </w:r>
      <w:r>
        <w:rPr>
          <w:rFonts w:ascii="Arial" w:hAnsi="Arial"/>
          <w:kern w:val="2"/>
          <w:sz w:val="21"/>
        </w:rPr>
        <w:t>号院</w:t>
      </w:r>
      <w:r>
        <w:rPr>
          <w:rFonts w:ascii="Arial" w:hAnsi="Arial"/>
          <w:kern w:val="2"/>
          <w:sz w:val="21"/>
        </w:rPr>
        <w:t>3</w:t>
      </w:r>
      <w:r>
        <w:rPr>
          <w:rFonts w:ascii="Arial" w:hAnsi="Arial" w:hint="eastAsia"/>
          <w:kern w:val="2"/>
          <w:sz w:val="21"/>
        </w:rPr>
        <w:t>号楼</w:t>
      </w:r>
      <w:r>
        <w:rPr>
          <w:rFonts w:ascii="Arial" w:hAnsi="Arial"/>
          <w:kern w:val="2"/>
          <w:sz w:val="21"/>
        </w:rPr>
        <w:t>地上</w:t>
      </w:r>
      <w:r>
        <w:rPr>
          <w:rFonts w:ascii="Arial" w:hAnsi="Arial"/>
          <w:kern w:val="2"/>
          <w:sz w:val="21"/>
        </w:rPr>
        <w:t>1</w:t>
      </w:r>
      <w:r>
        <w:rPr>
          <w:rFonts w:ascii="Arial" w:hAnsi="Arial" w:hint="eastAsia"/>
          <w:kern w:val="2"/>
          <w:sz w:val="21"/>
        </w:rPr>
        <w:t>层</w:t>
      </w:r>
      <w:r>
        <w:rPr>
          <w:rFonts w:ascii="Arial" w:hAnsi="Arial" w:hint="eastAsia"/>
          <w:kern w:val="2"/>
          <w:sz w:val="21"/>
        </w:rPr>
        <w:t>101</w:t>
      </w:r>
      <w:r>
        <w:rPr>
          <w:rFonts w:ascii="Arial" w:hAnsi="Arial" w:hint="eastAsia"/>
          <w:kern w:val="2"/>
          <w:sz w:val="21"/>
        </w:rPr>
        <w:t>号等</w:t>
      </w:r>
      <w:r>
        <w:rPr>
          <w:rFonts w:ascii="Arial" w:hAnsi="Arial" w:hint="eastAsia"/>
          <w:kern w:val="2"/>
          <w:sz w:val="21"/>
        </w:rPr>
        <w:t>29</w:t>
      </w:r>
      <w:r>
        <w:rPr>
          <w:rFonts w:ascii="Arial" w:hAnsi="Arial" w:hint="eastAsia"/>
          <w:kern w:val="2"/>
          <w:sz w:val="21"/>
        </w:rPr>
        <w:t>套商业用房，评估专业人</w:t>
      </w:r>
      <w:r>
        <w:rPr>
          <w:rFonts w:ascii="Arial" w:hAnsi="Arial" w:cs="Arial"/>
          <w:sz w:val="21"/>
          <w:szCs w:val="21"/>
        </w:rPr>
        <w:t>员根据实际情况，以</w:t>
      </w:r>
      <w:r>
        <w:rPr>
          <w:rFonts w:ascii="Arial" w:hAnsi="Arial" w:hint="eastAsia"/>
          <w:kern w:val="2"/>
          <w:sz w:val="21"/>
        </w:rPr>
        <w:t>估价对象</w:t>
      </w:r>
      <w:r>
        <w:rPr>
          <w:rFonts w:ascii="Arial" w:hAnsi="Arial" w:hint="eastAsia"/>
          <w:kern w:val="2"/>
          <w:sz w:val="21"/>
        </w:rPr>
        <w:t>1</w:t>
      </w:r>
      <w:r>
        <w:rPr>
          <w:rFonts w:ascii="Arial" w:hAnsi="Arial" w:hint="eastAsia"/>
          <w:kern w:val="2"/>
          <w:sz w:val="21"/>
        </w:rPr>
        <w:t>层商业用房市场租金</w:t>
      </w:r>
      <w:r>
        <w:rPr>
          <w:rFonts w:ascii="Arial" w:hAnsi="Arial" w:cs="Arial"/>
          <w:sz w:val="21"/>
        </w:rPr>
        <w:t>为基准，</w:t>
      </w:r>
      <w:r>
        <w:rPr>
          <w:rFonts w:ascii="Arial" w:hAnsi="Arial" w:cs="Arial" w:hint="eastAsia"/>
          <w:sz w:val="21"/>
        </w:rPr>
        <w:t>根据各楼栋、楼层</w:t>
      </w:r>
      <w:r>
        <w:rPr>
          <w:rFonts w:ascii="Arial" w:hAnsi="Arial" w:hint="eastAsia"/>
          <w:kern w:val="2"/>
          <w:sz w:val="21"/>
        </w:rPr>
        <w:t>因素不同，</w:t>
      </w:r>
      <w:r>
        <w:rPr>
          <w:rFonts w:ascii="Arial" w:hAnsi="Arial" w:cs="Arial"/>
          <w:sz w:val="21"/>
        </w:rPr>
        <w:t>对</w:t>
      </w:r>
      <w:r>
        <w:rPr>
          <w:rFonts w:ascii="Arial" w:hAnsi="Arial" w:hint="eastAsia"/>
          <w:kern w:val="2"/>
          <w:sz w:val="21"/>
        </w:rPr>
        <w:t>估价对象其他楼层</w:t>
      </w:r>
      <w:r>
        <w:rPr>
          <w:rFonts w:ascii="Arial" w:hAnsi="Arial" w:cs="Arial"/>
          <w:sz w:val="21"/>
          <w:szCs w:val="21"/>
        </w:rPr>
        <w:t>进行调整，确定估价对象</w:t>
      </w:r>
      <w:r>
        <w:rPr>
          <w:rFonts w:ascii="Arial" w:hAnsi="Arial" w:cs="Arial" w:hint="eastAsia"/>
          <w:sz w:val="21"/>
          <w:szCs w:val="21"/>
        </w:rPr>
        <w:t>商业用房</w:t>
      </w:r>
      <w:r>
        <w:rPr>
          <w:rFonts w:ascii="Arial" w:hAnsi="Arial" w:cs="Arial"/>
          <w:sz w:val="21"/>
          <w:szCs w:val="21"/>
        </w:rPr>
        <w:t>的房地产</w:t>
      </w:r>
      <w:r>
        <w:rPr>
          <w:rFonts w:ascii="Arial" w:hAnsi="Arial" w:cs="Arial" w:hint="eastAsia"/>
          <w:sz w:val="21"/>
          <w:szCs w:val="21"/>
        </w:rPr>
        <w:t>市场租金水平</w:t>
      </w:r>
      <w:r>
        <w:rPr>
          <w:rFonts w:ascii="Arial" w:hAnsi="Arial" w:cs="Arial"/>
          <w:sz w:val="21"/>
          <w:szCs w:val="21"/>
        </w:rPr>
        <w:t>。具体</w:t>
      </w:r>
      <w:r>
        <w:rPr>
          <w:rFonts w:ascii="Arial" w:hAnsi="Arial" w:cs="Arial" w:hint="eastAsia"/>
          <w:sz w:val="21"/>
          <w:szCs w:val="21"/>
        </w:rPr>
        <w:t>分析如下</w:t>
      </w:r>
      <w:r>
        <w:rPr>
          <w:rFonts w:ascii="Arial" w:hAnsi="Arial" w:cs="Arial"/>
          <w:sz w:val="21"/>
          <w:szCs w:val="21"/>
        </w:rPr>
        <w:t>：</w:t>
      </w:r>
    </w:p>
    <w:p w14:paraId="0F39F9B5" w14:textId="77777777" w:rsidR="00000000" w:rsidRDefault="00000000">
      <w:pPr>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号楼地上</w:t>
      </w:r>
      <w:r>
        <w:rPr>
          <w:rFonts w:ascii="Arial" w:hAnsi="Arial" w:cs="Arial" w:hint="eastAsia"/>
          <w:kern w:val="2"/>
          <w:sz w:val="21"/>
          <w:szCs w:val="21"/>
        </w:rPr>
        <w:t>1-2</w:t>
      </w:r>
      <w:r>
        <w:rPr>
          <w:rFonts w:ascii="Arial" w:hAnsi="Arial" w:cs="Arial" w:hint="eastAsia"/>
          <w:kern w:val="2"/>
          <w:sz w:val="21"/>
          <w:szCs w:val="21"/>
        </w:rPr>
        <w:t>层共</w:t>
      </w:r>
      <w:r>
        <w:rPr>
          <w:rFonts w:ascii="Arial" w:hAnsi="Arial" w:cs="Arial" w:hint="eastAsia"/>
          <w:kern w:val="2"/>
          <w:sz w:val="21"/>
          <w:szCs w:val="21"/>
        </w:rPr>
        <w:t>7</w:t>
      </w:r>
      <w:r>
        <w:rPr>
          <w:rFonts w:ascii="Arial" w:hAnsi="Arial" w:cs="Arial" w:hint="eastAsia"/>
          <w:kern w:val="2"/>
          <w:sz w:val="21"/>
          <w:szCs w:val="21"/>
        </w:rPr>
        <w:t>套商业用房，位于</w:t>
      </w:r>
      <w:r>
        <w:rPr>
          <w:rFonts w:ascii="Arial" w:hAnsi="Arial" w:cs="Arial" w:hint="eastAsia"/>
          <w:kern w:val="2"/>
          <w:sz w:val="21"/>
          <w:szCs w:val="21"/>
        </w:rPr>
        <w:t>042</w:t>
      </w:r>
      <w:r>
        <w:rPr>
          <w:rFonts w:ascii="Arial" w:hAnsi="Arial" w:cs="Arial" w:hint="eastAsia"/>
          <w:kern w:val="2"/>
          <w:sz w:val="21"/>
          <w:szCs w:val="21"/>
        </w:rPr>
        <w:t>地块，西侧紧邻城市主干道——长于大街，南侧面向</w:t>
      </w:r>
      <w:proofErr w:type="gramStart"/>
      <w:r>
        <w:rPr>
          <w:rFonts w:ascii="Arial" w:hAnsi="Arial" w:cs="Arial" w:hint="eastAsia"/>
          <w:kern w:val="2"/>
          <w:sz w:val="21"/>
          <w:szCs w:val="21"/>
        </w:rPr>
        <w:t>熙悦天</w:t>
      </w:r>
      <w:proofErr w:type="gramEnd"/>
      <w:r>
        <w:rPr>
          <w:rFonts w:ascii="Arial" w:hAnsi="Arial" w:cs="Arial" w:hint="eastAsia"/>
          <w:kern w:val="2"/>
          <w:sz w:val="21"/>
          <w:szCs w:val="21"/>
        </w:rPr>
        <w:t>街</w:t>
      </w:r>
      <w:r>
        <w:rPr>
          <w:rFonts w:ascii="Arial" w:hAnsi="Arial" w:cs="Arial" w:hint="eastAsia"/>
          <w:kern w:val="2"/>
          <w:sz w:val="21"/>
          <w:szCs w:val="21"/>
        </w:rPr>
        <w:t>B</w:t>
      </w:r>
      <w:r>
        <w:rPr>
          <w:rFonts w:ascii="Arial" w:hAnsi="Arial" w:cs="Arial" w:hint="eastAsia"/>
          <w:kern w:val="2"/>
          <w:sz w:val="21"/>
          <w:szCs w:val="21"/>
        </w:rPr>
        <w:t>馆，紧邻城市支路——水碾屯北路，可视性较好，</w:t>
      </w:r>
      <w:r>
        <w:rPr>
          <w:rFonts w:ascii="Arial" w:hAnsi="Arial" w:cs="Arial" w:hint="eastAsia"/>
          <w:kern w:val="2"/>
          <w:sz w:val="21"/>
          <w:szCs w:val="21"/>
        </w:rPr>
        <w:t>1</w:t>
      </w:r>
      <w:r>
        <w:rPr>
          <w:rFonts w:ascii="Arial" w:hAnsi="Arial" w:cs="Arial" w:hint="eastAsia"/>
          <w:kern w:val="2"/>
          <w:sz w:val="21"/>
          <w:szCs w:val="21"/>
        </w:rPr>
        <w:t>层层高</w:t>
      </w:r>
      <w:r>
        <w:rPr>
          <w:rFonts w:ascii="Arial" w:hAnsi="Arial" w:cs="Arial" w:hint="eastAsia"/>
          <w:kern w:val="2"/>
          <w:sz w:val="21"/>
          <w:szCs w:val="21"/>
        </w:rPr>
        <w:t>6</w:t>
      </w:r>
      <w:r>
        <w:rPr>
          <w:rFonts w:ascii="Arial" w:hAnsi="Arial" w:cs="Arial" w:hint="eastAsia"/>
          <w:kern w:val="2"/>
          <w:sz w:val="21"/>
          <w:szCs w:val="21"/>
        </w:rPr>
        <w:t>米，</w:t>
      </w:r>
      <w:r>
        <w:rPr>
          <w:rFonts w:ascii="Arial" w:hAnsi="Arial" w:cs="Arial" w:hint="eastAsia"/>
          <w:kern w:val="2"/>
          <w:sz w:val="21"/>
          <w:szCs w:val="21"/>
        </w:rPr>
        <w:t>2</w:t>
      </w:r>
      <w:r>
        <w:rPr>
          <w:rFonts w:ascii="Arial" w:hAnsi="Arial" w:cs="Arial" w:hint="eastAsia"/>
          <w:kern w:val="2"/>
          <w:sz w:val="21"/>
          <w:szCs w:val="21"/>
        </w:rPr>
        <w:t>层层高</w:t>
      </w:r>
      <w:r>
        <w:rPr>
          <w:rFonts w:ascii="Arial" w:hAnsi="Arial" w:cs="Arial" w:hint="eastAsia"/>
          <w:kern w:val="2"/>
          <w:sz w:val="21"/>
          <w:szCs w:val="21"/>
        </w:rPr>
        <w:t>5.4</w:t>
      </w:r>
      <w:r>
        <w:rPr>
          <w:rFonts w:ascii="Arial" w:hAnsi="Arial" w:cs="Arial" w:hint="eastAsia"/>
          <w:kern w:val="2"/>
          <w:sz w:val="21"/>
          <w:szCs w:val="21"/>
        </w:rPr>
        <w:t>米，开敞空间，</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层上下独立，可自由分割，通达性较好，内部平面布局较规整，建筑面积</w:t>
      </w:r>
      <w:r>
        <w:rPr>
          <w:rFonts w:ascii="Arial" w:hAnsi="Arial" w:cs="Arial" w:hint="eastAsia"/>
          <w:kern w:val="2"/>
          <w:sz w:val="21"/>
          <w:szCs w:val="21"/>
        </w:rPr>
        <w:t>5287.83</w:t>
      </w:r>
      <w:r>
        <w:rPr>
          <w:rFonts w:ascii="Arial" w:hAnsi="Arial" w:cs="Arial" w:hint="eastAsia"/>
          <w:kern w:val="2"/>
          <w:sz w:val="21"/>
          <w:szCs w:val="21"/>
        </w:rPr>
        <w:t>平方米，套内建筑面积</w:t>
      </w:r>
      <w:r>
        <w:rPr>
          <w:rFonts w:ascii="Arial" w:hAnsi="Arial" w:cs="Arial" w:hint="eastAsia"/>
          <w:kern w:val="2"/>
          <w:sz w:val="21"/>
          <w:szCs w:val="21"/>
        </w:rPr>
        <w:t>4052.97</w:t>
      </w:r>
      <w:r>
        <w:rPr>
          <w:rFonts w:ascii="Arial" w:hAnsi="Arial" w:cs="Arial" w:hint="eastAsia"/>
          <w:kern w:val="2"/>
          <w:sz w:val="21"/>
          <w:szCs w:val="21"/>
        </w:rPr>
        <w:t>平方米，使用率</w:t>
      </w:r>
      <w:r>
        <w:rPr>
          <w:rFonts w:ascii="Arial" w:hAnsi="Arial" w:cs="Arial" w:hint="eastAsia"/>
          <w:kern w:val="2"/>
          <w:sz w:val="21"/>
          <w:szCs w:val="21"/>
        </w:rPr>
        <w:t>77%</w:t>
      </w:r>
      <w:r>
        <w:rPr>
          <w:rFonts w:ascii="Arial" w:hAnsi="Arial" w:cs="Arial" w:hint="eastAsia"/>
          <w:kern w:val="2"/>
          <w:sz w:val="21"/>
          <w:szCs w:val="21"/>
        </w:rPr>
        <w:t>。</w:t>
      </w:r>
    </w:p>
    <w:p w14:paraId="3E2D4ADA" w14:textId="77777777" w:rsidR="00000000" w:rsidRDefault="00000000">
      <w:pPr>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6</w:t>
      </w:r>
      <w:r>
        <w:rPr>
          <w:rFonts w:ascii="Arial" w:hAnsi="Arial" w:cs="Arial" w:hint="eastAsia"/>
          <w:kern w:val="2"/>
          <w:sz w:val="21"/>
          <w:szCs w:val="21"/>
        </w:rPr>
        <w:t>号楼地下</w:t>
      </w:r>
      <w:r>
        <w:rPr>
          <w:rFonts w:ascii="Arial" w:hAnsi="Arial" w:cs="Arial" w:hint="eastAsia"/>
          <w:kern w:val="2"/>
          <w:sz w:val="21"/>
          <w:szCs w:val="21"/>
        </w:rPr>
        <w:t>1</w:t>
      </w:r>
      <w:r>
        <w:rPr>
          <w:rFonts w:ascii="Arial" w:hAnsi="Arial" w:cs="Arial" w:hint="eastAsia"/>
          <w:kern w:val="2"/>
          <w:sz w:val="21"/>
          <w:szCs w:val="21"/>
        </w:rPr>
        <w:t>层共</w:t>
      </w:r>
      <w:r>
        <w:rPr>
          <w:rFonts w:ascii="Arial" w:hAnsi="Arial" w:cs="Arial" w:hint="eastAsia"/>
          <w:kern w:val="2"/>
          <w:sz w:val="21"/>
          <w:szCs w:val="21"/>
        </w:rPr>
        <w:t>9</w:t>
      </w:r>
      <w:r>
        <w:rPr>
          <w:rFonts w:ascii="Arial" w:hAnsi="Arial" w:cs="Arial" w:hint="eastAsia"/>
          <w:kern w:val="2"/>
          <w:sz w:val="21"/>
          <w:szCs w:val="21"/>
        </w:rPr>
        <w:t>套商业用房，位于</w:t>
      </w:r>
      <w:r>
        <w:rPr>
          <w:rFonts w:ascii="Arial" w:hAnsi="Arial" w:cs="Arial" w:hint="eastAsia"/>
          <w:kern w:val="2"/>
          <w:sz w:val="21"/>
          <w:szCs w:val="21"/>
        </w:rPr>
        <w:t>042</w:t>
      </w:r>
      <w:r>
        <w:rPr>
          <w:rFonts w:ascii="Arial" w:hAnsi="Arial" w:cs="Arial" w:hint="eastAsia"/>
          <w:kern w:val="2"/>
          <w:sz w:val="21"/>
          <w:szCs w:val="21"/>
        </w:rPr>
        <w:t>地块，属于地下封闭式商业用房，不临街，通往地下仅有一个楼梯入口，货物运输受限，可视性差，通达性差，层高受限，内部平面布局</w:t>
      </w:r>
      <w:proofErr w:type="gramStart"/>
      <w:r>
        <w:rPr>
          <w:rFonts w:ascii="Arial" w:hAnsi="Arial" w:cs="Arial" w:hint="eastAsia"/>
          <w:kern w:val="2"/>
          <w:sz w:val="21"/>
          <w:szCs w:val="21"/>
        </w:rPr>
        <w:t>不</w:t>
      </w:r>
      <w:proofErr w:type="gramEnd"/>
      <w:r>
        <w:rPr>
          <w:rFonts w:ascii="Arial" w:hAnsi="Arial" w:cs="Arial" w:hint="eastAsia"/>
          <w:kern w:val="2"/>
          <w:sz w:val="21"/>
          <w:szCs w:val="21"/>
        </w:rPr>
        <w:t>规整，建筑面积</w:t>
      </w:r>
      <w:r>
        <w:rPr>
          <w:rFonts w:ascii="Arial" w:hAnsi="Arial" w:cs="Arial" w:hint="eastAsia"/>
          <w:kern w:val="2"/>
          <w:sz w:val="21"/>
          <w:szCs w:val="21"/>
        </w:rPr>
        <w:t>8822.48</w:t>
      </w:r>
      <w:r>
        <w:rPr>
          <w:rFonts w:ascii="Arial" w:hAnsi="Arial" w:cs="Arial" w:hint="eastAsia"/>
          <w:kern w:val="2"/>
          <w:sz w:val="21"/>
          <w:szCs w:val="21"/>
        </w:rPr>
        <w:t>平方米，套内建筑面积</w:t>
      </w:r>
      <w:r>
        <w:rPr>
          <w:rFonts w:ascii="Arial" w:hAnsi="Arial" w:cs="Arial" w:hint="eastAsia"/>
          <w:kern w:val="2"/>
          <w:sz w:val="21"/>
          <w:szCs w:val="21"/>
        </w:rPr>
        <w:t>5253.44</w:t>
      </w:r>
      <w:r>
        <w:rPr>
          <w:rFonts w:ascii="Arial" w:hAnsi="Arial" w:cs="Arial" w:hint="eastAsia"/>
          <w:kern w:val="2"/>
          <w:sz w:val="21"/>
          <w:szCs w:val="21"/>
        </w:rPr>
        <w:t>平方米，使用率</w:t>
      </w:r>
      <w:r>
        <w:rPr>
          <w:rFonts w:ascii="Arial" w:hAnsi="Arial" w:cs="Arial" w:hint="eastAsia"/>
          <w:kern w:val="2"/>
          <w:sz w:val="21"/>
          <w:szCs w:val="21"/>
        </w:rPr>
        <w:t>60%</w:t>
      </w:r>
      <w:r>
        <w:rPr>
          <w:rFonts w:ascii="Arial" w:hAnsi="Arial" w:cs="Arial" w:hint="eastAsia"/>
          <w:kern w:val="2"/>
          <w:sz w:val="21"/>
          <w:szCs w:val="21"/>
        </w:rPr>
        <w:t>。</w:t>
      </w:r>
    </w:p>
    <w:p w14:paraId="6A9D6C94" w14:textId="77777777" w:rsidR="00000000" w:rsidRDefault="00000000">
      <w:pPr>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Pr>
          <w:rFonts w:ascii="Arial" w:hAnsi="Arial" w:hint="eastAsia"/>
          <w:color w:val="000000"/>
          <w:kern w:val="2"/>
          <w:sz w:val="21"/>
        </w:rPr>
        <w:t>长阳镇</w:t>
      </w:r>
      <w:r>
        <w:rPr>
          <w:rFonts w:ascii="Arial" w:hAnsi="Arial" w:hint="eastAsia"/>
          <w:color w:val="000000"/>
          <w:kern w:val="2"/>
          <w:sz w:val="21"/>
        </w:rPr>
        <w:t>FS00-LX10-0044</w:t>
      </w:r>
      <w:r>
        <w:rPr>
          <w:rFonts w:ascii="Arial" w:hAnsi="Arial" w:hint="eastAsia"/>
          <w:color w:val="000000"/>
          <w:kern w:val="2"/>
          <w:sz w:val="21"/>
        </w:rPr>
        <w:t>地块</w:t>
      </w:r>
      <w:r>
        <w:rPr>
          <w:rFonts w:ascii="Arial" w:hAnsi="Arial" w:hint="eastAsia"/>
          <w:color w:val="000000"/>
          <w:kern w:val="2"/>
          <w:sz w:val="21"/>
        </w:rPr>
        <w:t>6</w:t>
      </w:r>
      <w:r>
        <w:rPr>
          <w:rFonts w:ascii="Arial" w:hAnsi="Arial" w:hint="eastAsia"/>
          <w:color w:val="000000"/>
          <w:kern w:val="2"/>
          <w:sz w:val="21"/>
        </w:rPr>
        <w:t>号商业楼地上</w:t>
      </w:r>
      <w:r>
        <w:rPr>
          <w:rFonts w:ascii="Arial" w:hAnsi="Arial" w:hint="eastAsia"/>
          <w:color w:val="000000"/>
          <w:kern w:val="2"/>
          <w:sz w:val="21"/>
        </w:rPr>
        <w:t>1-2</w:t>
      </w:r>
      <w:r>
        <w:rPr>
          <w:rFonts w:ascii="Arial" w:hAnsi="Arial" w:hint="eastAsia"/>
          <w:color w:val="000000"/>
          <w:kern w:val="2"/>
          <w:sz w:val="21"/>
        </w:rPr>
        <w:t>层共</w:t>
      </w:r>
      <w:r>
        <w:rPr>
          <w:rFonts w:ascii="Arial" w:hAnsi="Arial" w:hint="eastAsia"/>
          <w:color w:val="000000"/>
          <w:kern w:val="2"/>
          <w:sz w:val="21"/>
        </w:rPr>
        <w:t>6</w:t>
      </w:r>
      <w:r>
        <w:rPr>
          <w:rFonts w:ascii="Arial" w:hAnsi="Arial" w:hint="eastAsia"/>
          <w:color w:val="000000"/>
          <w:kern w:val="2"/>
          <w:sz w:val="21"/>
        </w:rPr>
        <w:t>套商业用房，</w:t>
      </w:r>
      <w:r>
        <w:rPr>
          <w:rFonts w:ascii="Arial" w:hAnsi="Arial" w:cs="Arial" w:hint="eastAsia"/>
          <w:kern w:val="2"/>
          <w:sz w:val="21"/>
          <w:szCs w:val="21"/>
        </w:rPr>
        <w:t>东侧临近城市次干道——</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盛西街，西侧紧邻</w:t>
      </w:r>
      <w:proofErr w:type="gramStart"/>
      <w:r>
        <w:rPr>
          <w:rFonts w:ascii="Arial" w:hAnsi="Arial" w:cs="Arial" w:hint="eastAsia"/>
          <w:kern w:val="2"/>
          <w:sz w:val="21"/>
          <w:szCs w:val="21"/>
        </w:rPr>
        <w:t>熙悦天</w:t>
      </w:r>
      <w:proofErr w:type="gramEnd"/>
      <w:r>
        <w:rPr>
          <w:rFonts w:ascii="Arial" w:hAnsi="Arial" w:cs="Arial" w:hint="eastAsia"/>
          <w:kern w:val="2"/>
          <w:sz w:val="21"/>
          <w:szCs w:val="21"/>
        </w:rPr>
        <w:t>街</w:t>
      </w:r>
      <w:r>
        <w:rPr>
          <w:rFonts w:ascii="Arial" w:hAnsi="Arial" w:cs="Arial" w:hint="eastAsia"/>
          <w:kern w:val="2"/>
          <w:sz w:val="21"/>
          <w:szCs w:val="21"/>
        </w:rPr>
        <w:t>B</w:t>
      </w:r>
      <w:r>
        <w:rPr>
          <w:rFonts w:ascii="Arial" w:hAnsi="Arial" w:cs="Arial" w:hint="eastAsia"/>
          <w:kern w:val="2"/>
          <w:sz w:val="21"/>
          <w:szCs w:val="21"/>
        </w:rPr>
        <w:t>馆，可视性一般，</w:t>
      </w:r>
      <w:r>
        <w:rPr>
          <w:rFonts w:ascii="Arial" w:hAnsi="Arial" w:cs="Arial" w:hint="eastAsia"/>
          <w:kern w:val="2"/>
          <w:sz w:val="21"/>
          <w:szCs w:val="21"/>
        </w:rPr>
        <w:t>1</w:t>
      </w:r>
      <w:r>
        <w:rPr>
          <w:rFonts w:ascii="Arial" w:hAnsi="Arial" w:cs="Arial" w:hint="eastAsia"/>
          <w:kern w:val="2"/>
          <w:sz w:val="21"/>
          <w:szCs w:val="21"/>
        </w:rPr>
        <w:t>层层高</w:t>
      </w:r>
      <w:r>
        <w:rPr>
          <w:rFonts w:ascii="Arial" w:hAnsi="Arial" w:cs="Arial" w:hint="eastAsia"/>
          <w:kern w:val="2"/>
          <w:sz w:val="21"/>
          <w:szCs w:val="21"/>
        </w:rPr>
        <w:t>6</w:t>
      </w:r>
      <w:r>
        <w:rPr>
          <w:rFonts w:ascii="Arial" w:hAnsi="Arial" w:cs="Arial" w:hint="eastAsia"/>
          <w:kern w:val="2"/>
          <w:sz w:val="21"/>
          <w:szCs w:val="21"/>
        </w:rPr>
        <w:t>米，</w:t>
      </w:r>
      <w:r>
        <w:rPr>
          <w:rFonts w:ascii="Arial" w:hAnsi="Arial" w:cs="Arial" w:hint="eastAsia"/>
          <w:kern w:val="2"/>
          <w:sz w:val="21"/>
          <w:szCs w:val="21"/>
        </w:rPr>
        <w:t>2</w:t>
      </w:r>
      <w:r>
        <w:rPr>
          <w:rFonts w:ascii="Arial" w:hAnsi="Arial" w:cs="Arial" w:hint="eastAsia"/>
          <w:kern w:val="2"/>
          <w:sz w:val="21"/>
          <w:szCs w:val="21"/>
        </w:rPr>
        <w:t>层层高</w:t>
      </w:r>
      <w:r>
        <w:rPr>
          <w:rFonts w:ascii="Arial" w:hAnsi="Arial" w:cs="Arial" w:hint="eastAsia"/>
          <w:kern w:val="2"/>
          <w:sz w:val="21"/>
          <w:szCs w:val="21"/>
        </w:rPr>
        <w:t>5.4</w:t>
      </w:r>
      <w:r>
        <w:rPr>
          <w:rFonts w:ascii="Arial" w:hAnsi="Arial" w:cs="Arial" w:hint="eastAsia"/>
          <w:kern w:val="2"/>
          <w:sz w:val="21"/>
          <w:szCs w:val="21"/>
        </w:rPr>
        <w:t>米，开敞空间，</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层上下独立，可自由分割，通达性一般，内部平面布局较规整，建筑面积</w:t>
      </w:r>
      <w:r>
        <w:rPr>
          <w:rFonts w:ascii="Arial" w:hAnsi="Arial" w:cs="Arial" w:hint="eastAsia"/>
          <w:kern w:val="2"/>
          <w:sz w:val="21"/>
          <w:szCs w:val="21"/>
        </w:rPr>
        <w:t>4785.09</w:t>
      </w:r>
      <w:r>
        <w:rPr>
          <w:rFonts w:ascii="Arial" w:hAnsi="Arial" w:cs="Arial" w:hint="eastAsia"/>
          <w:kern w:val="2"/>
          <w:sz w:val="21"/>
          <w:szCs w:val="21"/>
        </w:rPr>
        <w:t>平方米，套内建筑面积</w:t>
      </w:r>
      <w:r>
        <w:rPr>
          <w:rFonts w:ascii="Arial" w:hAnsi="Arial" w:cs="Arial" w:hint="eastAsia"/>
          <w:kern w:val="2"/>
          <w:sz w:val="21"/>
          <w:szCs w:val="21"/>
        </w:rPr>
        <w:t>4054.05</w:t>
      </w:r>
      <w:r>
        <w:rPr>
          <w:rFonts w:ascii="Arial" w:hAnsi="Arial" w:cs="Arial" w:hint="eastAsia"/>
          <w:kern w:val="2"/>
          <w:sz w:val="21"/>
          <w:szCs w:val="21"/>
        </w:rPr>
        <w:t>平方米，使用率</w:t>
      </w:r>
      <w:r>
        <w:rPr>
          <w:rFonts w:ascii="Arial" w:hAnsi="Arial" w:cs="Arial" w:hint="eastAsia"/>
          <w:kern w:val="2"/>
          <w:sz w:val="21"/>
          <w:szCs w:val="21"/>
        </w:rPr>
        <w:t>85%</w:t>
      </w:r>
      <w:r>
        <w:rPr>
          <w:rFonts w:ascii="Arial" w:hAnsi="Arial" w:cs="Arial" w:hint="eastAsia"/>
          <w:kern w:val="2"/>
          <w:sz w:val="21"/>
          <w:szCs w:val="21"/>
        </w:rPr>
        <w:t>。</w:t>
      </w:r>
    </w:p>
    <w:p w14:paraId="345B4C5F" w14:textId="77777777" w:rsidR="00000000" w:rsidRDefault="00000000">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）长于大街</w:t>
      </w:r>
      <w:r>
        <w:rPr>
          <w:rFonts w:ascii="Arial" w:hAnsi="Arial" w:cs="Arial" w:hint="eastAsia"/>
          <w:kern w:val="2"/>
          <w:sz w:val="21"/>
          <w:szCs w:val="21"/>
        </w:rPr>
        <w:t>28</w:t>
      </w:r>
      <w:r>
        <w:rPr>
          <w:rFonts w:ascii="Arial" w:hAnsi="Arial" w:cs="Arial" w:hint="eastAsia"/>
          <w:kern w:val="2"/>
          <w:sz w:val="21"/>
          <w:szCs w:val="21"/>
        </w:rPr>
        <w:t>号院</w:t>
      </w:r>
      <w:r>
        <w:rPr>
          <w:rFonts w:ascii="Arial" w:hAnsi="Arial" w:cs="Arial" w:hint="eastAsia"/>
          <w:kern w:val="2"/>
          <w:sz w:val="21"/>
          <w:szCs w:val="21"/>
        </w:rPr>
        <w:t>100</w:t>
      </w:r>
      <w:r>
        <w:rPr>
          <w:rFonts w:ascii="Arial" w:hAnsi="Arial" w:cs="Arial" w:hint="eastAsia"/>
          <w:kern w:val="2"/>
          <w:sz w:val="21"/>
          <w:szCs w:val="21"/>
        </w:rPr>
        <w:t>幢地下</w:t>
      </w:r>
      <w:r>
        <w:rPr>
          <w:rFonts w:ascii="Arial" w:hAnsi="Arial" w:cs="Arial" w:hint="eastAsia"/>
          <w:kern w:val="2"/>
          <w:sz w:val="21"/>
          <w:szCs w:val="21"/>
        </w:rPr>
        <w:t>1</w:t>
      </w:r>
      <w:r>
        <w:rPr>
          <w:rFonts w:ascii="Arial" w:hAnsi="Arial" w:cs="Arial" w:hint="eastAsia"/>
          <w:kern w:val="2"/>
          <w:sz w:val="21"/>
          <w:szCs w:val="21"/>
        </w:rPr>
        <w:t>层共</w:t>
      </w:r>
      <w:r>
        <w:rPr>
          <w:rFonts w:ascii="Arial" w:hAnsi="Arial" w:cs="Arial" w:hint="eastAsia"/>
          <w:kern w:val="2"/>
          <w:sz w:val="21"/>
          <w:szCs w:val="21"/>
        </w:rPr>
        <w:t>7</w:t>
      </w:r>
      <w:r>
        <w:rPr>
          <w:rFonts w:ascii="Arial" w:hAnsi="Arial" w:cs="Arial" w:hint="eastAsia"/>
          <w:kern w:val="2"/>
          <w:sz w:val="21"/>
          <w:szCs w:val="21"/>
        </w:rPr>
        <w:t>套商业用房，位于</w:t>
      </w:r>
      <w:r>
        <w:rPr>
          <w:rFonts w:ascii="Arial" w:hAnsi="Arial" w:cs="Arial" w:hint="eastAsia"/>
          <w:kern w:val="2"/>
          <w:sz w:val="21"/>
          <w:szCs w:val="21"/>
        </w:rPr>
        <w:t>044</w:t>
      </w:r>
      <w:r>
        <w:rPr>
          <w:rFonts w:ascii="Arial" w:hAnsi="Arial" w:cs="Arial" w:hint="eastAsia"/>
          <w:kern w:val="2"/>
          <w:sz w:val="21"/>
          <w:szCs w:val="21"/>
        </w:rPr>
        <w:t>地块下沉广场，不临街，可视性较差，通达性较差，内部平面布局</w:t>
      </w:r>
      <w:proofErr w:type="gramStart"/>
      <w:r>
        <w:rPr>
          <w:rFonts w:ascii="Arial" w:hAnsi="Arial" w:cs="Arial" w:hint="eastAsia"/>
          <w:kern w:val="2"/>
          <w:sz w:val="21"/>
          <w:szCs w:val="21"/>
        </w:rPr>
        <w:t>不</w:t>
      </w:r>
      <w:proofErr w:type="gramEnd"/>
      <w:r>
        <w:rPr>
          <w:rFonts w:ascii="Arial" w:hAnsi="Arial" w:cs="Arial" w:hint="eastAsia"/>
          <w:kern w:val="2"/>
          <w:sz w:val="21"/>
          <w:szCs w:val="21"/>
        </w:rPr>
        <w:t>规整，建筑面积</w:t>
      </w:r>
      <w:r>
        <w:rPr>
          <w:rFonts w:ascii="Arial" w:hAnsi="Arial" w:cs="Arial" w:hint="eastAsia"/>
          <w:kern w:val="2"/>
          <w:sz w:val="21"/>
          <w:szCs w:val="21"/>
        </w:rPr>
        <w:t>5976.27</w:t>
      </w:r>
      <w:r>
        <w:rPr>
          <w:rFonts w:ascii="Arial" w:hAnsi="Arial" w:cs="Arial" w:hint="eastAsia"/>
          <w:kern w:val="2"/>
          <w:sz w:val="21"/>
          <w:szCs w:val="21"/>
        </w:rPr>
        <w:t>平方米，套内建筑面积</w:t>
      </w:r>
      <w:r>
        <w:rPr>
          <w:rFonts w:ascii="Arial" w:hAnsi="Arial" w:cs="Arial" w:hint="eastAsia"/>
          <w:kern w:val="2"/>
          <w:sz w:val="21"/>
          <w:szCs w:val="21"/>
        </w:rPr>
        <w:t>3830.01</w:t>
      </w:r>
      <w:r>
        <w:rPr>
          <w:rFonts w:ascii="Arial" w:hAnsi="Arial" w:cs="Arial" w:hint="eastAsia"/>
          <w:kern w:val="2"/>
          <w:sz w:val="21"/>
          <w:szCs w:val="21"/>
        </w:rPr>
        <w:t>平方米，使用率</w:t>
      </w:r>
      <w:r>
        <w:rPr>
          <w:rFonts w:ascii="Arial" w:hAnsi="Arial" w:cs="Arial" w:hint="eastAsia"/>
          <w:kern w:val="2"/>
          <w:sz w:val="21"/>
          <w:szCs w:val="21"/>
        </w:rPr>
        <w:t>64%</w:t>
      </w:r>
      <w:r>
        <w:rPr>
          <w:rFonts w:ascii="Arial" w:hAnsi="Arial" w:cs="Arial" w:hint="eastAsia"/>
          <w:kern w:val="2"/>
          <w:sz w:val="21"/>
          <w:szCs w:val="21"/>
        </w:rPr>
        <w:t>。</w:t>
      </w:r>
    </w:p>
    <w:tbl>
      <w:tblPr>
        <w:tblW w:w="4995" w:type="pct"/>
        <w:jc w:val="center"/>
        <w:tblInd w:w="0"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000" w:firstRow="0" w:lastRow="0" w:firstColumn="0" w:lastColumn="0" w:noHBand="0" w:noVBand="0"/>
      </w:tblPr>
      <w:tblGrid>
        <w:gridCol w:w="502"/>
        <w:gridCol w:w="1185"/>
        <w:gridCol w:w="1007"/>
        <w:gridCol w:w="1031"/>
        <w:gridCol w:w="1102"/>
        <w:gridCol w:w="1077"/>
        <w:gridCol w:w="1030"/>
        <w:gridCol w:w="911"/>
        <w:gridCol w:w="1435"/>
      </w:tblGrid>
      <w:tr w:rsidR="00000000" w14:paraId="52BDD421" w14:textId="77777777">
        <w:trPr>
          <w:cantSplit/>
          <w:tblHeader/>
          <w:jc w:val="center"/>
        </w:trPr>
        <w:tc>
          <w:tcPr>
            <w:tcW w:w="270" w:type="pct"/>
            <w:vAlign w:val="center"/>
          </w:tcPr>
          <w:p w14:paraId="2D8DB3DA"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楼层</w:t>
            </w:r>
          </w:p>
        </w:tc>
        <w:tc>
          <w:tcPr>
            <w:tcW w:w="638" w:type="pct"/>
            <w:vAlign w:val="center"/>
          </w:tcPr>
          <w:p w14:paraId="303975C8"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楼号</w:t>
            </w:r>
            <w:r>
              <w:rPr>
                <w:rFonts w:ascii="Arial" w:eastAsia="华文细黑" w:hAnsi="Arial" w:cs="Arial" w:hint="eastAsia"/>
                <w:color w:val="000000"/>
                <w:sz w:val="18"/>
                <w:szCs w:val="18"/>
              </w:rPr>
              <w:t>/</w:t>
            </w:r>
            <w:r>
              <w:rPr>
                <w:rFonts w:ascii="Arial" w:eastAsia="华文细黑" w:hAnsi="Arial" w:cs="Arial" w:hint="eastAsia"/>
                <w:color w:val="000000"/>
                <w:sz w:val="18"/>
                <w:szCs w:val="18"/>
              </w:rPr>
              <w:t>地块</w:t>
            </w:r>
          </w:p>
        </w:tc>
        <w:tc>
          <w:tcPr>
            <w:tcW w:w="542" w:type="pct"/>
            <w:vAlign w:val="center"/>
          </w:tcPr>
          <w:p w14:paraId="27684D5A"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可视性修正系数</w:t>
            </w:r>
          </w:p>
        </w:tc>
        <w:tc>
          <w:tcPr>
            <w:tcW w:w="555" w:type="pct"/>
            <w:vAlign w:val="center"/>
          </w:tcPr>
          <w:p w14:paraId="676C4B69"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通达性修正系数</w:t>
            </w:r>
          </w:p>
        </w:tc>
        <w:tc>
          <w:tcPr>
            <w:tcW w:w="593" w:type="pct"/>
            <w:vAlign w:val="center"/>
          </w:tcPr>
          <w:p w14:paraId="4095F38E"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层高修正系数</w:t>
            </w:r>
          </w:p>
        </w:tc>
        <w:tc>
          <w:tcPr>
            <w:tcW w:w="580" w:type="pct"/>
            <w:vAlign w:val="center"/>
          </w:tcPr>
          <w:p w14:paraId="53AD6474"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平面布局修正系数</w:t>
            </w:r>
          </w:p>
        </w:tc>
        <w:tc>
          <w:tcPr>
            <w:tcW w:w="555" w:type="pct"/>
            <w:vAlign w:val="center"/>
          </w:tcPr>
          <w:p w14:paraId="3DF39620"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使用率修正系数</w:t>
            </w:r>
          </w:p>
        </w:tc>
        <w:tc>
          <w:tcPr>
            <w:tcW w:w="491" w:type="pct"/>
            <w:vAlign w:val="center"/>
          </w:tcPr>
          <w:p w14:paraId="44D31740"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楼层修正系数</w:t>
            </w:r>
          </w:p>
        </w:tc>
        <w:tc>
          <w:tcPr>
            <w:tcW w:w="773" w:type="pct"/>
            <w:vAlign w:val="center"/>
          </w:tcPr>
          <w:p w14:paraId="712FD2FB"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调整后建筑面积租金单价</w:t>
            </w:r>
          </w:p>
        </w:tc>
      </w:tr>
      <w:tr w:rsidR="00000000" w14:paraId="241D69D1" w14:textId="77777777">
        <w:trPr>
          <w:cantSplit/>
          <w:jc w:val="center"/>
        </w:trPr>
        <w:tc>
          <w:tcPr>
            <w:tcW w:w="270" w:type="pct"/>
            <w:vMerge w:val="restart"/>
            <w:noWrap/>
          </w:tcPr>
          <w:p w14:paraId="577FD406"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1</w:t>
            </w:r>
          </w:p>
        </w:tc>
        <w:tc>
          <w:tcPr>
            <w:tcW w:w="638" w:type="pct"/>
            <w:noWrap/>
          </w:tcPr>
          <w:p w14:paraId="5DF5C272"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542" w:type="pct"/>
            <w:noWrap/>
          </w:tcPr>
          <w:p w14:paraId="38316834"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55" w:type="pct"/>
            <w:vAlign w:val="center"/>
          </w:tcPr>
          <w:p w14:paraId="5A777618"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93" w:type="pct"/>
            <w:vAlign w:val="center"/>
          </w:tcPr>
          <w:p w14:paraId="33FA6371"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0" w:type="pct"/>
            <w:vAlign w:val="center"/>
          </w:tcPr>
          <w:p w14:paraId="27C5AF08"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color w:val="000000"/>
                <w:sz w:val="18"/>
                <w:szCs w:val="18"/>
              </w:rPr>
              <w:t>1.00</w:t>
            </w:r>
          </w:p>
        </w:tc>
        <w:tc>
          <w:tcPr>
            <w:tcW w:w="555" w:type="pct"/>
            <w:noWrap/>
            <w:vAlign w:val="center"/>
          </w:tcPr>
          <w:p w14:paraId="65D89C99"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491" w:type="pct"/>
            <w:noWrap/>
            <w:vAlign w:val="center"/>
          </w:tcPr>
          <w:p w14:paraId="41FC797E"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773" w:type="pct"/>
            <w:noWrap/>
            <w:vAlign w:val="center"/>
          </w:tcPr>
          <w:p w14:paraId="0DCD9D6F"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3.30</w:t>
            </w:r>
          </w:p>
        </w:tc>
      </w:tr>
      <w:tr w:rsidR="00000000" w14:paraId="6340F02D" w14:textId="77777777">
        <w:trPr>
          <w:cantSplit/>
          <w:jc w:val="center"/>
        </w:trPr>
        <w:tc>
          <w:tcPr>
            <w:tcW w:w="270" w:type="pct"/>
            <w:vMerge/>
            <w:noWrap/>
          </w:tcPr>
          <w:p w14:paraId="17713D23"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638" w:type="pct"/>
            <w:noWrap/>
          </w:tcPr>
          <w:p w14:paraId="6E4322C1"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542" w:type="pct"/>
            <w:noWrap/>
          </w:tcPr>
          <w:p w14:paraId="20994B6A"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55" w:type="pct"/>
            <w:vAlign w:val="center"/>
          </w:tcPr>
          <w:p w14:paraId="33EEDA61"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93" w:type="pct"/>
            <w:vAlign w:val="center"/>
          </w:tcPr>
          <w:p w14:paraId="6D3C8FE8"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0" w:type="pct"/>
            <w:vAlign w:val="center"/>
          </w:tcPr>
          <w:p w14:paraId="47699ADC"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color w:val="000000"/>
                <w:sz w:val="18"/>
                <w:szCs w:val="18"/>
              </w:rPr>
              <w:t>1.0</w:t>
            </w:r>
            <w:r>
              <w:rPr>
                <w:rFonts w:ascii="Arial" w:eastAsia="华文细黑" w:hAnsi="Arial" w:cs="Arial" w:hint="eastAsia"/>
                <w:color w:val="000000"/>
                <w:sz w:val="18"/>
                <w:szCs w:val="18"/>
              </w:rPr>
              <w:t>0</w:t>
            </w:r>
          </w:p>
        </w:tc>
        <w:tc>
          <w:tcPr>
            <w:tcW w:w="555" w:type="pct"/>
            <w:noWrap/>
            <w:vAlign w:val="center"/>
          </w:tcPr>
          <w:p w14:paraId="3966D332"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491" w:type="pct"/>
            <w:noWrap/>
            <w:vAlign w:val="center"/>
          </w:tcPr>
          <w:p w14:paraId="38C106DF"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773" w:type="pct"/>
            <w:noWrap/>
            <w:vAlign w:val="center"/>
          </w:tcPr>
          <w:p w14:paraId="60316D74"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3.14</w:t>
            </w:r>
          </w:p>
        </w:tc>
      </w:tr>
      <w:tr w:rsidR="00000000" w14:paraId="143C1C05" w14:textId="77777777">
        <w:trPr>
          <w:cantSplit/>
          <w:trHeight w:val="248"/>
          <w:jc w:val="center"/>
        </w:trPr>
        <w:tc>
          <w:tcPr>
            <w:tcW w:w="270" w:type="pct"/>
            <w:vMerge w:val="restart"/>
            <w:noWrap/>
          </w:tcPr>
          <w:p w14:paraId="4D4AE3E9"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2</w:t>
            </w:r>
          </w:p>
        </w:tc>
        <w:tc>
          <w:tcPr>
            <w:tcW w:w="638" w:type="pct"/>
            <w:noWrap/>
          </w:tcPr>
          <w:p w14:paraId="4D163B42"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542" w:type="pct"/>
            <w:noWrap/>
          </w:tcPr>
          <w:p w14:paraId="68EC361B"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55" w:type="pct"/>
            <w:vAlign w:val="center"/>
          </w:tcPr>
          <w:p w14:paraId="48E48F90"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93" w:type="pct"/>
            <w:vAlign w:val="center"/>
          </w:tcPr>
          <w:p w14:paraId="0364546B"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80" w:type="pct"/>
            <w:vAlign w:val="center"/>
          </w:tcPr>
          <w:p w14:paraId="3B073CD3"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0.95</w:t>
            </w:r>
          </w:p>
        </w:tc>
        <w:tc>
          <w:tcPr>
            <w:tcW w:w="555" w:type="pct"/>
            <w:noWrap/>
            <w:vAlign w:val="center"/>
          </w:tcPr>
          <w:p w14:paraId="1FB54E16"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491" w:type="pct"/>
            <w:noWrap/>
            <w:vAlign w:val="center"/>
          </w:tcPr>
          <w:p w14:paraId="098156E5"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0.80</w:t>
            </w:r>
          </w:p>
        </w:tc>
        <w:tc>
          <w:tcPr>
            <w:tcW w:w="773" w:type="pct"/>
            <w:noWrap/>
            <w:vAlign w:val="center"/>
          </w:tcPr>
          <w:p w14:paraId="41EF4BCF"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2.15</w:t>
            </w:r>
          </w:p>
        </w:tc>
      </w:tr>
      <w:tr w:rsidR="00000000" w14:paraId="1354B7DA" w14:textId="77777777">
        <w:trPr>
          <w:cantSplit/>
          <w:jc w:val="center"/>
        </w:trPr>
        <w:tc>
          <w:tcPr>
            <w:tcW w:w="270" w:type="pct"/>
            <w:vMerge/>
            <w:noWrap/>
          </w:tcPr>
          <w:p w14:paraId="610B9ACB"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p>
        </w:tc>
        <w:tc>
          <w:tcPr>
            <w:tcW w:w="638" w:type="pct"/>
            <w:noWrap/>
          </w:tcPr>
          <w:p w14:paraId="153E59AE"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542" w:type="pct"/>
            <w:noWrap/>
          </w:tcPr>
          <w:p w14:paraId="14032C53"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55" w:type="pct"/>
            <w:vAlign w:val="center"/>
          </w:tcPr>
          <w:p w14:paraId="58C823E6"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93" w:type="pct"/>
            <w:vAlign w:val="center"/>
          </w:tcPr>
          <w:p w14:paraId="11160DCB"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80" w:type="pct"/>
            <w:vAlign w:val="center"/>
          </w:tcPr>
          <w:p w14:paraId="161BD30E"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55" w:type="pct"/>
            <w:noWrap/>
            <w:vAlign w:val="center"/>
          </w:tcPr>
          <w:p w14:paraId="447C7D4D"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491" w:type="pct"/>
            <w:noWrap/>
            <w:vAlign w:val="center"/>
          </w:tcPr>
          <w:p w14:paraId="76DFDC2B"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0.80</w:t>
            </w:r>
          </w:p>
        </w:tc>
        <w:tc>
          <w:tcPr>
            <w:tcW w:w="773" w:type="pct"/>
            <w:noWrap/>
            <w:vAlign w:val="center"/>
          </w:tcPr>
          <w:p w14:paraId="050E5EBA"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2.04</w:t>
            </w:r>
          </w:p>
        </w:tc>
      </w:tr>
      <w:tr w:rsidR="00000000" w14:paraId="35F404A9" w14:textId="77777777">
        <w:trPr>
          <w:cantSplit/>
          <w:jc w:val="center"/>
        </w:trPr>
        <w:tc>
          <w:tcPr>
            <w:tcW w:w="270" w:type="pct"/>
            <w:vMerge w:val="restart"/>
            <w:noWrap/>
          </w:tcPr>
          <w:p w14:paraId="341DD51A"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p>
        </w:tc>
        <w:tc>
          <w:tcPr>
            <w:tcW w:w="638" w:type="pct"/>
            <w:noWrap/>
          </w:tcPr>
          <w:p w14:paraId="7785150B"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p>
        </w:tc>
        <w:tc>
          <w:tcPr>
            <w:tcW w:w="542" w:type="pct"/>
            <w:noWrap/>
          </w:tcPr>
          <w:p w14:paraId="47853597"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0.85</w:t>
            </w:r>
          </w:p>
        </w:tc>
        <w:tc>
          <w:tcPr>
            <w:tcW w:w="555" w:type="pct"/>
            <w:vAlign w:val="center"/>
          </w:tcPr>
          <w:p w14:paraId="5C65BF97"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0.85</w:t>
            </w:r>
          </w:p>
        </w:tc>
        <w:tc>
          <w:tcPr>
            <w:tcW w:w="593" w:type="pct"/>
            <w:vAlign w:val="center"/>
          </w:tcPr>
          <w:p w14:paraId="4673E69C"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0.90</w:t>
            </w:r>
          </w:p>
        </w:tc>
        <w:tc>
          <w:tcPr>
            <w:tcW w:w="580" w:type="pct"/>
            <w:vAlign w:val="center"/>
          </w:tcPr>
          <w:p w14:paraId="6762D7F2"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55" w:type="pct"/>
            <w:noWrap/>
            <w:vAlign w:val="center"/>
          </w:tcPr>
          <w:p w14:paraId="5603409F"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0.85</w:t>
            </w:r>
          </w:p>
        </w:tc>
        <w:tc>
          <w:tcPr>
            <w:tcW w:w="491" w:type="pct"/>
            <w:noWrap/>
            <w:vAlign w:val="center"/>
          </w:tcPr>
          <w:p w14:paraId="55D2E834"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0.60</w:t>
            </w:r>
          </w:p>
        </w:tc>
        <w:tc>
          <w:tcPr>
            <w:tcW w:w="773" w:type="pct"/>
            <w:noWrap/>
            <w:vAlign w:val="center"/>
          </w:tcPr>
          <w:p w14:paraId="172307EE"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1.04</w:t>
            </w:r>
          </w:p>
        </w:tc>
      </w:tr>
      <w:tr w:rsidR="00000000" w14:paraId="6CFD53A6" w14:textId="77777777">
        <w:trPr>
          <w:cantSplit/>
          <w:jc w:val="center"/>
        </w:trPr>
        <w:tc>
          <w:tcPr>
            <w:tcW w:w="270" w:type="pct"/>
            <w:vMerge/>
            <w:noWrap/>
          </w:tcPr>
          <w:p w14:paraId="6D63A102"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p>
        </w:tc>
        <w:tc>
          <w:tcPr>
            <w:tcW w:w="638" w:type="pct"/>
            <w:noWrap/>
          </w:tcPr>
          <w:p w14:paraId="2224ACDC"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p>
        </w:tc>
        <w:tc>
          <w:tcPr>
            <w:tcW w:w="542" w:type="pct"/>
            <w:noWrap/>
          </w:tcPr>
          <w:p w14:paraId="74083362"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0.90</w:t>
            </w:r>
          </w:p>
        </w:tc>
        <w:tc>
          <w:tcPr>
            <w:tcW w:w="555" w:type="pct"/>
            <w:vAlign w:val="center"/>
          </w:tcPr>
          <w:p w14:paraId="79A83108"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0.90</w:t>
            </w:r>
          </w:p>
        </w:tc>
        <w:tc>
          <w:tcPr>
            <w:tcW w:w="593" w:type="pct"/>
            <w:vAlign w:val="center"/>
          </w:tcPr>
          <w:p w14:paraId="446DF89E"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0.90</w:t>
            </w:r>
          </w:p>
        </w:tc>
        <w:tc>
          <w:tcPr>
            <w:tcW w:w="580" w:type="pct"/>
            <w:vAlign w:val="center"/>
          </w:tcPr>
          <w:p w14:paraId="49E790DA"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55" w:type="pct"/>
            <w:noWrap/>
            <w:vAlign w:val="center"/>
          </w:tcPr>
          <w:p w14:paraId="53ACD1A9"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0.85</w:t>
            </w:r>
          </w:p>
        </w:tc>
        <w:tc>
          <w:tcPr>
            <w:tcW w:w="491" w:type="pct"/>
            <w:noWrap/>
            <w:vAlign w:val="center"/>
          </w:tcPr>
          <w:p w14:paraId="27F431C3"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0.60</w:t>
            </w:r>
          </w:p>
        </w:tc>
        <w:tc>
          <w:tcPr>
            <w:tcW w:w="773" w:type="pct"/>
            <w:noWrap/>
            <w:vAlign w:val="center"/>
          </w:tcPr>
          <w:p w14:paraId="5E25D8DC"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1.17</w:t>
            </w:r>
          </w:p>
        </w:tc>
      </w:tr>
    </w:tbl>
    <w:p w14:paraId="4D7EFE71" w14:textId="77777777" w:rsidR="00000000" w:rsidRDefault="00000000">
      <w:pPr>
        <w:spacing w:line="360" w:lineRule="auto"/>
        <w:ind w:right="17"/>
        <w:rPr>
          <w:rFonts w:ascii="Arial" w:eastAsia="华文细黑" w:hAnsi="Arial" w:cs="Arial"/>
          <w:sz w:val="18"/>
          <w:szCs w:val="18"/>
        </w:rPr>
      </w:pPr>
      <w:r>
        <w:rPr>
          <w:rFonts w:ascii="Arial" w:eastAsia="华文细黑" w:hAnsi="Arial" w:hint="eastAsia"/>
          <w:sz w:val="18"/>
          <w:szCs w:val="18"/>
        </w:rPr>
        <w:t xml:space="preserve">      </w:t>
      </w:r>
      <w:r>
        <w:rPr>
          <w:rFonts w:ascii="Arial" w:eastAsia="华文细黑" w:hAnsi="Arial" w:hint="eastAsia"/>
          <w:sz w:val="18"/>
          <w:szCs w:val="18"/>
        </w:rPr>
        <w:t>单位：</w:t>
      </w:r>
      <w:r>
        <w:rPr>
          <w:rFonts w:ascii="Arial" w:eastAsia="华文细黑" w:hAnsi="Arial" w:cs="宋体" w:hint="eastAsia"/>
          <w:sz w:val="18"/>
          <w:szCs w:val="18"/>
        </w:rPr>
        <w:t>元</w:t>
      </w:r>
      <w:r>
        <w:rPr>
          <w:rFonts w:ascii="Arial" w:eastAsia="华文细黑" w:hAnsi="Arial" w:cs="宋体" w:hint="eastAsia"/>
          <w:sz w:val="18"/>
          <w:szCs w:val="18"/>
        </w:rPr>
        <w:t>/</w:t>
      </w:r>
      <w:r>
        <w:rPr>
          <w:rFonts w:ascii="Arial" w:eastAsia="华文细黑" w:hAnsi="Arial" w:cs="宋体" w:hint="eastAsia"/>
          <w:sz w:val="18"/>
          <w:szCs w:val="18"/>
        </w:rPr>
        <w:t>建筑面积平方米·天</w:t>
      </w:r>
      <w:r>
        <w:rPr>
          <w:rFonts w:ascii="Arial" w:eastAsia="华文细黑" w:hAnsi="Arial" w:cs="Arial"/>
          <w:sz w:val="18"/>
          <w:szCs w:val="18"/>
        </w:rPr>
        <w:t>（币种：人民币）</w:t>
      </w:r>
    </w:p>
    <w:p w14:paraId="1BF407B3" w14:textId="77777777" w:rsidR="00000000" w:rsidRDefault="00000000">
      <w:pPr>
        <w:spacing w:beforeLines="50" w:before="120" w:line="480" w:lineRule="auto"/>
        <w:ind w:firstLineChars="200" w:firstLine="420"/>
        <w:rPr>
          <w:rFonts w:ascii="Arial" w:hAnsi="Arial" w:cs="Arial" w:hint="eastAsia"/>
          <w:sz w:val="21"/>
          <w:szCs w:val="21"/>
        </w:rPr>
      </w:pPr>
      <w:r>
        <w:rPr>
          <w:rFonts w:ascii="Arial" w:hAnsi="Arial" w:cs="Arial" w:hint="eastAsia"/>
          <w:sz w:val="21"/>
          <w:szCs w:val="21"/>
        </w:rPr>
        <w:lastRenderedPageBreak/>
        <w:t>根据上述情况，各楼层商业用房市场租金水平如下表：</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394"/>
        <w:gridCol w:w="2563"/>
        <w:gridCol w:w="2523"/>
        <w:gridCol w:w="2809"/>
      </w:tblGrid>
      <w:tr w:rsidR="00000000" w14:paraId="442280F5" w14:textId="77777777">
        <w:trPr>
          <w:cantSplit/>
          <w:trHeight w:val="291"/>
          <w:jc w:val="center"/>
        </w:trPr>
        <w:tc>
          <w:tcPr>
            <w:tcW w:w="751" w:type="pct"/>
            <w:vAlign w:val="center"/>
          </w:tcPr>
          <w:p w14:paraId="7BD81EE9"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楼层</w:t>
            </w:r>
          </w:p>
        </w:tc>
        <w:tc>
          <w:tcPr>
            <w:tcW w:w="1379" w:type="pct"/>
            <w:vAlign w:val="center"/>
          </w:tcPr>
          <w:p w14:paraId="2D26DC63"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楼号</w:t>
            </w:r>
            <w:r>
              <w:rPr>
                <w:rFonts w:ascii="Arial" w:eastAsia="华文细黑" w:hAnsi="Arial" w:cs="Arial" w:hint="eastAsia"/>
                <w:color w:val="000000"/>
                <w:sz w:val="18"/>
                <w:szCs w:val="18"/>
              </w:rPr>
              <w:t>/</w:t>
            </w:r>
            <w:r>
              <w:rPr>
                <w:rFonts w:ascii="Arial" w:eastAsia="华文细黑" w:hAnsi="Arial" w:cs="Arial" w:hint="eastAsia"/>
                <w:color w:val="000000"/>
                <w:sz w:val="18"/>
                <w:szCs w:val="18"/>
              </w:rPr>
              <w:t>地块</w:t>
            </w:r>
          </w:p>
        </w:tc>
        <w:tc>
          <w:tcPr>
            <w:tcW w:w="1357" w:type="pct"/>
            <w:vAlign w:val="center"/>
          </w:tcPr>
          <w:p w14:paraId="46E192AA"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建筑面积</w:t>
            </w:r>
          </w:p>
        </w:tc>
        <w:tc>
          <w:tcPr>
            <w:tcW w:w="1511" w:type="pct"/>
            <w:vAlign w:val="center"/>
          </w:tcPr>
          <w:p w14:paraId="56C44F49"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平均租金单价</w:t>
            </w:r>
          </w:p>
        </w:tc>
      </w:tr>
      <w:tr w:rsidR="00000000" w14:paraId="57548893" w14:textId="77777777">
        <w:trPr>
          <w:cantSplit/>
          <w:trHeight w:val="291"/>
          <w:jc w:val="center"/>
        </w:trPr>
        <w:tc>
          <w:tcPr>
            <w:tcW w:w="751" w:type="pct"/>
            <w:vMerge w:val="restart"/>
            <w:vAlign w:val="center"/>
          </w:tcPr>
          <w:p w14:paraId="7AB9FDE2"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1</w:t>
            </w:r>
          </w:p>
        </w:tc>
        <w:tc>
          <w:tcPr>
            <w:tcW w:w="2597" w:type="dxa"/>
            <w:vAlign w:val="center"/>
          </w:tcPr>
          <w:p w14:paraId="4C4DC0DC"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1357" w:type="pct"/>
            <w:vAlign w:val="center"/>
          </w:tcPr>
          <w:p w14:paraId="5DEC9834"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2591.43 </w:t>
            </w:r>
          </w:p>
        </w:tc>
        <w:tc>
          <w:tcPr>
            <w:tcW w:w="1511" w:type="pct"/>
            <w:vAlign w:val="center"/>
          </w:tcPr>
          <w:p w14:paraId="5897EC63"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3.30</w:t>
            </w:r>
          </w:p>
        </w:tc>
      </w:tr>
      <w:tr w:rsidR="00000000" w14:paraId="631766DD" w14:textId="77777777">
        <w:trPr>
          <w:cantSplit/>
          <w:trHeight w:val="297"/>
          <w:jc w:val="center"/>
        </w:trPr>
        <w:tc>
          <w:tcPr>
            <w:tcW w:w="751" w:type="pct"/>
            <w:vMerge/>
            <w:vAlign w:val="center"/>
          </w:tcPr>
          <w:p w14:paraId="61085DD8"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2597" w:type="dxa"/>
            <w:vAlign w:val="center"/>
          </w:tcPr>
          <w:p w14:paraId="19051DA2"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1357" w:type="pct"/>
            <w:vAlign w:val="center"/>
          </w:tcPr>
          <w:p w14:paraId="744E947C"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2385.48 </w:t>
            </w:r>
          </w:p>
        </w:tc>
        <w:tc>
          <w:tcPr>
            <w:tcW w:w="1511" w:type="pct"/>
            <w:vAlign w:val="center"/>
          </w:tcPr>
          <w:p w14:paraId="05A34193"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3.14</w:t>
            </w:r>
          </w:p>
        </w:tc>
      </w:tr>
      <w:tr w:rsidR="00000000" w14:paraId="2A53D198" w14:textId="77777777">
        <w:trPr>
          <w:cantSplit/>
          <w:trHeight w:val="317"/>
          <w:jc w:val="center"/>
        </w:trPr>
        <w:tc>
          <w:tcPr>
            <w:tcW w:w="751" w:type="pct"/>
            <w:vMerge w:val="restart"/>
            <w:vAlign w:val="center"/>
          </w:tcPr>
          <w:p w14:paraId="13D20A8C"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2</w:t>
            </w:r>
          </w:p>
        </w:tc>
        <w:tc>
          <w:tcPr>
            <w:tcW w:w="2597" w:type="dxa"/>
            <w:vAlign w:val="center"/>
          </w:tcPr>
          <w:p w14:paraId="7BEB63AA"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1357" w:type="pct"/>
            <w:vAlign w:val="center"/>
          </w:tcPr>
          <w:p w14:paraId="105B638D"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2696.40 </w:t>
            </w:r>
          </w:p>
        </w:tc>
        <w:tc>
          <w:tcPr>
            <w:tcW w:w="1511" w:type="pct"/>
            <w:vAlign w:val="center"/>
          </w:tcPr>
          <w:p w14:paraId="1D06D631"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2.15</w:t>
            </w:r>
          </w:p>
        </w:tc>
      </w:tr>
      <w:tr w:rsidR="00000000" w14:paraId="4E567259" w14:textId="77777777">
        <w:trPr>
          <w:cantSplit/>
          <w:trHeight w:val="295"/>
          <w:jc w:val="center"/>
        </w:trPr>
        <w:tc>
          <w:tcPr>
            <w:tcW w:w="751" w:type="pct"/>
            <w:vMerge/>
            <w:vAlign w:val="center"/>
          </w:tcPr>
          <w:p w14:paraId="6C9C8C1B"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2597" w:type="dxa"/>
            <w:vAlign w:val="center"/>
          </w:tcPr>
          <w:p w14:paraId="4CB7EA7C"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1357" w:type="pct"/>
            <w:vAlign w:val="center"/>
          </w:tcPr>
          <w:p w14:paraId="46AB687E"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2399.61 </w:t>
            </w:r>
          </w:p>
        </w:tc>
        <w:tc>
          <w:tcPr>
            <w:tcW w:w="1511" w:type="pct"/>
            <w:vAlign w:val="center"/>
          </w:tcPr>
          <w:p w14:paraId="38D4949F"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2.04</w:t>
            </w:r>
          </w:p>
        </w:tc>
      </w:tr>
      <w:tr w:rsidR="00000000" w14:paraId="037AD5A5" w14:textId="77777777">
        <w:trPr>
          <w:cantSplit/>
          <w:trHeight w:val="315"/>
          <w:jc w:val="center"/>
        </w:trPr>
        <w:tc>
          <w:tcPr>
            <w:tcW w:w="751" w:type="pct"/>
            <w:vMerge w:val="restart"/>
            <w:vAlign w:val="center"/>
          </w:tcPr>
          <w:p w14:paraId="656DB152"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-1</w:t>
            </w:r>
          </w:p>
        </w:tc>
        <w:tc>
          <w:tcPr>
            <w:tcW w:w="2597" w:type="dxa"/>
            <w:vAlign w:val="center"/>
          </w:tcPr>
          <w:p w14:paraId="3C3893B2"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p>
        </w:tc>
        <w:tc>
          <w:tcPr>
            <w:tcW w:w="1357" w:type="pct"/>
            <w:vAlign w:val="center"/>
          </w:tcPr>
          <w:p w14:paraId="6186E5A2"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8822.48 </w:t>
            </w:r>
          </w:p>
        </w:tc>
        <w:tc>
          <w:tcPr>
            <w:tcW w:w="1511" w:type="pct"/>
            <w:vAlign w:val="center"/>
          </w:tcPr>
          <w:p w14:paraId="0F246D1E"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1.04</w:t>
            </w:r>
          </w:p>
        </w:tc>
      </w:tr>
      <w:tr w:rsidR="00000000" w14:paraId="1D5E8B11" w14:textId="77777777">
        <w:trPr>
          <w:cantSplit/>
          <w:trHeight w:val="315"/>
          <w:jc w:val="center"/>
        </w:trPr>
        <w:tc>
          <w:tcPr>
            <w:tcW w:w="751" w:type="pct"/>
            <w:vMerge/>
            <w:vAlign w:val="center"/>
          </w:tcPr>
          <w:p w14:paraId="1A62C1D5"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2597" w:type="dxa"/>
            <w:vAlign w:val="center"/>
          </w:tcPr>
          <w:p w14:paraId="59B2C645"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p>
        </w:tc>
        <w:tc>
          <w:tcPr>
            <w:tcW w:w="1357" w:type="pct"/>
            <w:vAlign w:val="center"/>
          </w:tcPr>
          <w:p w14:paraId="3A6D2041"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5976.27 </w:t>
            </w:r>
          </w:p>
        </w:tc>
        <w:tc>
          <w:tcPr>
            <w:tcW w:w="1511" w:type="pct"/>
            <w:vAlign w:val="center"/>
          </w:tcPr>
          <w:p w14:paraId="077B39A1"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1.17</w:t>
            </w:r>
          </w:p>
        </w:tc>
      </w:tr>
      <w:tr w:rsidR="00000000" w14:paraId="3487770E" w14:textId="77777777">
        <w:trPr>
          <w:cantSplit/>
          <w:trHeight w:val="315"/>
          <w:jc w:val="center"/>
        </w:trPr>
        <w:tc>
          <w:tcPr>
            <w:tcW w:w="751" w:type="pct"/>
            <w:vAlign w:val="center"/>
          </w:tcPr>
          <w:p w14:paraId="4F09B9C8" w14:textId="77777777" w:rsidR="00000000" w:rsidRDefault="00000000">
            <w:pPr>
              <w:widowControl/>
              <w:adjustRightInd/>
              <w:spacing w:line="240" w:lineRule="auto"/>
              <w:jc w:val="center"/>
              <w:textAlignment w:val="auto"/>
              <w:rPr>
                <w:rFonts w:ascii="Arial" w:eastAsia="华文细黑" w:hAnsi="Arial" w:cs="宋体" w:hint="eastAsia"/>
                <w:sz w:val="20"/>
              </w:rPr>
            </w:pPr>
            <w:r>
              <w:rPr>
                <w:rFonts w:ascii="Arial" w:eastAsia="华文细黑" w:hAnsi="Arial" w:cs="宋体" w:hint="eastAsia"/>
                <w:sz w:val="20"/>
              </w:rPr>
              <w:t>合计</w:t>
            </w:r>
          </w:p>
        </w:tc>
        <w:tc>
          <w:tcPr>
            <w:tcW w:w="1379" w:type="pct"/>
            <w:vAlign w:val="center"/>
          </w:tcPr>
          <w:p w14:paraId="432906BF" w14:textId="77777777" w:rsidR="00000000" w:rsidRDefault="00000000">
            <w:pPr>
              <w:widowControl/>
              <w:adjustRightInd/>
              <w:spacing w:line="240" w:lineRule="auto"/>
              <w:jc w:val="center"/>
              <w:textAlignment w:val="auto"/>
              <w:rPr>
                <w:rFonts w:ascii="Arial" w:eastAsia="华文细黑" w:hAnsi="Arial" w:cs="宋体" w:hint="eastAsia"/>
                <w:sz w:val="20"/>
              </w:rPr>
            </w:pPr>
            <w:r>
              <w:rPr>
                <w:rFonts w:ascii="Arial" w:eastAsia="华文细黑" w:hAnsi="Arial" w:cs="宋体" w:hint="eastAsia"/>
                <w:sz w:val="20"/>
              </w:rPr>
              <w:t>-</w:t>
            </w:r>
          </w:p>
        </w:tc>
        <w:tc>
          <w:tcPr>
            <w:tcW w:w="1357" w:type="pct"/>
            <w:vAlign w:val="center"/>
          </w:tcPr>
          <w:p w14:paraId="17F4A61B" w14:textId="77777777" w:rsidR="00000000" w:rsidRDefault="00000000">
            <w:pPr>
              <w:widowControl/>
              <w:adjustRightInd/>
              <w:spacing w:line="240" w:lineRule="exact"/>
              <w:jc w:val="center"/>
              <w:textAlignment w:val="auto"/>
              <w:rPr>
                <w:rFonts w:ascii="Arial" w:eastAsia="华文细黑" w:hAnsi="Arial" w:cs="宋体" w:hint="eastAsia"/>
                <w:sz w:val="20"/>
              </w:rPr>
            </w:pPr>
            <w:r>
              <w:rPr>
                <w:rFonts w:ascii="Arial" w:eastAsia="华文细黑" w:hAnsi="Arial" w:cs="Arial" w:hint="eastAsia"/>
                <w:color w:val="000000"/>
                <w:sz w:val="18"/>
                <w:szCs w:val="18"/>
              </w:rPr>
              <w:t xml:space="preserve">24871.67 </w:t>
            </w:r>
          </w:p>
        </w:tc>
        <w:tc>
          <w:tcPr>
            <w:tcW w:w="1511" w:type="pct"/>
            <w:vAlign w:val="center"/>
          </w:tcPr>
          <w:p w14:paraId="1F950FAF" w14:textId="77777777" w:rsidR="00000000" w:rsidRDefault="00000000">
            <w:pPr>
              <w:widowControl/>
              <w:adjustRightInd/>
              <w:spacing w:line="240" w:lineRule="auto"/>
              <w:jc w:val="center"/>
              <w:textAlignment w:val="auto"/>
              <w:rPr>
                <w:rFonts w:ascii="Arial" w:eastAsia="华文细黑" w:hAnsi="Arial" w:cs="宋体" w:hint="eastAsia"/>
                <w:sz w:val="20"/>
              </w:rPr>
            </w:pPr>
            <w:r>
              <w:rPr>
                <w:rFonts w:ascii="Arial" w:eastAsia="华文细黑" w:hAnsi="Arial" w:cs="宋体" w:hint="eastAsia"/>
                <w:sz w:val="20"/>
              </w:rPr>
              <w:t>-</w:t>
            </w:r>
          </w:p>
        </w:tc>
      </w:tr>
    </w:tbl>
    <w:p w14:paraId="4BEF1CB1" w14:textId="77777777" w:rsidR="00000000" w:rsidRDefault="00000000">
      <w:pPr>
        <w:widowControl/>
        <w:adjustRightInd/>
        <w:spacing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单位：平方米、元</w:t>
      </w:r>
      <w:r>
        <w:rPr>
          <w:rFonts w:ascii="Arial" w:eastAsia="华文细黑" w:hAnsi="Arial" w:cs="宋体" w:hint="eastAsia"/>
          <w:sz w:val="18"/>
          <w:szCs w:val="18"/>
        </w:rPr>
        <w:t>/</w:t>
      </w:r>
      <w:r>
        <w:rPr>
          <w:rFonts w:ascii="Arial" w:eastAsia="华文细黑" w:hAnsi="Arial" w:cs="宋体" w:hint="eastAsia"/>
          <w:sz w:val="18"/>
          <w:szCs w:val="18"/>
        </w:rPr>
        <w:t>建筑面积平方米·天</w:t>
      </w:r>
    </w:p>
    <w:p w14:paraId="2F2C8C84" w14:textId="77777777" w:rsidR="00000000" w:rsidRDefault="00000000">
      <w:pPr>
        <w:spacing w:line="480" w:lineRule="auto"/>
        <w:ind w:firstLineChars="200" w:firstLine="422"/>
        <w:jc w:val="both"/>
        <w:rPr>
          <w:rFonts w:ascii="Arial" w:hAnsi="Arial" w:cs="Arial"/>
          <w:b/>
          <w:sz w:val="21"/>
          <w:szCs w:val="21"/>
        </w:rPr>
      </w:pPr>
    </w:p>
    <w:p w14:paraId="5B17721A" w14:textId="77777777" w:rsidR="00000000" w:rsidRDefault="00000000">
      <w:pPr>
        <w:pStyle w:val="2"/>
        <w:numPr>
          <w:ilvl w:val="0"/>
          <w:numId w:val="0"/>
        </w:numPr>
        <w:spacing w:line="480" w:lineRule="auto"/>
        <w:ind w:left="358" w:hangingChars="170" w:hanging="358"/>
        <w:jc w:val="both"/>
        <w:rPr>
          <w:rFonts w:eastAsia="宋体"/>
          <w:kern w:val="2"/>
          <w:sz w:val="21"/>
          <w:szCs w:val="21"/>
        </w:rPr>
      </w:pPr>
      <w:bookmarkStart w:id="68" w:name="_Toc477252463"/>
      <w:r>
        <w:rPr>
          <w:rFonts w:eastAsia="宋体"/>
          <w:kern w:val="2"/>
          <w:sz w:val="21"/>
          <w:szCs w:val="21"/>
        </w:rPr>
        <w:br w:type="page"/>
      </w:r>
      <w:r>
        <w:rPr>
          <w:rFonts w:eastAsia="宋体"/>
          <w:kern w:val="2"/>
          <w:sz w:val="21"/>
          <w:szCs w:val="21"/>
        </w:rPr>
        <w:lastRenderedPageBreak/>
        <w:t>六、估价结果确定</w:t>
      </w:r>
      <w:bookmarkEnd w:id="68"/>
    </w:p>
    <w:p w14:paraId="2D813A98" w14:textId="77777777" w:rsidR="00000000" w:rsidRDefault="00000000">
      <w:pPr>
        <w:spacing w:line="480" w:lineRule="auto"/>
        <w:ind w:firstLineChars="200" w:firstLine="420"/>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评估专业人员根据估价的目的，按照估价的程序，采用科学的估价方法，在认真分析现有资料的基础上，结合</w:t>
      </w:r>
      <w:r>
        <w:rPr>
          <w:rFonts w:ascii="Arial" w:hAnsi="Arial" w:cs="Arial"/>
          <w:sz w:val="21"/>
          <w:szCs w:val="28"/>
        </w:rPr>
        <w:t>本次评估的要求，通过仔细测算和认真分析各种影响房地产价格的因素，确定估价对象于价值时</w:t>
      </w:r>
      <w:r>
        <w:rPr>
          <w:rFonts w:ascii="Arial" w:hAnsi="Arial" w:cs="Arial"/>
          <w:sz w:val="21"/>
          <w:szCs w:val="21"/>
        </w:rPr>
        <w:t>点的房地产评估价格，详见估价结果一览表（币种：人民币）。</w:t>
      </w:r>
    </w:p>
    <w:p w14:paraId="51B1A951" w14:textId="77777777" w:rsidR="00000000" w:rsidRDefault="00000000">
      <w:pPr>
        <w:spacing w:line="240" w:lineRule="auto"/>
        <w:jc w:val="center"/>
        <w:rPr>
          <w:rFonts w:ascii="Arial" w:eastAsia="方正黑体简体" w:hAnsi="Arial" w:cs="Arial" w:hint="eastAsia"/>
          <w:szCs w:val="24"/>
        </w:rPr>
      </w:pPr>
      <w:r>
        <w:rPr>
          <w:rFonts w:ascii="Arial" w:eastAsia="方正黑体简体" w:hAnsi="Arial" w:cs="Arial" w:hint="eastAsia"/>
          <w:szCs w:val="24"/>
        </w:rPr>
        <w:t>估价结果一览表</w:t>
      </w:r>
    </w:p>
    <w:p w14:paraId="27B968EF" w14:textId="77777777" w:rsidR="00000000" w:rsidRDefault="00000000">
      <w:pPr>
        <w:spacing w:line="240" w:lineRule="auto"/>
        <w:jc w:val="center"/>
        <w:rPr>
          <w:rFonts w:ascii="Arial" w:eastAsia="方正黑体简体" w:hAnsi="Arial" w:cs="Arial"/>
          <w:szCs w:val="24"/>
        </w:rPr>
      </w:pPr>
      <w:r>
        <w:rPr>
          <w:rFonts w:ascii="Arial" w:eastAsia="方正黑体简体" w:hAnsi="Arial" w:cs="Arial" w:hint="eastAsia"/>
          <w:szCs w:val="24"/>
        </w:rPr>
        <w:t>结果表</w:t>
      </w:r>
      <w:r>
        <w:rPr>
          <w:rFonts w:ascii="Arial" w:eastAsia="方正黑体简体" w:hAnsi="Arial" w:cs="Arial" w:hint="eastAsia"/>
          <w:szCs w:val="24"/>
        </w:rPr>
        <w:t>-1</w:t>
      </w:r>
    </w:p>
    <w:tbl>
      <w:tblPr>
        <w:tblW w:w="5000" w:type="pct"/>
        <w:jc w:val="center"/>
        <w:tblInd w:w="0" w:type="dxa"/>
        <w:tblCellMar>
          <w:top w:w="57" w:type="dxa"/>
          <w:left w:w="57" w:type="dxa"/>
          <w:bottom w:w="57" w:type="dxa"/>
          <w:right w:w="57" w:type="dxa"/>
        </w:tblCellMar>
        <w:tblLook w:val="0000" w:firstRow="0" w:lastRow="0" w:firstColumn="0" w:lastColumn="0" w:noHBand="0" w:noVBand="0"/>
      </w:tblPr>
      <w:tblGrid>
        <w:gridCol w:w="4554"/>
        <w:gridCol w:w="4739"/>
      </w:tblGrid>
      <w:tr w:rsidR="00000000" w14:paraId="01EB20A3" w14:textId="77777777">
        <w:trPr>
          <w:cantSplit/>
          <w:trHeight w:val="567"/>
          <w:jc w:val="center"/>
        </w:trPr>
        <w:tc>
          <w:tcPr>
            <w:tcW w:w="2450" w:type="pct"/>
            <w:tcBorders>
              <w:top w:val="thinThickThinSmallGap" w:sz="12" w:space="0" w:color="auto"/>
              <w:left w:val="dotted" w:sz="2" w:space="0" w:color="auto"/>
              <w:bottom w:val="dotted" w:sz="2" w:space="0" w:color="auto"/>
              <w:right w:val="dotted" w:sz="2" w:space="0" w:color="auto"/>
              <w:tl2br w:val="single" w:sz="4" w:space="0" w:color="auto"/>
            </w:tcBorders>
            <w:vAlign w:val="center"/>
          </w:tcPr>
          <w:p w14:paraId="0EFB70DE" w14:textId="77777777" w:rsidR="00000000" w:rsidRDefault="00000000">
            <w:pPr>
              <w:widowControl/>
              <w:adjustRightInd/>
              <w:spacing w:line="240" w:lineRule="exact"/>
              <w:jc w:val="right"/>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租金水平</w:t>
            </w:r>
          </w:p>
          <w:p w14:paraId="5F25B888" w14:textId="77777777" w:rsidR="00000000" w:rsidRDefault="00000000">
            <w:pPr>
              <w:widowControl/>
              <w:adjustRightInd/>
              <w:spacing w:line="240" w:lineRule="exact"/>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相关结果</w:t>
            </w:r>
          </w:p>
        </w:tc>
        <w:tc>
          <w:tcPr>
            <w:tcW w:w="2550" w:type="pct"/>
            <w:tcBorders>
              <w:top w:val="thinThickThinSmallGap" w:sz="12" w:space="0" w:color="auto"/>
              <w:left w:val="dotted" w:sz="2" w:space="0" w:color="auto"/>
              <w:bottom w:val="dotted" w:sz="2" w:space="0" w:color="auto"/>
              <w:right w:val="dotted" w:sz="2" w:space="0" w:color="auto"/>
            </w:tcBorders>
            <w:vAlign w:val="center"/>
          </w:tcPr>
          <w:p w14:paraId="452528F9"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房山区阜盛西街</w:t>
            </w:r>
            <w:r>
              <w:rPr>
                <w:rFonts w:ascii="Arial" w:eastAsia="华文细黑" w:hAnsi="Arial" w:cs="Arial" w:hint="eastAsia"/>
                <w:color w:val="000000"/>
                <w:sz w:val="18"/>
                <w:szCs w:val="18"/>
              </w:rPr>
              <w:t>11</w:t>
            </w:r>
            <w:r>
              <w:rPr>
                <w:rFonts w:ascii="Arial" w:eastAsia="华文细黑" w:hAnsi="Arial" w:cs="Arial" w:hint="eastAsia"/>
                <w:color w:val="000000"/>
                <w:sz w:val="18"/>
                <w:szCs w:val="18"/>
              </w:rPr>
              <w:t>号院</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号楼</w:t>
            </w:r>
            <w:r>
              <w:rPr>
                <w:rFonts w:ascii="Arial" w:eastAsia="华文细黑" w:hAnsi="Arial" w:cs="Arial" w:hint="eastAsia"/>
                <w:color w:val="000000"/>
                <w:sz w:val="18"/>
                <w:szCs w:val="18"/>
              </w:rPr>
              <w:t>101</w:t>
            </w:r>
            <w:r>
              <w:rPr>
                <w:rFonts w:ascii="Arial" w:eastAsia="华文细黑" w:hAnsi="Arial" w:cs="Arial" w:hint="eastAsia"/>
                <w:color w:val="000000"/>
                <w:sz w:val="18"/>
                <w:szCs w:val="18"/>
              </w:rPr>
              <w:t>号</w:t>
            </w:r>
          </w:p>
          <w:p w14:paraId="3DA1C40E"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商业用房市场租金水平</w:t>
            </w:r>
          </w:p>
        </w:tc>
      </w:tr>
      <w:tr w:rsidR="00000000" w14:paraId="327AEC33" w14:textId="77777777">
        <w:trPr>
          <w:cantSplit/>
          <w:trHeight w:val="567"/>
          <w:jc w:val="center"/>
        </w:trPr>
        <w:tc>
          <w:tcPr>
            <w:tcW w:w="2450" w:type="pct"/>
            <w:tcBorders>
              <w:top w:val="dotted" w:sz="2" w:space="0" w:color="auto"/>
              <w:left w:val="dotted" w:sz="2" w:space="0" w:color="auto"/>
              <w:bottom w:val="thinThickThinSmallGap" w:sz="12" w:space="0" w:color="auto"/>
              <w:right w:val="dotted" w:sz="2" w:space="0" w:color="auto"/>
            </w:tcBorders>
            <w:vAlign w:val="center"/>
          </w:tcPr>
          <w:p w14:paraId="344FAEA2"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评估结果</w:t>
            </w:r>
          </w:p>
        </w:tc>
        <w:tc>
          <w:tcPr>
            <w:tcW w:w="2550" w:type="pct"/>
            <w:tcBorders>
              <w:top w:val="dotted" w:sz="2" w:space="0" w:color="auto"/>
              <w:left w:val="dotted" w:sz="2" w:space="0" w:color="auto"/>
              <w:bottom w:val="thinThickThinSmallGap" w:sz="12" w:space="0" w:color="auto"/>
              <w:right w:val="dotted" w:sz="2" w:space="0" w:color="auto"/>
            </w:tcBorders>
            <w:vAlign w:val="center"/>
          </w:tcPr>
          <w:p w14:paraId="6FEB5724"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3.30</w:t>
            </w:r>
          </w:p>
        </w:tc>
      </w:tr>
    </w:tbl>
    <w:p w14:paraId="30C43E90" w14:textId="77777777" w:rsidR="00000000" w:rsidRDefault="00000000">
      <w:pPr>
        <w:widowControl/>
        <w:adjustRightInd/>
        <w:spacing w:line="240" w:lineRule="auto"/>
        <w:jc w:val="both"/>
        <w:textAlignment w:val="auto"/>
        <w:rPr>
          <w:rFonts w:ascii="Arial" w:eastAsia="华文细黑" w:hAnsi="Arial" w:cs="宋体" w:hint="eastAsia"/>
          <w:sz w:val="18"/>
          <w:szCs w:val="18"/>
        </w:rPr>
      </w:pPr>
      <w:r>
        <w:rPr>
          <w:rFonts w:ascii="Arial" w:eastAsia="华文细黑" w:hAnsi="Arial" w:cs="宋体" w:hint="eastAsia"/>
          <w:sz w:val="18"/>
          <w:szCs w:val="18"/>
        </w:rPr>
        <w:t>单位：元</w:t>
      </w:r>
      <w:r>
        <w:rPr>
          <w:rFonts w:ascii="Arial" w:eastAsia="华文细黑" w:hAnsi="Arial" w:cs="宋体" w:hint="eastAsia"/>
          <w:sz w:val="18"/>
          <w:szCs w:val="18"/>
        </w:rPr>
        <w:t>/</w:t>
      </w:r>
      <w:r>
        <w:rPr>
          <w:rFonts w:ascii="Arial" w:eastAsia="华文细黑" w:hAnsi="Arial" w:cs="宋体" w:hint="eastAsia"/>
          <w:sz w:val="18"/>
          <w:szCs w:val="18"/>
        </w:rPr>
        <w:t>建筑</w:t>
      </w:r>
      <w:r>
        <w:rPr>
          <w:rFonts w:ascii="Arial" w:eastAsia="华文细黑" w:hAnsi="Arial" w:cs="宋体"/>
          <w:sz w:val="18"/>
          <w:szCs w:val="18"/>
        </w:rPr>
        <w:t>面积</w:t>
      </w:r>
      <w:r>
        <w:rPr>
          <w:rFonts w:ascii="Arial" w:eastAsia="华文细黑" w:hAnsi="Arial" w:cs="宋体" w:hint="eastAsia"/>
          <w:sz w:val="18"/>
          <w:szCs w:val="18"/>
        </w:rPr>
        <w:t>平方米·天</w:t>
      </w:r>
    </w:p>
    <w:p w14:paraId="73A0F293" w14:textId="77777777" w:rsidR="00000000" w:rsidRDefault="00000000">
      <w:pPr>
        <w:spacing w:line="240" w:lineRule="auto"/>
        <w:jc w:val="center"/>
        <w:outlineLvl w:val="0"/>
        <w:rPr>
          <w:rFonts w:ascii="Arial" w:eastAsia="方正黑体简体" w:hAnsi="Arial"/>
          <w:szCs w:val="24"/>
        </w:rPr>
      </w:pPr>
      <w:r>
        <w:rPr>
          <w:rFonts w:ascii="Arial" w:eastAsia="方正黑体简体" w:hAnsi="Arial" w:hint="eastAsia"/>
          <w:szCs w:val="24"/>
        </w:rPr>
        <w:t>结果表</w:t>
      </w:r>
      <w:r>
        <w:rPr>
          <w:rFonts w:ascii="Arial" w:eastAsia="方正黑体简体" w:hAnsi="Arial" w:hint="eastAsia"/>
          <w:szCs w:val="24"/>
        </w:rPr>
        <w:t>-2</w:t>
      </w:r>
    </w:p>
    <w:tbl>
      <w:tblPr>
        <w:tblW w:w="5000" w:type="pct"/>
        <w:jc w:val="center"/>
        <w:tblInd w:w="0" w:type="dxa"/>
        <w:tblCellMar>
          <w:top w:w="57" w:type="dxa"/>
          <w:left w:w="57" w:type="dxa"/>
          <w:bottom w:w="57" w:type="dxa"/>
          <w:right w:w="57" w:type="dxa"/>
        </w:tblCellMar>
        <w:tblLook w:val="0000" w:firstRow="0" w:lastRow="0" w:firstColumn="0" w:lastColumn="0" w:noHBand="0" w:noVBand="0"/>
      </w:tblPr>
      <w:tblGrid>
        <w:gridCol w:w="2716"/>
        <w:gridCol w:w="865"/>
        <w:gridCol w:w="1863"/>
        <w:gridCol w:w="2039"/>
        <w:gridCol w:w="1810"/>
      </w:tblGrid>
      <w:tr w:rsidR="00000000" w14:paraId="6CB82005" w14:textId="77777777">
        <w:trPr>
          <w:cantSplit/>
          <w:trHeight w:val="567"/>
          <w:jc w:val="center"/>
        </w:trPr>
        <w:tc>
          <w:tcPr>
            <w:tcW w:w="1461" w:type="pct"/>
            <w:tcBorders>
              <w:top w:val="thinThickThinSmallGap" w:sz="12" w:space="0" w:color="auto"/>
              <w:left w:val="dotted" w:sz="2" w:space="0" w:color="auto"/>
              <w:bottom w:val="dotted" w:sz="2" w:space="0" w:color="auto"/>
              <w:right w:val="dotted" w:sz="2" w:space="0" w:color="auto"/>
              <w:tl2br w:val="single" w:sz="4" w:space="0" w:color="auto"/>
            </w:tcBorders>
            <w:vAlign w:val="center"/>
          </w:tcPr>
          <w:p w14:paraId="0086F08F" w14:textId="77777777" w:rsidR="00000000" w:rsidRDefault="00000000">
            <w:pPr>
              <w:widowControl/>
              <w:adjustRightInd/>
              <w:spacing w:line="240" w:lineRule="exact"/>
              <w:jc w:val="right"/>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分层租金明细</w:t>
            </w:r>
          </w:p>
          <w:p w14:paraId="53C75ADD" w14:textId="77777777" w:rsidR="00000000" w:rsidRDefault="00000000">
            <w:pPr>
              <w:widowControl/>
              <w:adjustRightInd/>
              <w:spacing w:line="240" w:lineRule="exact"/>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估价对象</w:t>
            </w:r>
          </w:p>
        </w:tc>
        <w:tc>
          <w:tcPr>
            <w:tcW w:w="465" w:type="pct"/>
            <w:tcBorders>
              <w:top w:val="thinThickThinSmallGap" w:sz="12" w:space="0" w:color="auto"/>
              <w:left w:val="dotted" w:sz="2" w:space="0" w:color="auto"/>
              <w:bottom w:val="dotted" w:sz="2" w:space="0" w:color="auto"/>
              <w:right w:val="dotted" w:sz="2" w:space="0" w:color="auto"/>
            </w:tcBorders>
            <w:vAlign w:val="center"/>
          </w:tcPr>
          <w:p w14:paraId="21F5C3FA"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楼层</w:t>
            </w:r>
          </w:p>
        </w:tc>
        <w:tc>
          <w:tcPr>
            <w:tcW w:w="1000" w:type="pct"/>
            <w:tcBorders>
              <w:top w:val="thinThickThinSmallGap" w:sz="12" w:space="0" w:color="auto"/>
              <w:left w:val="dotted" w:sz="2" w:space="0" w:color="auto"/>
              <w:bottom w:val="dotted" w:sz="2" w:space="0" w:color="auto"/>
              <w:right w:val="dotted" w:sz="2" w:space="0" w:color="auto"/>
            </w:tcBorders>
            <w:vAlign w:val="center"/>
          </w:tcPr>
          <w:p w14:paraId="6C6C1E24"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楼号</w:t>
            </w:r>
            <w:r>
              <w:rPr>
                <w:rFonts w:ascii="Arial" w:eastAsia="华文细黑" w:hAnsi="Arial" w:cs="Arial" w:hint="eastAsia"/>
                <w:color w:val="000000"/>
                <w:sz w:val="18"/>
                <w:szCs w:val="18"/>
              </w:rPr>
              <w:t>/</w:t>
            </w:r>
            <w:r>
              <w:rPr>
                <w:rFonts w:ascii="Arial" w:eastAsia="华文细黑" w:hAnsi="Arial" w:cs="Arial" w:hint="eastAsia"/>
                <w:color w:val="000000"/>
                <w:sz w:val="18"/>
                <w:szCs w:val="18"/>
              </w:rPr>
              <w:t>地块</w:t>
            </w:r>
          </w:p>
        </w:tc>
        <w:tc>
          <w:tcPr>
            <w:tcW w:w="1097" w:type="pct"/>
            <w:tcBorders>
              <w:top w:val="thinThickThinSmallGap" w:sz="12" w:space="0" w:color="auto"/>
              <w:left w:val="dotted" w:sz="2" w:space="0" w:color="auto"/>
              <w:bottom w:val="dotted" w:sz="2" w:space="0" w:color="auto"/>
              <w:right w:val="dotted" w:sz="2" w:space="0" w:color="auto"/>
            </w:tcBorders>
            <w:vAlign w:val="center"/>
          </w:tcPr>
          <w:p w14:paraId="0ACD407F"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建筑面积</w:t>
            </w:r>
          </w:p>
        </w:tc>
        <w:tc>
          <w:tcPr>
            <w:tcW w:w="974" w:type="pct"/>
            <w:tcBorders>
              <w:top w:val="thinThickThinSmallGap" w:sz="12" w:space="0" w:color="auto"/>
              <w:left w:val="dotted" w:sz="2" w:space="0" w:color="auto"/>
              <w:bottom w:val="dotted" w:sz="2" w:space="0" w:color="auto"/>
              <w:right w:val="dotted" w:sz="2" w:space="0" w:color="auto"/>
            </w:tcBorders>
            <w:vAlign w:val="center"/>
          </w:tcPr>
          <w:p w14:paraId="7F2FED86"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平均租金单价</w:t>
            </w:r>
          </w:p>
        </w:tc>
      </w:tr>
      <w:tr w:rsidR="00000000" w14:paraId="063BF421" w14:textId="77777777">
        <w:trPr>
          <w:cantSplit/>
          <w:trHeight w:val="291"/>
          <w:jc w:val="center"/>
        </w:trPr>
        <w:tc>
          <w:tcPr>
            <w:tcW w:w="1461" w:type="pct"/>
            <w:vMerge w:val="restart"/>
            <w:tcBorders>
              <w:top w:val="dotted" w:sz="2" w:space="0" w:color="auto"/>
              <w:left w:val="dotted" w:sz="2" w:space="0" w:color="auto"/>
              <w:right w:val="dotted" w:sz="2" w:space="0" w:color="auto"/>
            </w:tcBorders>
            <w:vAlign w:val="center"/>
          </w:tcPr>
          <w:p w14:paraId="6EB140D9"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北京市房山区阜盛西街</w:t>
            </w:r>
            <w:r>
              <w:rPr>
                <w:rFonts w:ascii="Arial" w:eastAsia="华文细黑" w:hAnsi="Arial" w:cs="Arial" w:hint="eastAsia"/>
                <w:color w:val="000000"/>
                <w:sz w:val="18"/>
                <w:szCs w:val="18"/>
              </w:rPr>
              <w:t>11</w:t>
            </w:r>
            <w:r>
              <w:rPr>
                <w:rFonts w:ascii="Arial" w:eastAsia="华文细黑" w:hAnsi="Arial" w:cs="Arial" w:hint="eastAsia"/>
                <w:color w:val="000000"/>
                <w:sz w:val="18"/>
                <w:szCs w:val="18"/>
              </w:rPr>
              <w:t>号院</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号楼地上</w:t>
            </w:r>
            <w:r>
              <w:rPr>
                <w:rFonts w:ascii="Arial" w:eastAsia="华文细黑" w:hAnsi="Arial" w:cs="Arial" w:hint="eastAsia"/>
                <w:color w:val="000000"/>
                <w:sz w:val="18"/>
                <w:szCs w:val="18"/>
              </w:rPr>
              <w:t>1</w:t>
            </w:r>
            <w:r>
              <w:rPr>
                <w:rFonts w:ascii="Arial" w:eastAsia="华文细黑" w:hAnsi="Arial" w:cs="Arial" w:hint="eastAsia"/>
                <w:color w:val="000000"/>
                <w:sz w:val="18"/>
                <w:szCs w:val="18"/>
              </w:rPr>
              <w:t>层</w:t>
            </w:r>
            <w:r>
              <w:rPr>
                <w:rFonts w:ascii="Arial" w:eastAsia="华文细黑" w:hAnsi="Arial" w:cs="Arial" w:hint="eastAsia"/>
                <w:color w:val="000000"/>
                <w:sz w:val="18"/>
                <w:szCs w:val="18"/>
              </w:rPr>
              <w:t>101</w:t>
            </w:r>
            <w:r>
              <w:rPr>
                <w:rFonts w:ascii="Arial" w:eastAsia="华文细黑" w:hAnsi="Arial" w:cs="Arial" w:hint="eastAsia"/>
                <w:color w:val="000000"/>
                <w:sz w:val="18"/>
                <w:szCs w:val="18"/>
              </w:rPr>
              <w:t>号等</w:t>
            </w:r>
            <w:r>
              <w:rPr>
                <w:rFonts w:ascii="Arial" w:eastAsia="华文细黑" w:hAnsi="Arial" w:cs="Arial" w:hint="eastAsia"/>
                <w:color w:val="000000"/>
                <w:sz w:val="18"/>
                <w:szCs w:val="18"/>
              </w:rPr>
              <w:t>29</w:t>
            </w:r>
            <w:r>
              <w:rPr>
                <w:rFonts w:ascii="Arial" w:eastAsia="华文细黑" w:hAnsi="Arial" w:cs="Arial" w:hint="eastAsia"/>
                <w:color w:val="000000"/>
                <w:sz w:val="18"/>
                <w:szCs w:val="18"/>
              </w:rPr>
              <w:t>套商业用房</w:t>
            </w:r>
          </w:p>
        </w:tc>
        <w:tc>
          <w:tcPr>
            <w:tcW w:w="465" w:type="pct"/>
            <w:vMerge w:val="restart"/>
            <w:tcBorders>
              <w:top w:val="dotted" w:sz="2" w:space="0" w:color="auto"/>
              <w:left w:val="dotted" w:sz="2" w:space="0" w:color="auto"/>
              <w:right w:val="dotted" w:sz="2" w:space="0" w:color="auto"/>
            </w:tcBorders>
            <w:vAlign w:val="center"/>
          </w:tcPr>
          <w:p w14:paraId="2111A75D"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1</w:t>
            </w:r>
          </w:p>
        </w:tc>
        <w:tc>
          <w:tcPr>
            <w:tcW w:w="1887" w:type="dxa"/>
            <w:tcBorders>
              <w:top w:val="dotted" w:sz="2" w:space="0" w:color="auto"/>
              <w:left w:val="dotted" w:sz="2" w:space="0" w:color="auto"/>
              <w:bottom w:val="dotted" w:sz="2" w:space="0" w:color="auto"/>
              <w:right w:val="dotted" w:sz="2" w:space="0" w:color="auto"/>
            </w:tcBorders>
            <w:vAlign w:val="center"/>
          </w:tcPr>
          <w:p w14:paraId="3D4E6F3B"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2066" w:type="dxa"/>
            <w:tcBorders>
              <w:top w:val="dotted" w:sz="2" w:space="0" w:color="auto"/>
              <w:left w:val="dotted" w:sz="2" w:space="0" w:color="auto"/>
              <w:bottom w:val="dotted" w:sz="2" w:space="0" w:color="auto"/>
              <w:right w:val="dotted" w:sz="2" w:space="0" w:color="auto"/>
            </w:tcBorders>
            <w:vAlign w:val="center"/>
          </w:tcPr>
          <w:p w14:paraId="050DF91D"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2591.43 </w:t>
            </w:r>
          </w:p>
        </w:tc>
        <w:tc>
          <w:tcPr>
            <w:tcW w:w="1834" w:type="dxa"/>
            <w:tcBorders>
              <w:top w:val="dotted" w:sz="2" w:space="0" w:color="auto"/>
              <w:left w:val="dotted" w:sz="2" w:space="0" w:color="auto"/>
              <w:bottom w:val="dotted" w:sz="2" w:space="0" w:color="auto"/>
              <w:right w:val="dotted" w:sz="2" w:space="0" w:color="auto"/>
            </w:tcBorders>
            <w:vAlign w:val="center"/>
          </w:tcPr>
          <w:p w14:paraId="041A7660"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3.30</w:t>
            </w:r>
          </w:p>
        </w:tc>
      </w:tr>
      <w:tr w:rsidR="00000000" w14:paraId="37BAC4A6" w14:textId="77777777">
        <w:trPr>
          <w:cantSplit/>
          <w:trHeight w:val="297"/>
          <w:jc w:val="center"/>
        </w:trPr>
        <w:tc>
          <w:tcPr>
            <w:tcW w:w="1461" w:type="pct"/>
            <w:vMerge/>
            <w:tcBorders>
              <w:left w:val="dotted" w:sz="2" w:space="0" w:color="auto"/>
              <w:right w:val="dotted" w:sz="2" w:space="0" w:color="auto"/>
            </w:tcBorders>
            <w:vAlign w:val="center"/>
          </w:tcPr>
          <w:p w14:paraId="451152C1"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465" w:type="pct"/>
            <w:vMerge/>
            <w:tcBorders>
              <w:left w:val="dotted" w:sz="2" w:space="0" w:color="auto"/>
              <w:bottom w:val="dotted" w:sz="2" w:space="0" w:color="auto"/>
              <w:right w:val="dotted" w:sz="2" w:space="0" w:color="auto"/>
            </w:tcBorders>
            <w:vAlign w:val="center"/>
          </w:tcPr>
          <w:p w14:paraId="44A09BDE"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1887" w:type="dxa"/>
            <w:tcBorders>
              <w:top w:val="dotted" w:sz="2" w:space="0" w:color="auto"/>
              <w:left w:val="dotted" w:sz="2" w:space="0" w:color="auto"/>
              <w:bottom w:val="dotted" w:sz="2" w:space="0" w:color="auto"/>
              <w:right w:val="dotted" w:sz="2" w:space="0" w:color="auto"/>
            </w:tcBorders>
            <w:vAlign w:val="center"/>
          </w:tcPr>
          <w:p w14:paraId="608860BF"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2066" w:type="dxa"/>
            <w:tcBorders>
              <w:top w:val="dotted" w:sz="2" w:space="0" w:color="auto"/>
              <w:left w:val="dotted" w:sz="2" w:space="0" w:color="auto"/>
              <w:bottom w:val="dotted" w:sz="2" w:space="0" w:color="auto"/>
              <w:right w:val="dotted" w:sz="2" w:space="0" w:color="auto"/>
            </w:tcBorders>
            <w:vAlign w:val="center"/>
          </w:tcPr>
          <w:p w14:paraId="6AF47C11"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2385.48 </w:t>
            </w:r>
          </w:p>
        </w:tc>
        <w:tc>
          <w:tcPr>
            <w:tcW w:w="1834" w:type="dxa"/>
            <w:tcBorders>
              <w:top w:val="dotted" w:sz="2" w:space="0" w:color="auto"/>
              <w:left w:val="dotted" w:sz="2" w:space="0" w:color="auto"/>
              <w:bottom w:val="dotted" w:sz="2" w:space="0" w:color="auto"/>
              <w:right w:val="dotted" w:sz="2" w:space="0" w:color="auto"/>
            </w:tcBorders>
            <w:vAlign w:val="center"/>
          </w:tcPr>
          <w:p w14:paraId="40487B9B"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3.14</w:t>
            </w:r>
          </w:p>
        </w:tc>
      </w:tr>
      <w:tr w:rsidR="00000000" w14:paraId="23FBFA0C" w14:textId="77777777">
        <w:trPr>
          <w:cantSplit/>
          <w:trHeight w:val="317"/>
          <w:jc w:val="center"/>
        </w:trPr>
        <w:tc>
          <w:tcPr>
            <w:tcW w:w="1461" w:type="pct"/>
            <w:vMerge/>
            <w:tcBorders>
              <w:left w:val="dotted" w:sz="2" w:space="0" w:color="auto"/>
              <w:right w:val="dotted" w:sz="2" w:space="0" w:color="auto"/>
            </w:tcBorders>
            <w:vAlign w:val="center"/>
          </w:tcPr>
          <w:p w14:paraId="1316D7E5"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465" w:type="pct"/>
            <w:vMerge w:val="restart"/>
            <w:tcBorders>
              <w:top w:val="dotted" w:sz="2" w:space="0" w:color="auto"/>
              <w:left w:val="dotted" w:sz="2" w:space="0" w:color="auto"/>
              <w:right w:val="dotted" w:sz="2" w:space="0" w:color="auto"/>
            </w:tcBorders>
            <w:vAlign w:val="center"/>
          </w:tcPr>
          <w:p w14:paraId="6E651985"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2</w:t>
            </w:r>
          </w:p>
        </w:tc>
        <w:tc>
          <w:tcPr>
            <w:tcW w:w="1887" w:type="dxa"/>
            <w:tcBorders>
              <w:top w:val="dotted" w:sz="2" w:space="0" w:color="auto"/>
              <w:left w:val="dotted" w:sz="2" w:space="0" w:color="auto"/>
              <w:bottom w:val="dotted" w:sz="2" w:space="0" w:color="auto"/>
              <w:right w:val="dotted" w:sz="2" w:space="0" w:color="auto"/>
            </w:tcBorders>
            <w:vAlign w:val="center"/>
          </w:tcPr>
          <w:p w14:paraId="3790FF66"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2066" w:type="dxa"/>
            <w:tcBorders>
              <w:top w:val="dotted" w:sz="2" w:space="0" w:color="auto"/>
              <w:left w:val="dotted" w:sz="2" w:space="0" w:color="auto"/>
              <w:bottom w:val="dotted" w:sz="2" w:space="0" w:color="auto"/>
              <w:right w:val="dotted" w:sz="2" w:space="0" w:color="auto"/>
            </w:tcBorders>
            <w:vAlign w:val="center"/>
          </w:tcPr>
          <w:p w14:paraId="50A2BE1A"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2696.40 </w:t>
            </w:r>
          </w:p>
        </w:tc>
        <w:tc>
          <w:tcPr>
            <w:tcW w:w="1834" w:type="dxa"/>
            <w:tcBorders>
              <w:top w:val="dotted" w:sz="2" w:space="0" w:color="auto"/>
              <w:left w:val="dotted" w:sz="2" w:space="0" w:color="auto"/>
              <w:bottom w:val="dotted" w:sz="2" w:space="0" w:color="auto"/>
              <w:right w:val="dotted" w:sz="2" w:space="0" w:color="auto"/>
            </w:tcBorders>
            <w:vAlign w:val="center"/>
          </w:tcPr>
          <w:p w14:paraId="0E63C151"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2.15</w:t>
            </w:r>
          </w:p>
        </w:tc>
      </w:tr>
      <w:tr w:rsidR="00000000" w14:paraId="1D421679" w14:textId="77777777">
        <w:trPr>
          <w:cantSplit/>
          <w:trHeight w:val="295"/>
          <w:jc w:val="center"/>
        </w:trPr>
        <w:tc>
          <w:tcPr>
            <w:tcW w:w="1461" w:type="pct"/>
            <w:vMerge/>
            <w:tcBorders>
              <w:left w:val="dotted" w:sz="2" w:space="0" w:color="auto"/>
              <w:right w:val="dotted" w:sz="2" w:space="0" w:color="auto"/>
            </w:tcBorders>
            <w:vAlign w:val="center"/>
          </w:tcPr>
          <w:p w14:paraId="14B46BFD"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465" w:type="pct"/>
            <w:vMerge/>
            <w:tcBorders>
              <w:left w:val="dotted" w:sz="2" w:space="0" w:color="auto"/>
              <w:bottom w:val="dotted" w:sz="2" w:space="0" w:color="auto"/>
              <w:right w:val="dotted" w:sz="2" w:space="0" w:color="auto"/>
            </w:tcBorders>
            <w:vAlign w:val="center"/>
          </w:tcPr>
          <w:p w14:paraId="689F8347"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1887" w:type="dxa"/>
            <w:tcBorders>
              <w:top w:val="dotted" w:sz="2" w:space="0" w:color="auto"/>
              <w:left w:val="dotted" w:sz="2" w:space="0" w:color="auto"/>
              <w:bottom w:val="dotted" w:sz="2" w:space="0" w:color="auto"/>
              <w:right w:val="dotted" w:sz="2" w:space="0" w:color="auto"/>
            </w:tcBorders>
            <w:vAlign w:val="center"/>
          </w:tcPr>
          <w:p w14:paraId="4A7C27BD"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2066" w:type="dxa"/>
            <w:tcBorders>
              <w:top w:val="dotted" w:sz="2" w:space="0" w:color="auto"/>
              <w:left w:val="dotted" w:sz="2" w:space="0" w:color="auto"/>
              <w:bottom w:val="dotted" w:sz="2" w:space="0" w:color="auto"/>
              <w:right w:val="dotted" w:sz="2" w:space="0" w:color="auto"/>
            </w:tcBorders>
            <w:vAlign w:val="center"/>
          </w:tcPr>
          <w:p w14:paraId="180D5B8C"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2399.61 </w:t>
            </w:r>
          </w:p>
        </w:tc>
        <w:tc>
          <w:tcPr>
            <w:tcW w:w="1834" w:type="dxa"/>
            <w:tcBorders>
              <w:top w:val="dotted" w:sz="2" w:space="0" w:color="auto"/>
              <w:left w:val="dotted" w:sz="2" w:space="0" w:color="auto"/>
              <w:bottom w:val="dotted" w:sz="2" w:space="0" w:color="auto"/>
              <w:right w:val="dotted" w:sz="2" w:space="0" w:color="auto"/>
            </w:tcBorders>
            <w:vAlign w:val="center"/>
          </w:tcPr>
          <w:p w14:paraId="537DD430"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2.04</w:t>
            </w:r>
          </w:p>
        </w:tc>
      </w:tr>
      <w:tr w:rsidR="00000000" w14:paraId="5F5B4501" w14:textId="77777777">
        <w:trPr>
          <w:cantSplit/>
          <w:trHeight w:val="315"/>
          <w:jc w:val="center"/>
        </w:trPr>
        <w:tc>
          <w:tcPr>
            <w:tcW w:w="1461" w:type="pct"/>
            <w:vMerge/>
            <w:tcBorders>
              <w:left w:val="dotted" w:sz="2" w:space="0" w:color="auto"/>
              <w:bottom w:val="dotted" w:sz="2" w:space="0" w:color="auto"/>
              <w:right w:val="dotted" w:sz="2" w:space="0" w:color="auto"/>
            </w:tcBorders>
            <w:vAlign w:val="center"/>
          </w:tcPr>
          <w:p w14:paraId="0B64DC0E"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465" w:type="pct"/>
            <w:vMerge w:val="restart"/>
            <w:tcBorders>
              <w:top w:val="dotted" w:sz="2" w:space="0" w:color="auto"/>
              <w:left w:val="dotted" w:sz="2" w:space="0" w:color="auto"/>
              <w:right w:val="dotted" w:sz="2" w:space="0" w:color="auto"/>
            </w:tcBorders>
            <w:vAlign w:val="center"/>
          </w:tcPr>
          <w:p w14:paraId="375AAC20"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-1</w:t>
            </w:r>
          </w:p>
        </w:tc>
        <w:tc>
          <w:tcPr>
            <w:tcW w:w="1887" w:type="dxa"/>
            <w:tcBorders>
              <w:top w:val="dotted" w:sz="2" w:space="0" w:color="auto"/>
              <w:left w:val="dotted" w:sz="2" w:space="0" w:color="auto"/>
              <w:bottom w:val="dotted" w:sz="2" w:space="0" w:color="auto"/>
              <w:right w:val="dotted" w:sz="2" w:space="0" w:color="auto"/>
            </w:tcBorders>
            <w:vAlign w:val="center"/>
          </w:tcPr>
          <w:p w14:paraId="2C8A1374"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p>
        </w:tc>
        <w:tc>
          <w:tcPr>
            <w:tcW w:w="2066" w:type="dxa"/>
            <w:tcBorders>
              <w:top w:val="dotted" w:sz="2" w:space="0" w:color="auto"/>
              <w:left w:val="dotted" w:sz="2" w:space="0" w:color="auto"/>
              <w:bottom w:val="dotted" w:sz="2" w:space="0" w:color="auto"/>
              <w:right w:val="dotted" w:sz="2" w:space="0" w:color="auto"/>
            </w:tcBorders>
            <w:vAlign w:val="center"/>
          </w:tcPr>
          <w:p w14:paraId="48191C16"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8822.48 </w:t>
            </w:r>
          </w:p>
        </w:tc>
        <w:tc>
          <w:tcPr>
            <w:tcW w:w="1834" w:type="dxa"/>
            <w:tcBorders>
              <w:top w:val="dotted" w:sz="2" w:space="0" w:color="auto"/>
              <w:left w:val="dotted" w:sz="2" w:space="0" w:color="auto"/>
              <w:bottom w:val="dotted" w:sz="2" w:space="0" w:color="auto"/>
              <w:right w:val="dotted" w:sz="2" w:space="0" w:color="auto"/>
            </w:tcBorders>
            <w:vAlign w:val="center"/>
          </w:tcPr>
          <w:p w14:paraId="065754C2"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1.04</w:t>
            </w:r>
          </w:p>
        </w:tc>
      </w:tr>
      <w:tr w:rsidR="00000000" w14:paraId="483DF6E1" w14:textId="77777777">
        <w:trPr>
          <w:cantSplit/>
          <w:trHeight w:val="315"/>
          <w:jc w:val="center"/>
        </w:trPr>
        <w:tc>
          <w:tcPr>
            <w:tcW w:w="1461" w:type="pct"/>
            <w:vMerge/>
            <w:tcBorders>
              <w:left w:val="dotted" w:sz="2" w:space="0" w:color="auto"/>
              <w:bottom w:val="dotted" w:sz="2" w:space="0" w:color="auto"/>
              <w:right w:val="dotted" w:sz="2" w:space="0" w:color="auto"/>
            </w:tcBorders>
            <w:vAlign w:val="center"/>
          </w:tcPr>
          <w:p w14:paraId="4B732FD9"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465" w:type="pct"/>
            <w:vMerge/>
            <w:tcBorders>
              <w:left w:val="dotted" w:sz="2" w:space="0" w:color="auto"/>
              <w:bottom w:val="dotted" w:sz="2" w:space="0" w:color="auto"/>
              <w:right w:val="dotted" w:sz="2" w:space="0" w:color="auto"/>
            </w:tcBorders>
            <w:vAlign w:val="center"/>
          </w:tcPr>
          <w:p w14:paraId="1CFF74AC"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p>
        </w:tc>
        <w:tc>
          <w:tcPr>
            <w:tcW w:w="1887" w:type="dxa"/>
            <w:tcBorders>
              <w:top w:val="dotted" w:sz="2" w:space="0" w:color="auto"/>
              <w:left w:val="dotted" w:sz="2" w:space="0" w:color="auto"/>
              <w:bottom w:val="dotted" w:sz="2" w:space="0" w:color="auto"/>
              <w:right w:val="dotted" w:sz="2" w:space="0" w:color="auto"/>
            </w:tcBorders>
            <w:vAlign w:val="center"/>
          </w:tcPr>
          <w:p w14:paraId="0F2B9FFD"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p>
        </w:tc>
        <w:tc>
          <w:tcPr>
            <w:tcW w:w="2066" w:type="dxa"/>
            <w:tcBorders>
              <w:top w:val="dotted" w:sz="2" w:space="0" w:color="auto"/>
              <w:left w:val="dotted" w:sz="2" w:space="0" w:color="auto"/>
              <w:bottom w:val="dotted" w:sz="2" w:space="0" w:color="auto"/>
              <w:right w:val="dotted" w:sz="2" w:space="0" w:color="auto"/>
            </w:tcBorders>
            <w:vAlign w:val="center"/>
          </w:tcPr>
          <w:p w14:paraId="17A5548D"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5976.27 </w:t>
            </w:r>
          </w:p>
        </w:tc>
        <w:tc>
          <w:tcPr>
            <w:tcW w:w="1834" w:type="dxa"/>
            <w:tcBorders>
              <w:top w:val="dotted" w:sz="2" w:space="0" w:color="auto"/>
              <w:left w:val="dotted" w:sz="2" w:space="0" w:color="auto"/>
              <w:bottom w:val="dotted" w:sz="2" w:space="0" w:color="auto"/>
              <w:right w:val="dotted" w:sz="2" w:space="0" w:color="auto"/>
            </w:tcBorders>
            <w:vAlign w:val="center"/>
          </w:tcPr>
          <w:p w14:paraId="3CA95C12" w14:textId="77777777" w:rsidR="00000000" w:rsidRDefault="00000000">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1.17</w:t>
            </w:r>
          </w:p>
        </w:tc>
      </w:tr>
      <w:tr w:rsidR="00000000" w14:paraId="59EA4982" w14:textId="77777777">
        <w:trPr>
          <w:cantSplit/>
          <w:trHeight w:val="307"/>
          <w:jc w:val="center"/>
        </w:trPr>
        <w:tc>
          <w:tcPr>
            <w:tcW w:w="2928" w:type="pct"/>
            <w:gridSpan w:val="3"/>
            <w:tcBorders>
              <w:top w:val="dotted" w:sz="2" w:space="0" w:color="auto"/>
              <w:left w:val="dotted" w:sz="2" w:space="0" w:color="auto"/>
              <w:bottom w:val="thinThickThinSmallGap" w:sz="12" w:space="0" w:color="auto"/>
              <w:right w:val="dotted" w:sz="2" w:space="0" w:color="auto"/>
            </w:tcBorders>
            <w:vAlign w:val="center"/>
          </w:tcPr>
          <w:p w14:paraId="0C34F580"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合计</w:t>
            </w:r>
          </w:p>
        </w:tc>
        <w:tc>
          <w:tcPr>
            <w:tcW w:w="2066" w:type="dxa"/>
            <w:tcBorders>
              <w:top w:val="dotted" w:sz="2" w:space="0" w:color="auto"/>
              <w:left w:val="dotted" w:sz="2" w:space="0" w:color="auto"/>
              <w:bottom w:val="thinThickThinSmallGap" w:sz="12" w:space="0" w:color="auto"/>
              <w:right w:val="dotted" w:sz="2" w:space="0" w:color="auto"/>
            </w:tcBorders>
            <w:vAlign w:val="center"/>
          </w:tcPr>
          <w:p w14:paraId="66BAE838"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 xml:space="preserve">24871.67 </w:t>
            </w:r>
          </w:p>
        </w:tc>
        <w:tc>
          <w:tcPr>
            <w:tcW w:w="974" w:type="pct"/>
            <w:tcBorders>
              <w:top w:val="dotted" w:sz="2" w:space="0" w:color="auto"/>
              <w:left w:val="dotted" w:sz="2" w:space="0" w:color="auto"/>
              <w:bottom w:val="thinThickThinSmallGap" w:sz="12" w:space="0" w:color="auto"/>
              <w:right w:val="dotted" w:sz="2" w:space="0" w:color="auto"/>
            </w:tcBorders>
            <w:vAlign w:val="center"/>
          </w:tcPr>
          <w:p w14:paraId="2B6B9971" w14:textId="77777777" w:rsidR="00000000" w:rsidRDefault="00000000">
            <w:pPr>
              <w:widowControl/>
              <w:adjustRightInd/>
              <w:spacing w:line="240" w:lineRule="exact"/>
              <w:jc w:val="center"/>
              <w:textAlignment w:val="auto"/>
              <w:rPr>
                <w:rFonts w:ascii="Arial" w:eastAsia="华文细黑" w:hAnsi="Arial" w:cs="Arial" w:hint="eastAsia"/>
                <w:color w:val="000000"/>
                <w:sz w:val="18"/>
                <w:szCs w:val="18"/>
              </w:rPr>
            </w:pPr>
            <w:r>
              <w:rPr>
                <w:rFonts w:ascii="Arial" w:eastAsia="华文细黑" w:hAnsi="Arial" w:cs="Arial" w:hint="eastAsia"/>
                <w:color w:val="000000"/>
                <w:sz w:val="18"/>
                <w:szCs w:val="18"/>
              </w:rPr>
              <w:t>-</w:t>
            </w:r>
          </w:p>
        </w:tc>
      </w:tr>
    </w:tbl>
    <w:p w14:paraId="0C12E8AE" w14:textId="77777777" w:rsidR="00000000" w:rsidRDefault="00000000">
      <w:pPr>
        <w:widowControl/>
        <w:adjustRightInd/>
        <w:spacing w:line="240" w:lineRule="auto"/>
        <w:ind w:firstLineChars="100" w:firstLine="180"/>
        <w:jc w:val="both"/>
        <w:textAlignment w:val="auto"/>
        <w:rPr>
          <w:rFonts w:ascii="Arial" w:eastAsia="华文细黑" w:hAnsi="Arial" w:hint="eastAsia"/>
          <w:sz w:val="18"/>
        </w:rPr>
      </w:pPr>
      <w:r>
        <w:rPr>
          <w:rFonts w:ascii="Arial" w:eastAsia="华文细黑" w:hAnsi="Arial" w:hint="eastAsia"/>
          <w:sz w:val="18"/>
        </w:rPr>
        <w:t>单位：</w:t>
      </w:r>
      <w:r>
        <w:rPr>
          <w:rFonts w:ascii="Arial" w:eastAsia="华文细黑" w:hAnsi="Arial" w:cs="宋体" w:hint="eastAsia"/>
          <w:sz w:val="18"/>
          <w:szCs w:val="18"/>
        </w:rPr>
        <w:t>平方米、元</w:t>
      </w:r>
      <w:r>
        <w:rPr>
          <w:rFonts w:ascii="Arial" w:eastAsia="华文细黑" w:hAnsi="Arial" w:cs="宋体" w:hint="eastAsia"/>
          <w:sz w:val="18"/>
          <w:szCs w:val="18"/>
        </w:rPr>
        <w:t>/</w:t>
      </w:r>
      <w:r>
        <w:rPr>
          <w:rFonts w:ascii="Arial" w:eastAsia="华文细黑" w:hAnsi="Arial" w:cs="宋体" w:hint="eastAsia"/>
          <w:sz w:val="18"/>
          <w:szCs w:val="18"/>
        </w:rPr>
        <w:t>建筑</w:t>
      </w:r>
      <w:r>
        <w:rPr>
          <w:rFonts w:ascii="Arial" w:eastAsia="华文细黑" w:hAnsi="Arial" w:cs="宋体"/>
          <w:sz w:val="18"/>
          <w:szCs w:val="18"/>
        </w:rPr>
        <w:t>面积</w:t>
      </w:r>
      <w:r>
        <w:rPr>
          <w:rFonts w:ascii="Arial" w:eastAsia="华文细黑" w:hAnsi="Arial" w:cs="宋体" w:hint="eastAsia"/>
          <w:sz w:val="18"/>
          <w:szCs w:val="18"/>
        </w:rPr>
        <w:t>平方米·天</w:t>
      </w:r>
      <w:r>
        <w:rPr>
          <w:rFonts w:ascii="Arial" w:eastAsia="华文细黑" w:hAnsi="Arial" w:hint="eastAsia"/>
          <w:sz w:val="18"/>
        </w:rPr>
        <w:t>（币种：人民币）</w:t>
      </w:r>
    </w:p>
    <w:p w14:paraId="4C7516A1" w14:textId="77777777" w:rsidR="00000000" w:rsidRDefault="00000000">
      <w:pPr>
        <w:widowControl/>
        <w:adjustRightInd/>
        <w:spacing w:line="240" w:lineRule="auto"/>
        <w:ind w:firstLineChars="100" w:firstLine="180"/>
        <w:jc w:val="both"/>
        <w:textAlignment w:val="auto"/>
        <w:rPr>
          <w:rFonts w:ascii="Arial" w:eastAsia="华文细黑" w:hAnsi="Arial" w:cs="宋体" w:hint="eastAsia"/>
          <w:sz w:val="18"/>
          <w:szCs w:val="18"/>
        </w:rPr>
      </w:pPr>
      <w:r>
        <w:rPr>
          <w:rFonts w:ascii="Arial" w:eastAsia="华文细黑" w:hAnsi="Arial" w:cs="宋体" w:hint="eastAsia"/>
          <w:sz w:val="18"/>
          <w:szCs w:val="18"/>
        </w:rPr>
        <w:t>备注：因市场情况复杂，实际签订价格将受交易双方对项目心理预期的影响，会在估价结果的基础上出现一定范围内的上下浮动。</w:t>
      </w:r>
    </w:p>
    <w:p w14:paraId="42F1F9E7" w14:textId="77777777" w:rsidR="00000000" w:rsidRDefault="00000000">
      <w:pPr>
        <w:widowControl/>
        <w:adjustRightInd/>
        <w:spacing w:line="240" w:lineRule="auto"/>
        <w:jc w:val="both"/>
        <w:textAlignment w:val="auto"/>
        <w:rPr>
          <w:rFonts w:ascii="Arial" w:eastAsia="华文细黑" w:hAnsi="Arial" w:cs="宋体" w:hint="eastAsia"/>
          <w:sz w:val="18"/>
          <w:szCs w:val="18"/>
        </w:rPr>
      </w:pPr>
    </w:p>
    <w:p w14:paraId="580CDD78" w14:textId="77777777" w:rsidR="00000000" w:rsidRDefault="00000000">
      <w:pPr>
        <w:spacing w:line="480" w:lineRule="auto"/>
        <w:jc w:val="both"/>
        <w:rPr>
          <w:rFonts w:ascii="Arial" w:hAnsi="Arial" w:cs="Arial"/>
          <w:b/>
          <w:bCs/>
          <w:sz w:val="21"/>
          <w:szCs w:val="21"/>
        </w:rPr>
      </w:pPr>
      <w:r>
        <w:rPr>
          <w:rFonts w:ascii="Arial" w:hAnsi="Arial" w:cs="Arial"/>
          <w:b/>
          <w:bCs/>
          <w:sz w:val="21"/>
          <w:szCs w:val="21"/>
        </w:rPr>
        <w:t>特别提示：</w:t>
      </w:r>
    </w:p>
    <w:p w14:paraId="00993A89" w14:textId="77777777" w:rsidR="00000000" w:rsidRDefault="00000000">
      <w:pPr>
        <w:spacing w:line="480" w:lineRule="auto"/>
        <w:jc w:val="both"/>
        <w:rPr>
          <w:rFonts w:ascii="Arial" w:hAnsi="Arial" w:cs="Arial"/>
          <w:color w:val="E36C0A"/>
          <w:sz w:val="21"/>
          <w:szCs w:val="21"/>
        </w:rPr>
      </w:pPr>
      <w:r>
        <w:rPr>
          <w:rFonts w:ascii="Arial" w:hAnsi="Arial" w:cs="Arial"/>
          <w:bCs/>
          <w:sz w:val="21"/>
          <w:szCs w:val="21"/>
        </w:rPr>
        <w:t>1.</w:t>
      </w:r>
      <w:r>
        <w:rPr>
          <w:rFonts w:ascii="Arial" w:hAnsi="Arial" w:hint="eastAsia"/>
          <w:bCs/>
          <w:sz w:val="21"/>
          <w:szCs w:val="21"/>
        </w:rPr>
        <w:t>本次评估设定估价对象权属清晰、合法、无争议，未被查封或者以其他形式限制其房地产权利，不涉及第三方权利义务。</w:t>
      </w:r>
    </w:p>
    <w:p w14:paraId="11674981" w14:textId="77777777" w:rsidR="00000000" w:rsidRDefault="00000000">
      <w:pPr>
        <w:spacing w:line="480" w:lineRule="auto"/>
        <w:jc w:val="both"/>
        <w:rPr>
          <w:rFonts w:ascii="Arial" w:hAnsi="Arial" w:cs="Arial"/>
          <w:bCs/>
          <w:sz w:val="21"/>
          <w:szCs w:val="21"/>
        </w:rPr>
      </w:pPr>
      <w:r>
        <w:rPr>
          <w:rFonts w:ascii="Arial" w:hAnsi="Arial" w:cs="Arial" w:hint="eastAsia"/>
          <w:bCs/>
          <w:sz w:val="21"/>
          <w:szCs w:val="21"/>
        </w:rPr>
        <w:t>2</w:t>
      </w:r>
      <w:r>
        <w:rPr>
          <w:rFonts w:ascii="Arial" w:hAnsi="Arial" w:cs="Arial"/>
          <w:bCs/>
          <w:sz w:val="21"/>
          <w:szCs w:val="21"/>
        </w:rPr>
        <w:t>.</w:t>
      </w:r>
      <w:r>
        <w:rPr>
          <w:rFonts w:ascii="Arial" w:hAnsi="Arial" w:cs="Arial"/>
          <w:sz w:val="21"/>
          <w:szCs w:val="21"/>
        </w:rPr>
        <w:t>本估价结果同时受本估价报告正文中</w:t>
      </w:r>
      <w:r>
        <w:rPr>
          <w:rFonts w:ascii="Arial" w:hAnsi="Arial" w:cs="Arial" w:hint="eastAsia"/>
          <w:bCs/>
          <w:sz w:val="21"/>
          <w:szCs w:val="21"/>
        </w:rPr>
        <w:t>“</w:t>
      </w:r>
      <w:r>
        <w:rPr>
          <w:rFonts w:ascii="Arial" w:hAnsi="Arial" w:cs="Arial"/>
          <w:bCs/>
          <w:sz w:val="21"/>
          <w:szCs w:val="21"/>
        </w:rPr>
        <w:t>估价的假设和限制条件</w:t>
      </w:r>
      <w:r>
        <w:rPr>
          <w:rFonts w:ascii="Arial" w:hAnsi="Arial" w:cs="Arial" w:hint="eastAsia"/>
          <w:bCs/>
          <w:sz w:val="21"/>
          <w:szCs w:val="21"/>
        </w:rPr>
        <w:t>”</w:t>
      </w:r>
      <w:r>
        <w:rPr>
          <w:rFonts w:ascii="Arial" w:hAnsi="Arial" w:cs="Arial"/>
          <w:bCs/>
          <w:sz w:val="21"/>
          <w:szCs w:val="21"/>
        </w:rPr>
        <w:t>限制。</w:t>
      </w:r>
    </w:p>
    <w:p w14:paraId="427B8207" w14:textId="77777777" w:rsidR="00000000" w:rsidRDefault="00000000">
      <w:pPr>
        <w:spacing w:line="480" w:lineRule="auto"/>
        <w:jc w:val="both"/>
        <w:rPr>
          <w:rFonts w:ascii="Arial" w:hAnsi="Arial" w:cs="Arial"/>
          <w:b/>
          <w:bCs/>
          <w:sz w:val="21"/>
          <w:szCs w:val="21"/>
        </w:rPr>
      </w:pPr>
    </w:p>
    <w:p w14:paraId="1738134F" w14:textId="77777777" w:rsidR="00000000" w:rsidRDefault="00000000">
      <w:pPr>
        <w:spacing w:line="480" w:lineRule="auto"/>
        <w:ind w:firstLineChars="200" w:firstLine="420"/>
        <w:rPr>
          <w:rFonts w:ascii="Arial" w:hAnsi="Arial" w:cs="Arial"/>
          <w:sz w:val="21"/>
          <w:szCs w:val="21"/>
        </w:rPr>
        <w:sectPr w:rsidR="00000000">
          <w:footerReference w:type="default" r:id="rId49"/>
          <w:pgSz w:w="11907" w:h="16840"/>
          <w:pgMar w:top="1843" w:right="1304" w:bottom="1134" w:left="1304" w:header="1134" w:footer="907" w:gutter="0"/>
          <w:cols w:space="720"/>
          <w:docGrid w:linePitch="326"/>
        </w:sectPr>
      </w:pPr>
    </w:p>
    <w:p w14:paraId="5D4987E0" w14:textId="77777777" w:rsidR="00000000" w:rsidRDefault="00000000">
      <w:pPr>
        <w:spacing w:line="240" w:lineRule="auto"/>
        <w:jc w:val="center"/>
        <w:rPr>
          <w:rFonts w:ascii="Arial" w:eastAsia="方正黑体简体" w:hAnsi="Arial" w:cs="Arial"/>
          <w:szCs w:val="21"/>
        </w:rPr>
      </w:pPr>
    </w:p>
    <w:p w14:paraId="68EE95D5" w14:textId="77777777" w:rsidR="00000000" w:rsidRDefault="00000000">
      <w:pPr>
        <w:pStyle w:val="1"/>
        <w:spacing w:line="480" w:lineRule="auto"/>
        <w:jc w:val="center"/>
        <w:rPr>
          <w:rFonts w:eastAsia="方正黑体简体" w:hint="eastAsia"/>
          <w:b w:val="0"/>
          <w:kern w:val="2"/>
          <w:sz w:val="32"/>
          <w:szCs w:val="32"/>
        </w:rPr>
      </w:pPr>
      <w:bookmarkStart w:id="69" w:name="_Toc477252467"/>
      <w:r>
        <w:rPr>
          <w:rFonts w:eastAsia="方正黑体简体" w:hint="eastAsia"/>
          <w:b w:val="0"/>
          <w:kern w:val="2"/>
          <w:sz w:val="32"/>
          <w:szCs w:val="32"/>
        </w:rPr>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69"/>
    </w:p>
    <w:p w14:paraId="23F6F714" w14:textId="77777777" w:rsidR="00000000" w:rsidRDefault="00000000">
      <w:pPr>
        <w:numPr>
          <w:ilvl w:val="0"/>
          <w:numId w:val="11"/>
        </w:numPr>
        <w:spacing w:line="480" w:lineRule="auto"/>
        <w:jc w:val="both"/>
        <w:rPr>
          <w:rFonts w:ascii="Arial" w:hAnsi="Arial" w:cs="Arial" w:hint="eastAsia"/>
          <w:sz w:val="21"/>
          <w:szCs w:val="21"/>
        </w:rPr>
      </w:pPr>
      <w:r>
        <w:rPr>
          <w:rFonts w:ascii="Arial" w:hAnsi="Arial" w:cs="Arial"/>
          <w:sz w:val="21"/>
          <w:szCs w:val="21"/>
        </w:rPr>
        <w:t>《估价委托书》</w:t>
      </w:r>
    </w:p>
    <w:p w14:paraId="547186EB" w14:textId="77777777" w:rsidR="00000000" w:rsidRDefault="00000000">
      <w:pPr>
        <w:numPr>
          <w:ilvl w:val="0"/>
          <w:numId w:val="11"/>
        </w:numPr>
        <w:spacing w:line="480" w:lineRule="auto"/>
        <w:jc w:val="both"/>
        <w:rPr>
          <w:rFonts w:ascii="Arial" w:hAnsi="Arial" w:cs="Arial"/>
          <w:sz w:val="21"/>
          <w:szCs w:val="21"/>
        </w:rPr>
      </w:pPr>
      <w:r>
        <w:rPr>
          <w:rFonts w:ascii="Arial" w:hAnsi="Arial" w:cs="Arial"/>
          <w:sz w:val="21"/>
          <w:szCs w:val="21"/>
        </w:rPr>
        <w:t>估价对象所在位置示意图</w:t>
      </w:r>
    </w:p>
    <w:p w14:paraId="2251B83E" w14:textId="77777777" w:rsidR="00000000" w:rsidRDefault="00000000">
      <w:pPr>
        <w:numPr>
          <w:ilvl w:val="0"/>
          <w:numId w:val="11"/>
        </w:numPr>
        <w:spacing w:line="480" w:lineRule="auto"/>
        <w:jc w:val="both"/>
        <w:rPr>
          <w:rFonts w:ascii="Arial" w:hAnsi="Arial" w:cs="Arial"/>
          <w:sz w:val="21"/>
          <w:szCs w:val="21"/>
        </w:rPr>
      </w:pPr>
      <w:r>
        <w:rPr>
          <w:rFonts w:ascii="Arial" w:hAnsi="Arial" w:cs="Arial"/>
          <w:sz w:val="21"/>
          <w:szCs w:val="21"/>
        </w:rPr>
        <w:t>估价对象实地查勘情况和相关照片</w:t>
      </w:r>
    </w:p>
    <w:p w14:paraId="3415F851" w14:textId="77777777" w:rsidR="00000000" w:rsidRDefault="00000000">
      <w:pPr>
        <w:numPr>
          <w:ilvl w:val="0"/>
          <w:numId w:val="11"/>
        </w:numPr>
        <w:spacing w:line="480" w:lineRule="auto"/>
        <w:jc w:val="both"/>
        <w:rPr>
          <w:rFonts w:ascii="Arial" w:hAnsi="Arial" w:cs="Arial"/>
          <w:sz w:val="21"/>
          <w:szCs w:val="21"/>
        </w:rPr>
      </w:pP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w:t>
      </w:r>
      <w:r>
        <w:rPr>
          <w:rFonts w:ascii="Arial" w:hAnsi="Arial" w:hint="eastAsia"/>
          <w:bCs/>
          <w:sz w:val="21"/>
        </w:rPr>
        <w:t>]</w:t>
      </w:r>
    </w:p>
    <w:p w14:paraId="49E41471" w14:textId="77777777" w:rsidR="00000000" w:rsidRDefault="00000000">
      <w:pPr>
        <w:numPr>
          <w:ilvl w:val="0"/>
          <w:numId w:val="11"/>
        </w:numPr>
        <w:spacing w:line="480" w:lineRule="auto"/>
        <w:jc w:val="both"/>
        <w:rPr>
          <w:rFonts w:ascii="Arial" w:hAnsi="Arial" w:cs="Arial"/>
          <w:sz w:val="21"/>
          <w:szCs w:val="21"/>
        </w:rPr>
      </w:pP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p>
    <w:p w14:paraId="4DF104CC" w14:textId="77777777" w:rsidR="00000000" w:rsidRDefault="00000000">
      <w:pPr>
        <w:numPr>
          <w:ilvl w:val="0"/>
          <w:numId w:val="11"/>
        </w:numPr>
        <w:spacing w:line="480" w:lineRule="auto"/>
        <w:jc w:val="both"/>
        <w:rPr>
          <w:rFonts w:ascii="Arial" w:hAnsi="Arial" w:cs="Arial" w:hint="eastAsia"/>
          <w:sz w:val="21"/>
          <w:szCs w:val="21"/>
        </w:rPr>
      </w:pPr>
      <w:r>
        <w:rPr>
          <w:rFonts w:ascii="Arial" w:hAnsi="Arial" w:hint="eastAsia"/>
          <w:bCs/>
          <w:sz w:val="21"/>
        </w:rPr>
        <w:t>《房屋面积测算技术报告书（商品房类使用）》</w:t>
      </w:r>
    </w:p>
    <w:p w14:paraId="3251E678" w14:textId="77777777" w:rsidR="00000000" w:rsidRDefault="00000000">
      <w:pPr>
        <w:numPr>
          <w:ilvl w:val="0"/>
          <w:numId w:val="11"/>
        </w:numPr>
        <w:spacing w:line="480" w:lineRule="auto"/>
        <w:jc w:val="both"/>
        <w:rPr>
          <w:rFonts w:ascii="Arial" w:hAnsi="Arial" w:cs="Arial" w:hint="eastAsia"/>
          <w:sz w:val="21"/>
          <w:szCs w:val="21"/>
        </w:rPr>
      </w:pPr>
      <w:r>
        <w:rPr>
          <w:rFonts w:ascii="Arial" w:hAnsi="Arial" w:cs="Arial"/>
          <w:sz w:val="21"/>
          <w:szCs w:val="21"/>
        </w:rPr>
        <w:t>可比实例位置图及外观照片</w:t>
      </w:r>
    </w:p>
    <w:p w14:paraId="0B0353B4" w14:textId="77777777" w:rsidR="00000000" w:rsidRDefault="00000000">
      <w:pPr>
        <w:numPr>
          <w:ilvl w:val="0"/>
          <w:numId w:val="11"/>
        </w:numPr>
        <w:spacing w:line="480" w:lineRule="auto"/>
        <w:jc w:val="both"/>
        <w:rPr>
          <w:rFonts w:ascii="Arial" w:hAnsi="Arial" w:cs="Arial"/>
          <w:sz w:val="21"/>
          <w:szCs w:val="21"/>
        </w:rPr>
      </w:pPr>
      <w:r>
        <w:rPr>
          <w:rFonts w:ascii="Arial" w:hAnsi="Arial" w:cs="Arial" w:hint="eastAsia"/>
          <w:sz w:val="21"/>
          <w:szCs w:val="21"/>
        </w:rPr>
        <w:t>专业帮助情况及相关专业意见</w:t>
      </w:r>
    </w:p>
    <w:p w14:paraId="19AEC628" w14:textId="77777777" w:rsidR="00000000" w:rsidRDefault="00000000">
      <w:pPr>
        <w:numPr>
          <w:ilvl w:val="0"/>
          <w:numId w:val="11"/>
        </w:numPr>
        <w:spacing w:line="480" w:lineRule="auto"/>
        <w:jc w:val="both"/>
        <w:rPr>
          <w:rFonts w:ascii="Arial" w:hAnsi="Arial" w:cs="Arial"/>
          <w:sz w:val="21"/>
          <w:szCs w:val="21"/>
        </w:rPr>
      </w:pPr>
      <w:r>
        <w:rPr>
          <w:rFonts w:ascii="Arial" w:hAnsi="Arial" w:cs="Arial"/>
          <w:sz w:val="21"/>
          <w:szCs w:val="21"/>
        </w:rPr>
        <w:t>估价委托人《营业执照（副本）》复印件</w:t>
      </w:r>
    </w:p>
    <w:p w14:paraId="60F4B4FC" w14:textId="77777777" w:rsidR="00000000" w:rsidRDefault="00000000">
      <w:pPr>
        <w:numPr>
          <w:ilvl w:val="0"/>
          <w:numId w:val="11"/>
        </w:numPr>
        <w:spacing w:line="480" w:lineRule="auto"/>
        <w:jc w:val="both"/>
        <w:rPr>
          <w:rFonts w:ascii="Arial" w:hAnsi="Arial" w:cs="Arial"/>
          <w:sz w:val="21"/>
          <w:szCs w:val="21"/>
        </w:rPr>
      </w:pPr>
      <w:r>
        <w:rPr>
          <w:rFonts w:ascii="Arial" w:hAnsi="Arial" w:cs="Arial"/>
          <w:sz w:val="21"/>
          <w:szCs w:val="21"/>
        </w:rPr>
        <w:t>房地产估价机构《营业执照（副本）》复印件</w:t>
      </w:r>
    </w:p>
    <w:p w14:paraId="26D01A30" w14:textId="77777777" w:rsidR="00000000" w:rsidRDefault="00000000">
      <w:pPr>
        <w:numPr>
          <w:ilvl w:val="0"/>
          <w:numId w:val="11"/>
        </w:numPr>
        <w:spacing w:line="480" w:lineRule="auto"/>
        <w:jc w:val="both"/>
        <w:rPr>
          <w:rFonts w:ascii="Arial" w:hAnsi="Arial" w:cs="Arial"/>
          <w:sz w:val="21"/>
          <w:szCs w:val="21"/>
        </w:rPr>
      </w:pPr>
      <w:r>
        <w:rPr>
          <w:rFonts w:ascii="Arial" w:hAnsi="Arial" w:cs="Arial" w:hint="eastAsia"/>
          <w:sz w:val="21"/>
          <w:szCs w:val="21"/>
        </w:rPr>
        <w:t>房地产估价机构估价资质证书</w:t>
      </w:r>
      <w:r>
        <w:rPr>
          <w:rFonts w:ascii="Arial" w:hAnsi="Arial" w:cs="Arial"/>
          <w:sz w:val="21"/>
          <w:szCs w:val="21"/>
        </w:rPr>
        <w:t>复印件</w:t>
      </w:r>
    </w:p>
    <w:p w14:paraId="188979D5" w14:textId="77777777" w:rsidR="00760C34" w:rsidRDefault="00000000">
      <w:pPr>
        <w:numPr>
          <w:ilvl w:val="0"/>
          <w:numId w:val="11"/>
        </w:numPr>
        <w:spacing w:line="480" w:lineRule="auto"/>
        <w:jc w:val="both"/>
        <w:rPr>
          <w:rFonts w:ascii="Arial" w:hAnsi="Arial" w:cs="Arial"/>
          <w:sz w:val="21"/>
          <w:szCs w:val="21"/>
        </w:rPr>
      </w:pPr>
      <w:r>
        <w:rPr>
          <w:rFonts w:ascii="Arial" w:hAnsi="Arial" w:cs="Arial"/>
          <w:sz w:val="21"/>
          <w:szCs w:val="21"/>
        </w:rPr>
        <w:t>评估专业人员执业证书复印件</w:t>
      </w:r>
    </w:p>
    <w:sectPr w:rsidR="00760C34">
      <w:headerReference w:type="default" r:id="rId50"/>
      <w:footerReference w:type="default" r:id="rId51"/>
      <w:pgSz w:w="11907" w:h="16840"/>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皓源 许" w:date="2026-01-27T13:38:00Z" w:initials="皓许">
    <w:p w14:paraId="188A0A75" w14:textId="77777777" w:rsidR="00D52899" w:rsidRDefault="00D52899" w:rsidP="00D52899">
      <w:pPr>
        <w:pStyle w:val="a6"/>
      </w:pPr>
      <w:r>
        <w:rPr>
          <w:rStyle w:val="af9"/>
        </w:rPr>
        <w:annotationRef/>
      </w:r>
      <w:r>
        <w:rPr>
          <w:rFonts w:hint="eastAsia"/>
        </w:rPr>
        <w:t>未见啊？</w:t>
      </w:r>
    </w:p>
  </w:comment>
  <w:comment w:id="3" w:author="皓源 许" w:date="2026-01-27T13:41:00Z" w:initials="皓许">
    <w:p w14:paraId="31B4B1AC" w14:textId="77777777" w:rsidR="00D52899" w:rsidRDefault="00D52899" w:rsidP="00D52899">
      <w:pPr>
        <w:pStyle w:val="a6"/>
      </w:pPr>
      <w:r>
        <w:rPr>
          <w:rStyle w:val="af9"/>
        </w:rPr>
        <w:annotationRef/>
      </w:r>
      <w:r>
        <w:rPr>
          <w:rFonts w:hint="eastAsia"/>
        </w:rPr>
        <w:t>分格儿的划线有误</w:t>
      </w:r>
    </w:p>
  </w:comment>
  <w:comment w:id="4" w:author="皓源 许" w:date="2026-01-27T13:42:00Z" w:initials="皓许">
    <w:p w14:paraId="467D82EB" w14:textId="77777777" w:rsidR="00D52899" w:rsidRDefault="00D52899" w:rsidP="00D52899">
      <w:pPr>
        <w:pStyle w:val="a6"/>
      </w:pPr>
      <w:r>
        <w:rPr>
          <w:rStyle w:val="af9"/>
        </w:rPr>
        <w:annotationRef/>
      </w:r>
      <w:r>
        <w:rPr>
          <w:rFonts w:hint="eastAsia"/>
        </w:rPr>
        <w:t>同上</w:t>
      </w:r>
    </w:p>
  </w:comment>
  <w:comment w:id="18" w:author="皓源 许" w:date="2026-01-27T14:00:00Z" w:initials="皓许">
    <w:p w14:paraId="61815137" w14:textId="77777777" w:rsidR="0060539C" w:rsidRDefault="0060539C" w:rsidP="0060539C">
      <w:pPr>
        <w:pStyle w:val="a6"/>
      </w:pPr>
      <w:r>
        <w:rPr>
          <w:rStyle w:val="af9"/>
        </w:rPr>
        <w:annotationRef/>
      </w:r>
      <w:r>
        <w:rPr>
          <w:rFonts w:hint="eastAsia"/>
        </w:rPr>
        <w:t>同上</w:t>
      </w:r>
    </w:p>
  </w:comment>
  <w:comment w:id="19" w:author="皓源 许" w:date="2026-01-27T14:03:00Z" w:initials="皓许">
    <w:p w14:paraId="4B2C9A26" w14:textId="77777777" w:rsidR="0060539C" w:rsidRDefault="0060539C" w:rsidP="0060539C">
      <w:pPr>
        <w:pStyle w:val="a6"/>
      </w:pPr>
      <w:r>
        <w:rPr>
          <w:rStyle w:val="af9"/>
        </w:rPr>
        <w:annotationRef/>
      </w:r>
      <w:r>
        <w:t>.</w:t>
      </w:r>
    </w:p>
  </w:comment>
  <w:comment w:id="30" w:author="皓源 许" w:date="2026-01-27T14:11:00Z" w:initials="皓许">
    <w:p w14:paraId="0C64B763" w14:textId="77777777" w:rsidR="00690E7D" w:rsidRDefault="00690E7D" w:rsidP="00690E7D">
      <w:pPr>
        <w:pStyle w:val="a6"/>
      </w:pPr>
      <w:r>
        <w:rPr>
          <w:rStyle w:val="af9"/>
        </w:rPr>
        <w:annotationRef/>
      </w:r>
      <w:r>
        <w:rPr>
          <w:rFonts w:hint="eastAsia"/>
        </w:rPr>
        <w:t>？</w:t>
      </w:r>
    </w:p>
  </w:comment>
  <w:comment w:id="53" w:author="皓源 许" w:date="2026-01-27T14:18:00Z" w:initials="皓许">
    <w:p w14:paraId="5F91FE8E" w14:textId="77777777" w:rsidR="00C540FB" w:rsidRDefault="00C540FB" w:rsidP="00C540FB">
      <w:pPr>
        <w:pStyle w:val="a6"/>
      </w:pPr>
      <w:r>
        <w:rPr>
          <w:rStyle w:val="af9"/>
        </w:rPr>
        <w:annotationRef/>
      </w:r>
      <w:r>
        <w:rPr>
          <w:rFonts w:hint="eastAsia"/>
        </w:rPr>
        <w:t>！</w:t>
      </w:r>
    </w:p>
  </w:comment>
  <w:comment w:id="60" w:author="皓源 许" w:date="2026-01-27T14:25:00Z" w:initials="皓许">
    <w:p w14:paraId="23A5E09E" w14:textId="77777777" w:rsidR="00FD115F" w:rsidRDefault="00FD115F" w:rsidP="00FD115F">
      <w:pPr>
        <w:pStyle w:val="a6"/>
      </w:pPr>
      <w:r>
        <w:rPr>
          <w:rStyle w:val="af9"/>
        </w:rPr>
        <w:annotationRef/>
      </w:r>
      <w:r>
        <w:rPr>
          <w:rFonts w:hint="eastAsia"/>
        </w:rPr>
        <w:t>是否有较新年份的</w:t>
      </w:r>
    </w:p>
  </w:comment>
  <w:comment w:id="61" w:author="皓源 许" w:date="2026-01-27T14:27:00Z" w:initials="皓许">
    <w:p w14:paraId="4E877000" w14:textId="77777777" w:rsidR="00FD115F" w:rsidRDefault="00FD115F" w:rsidP="00FD115F">
      <w:pPr>
        <w:pStyle w:val="a6"/>
      </w:pPr>
      <w:r>
        <w:rPr>
          <w:rStyle w:val="af9"/>
        </w:rPr>
        <w:annotationRef/>
      </w:r>
      <w:r>
        <w:rPr>
          <w:rFonts w:hint="eastAsia"/>
        </w:rPr>
        <w:t>加个其他两字？</w:t>
      </w:r>
      <w:r>
        <w:rPr>
          <w:rFonts w:hint="eastAsia"/>
        </w:rPr>
        <w:t xml:space="preserve"> </w:t>
      </w:r>
      <w:r>
        <w:t>...</w:t>
      </w:r>
      <w:r>
        <w:rPr>
          <w:rFonts w:hint="eastAsia"/>
        </w:rPr>
        <w:t>无“其他”大型</w:t>
      </w:r>
      <w:r>
        <w:t>...</w:t>
      </w:r>
    </w:p>
  </w:comment>
  <w:comment w:id="65" w:author="皓源 许" w:date="2026-01-27T14:29:00Z" w:initials="皓许">
    <w:p w14:paraId="7FFD8CDC" w14:textId="77777777" w:rsidR="0039646A" w:rsidRDefault="0039646A" w:rsidP="0039646A">
      <w:pPr>
        <w:pStyle w:val="a6"/>
      </w:pPr>
      <w:r>
        <w:rPr>
          <w:rStyle w:val="af9"/>
        </w:rPr>
        <w:annotationRef/>
      </w:r>
      <w:r>
        <w:t>.</w:t>
      </w:r>
    </w:p>
  </w:comment>
  <w:comment w:id="66" w:author="皓源 许" w:date="2026-01-27T14:29:00Z" w:initials="皓许">
    <w:p w14:paraId="2E2D6993" w14:textId="77777777" w:rsidR="0039646A" w:rsidRDefault="0039646A" w:rsidP="0039646A">
      <w:pPr>
        <w:pStyle w:val="a6"/>
      </w:pPr>
      <w:r>
        <w:rPr>
          <w:rStyle w:val="af9"/>
        </w:rPr>
        <w:annotationRef/>
      </w:r>
      <w:r>
        <w:t>.</w:t>
      </w:r>
    </w:p>
  </w:comment>
  <w:comment w:id="67" w:author="皓源 许" w:date="2026-01-27T14:29:00Z" w:initials="皓许">
    <w:p w14:paraId="5E0F2D8F" w14:textId="77777777" w:rsidR="0039646A" w:rsidRDefault="0039646A" w:rsidP="0039646A">
      <w:pPr>
        <w:pStyle w:val="a6"/>
      </w:pPr>
      <w:r>
        <w:rPr>
          <w:rStyle w:val="af9"/>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88A0A75" w15:done="0"/>
  <w15:commentEx w15:paraId="31B4B1AC" w15:done="0"/>
  <w15:commentEx w15:paraId="467D82EB" w15:done="0"/>
  <w15:commentEx w15:paraId="61815137" w15:done="0"/>
  <w15:commentEx w15:paraId="4B2C9A26" w15:done="0"/>
  <w15:commentEx w15:paraId="0C64B763" w15:done="0"/>
  <w15:commentEx w15:paraId="5F91FE8E" w15:done="0"/>
  <w15:commentEx w15:paraId="23A5E09E" w15:done="0"/>
  <w15:commentEx w15:paraId="4E877000" w15:done="0"/>
  <w15:commentEx w15:paraId="7FFD8CDC" w15:done="0"/>
  <w15:commentEx w15:paraId="2E2D6993" w15:done="0"/>
  <w15:commentEx w15:paraId="5E0F2D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F8E101" w16cex:dateUtc="2026-01-27T05:38:00Z"/>
  <w16cex:commentExtensible w16cex:durableId="22DE97D2" w16cex:dateUtc="2026-01-27T05:41:00Z"/>
  <w16cex:commentExtensible w16cex:durableId="69100F53" w16cex:dateUtc="2026-01-27T05:42:00Z"/>
  <w16cex:commentExtensible w16cex:durableId="0645C2E6" w16cex:dateUtc="2026-01-27T06:00:00Z"/>
  <w16cex:commentExtensible w16cex:durableId="755475DE" w16cex:dateUtc="2026-01-27T06:03:00Z"/>
  <w16cex:commentExtensible w16cex:durableId="0546C6E6" w16cex:dateUtc="2026-01-27T06:11:00Z"/>
  <w16cex:commentExtensible w16cex:durableId="15503855" w16cex:dateUtc="2026-01-27T06:18:00Z"/>
  <w16cex:commentExtensible w16cex:durableId="2E9E2C13" w16cex:dateUtc="2026-01-27T06:25:00Z"/>
  <w16cex:commentExtensible w16cex:durableId="56E3AEFC" w16cex:dateUtc="2026-01-27T06:27:00Z"/>
  <w16cex:commentExtensible w16cex:durableId="6D11B4FB" w16cex:dateUtc="2026-01-27T06:29:00Z"/>
  <w16cex:commentExtensible w16cex:durableId="1BA9300E" w16cex:dateUtc="2026-01-27T06:29:00Z"/>
  <w16cex:commentExtensible w16cex:durableId="29192415" w16cex:dateUtc="2026-01-27T0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8A0A75" w16cid:durableId="43F8E101"/>
  <w16cid:commentId w16cid:paraId="31B4B1AC" w16cid:durableId="22DE97D2"/>
  <w16cid:commentId w16cid:paraId="467D82EB" w16cid:durableId="69100F53"/>
  <w16cid:commentId w16cid:paraId="61815137" w16cid:durableId="0645C2E6"/>
  <w16cid:commentId w16cid:paraId="4B2C9A26" w16cid:durableId="755475DE"/>
  <w16cid:commentId w16cid:paraId="0C64B763" w16cid:durableId="0546C6E6"/>
  <w16cid:commentId w16cid:paraId="5F91FE8E" w16cid:durableId="15503855"/>
  <w16cid:commentId w16cid:paraId="23A5E09E" w16cid:durableId="2E9E2C13"/>
  <w16cid:commentId w16cid:paraId="4E877000" w16cid:durableId="56E3AEFC"/>
  <w16cid:commentId w16cid:paraId="7FFD8CDC" w16cid:durableId="6D11B4FB"/>
  <w16cid:commentId w16cid:paraId="2E2D6993" w16cid:durableId="1BA9300E"/>
  <w16cid:commentId w16cid:paraId="5E0F2D8F" w16cid:durableId="291924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16317" w14:textId="77777777" w:rsidR="00760C34" w:rsidRDefault="00760C34">
      <w:pPr>
        <w:spacing w:line="240" w:lineRule="auto"/>
      </w:pPr>
      <w:r>
        <w:separator/>
      </w:r>
    </w:p>
  </w:endnote>
  <w:endnote w:type="continuationSeparator" w:id="0">
    <w:p w14:paraId="71C3FBC9" w14:textId="77777777" w:rsidR="00760C34" w:rsidRDefault="00760C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default"/>
    <w:sig w:usb0="00000001"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方正黑体简体">
    <w:altName w:val="微软雅黑"/>
    <w:charset w:val="86"/>
    <w:family w:val="auto"/>
    <w:pitch w:val="default"/>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29112" w14:textId="77777777" w:rsidR="00000000" w:rsidRDefault="00000000">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1B842E4B" w14:textId="77777777" w:rsidR="00000000" w:rsidRDefault="00000000">
    <w:pPr>
      <w:pStyle w:val="a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D8500" w14:textId="77777777" w:rsidR="00000000" w:rsidRDefault="00000000">
    <w:pPr>
      <w:pStyle w:val="ad"/>
      <w:pBdr>
        <w:top w:val="single" w:sz="4" w:space="1" w:color="auto"/>
      </w:pBdr>
      <w:tabs>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lang w:val="zh-CN" w:eastAsia="zh-CN"/>
      </w:rPr>
      <w:t>3</w:t>
    </w:r>
    <w:r>
      <w:rPr>
        <w:rFonts w:ascii="Arial" w:hAnsi="Arial" w:cs="Arial"/>
        <w:lang w:val="zh-CN" w:eastAsia="zh-CN"/>
      </w:rPr>
      <w:t>0</w:t>
    </w:r>
    <w:r>
      <w:rPr>
        <w:rFonts w:ascii="Arial" w:hAnsi="Arial" w:cs="Aria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3FE68" w14:textId="77777777" w:rsidR="00000000" w:rsidRDefault="00000000">
    <w:pPr>
      <w:pStyle w:val="ad"/>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lang w:val="zh-CN"/>
      </w:rPr>
      <w:t>8</w:t>
    </w:r>
    <w:r>
      <w:rPr>
        <w:rFonts w:ascii="Arial" w:hAnsi="Arial" w:cs="Aria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9412" w14:textId="77777777" w:rsidR="00000000" w:rsidRDefault="00000000">
    <w:pPr>
      <w:pStyle w:val="ad"/>
      <w:pBdr>
        <w:top w:val="single" w:sz="4" w:space="1" w:color="auto"/>
      </w:pBdr>
      <w:tabs>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lang w:val="zh-CN" w:eastAsia="zh-CN"/>
      </w:rPr>
      <w:t>4</w:t>
    </w:r>
    <w:r>
      <w:rPr>
        <w:rFonts w:ascii="Arial" w:hAnsi="Arial" w:cs="Arial"/>
        <w:lang w:val="zh-CN" w:eastAsia="zh-CN"/>
      </w:rPr>
      <w:t>7</w:t>
    </w:r>
    <w:r>
      <w:rPr>
        <w:rFonts w:ascii="Arial" w:hAnsi="Arial" w:cs="Arial"/>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6F9FE" w14:textId="77777777" w:rsidR="00000000" w:rsidRDefault="00000000">
    <w:pPr>
      <w:pStyle w:val="ad"/>
      <w:pBdr>
        <w:top w:val="single" w:sz="4" w:space="1" w:color="auto"/>
      </w:pBdr>
      <w:tabs>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lang w:val="zh-CN" w:eastAsia="zh-CN"/>
      </w:rPr>
      <w:t>5</w:t>
    </w:r>
    <w:r>
      <w:rPr>
        <w:rFonts w:ascii="Arial" w:hAnsi="Arial" w:cs="Arial"/>
        <w:lang w:val="zh-CN" w:eastAsia="zh-CN"/>
      </w:rPr>
      <w:t>2</w:t>
    </w:r>
    <w:r>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BFF38" w14:textId="77777777" w:rsidR="00000000" w:rsidRDefault="00000000">
    <w:pPr>
      <w:pStyle w:val="ad"/>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50699" w14:textId="77777777" w:rsidR="00000000" w:rsidRDefault="00000000">
    <w:pPr>
      <w:pStyle w:val="ad"/>
      <w:pBdr>
        <w:top w:val="single" w:sz="4" w:space="0" w:color="404040"/>
      </w:pBdr>
      <w:tabs>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lang w:val="zh-CN" w:eastAsia="zh-CN"/>
      </w:rPr>
      <w:t>7</w:t>
    </w:r>
    <w:r>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2667F" w14:textId="77777777" w:rsidR="00000000" w:rsidRDefault="0000000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01652" w14:textId="77777777" w:rsidR="00000000" w:rsidRDefault="00000000">
    <w:pPr>
      <w:pStyle w:val="ad"/>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lang w:val="zh-CN"/>
      </w:rPr>
      <w:t>16</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62BC8" w14:textId="77777777" w:rsidR="00000000" w:rsidRDefault="0000000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ED83D" w14:textId="77777777" w:rsidR="00000000" w:rsidRDefault="00000000">
    <w:pPr>
      <w:pStyle w:val="ad"/>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376A57E1" w14:textId="77777777" w:rsidR="00000000" w:rsidRDefault="00000000">
    <w:pPr>
      <w:pStyle w:val="a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6F64A" w14:textId="77777777" w:rsidR="00000000" w:rsidRDefault="00000000">
    <w:pPr>
      <w:pStyle w:val="ad"/>
      <w:pBdr>
        <w:top w:val="single" w:sz="4" w:space="1" w:color="auto"/>
      </w:pBdr>
      <w:tabs>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lang w:val="zh-CN" w:eastAsia="zh-CN"/>
      </w:rPr>
      <w:t>26</w:t>
    </w:r>
    <w:r>
      <w:rPr>
        <w:rFonts w:ascii="Arial" w:hAnsi="Arial"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387B0" w14:textId="77777777" w:rsidR="00000000" w:rsidRDefault="00000000">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6992CE0" w14:textId="77777777" w:rsidR="00000000" w:rsidRDefault="0000000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BAFA0" w14:textId="77777777" w:rsidR="00760C34" w:rsidRDefault="00760C34">
      <w:pPr>
        <w:spacing w:line="240" w:lineRule="auto"/>
      </w:pPr>
      <w:r>
        <w:separator/>
      </w:r>
    </w:p>
  </w:footnote>
  <w:footnote w:type="continuationSeparator" w:id="0">
    <w:p w14:paraId="1E45884E" w14:textId="77777777" w:rsidR="00760C34" w:rsidRDefault="00760C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F1DD" w14:textId="1024F3B2" w:rsidR="00000000" w:rsidRDefault="00690E7D">
    <w:pPr>
      <w:pStyle w:val="af"/>
      <w:pBdr>
        <w:bottom w:val="none" w:sz="0" w:space="0" w:color="auto"/>
      </w:pBdr>
    </w:pPr>
    <w:r>
      <w:rPr>
        <w:noProof/>
        <w:lang w:val="en-US" w:eastAsia="zh-CN"/>
      </w:rPr>
      <w:drawing>
        <wp:inline distT="0" distB="0" distL="0" distR="0" wp14:anchorId="031EE9D4" wp14:editId="6F1B94B6">
          <wp:extent cx="5901690" cy="286385"/>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690" cy="28638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BBBA1" w14:textId="48B4265F" w:rsidR="00000000" w:rsidRDefault="00690E7D">
    <w:pPr>
      <w:pStyle w:val="af"/>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1081F3CF" wp14:editId="6FDB3CB0">
          <wp:extent cx="5901690" cy="286385"/>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690" cy="286385"/>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52774" w14:textId="7C755CF8" w:rsidR="00000000" w:rsidRDefault="00690E7D">
    <w:pPr>
      <w:pStyle w:val="af"/>
      <w:pBdr>
        <w:bottom w:val="none" w:sz="0" w:space="0" w:color="auto"/>
      </w:pBdr>
    </w:pPr>
    <w:r>
      <w:rPr>
        <w:noProof/>
      </w:rPr>
      <w:drawing>
        <wp:inline distT="0" distB="0" distL="0" distR="0" wp14:anchorId="64731600" wp14:editId="5BFFB952">
          <wp:extent cx="5895975" cy="280670"/>
          <wp:effectExtent l="0" t="0" r="0" b="0"/>
          <wp:docPr id="11"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5975" cy="28067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57C7F" w14:textId="18E348D0" w:rsidR="00000000" w:rsidRDefault="00690E7D">
    <w:pPr>
      <w:pStyle w:val="af"/>
      <w:pBdr>
        <w:bottom w:val="none" w:sz="0" w:space="0" w:color="auto"/>
      </w:pBdr>
      <w:rPr>
        <w:rFonts w:hint="eastAsia"/>
      </w:rPr>
    </w:pPr>
    <w:r>
      <w:rPr>
        <w:noProof/>
        <w:lang w:val="en-US" w:eastAsia="zh-CN"/>
      </w:rPr>
      <w:drawing>
        <wp:inline distT="0" distB="0" distL="0" distR="0" wp14:anchorId="546007FA" wp14:editId="3F6B77E4">
          <wp:extent cx="5901690" cy="28638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690" cy="2863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0AB47" w14:textId="77777777" w:rsidR="00000000" w:rsidRDefault="00000000">
    <w:pPr>
      <w:pStyle w:val="a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3D428" w14:textId="609C68B6" w:rsidR="00000000" w:rsidRDefault="00690E7D">
    <w:pPr>
      <w:pStyle w:val="af"/>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3668ECEA" wp14:editId="2A1E1F1D">
          <wp:extent cx="5901690" cy="286385"/>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690" cy="28638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66DBB" w14:textId="77777777" w:rsidR="00000000" w:rsidRDefault="0000000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B0614" w14:textId="5FEA67F1" w:rsidR="00000000" w:rsidRDefault="00690E7D">
    <w:pPr>
      <w:pStyle w:val="af"/>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7255AE30" wp14:editId="32897F6E">
          <wp:extent cx="5901690" cy="286385"/>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690" cy="286385"/>
                  </a:xfrm>
                  <a:prstGeom prst="rect">
                    <a:avLst/>
                  </a:prstGeom>
                  <a:noFill/>
                  <a:ln>
                    <a:noFill/>
                  </a:ln>
                </pic:spPr>
              </pic:pic>
            </a:graphicData>
          </a:graphic>
        </wp:inline>
      </w:drawing>
    </w:r>
  </w:p>
  <w:p w14:paraId="57853137" w14:textId="77777777" w:rsidR="00000000" w:rsidRDefault="0000000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1C397" w14:textId="77777777" w:rsidR="00000000" w:rsidRDefault="0000000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571BB" w14:textId="77777777" w:rsidR="00000000" w:rsidRDefault="0000000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BC21" w14:textId="29B63C73" w:rsidR="00000000" w:rsidRDefault="00690E7D">
    <w:pPr>
      <w:pStyle w:val="af"/>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6F3247DD" wp14:editId="17C2DD73">
          <wp:extent cx="5901690" cy="28638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690" cy="28638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1C534" w14:textId="678AD146" w:rsidR="00000000" w:rsidRDefault="00690E7D">
    <w:pPr>
      <w:pStyle w:val="af"/>
    </w:pPr>
    <w:r>
      <w:rPr>
        <w:noProof/>
        <w:lang w:val="en-US" w:eastAsia="zh-CN"/>
      </w:rPr>
      <w:drawing>
        <wp:inline distT="0" distB="0" distL="0" distR="0" wp14:anchorId="65461DEE" wp14:editId="77E6AD14">
          <wp:extent cx="5503545" cy="286385"/>
          <wp:effectExtent l="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354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05B78"/>
    <w:multiLevelType w:val="multilevel"/>
    <w:tmpl w:val="0DF05B78"/>
    <w:lvl w:ilvl="0">
      <w:start w:val="1"/>
      <w:numFmt w:val="decimal"/>
      <w:lvlText w:val="%1."/>
      <w:lvlJc w:val="left"/>
      <w:pPr>
        <w:ind w:left="846" w:hanging="420"/>
      </w:pPr>
      <w:rPr>
        <w:snapToGrid w:val="0"/>
        <w:spacing w:val="0"/>
        <w:kern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34224C1A"/>
    <w:multiLevelType w:val="multilevel"/>
    <w:tmpl w:val="34224C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6" w15:restartNumberingAfterBreak="0">
    <w:nsid w:val="557F39EB"/>
    <w:multiLevelType w:val="multilevel"/>
    <w:tmpl w:val="557F39EB"/>
    <w:lvl w:ilvl="0">
      <w:start w:val="1"/>
      <w:numFmt w:val="decimal"/>
      <w:lvlText w:val="%1."/>
      <w:lvlJc w:val="left"/>
      <w:pPr>
        <w:ind w:left="842" w:hanging="420"/>
      </w:p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7"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5F6A3DC4"/>
    <w:multiLevelType w:val="multilevel"/>
    <w:tmpl w:val="5F6A3DC4"/>
    <w:lvl w:ilvl="0">
      <w:start w:val="1"/>
      <w:numFmt w:val="upperRoman"/>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9" w15:restartNumberingAfterBreak="0">
    <w:nsid w:val="733B7460"/>
    <w:multiLevelType w:val="multilevel"/>
    <w:tmpl w:val="733B7460"/>
    <w:lvl w:ilvl="0">
      <w:start w:val="1"/>
      <w:numFmt w:val="decimal"/>
      <w:lvlText w:val="%1."/>
      <w:lvlJc w:val="left"/>
      <w:pPr>
        <w:ind w:left="704"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5A04673"/>
    <w:multiLevelType w:val="multilevel"/>
    <w:tmpl w:val="75A04673"/>
    <w:lvl w:ilvl="0">
      <w:start w:val="1"/>
      <w:numFmt w:val="upperLetter"/>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027365723">
    <w:abstractNumId w:val="10"/>
  </w:num>
  <w:num w:numId="2" w16cid:durableId="167643205">
    <w:abstractNumId w:val="1"/>
  </w:num>
  <w:num w:numId="3" w16cid:durableId="1703357793">
    <w:abstractNumId w:val="8"/>
  </w:num>
  <w:num w:numId="4" w16cid:durableId="683634586">
    <w:abstractNumId w:val="7"/>
  </w:num>
  <w:num w:numId="5" w16cid:durableId="1003895445">
    <w:abstractNumId w:val="5"/>
  </w:num>
  <w:num w:numId="6" w16cid:durableId="528178730">
    <w:abstractNumId w:val="0"/>
  </w:num>
  <w:num w:numId="7" w16cid:durableId="1112554005">
    <w:abstractNumId w:val="4"/>
  </w:num>
  <w:num w:numId="8" w16cid:durableId="19046834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3717299">
    <w:abstractNumId w:val="3"/>
  </w:num>
  <w:num w:numId="10" w16cid:durableId="759562978">
    <w:abstractNumId w:val="6"/>
  </w:num>
  <w:num w:numId="11" w16cid:durableId="118424678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defaultTabStop w:val="50"/>
  <w:doNotHyphenateCaps/>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4952"/>
    <w:rsid w:val="00004CA5"/>
    <w:rsid w:val="00004D42"/>
    <w:rsid w:val="0001031A"/>
    <w:rsid w:val="00011EE1"/>
    <w:rsid w:val="0001237C"/>
    <w:rsid w:val="00012E86"/>
    <w:rsid w:val="0001354F"/>
    <w:rsid w:val="00014F2D"/>
    <w:rsid w:val="0001714F"/>
    <w:rsid w:val="00022827"/>
    <w:rsid w:val="00027D53"/>
    <w:rsid w:val="00030519"/>
    <w:rsid w:val="00031A0B"/>
    <w:rsid w:val="000345BA"/>
    <w:rsid w:val="00035392"/>
    <w:rsid w:val="00037642"/>
    <w:rsid w:val="0003783C"/>
    <w:rsid w:val="00037D7C"/>
    <w:rsid w:val="00041390"/>
    <w:rsid w:val="000421EB"/>
    <w:rsid w:val="0004288D"/>
    <w:rsid w:val="00042DC2"/>
    <w:rsid w:val="0004627B"/>
    <w:rsid w:val="00046421"/>
    <w:rsid w:val="00050104"/>
    <w:rsid w:val="00052348"/>
    <w:rsid w:val="000527EE"/>
    <w:rsid w:val="00053031"/>
    <w:rsid w:val="000552B7"/>
    <w:rsid w:val="00057D66"/>
    <w:rsid w:val="000639A8"/>
    <w:rsid w:val="000647E7"/>
    <w:rsid w:val="00065379"/>
    <w:rsid w:val="000677C9"/>
    <w:rsid w:val="000728BE"/>
    <w:rsid w:val="00076979"/>
    <w:rsid w:val="00077930"/>
    <w:rsid w:val="00081E6A"/>
    <w:rsid w:val="00081F03"/>
    <w:rsid w:val="00082C75"/>
    <w:rsid w:val="00084265"/>
    <w:rsid w:val="00085690"/>
    <w:rsid w:val="00090ADF"/>
    <w:rsid w:val="00092F3C"/>
    <w:rsid w:val="0009464C"/>
    <w:rsid w:val="00094856"/>
    <w:rsid w:val="000A1B10"/>
    <w:rsid w:val="000A3B50"/>
    <w:rsid w:val="000A4345"/>
    <w:rsid w:val="000A5752"/>
    <w:rsid w:val="000B0322"/>
    <w:rsid w:val="000B060E"/>
    <w:rsid w:val="000B7C3D"/>
    <w:rsid w:val="000B7E14"/>
    <w:rsid w:val="000C1CAA"/>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E695F"/>
    <w:rsid w:val="000F55C7"/>
    <w:rsid w:val="000F5732"/>
    <w:rsid w:val="000F5D1B"/>
    <w:rsid w:val="000F746A"/>
    <w:rsid w:val="00102861"/>
    <w:rsid w:val="00103AC3"/>
    <w:rsid w:val="00106495"/>
    <w:rsid w:val="001070F4"/>
    <w:rsid w:val="00110932"/>
    <w:rsid w:val="00112C6B"/>
    <w:rsid w:val="0011651C"/>
    <w:rsid w:val="001201A8"/>
    <w:rsid w:val="00121EB7"/>
    <w:rsid w:val="00121F4B"/>
    <w:rsid w:val="00123526"/>
    <w:rsid w:val="00124891"/>
    <w:rsid w:val="0012550C"/>
    <w:rsid w:val="001267C9"/>
    <w:rsid w:val="00126809"/>
    <w:rsid w:val="001300C8"/>
    <w:rsid w:val="001308A9"/>
    <w:rsid w:val="0013092A"/>
    <w:rsid w:val="001309C4"/>
    <w:rsid w:val="001310D8"/>
    <w:rsid w:val="00134710"/>
    <w:rsid w:val="00137B2B"/>
    <w:rsid w:val="00143163"/>
    <w:rsid w:val="001433AC"/>
    <w:rsid w:val="00146B62"/>
    <w:rsid w:val="00150A2F"/>
    <w:rsid w:val="0015101C"/>
    <w:rsid w:val="00152C21"/>
    <w:rsid w:val="00153D34"/>
    <w:rsid w:val="0015637F"/>
    <w:rsid w:val="00162718"/>
    <w:rsid w:val="0016376A"/>
    <w:rsid w:val="00170B7A"/>
    <w:rsid w:val="00170FF7"/>
    <w:rsid w:val="0017152E"/>
    <w:rsid w:val="00171F28"/>
    <w:rsid w:val="0017359A"/>
    <w:rsid w:val="00174015"/>
    <w:rsid w:val="00174FED"/>
    <w:rsid w:val="001752EA"/>
    <w:rsid w:val="00181B68"/>
    <w:rsid w:val="0018215B"/>
    <w:rsid w:val="00182645"/>
    <w:rsid w:val="00183C97"/>
    <w:rsid w:val="0018410F"/>
    <w:rsid w:val="00185D76"/>
    <w:rsid w:val="00186416"/>
    <w:rsid w:val="00186584"/>
    <w:rsid w:val="00190A23"/>
    <w:rsid w:val="0019484B"/>
    <w:rsid w:val="00194E5F"/>
    <w:rsid w:val="00197502"/>
    <w:rsid w:val="00197D26"/>
    <w:rsid w:val="001A13ED"/>
    <w:rsid w:val="001A2C77"/>
    <w:rsid w:val="001A326D"/>
    <w:rsid w:val="001A5444"/>
    <w:rsid w:val="001A59C1"/>
    <w:rsid w:val="001A6F1B"/>
    <w:rsid w:val="001A7B50"/>
    <w:rsid w:val="001A7FA2"/>
    <w:rsid w:val="001B1B96"/>
    <w:rsid w:val="001B3319"/>
    <w:rsid w:val="001B427F"/>
    <w:rsid w:val="001B64A0"/>
    <w:rsid w:val="001B72D0"/>
    <w:rsid w:val="001B730A"/>
    <w:rsid w:val="001B79C7"/>
    <w:rsid w:val="001B7B1D"/>
    <w:rsid w:val="001C20AE"/>
    <w:rsid w:val="001C2A98"/>
    <w:rsid w:val="001C2C79"/>
    <w:rsid w:val="001C2DF8"/>
    <w:rsid w:val="001C44F5"/>
    <w:rsid w:val="001C577A"/>
    <w:rsid w:val="001C6964"/>
    <w:rsid w:val="001C6AF2"/>
    <w:rsid w:val="001C7458"/>
    <w:rsid w:val="001C75B0"/>
    <w:rsid w:val="001C788E"/>
    <w:rsid w:val="001C7AAD"/>
    <w:rsid w:val="001D4FBC"/>
    <w:rsid w:val="001D650B"/>
    <w:rsid w:val="001D7D7A"/>
    <w:rsid w:val="001E0925"/>
    <w:rsid w:val="001E425D"/>
    <w:rsid w:val="001E53E3"/>
    <w:rsid w:val="001E5E1C"/>
    <w:rsid w:val="001E758A"/>
    <w:rsid w:val="001F0458"/>
    <w:rsid w:val="001F0888"/>
    <w:rsid w:val="001F6090"/>
    <w:rsid w:val="002002BD"/>
    <w:rsid w:val="00200E28"/>
    <w:rsid w:val="00201A37"/>
    <w:rsid w:val="00202895"/>
    <w:rsid w:val="00203314"/>
    <w:rsid w:val="00205D6F"/>
    <w:rsid w:val="00206854"/>
    <w:rsid w:val="002106F0"/>
    <w:rsid w:val="0021285B"/>
    <w:rsid w:val="00212AAF"/>
    <w:rsid w:val="00212AEE"/>
    <w:rsid w:val="002157AC"/>
    <w:rsid w:val="00221C8C"/>
    <w:rsid w:val="00222265"/>
    <w:rsid w:val="0022545A"/>
    <w:rsid w:val="00225481"/>
    <w:rsid w:val="002278A9"/>
    <w:rsid w:val="0023344F"/>
    <w:rsid w:val="00233C6E"/>
    <w:rsid w:val="002347B1"/>
    <w:rsid w:val="00234CB5"/>
    <w:rsid w:val="00235EFE"/>
    <w:rsid w:val="002361E9"/>
    <w:rsid w:val="00237F00"/>
    <w:rsid w:val="00241409"/>
    <w:rsid w:val="002422F5"/>
    <w:rsid w:val="0024323F"/>
    <w:rsid w:val="002437E0"/>
    <w:rsid w:val="00243D67"/>
    <w:rsid w:val="0024429E"/>
    <w:rsid w:val="00244311"/>
    <w:rsid w:val="00244F91"/>
    <w:rsid w:val="002455C6"/>
    <w:rsid w:val="00247052"/>
    <w:rsid w:val="00250828"/>
    <w:rsid w:val="00252130"/>
    <w:rsid w:val="00252E12"/>
    <w:rsid w:val="0025385C"/>
    <w:rsid w:val="002539C2"/>
    <w:rsid w:val="00253F04"/>
    <w:rsid w:val="002547BD"/>
    <w:rsid w:val="00256148"/>
    <w:rsid w:val="00264322"/>
    <w:rsid w:val="00264B8C"/>
    <w:rsid w:val="002671FD"/>
    <w:rsid w:val="00267E50"/>
    <w:rsid w:val="00270C1D"/>
    <w:rsid w:val="0027408F"/>
    <w:rsid w:val="00277CA3"/>
    <w:rsid w:val="0028042D"/>
    <w:rsid w:val="00280B27"/>
    <w:rsid w:val="00282EC8"/>
    <w:rsid w:val="002832F1"/>
    <w:rsid w:val="002856FC"/>
    <w:rsid w:val="002944D0"/>
    <w:rsid w:val="002960DC"/>
    <w:rsid w:val="00296579"/>
    <w:rsid w:val="002975A8"/>
    <w:rsid w:val="00297B55"/>
    <w:rsid w:val="002A136E"/>
    <w:rsid w:val="002A24B2"/>
    <w:rsid w:val="002A4036"/>
    <w:rsid w:val="002A4C30"/>
    <w:rsid w:val="002A53A9"/>
    <w:rsid w:val="002A59ED"/>
    <w:rsid w:val="002B1195"/>
    <w:rsid w:val="002B35F7"/>
    <w:rsid w:val="002B384D"/>
    <w:rsid w:val="002B4B70"/>
    <w:rsid w:val="002B711A"/>
    <w:rsid w:val="002B71B8"/>
    <w:rsid w:val="002C00B5"/>
    <w:rsid w:val="002C1627"/>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E1286"/>
    <w:rsid w:val="002E261C"/>
    <w:rsid w:val="002E58B3"/>
    <w:rsid w:val="002E6BD0"/>
    <w:rsid w:val="002E7F97"/>
    <w:rsid w:val="002F41E0"/>
    <w:rsid w:val="002F6783"/>
    <w:rsid w:val="002F6A0D"/>
    <w:rsid w:val="002F6A3A"/>
    <w:rsid w:val="0030112B"/>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30243"/>
    <w:rsid w:val="00330E9E"/>
    <w:rsid w:val="00332156"/>
    <w:rsid w:val="00333BD4"/>
    <w:rsid w:val="003362D2"/>
    <w:rsid w:val="003405BD"/>
    <w:rsid w:val="00340790"/>
    <w:rsid w:val="0034102A"/>
    <w:rsid w:val="00342D27"/>
    <w:rsid w:val="00346A47"/>
    <w:rsid w:val="0035067C"/>
    <w:rsid w:val="00351B58"/>
    <w:rsid w:val="00351CBA"/>
    <w:rsid w:val="00352066"/>
    <w:rsid w:val="00353A29"/>
    <w:rsid w:val="00353B3D"/>
    <w:rsid w:val="00355D98"/>
    <w:rsid w:val="00357EEC"/>
    <w:rsid w:val="003636C1"/>
    <w:rsid w:val="0036385B"/>
    <w:rsid w:val="00363F17"/>
    <w:rsid w:val="00364041"/>
    <w:rsid w:val="00364D0E"/>
    <w:rsid w:val="00364ED6"/>
    <w:rsid w:val="00371EA7"/>
    <w:rsid w:val="0037309D"/>
    <w:rsid w:val="00374847"/>
    <w:rsid w:val="00375183"/>
    <w:rsid w:val="00376596"/>
    <w:rsid w:val="0037667F"/>
    <w:rsid w:val="00381636"/>
    <w:rsid w:val="003826D8"/>
    <w:rsid w:val="003843D8"/>
    <w:rsid w:val="00384C51"/>
    <w:rsid w:val="00385340"/>
    <w:rsid w:val="003871E5"/>
    <w:rsid w:val="003879AE"/>
    <w:rsid w:val="00390D6F"/>
    <w:rsid w:val="00391276"/>
    <w:rsid w:val="003920B1"/>
    <w:rsid w:val="003922BA"/>
    <w:rsid w:val="003958DE"/>
    <w:rsid w:val="0039646A"/>
    <w:rsid w:val="003972AF"/>
    <w:rsid w:val="003A15DC"/>
    <w:rsid w:val="003A38A4"/>
    <w:rsid w:val="003A44A4"/>
    <w:rsid w:val="003A4D8E"/>
    <w:rsid w:val="003A6366"/>
    <w:rsid w:val="003B0E4C"/>
    <w:rsid w:val="003B1BD5"/>
    <w:rsid w:val="003B30CE"/>
    <w:rsid w:val="003B6989"/>
    <w:rsid w:val="003C235C"/>
    <w:rsid w:val="003C3914"/>
    <w:rsid w:val="003C405D"/>
    <w:rsid w:val="003C413A"/>
    <w:rsid w:val="003C497C"/>
    <w:rsid w:val="003C4E7F"/>
    <w:rsid w:val="003D27EF"/>
    <w:rsid w:val="003D33D6"/>
    <w:rsid w:val="003D4A89"/>
    <w:rsid w:val="003D53D3"/>
    <w:rsid w:val="003E258C"/>
    <w:rsid w:val="003E611B"/>
    <w:rsid w:val="003E64BD"/>
    <w:rsid w:val="003E748F"/>
    <w:rsid w:val="003E7E84"/>
    <w:rsid w:val="003F0BAC"/>
    <w:rsid w:val="003F17E9"/>
    <w:rsid w:val="003F42B3"/>
    <w:rsid w:val="003F7F99"/>
    <w:rsid w:val="004004FE"/>
    <w:rsid w:val="00403BC4"/>
    <w:rsid w:val="00404396"/>
    <w:rsid w:val="00405CBD"/>
    <w:rsid w:val="004109A6"/>
    <w:rsid w:val="0041133E"/>
    <w:rsid w:val="00413A98"/>
    <w:rsid w:val="004150E4"/>
    <w:rsid w:val="0041611B"/>
    <w:rsid w:val="0042034C"/>
    <w:rsid w:val="00420AA6"/>
    <w:rsid w:val="004213EA"/>
    <w:rsid w:val="004218B1"/>
    <w:rsid w:val="00423270"/>
    <w:rsid w:val="0042778C"/>
    <w:rsid w:val="00432405"/>
    <w:rsid w:val="00432BA4"/>
    <w:rsid w:val="00433765"/>
    <w:rsid w:val="00434F74"/>
    <w:rsid w:val="00436D80"/>
    <w:rsid w:val="00440A23"/>
    <w:rsid w:val="0044389D"/>
    <w:rsid w:val="00444961"/>
    <w:rsid w:val="00447F02"/>
    <w:rsid w:val="00450DCF"/>
    <w:rsid w:val="00452F36"/>
    <w:rsid w:val="00456EBD"/>
    <w:rsid w:val="00463B6D"/>
    <w:rsid w:val="00463D86"/>
    <w:rsid w:val="00464612"/>
    <w:rsid w:val="00464B8C"/>
    <w:rsid w:val="00466C77"/>
    <w:rsid w:val="00471598"/>
    <w:rsid w:val="00471DA7"/>
    <w:rsid w:val="00472B83"/>
    <w:rsid w:val="00472BCD"/>
    <w:rsid w:val="00473217"/>
    <w:rsid w:val="00476958"/>
    <w:rsid w:val="00477395"/>
    <w:rsid w:val="0047754E"/>
    <w:rsid w:val="00477DD3"/>
    <w:rsid w:val="00480709"/>
    <w:rsid w:val="004810F5"/>
    <w:rsid w:val="00481308"/>
    <w:rsid w:val="00481CDF"/>
    <w:rsid w:val="0048204B"/>
    <w:rsid w:val="00483265"/>
    <w:rsid w:val="00483F19"/>
    <w:rsid w:val="004855EC"/>
    <w:rsid w:val="004863CD"/>
    <w:rsid w:val="00491DF0"/>
    <w:rsid w:val="00496EDE"/>
    <w:rsid w:val="004970B5"/>
    <w:rsid w:val="00497C55"/>
    <w:rsid w:val="004A0176"/>
    <w:rsid w:val="004A1300"/>
    <w:rsid w:val="004A42DB"/>
    <w:rsid w:val="004A5026"/>
    <w:rsid w:val="004A541C"/>
    <w:rsid w:val="004A548D"/>
    <w:rsid w:val="004A61D8"/>
    <w:rsid w:val="004B0FC7"/>
    <w:rsid w:val="004B2641"/>
    <w:rsid w:val="004B312F"/>
    <w:rsid w:val="004B60D1"/>
    <w:rsid w:val="004C0043"/>
    <w:rsid w:val="004C0C6A"/>
    <w:rsid w:val="004C294D"/>
    <w:rsid w:val="004C3B6F"/>
    <w:rsid w:val="004C4FC0"/>
    <w:rsid w:val="004C6E54"/>
    <w:rsid w:val="004C7D88"/>
    <w:rsid w:val="004D0EE4"/>
    <w:rsid w:val="004D4D55"/>
    <w:rsid w:val="004D62BB"/>
    <w:rsid w:val="004E16A1"/>
    <w:rsid w:val="004E21FE"/>
    <w:rsid w:val="004E3F45"/>
    <w:rsid w:val="004E73CF"/>
    <w:rsid w:val="004F0C1D"/>
    <w:rsid w:val="004F14D2"/>
    <w:rsid w:val="004F3C6B"/>
    <w:rsid w:val="004F3DA1"/>
    <w:rsid w:val="004F5293"/>
    <w:rsid w:val="004F7676"/>
    <w:rsid w:val="004F7C8A"/>
    <w:rsid w:val="005033AC"/>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43844"/>
    <w:rsid w:val="00543F6A"/>
    <w:rsid w:val="0054495D"/>
    <w:rsid w:val="00544C45"/>
    <w:rsid w:val="0054546A"/>
    <w:rsid w:val="00545BF4"/>
    <w:rsid w:val="00546458"/>
    <w:rsid w:val="005523C3"/>
    <w:rsid w:val="00552741"/>
    <w:rsid w:val="005540F2"/>
    <w:rsid w:val="00560BCE"/>
    <w:rsid w:val="005610B7"/>
    <w:rsid w:val="0056169A"/>
    <w:rsid w:val="00561D46"/>
    <w:rsid w:val="00565CBC"/>
    <w:rsid w:val="00566084"/>
    <w:rsid w:val="0056658C"/>
    <w:rsid w:val="005671FF"/>
    <w:rsid w:val="00573359"/>
    <w:rsid w:val="005734E9"/>
    <w:rsid w:val="00575B58"/>
    <w:rsid w:val="005770A9"/>
    <w:rsid w:val="005774F5"/>
    <w:rsid w:val="00577B2B"/>
    <w:rsid w:val="00584E27"/>
    <w:rsid w:val="0058526A"/>
    <w:rsid w:val="00585457"/>
    <w:rsid w:val="005925BC"/>
    <w:rsid w:val="005934D2"/>
    <w:rsid w:val="005964B4"/>
    <w:rsid w:val="00597BD4"/>
    <w:rsid w:val="005A2C8D"/>
    <w:rsid w:val="005A33D9"/>
    <w:rsid w:val="005A4848"/>
    <w:rsid w:val="005A679E"/>
    <w:rsid w:val="005B0290"/>
    <w:rsid w:val="005B30DC"/>
    <w:rsid w:val="005B3601"/>
    <w:rsid w:val="005B3974"/>
    <w:rsid w:val="005B3FFD"/>
    <w:rsid w:val="005B4A91"/>
    <w:rsid w:val="005B4FAB"/>
    <w:rsid w:val="005B741B"/>
    <w:rsid w:val="005C2098"/>
    <w:rsid w:val="005C22B7"/>
    <w:rsid w:val="005C6DEB"/>
    <w:rsid w:val="005C7CD3"/>
    <w:rsid w:val="005C7E9A"/>
    <w:rsid w:val="005D1758"/>
    <w:rsid w:val="005D262F"/>
    <w:rsid w:val="005D4241"/>
    <w:rsid w:val="005D4276"/>
    <w:rsid w:val="005D4B6E"/>
    <w:rsid w:val="005D5C55"/>
    <w:rsid w:val="005D785A"/>
    <w:rsid w:val="005D7924"/>
    <w:rsid w:val="005E15B0"/>
    <w:rsid w:val="005E4A75"/>
    <w:rsid w:val="005E6E39"/>
    <w:rsid w:val="005E708A"/>
    <w:rsid w:val="005F00BB"/>
    <w:rsid w:val="005F29B8"/>
    <w:rsid w:val="005F3A08"/>
    <w:rsid w:val="005F4469"/>
    <w:rsid w:val="00602105"/>
    <w:rsid w:val="006023C6"/>
    <w:rsid w:val="006033C4"/>
    <w:rsid w:val="0060386C"/>
    <w:rsid w:val="00604345"/>
    <w:rsid w:val="0060539C"/>
    <w:rsid w:val="00605600"/>
    <w:rsid w:val="00605EB6"/>
    <w:rsid w:val="00606A14"/>
    <w:rsid w:val="00607FFD"/>
    <w:rsid w:val="0061090D"/>
    <w:rsid w:val="00611F0A"/>
    <w:rsid w:val="006206EC"/>
    <w:rsid w:val="00620E9C"/>
    <w:rsid w:val="00621CB2"/>
    <w:rsid w:val="0062248F"/>
    <w:rsid w:val="006231D4"/>
    <w:rsid w:val="00623662"/>
    <w:rsid w:val="00626468"/>
    <w:rsid w:val="00627C4D"/>
    <w:rsid w:val="006305A1"/>
    <w:rsid w:val="0063086A"/>
    <w:rsid w:val="006315B9"/>
    <w:rsid w:val="006340BC"/>
    <w:rsid w:val="00635366"/>
    <w:rsid w:val="00637B4B"/>
    <w:rsid w:val="00637CD9"/>
    <w:rsid w:val="00640F31"/>
    <w:rsid w:val="006448ED"/>
    <w:rsid w:val="006470B4"/>
    <w:rsid w:val="00651984"/>
    <w:rsid w:val="00652DD1"/>
    <w:rsid w:val="006531F5"/>
    <w:rsid w:val="00653EBF"/>
    <w:rsid w:val="00654BA2"/>
    <w:rsid w:val="00655331"/>
    <w:rsid w:val="00656A9C"/>
    <w:rsid w:val="0066156E"/>
    <w:rsid w:val="006630E0"/>
    <w:rsid w:val="00664273"/>
    <w:rsid w:val="00670B9F"/>
    <w:rsid w:val="006715BF"/>
    <w:rsid w:val="006717DA"/>
    <w:rsid w:val="00674FB9"/>
    <w:rsid w:val="00676850"/>
    <w:rsid w:val="00676E29"/>
    <w:rsid w:val="00680B97"/>
    <w:rsid w:val="00681A24"/>
    <w:rsid w:val="006827BC"/>
    <w:rsid w:val="00683DFE"/>
    <w:rsid w:val="006863BC"/>
    <w:rsid w:val="00686AFE"/>
    <w:rsid w:val="00687629"/>
    <w:rsid w:val="00687990"/>
    <w:rsid w:val="00690E7D"/>
    <w:rsid w:val="00691BD3"/>
    <w:rsid w:val="006950DF"/>
    <w:rsid w:val="00695ED8"/>
    <w:rsid w:val="006969CE"/>
    <w:rsid w:val="006A0A03"/>
    <w:rsid w:val="006A4A4B"/>
    <w:rsid w:val="006A738A"/>
    <w:rsid w:val="006A7A5B"/>
    <w:rsid w:val="006B4A2F"/>
    <w:rsid w:val="006C188F"/>
    <w:rsid w:val="006C30AC"/>
    <w:rsid w:val="006C547E"/>
    <w:rsid w:val="006C6400"/>
    <w:rsid w:val="006C6921"/>
    <w:rsid w:val="006C78C8"/>
    <w:rsid w:val="006D0D42"/>
    <w:rsid w:val="006D256C"/>
    <w:rsid w:val="006D280A"/>
    <w:rsid w:val="006D2C3C"/>
    <w:rsid w:val="006D51AE"/>
    <w:rsid w:val="006D56D6"/>
    <w:rsid w:val="006D71F3"/>
    <w:rsid w:val="006E7B93"/>
    <w:rsid w:val="006F04B9"/>
    <w:rsid w:val="006F0E4B"/>
    <w:rsid w:val="006F2864"/>
    <w:rsid w:val="006F3C78"/>
    <w:rsid w:val="006F4CB0"/>
    <w:rsid w:val="006F5FC1"/>
    <w:rsid w:val="006F73D4"/>
    <w:rsid w:val="006F7717"/>
    <w:rsid w:val="006F7B16"/>
    <w:rsid w:val="0070221C"/>
    <w:rsid w:val="00704230"/>
    <w:rsid w:val="00707492"/>
    <w:rsid w:val="00707500"/>
    <w:rsid w:val="00711456"/>
    <w:rsid w:val="00711779"/>
    <w:rsid w:val="00713746"/>
    <w:rsid w:val="0071465E"/>
    <w:rsid w:val="00715E2D"/>
    <w:rsid w:val="0071645F"/>
    <w:rsid w:val="00717B19"/>
    <w:rsid w:val="00720778"/>
    <w:rsid w:val="00721447"/>
    <w:rsid w:val="0072195E"/>
    <w:rsid w:val="00724FFE"/>
    <w:rsid w:val="00727849"/>
    <w:rsid w:val="00727C26"/>
    <w:rsid w:val="00730863"/>
    <w:rsid w:val="00730A48"/>
    <w:rsid w:val="00731C63"/>
    <w:rsid w:val="00733A9F"/>
    <w:rsid w:val="007353FF"/>
    <w:rsid w:val="0073750D"/>
    <w:rsid w:val="00737EFD"/>
    <w:rsid w:val="0074097E"/>
    <w:rsid w:val="00740BA3"/>
    <w:rsid w:val="00740F8B"/>
    <w:rsid w:val="00741ABC"/>
    <w:rsid w:val="00741FEB"/>
    <w:rsid w:val="00743FAD"/>
    <w:rsid w:val="00744CC2"/>
    <w:rsid w:val="00750298"/>
    <w:rsid w:val="0075192C"/>
    <w:rsid w:val="00754393"/>
    <w:rsid w:val="00754E0D"/>
    <w:rsid w:val="007551AD"/>
    <w:rsid w:val="00755B6B"/>
    <w:rsid w:val="00760C34"/>
    <w:rsid w:val="00762219"/>
    <w:rsid w:val="00762810"/>
    <w:rsid w:val="00763696"/>
    <w:rsid w:val="0076716E"/>
    <w:rsid w:val="0076737B"/>
    <w:rsid w:val="007676CC"/>
    <w:rsid w:val="00771556"/>
    <w:rsid w:val="00773CAE"/>
    <w:rsid w:val="007775FF"/>
    <w:rsid w:val="007778D5"/>
    <w:rsid w:val="007813C6"/>
    <w:rsid w:val="0078149A"/>
    <w:rsid w:val="0078330B"/>
    <w:rsid w:val="00783AA9"/>
    <w:rsid w:val="0078750D"/>
    <w:rsid w:val="007917D9"/>
    <w:rsid w:val="007926F2"/>
    <w:rsid w:val="00792A75"/>
    <w:rsid w:val="00792E8C"/>
    <w:rsid w:val="00793630"/>
    <w:rsid w:val="0079439C"/>
    <w:rsid w:val="00795623"/>
    <w:rsid w:val="007A15BA"/>
    <w:rsid w:val="007A1A98"/>
    <w:rsid w:val="007A4132"/>
    <w:rsid w:val="007A4C79"/>
    <w:rsid w:val="007A539D"/>
    <w:rsid w:val="007A6766"/>
    <w:rsid w:val="007B00E2"/>
    <w:rsid w:val="007B07C8"/>
    <w:rsid w:val="007B2169"/>
    <w:rsid w:val="007B25CA"/>
    <w:rsid w:val="007B2D59"/>
    <w:rsid w:val="007B2FBA"/>
    <w:rsid w:val="007B35AC"/>
    <w:rsid w:val="007B3698"/>
    <w:rsid w:val="007B64C9"/>
    <w:rsid w:val="007B6C55"/>
    <w:rsid w:val="007C1AED"/>
    <w:rsid w:val="007C72BC"/>
    <w:rsid w:val="007D0FED"/>
    <w:rsid w:val="007D28AD"/>
    <w:rsid w:val="007D28F2"/>
    <w:rsid w:val="007D46D9"/>
    <w:rsid w:val="007D4826"/>
    <w:rsid w:val="007E0C41"/>
    <w:rsid w:val="007E2B40"/>
    <w:rsid w:val="007E41B0"/>
    <w:rsid w:val="007E490C"/>
    <w:rsid w:val="007E590D"/>
    <w:rsid w:val="007E665F"/>
    <w:rsid w:val="007F1537"/>
    <w:rsid w:val="007F301E"/>
    <w:rsid w:val="007F3107"/>
    <w:rsid w:val="007F4EC2"/>
    <w:rsid w:val="007F542D"/>
    <w:rsid w:val="007F6DE3"/>
    <w:rsid w:val="007F77CA"/>
    <w:rsid w:val="007F7F5B"/>
    <w:rsid w:val="008016EA"/>
    <w:rsid w:val="00802CBB"/>
    <w:rsid w:val="00802D0E"/>
    <w:rsid w:val="00803847"/>
    <w:rsid w:val="00803D8E"/>
    <w:rsid w:val="00803E4D"/>
    <w:rsid w:val="00805D2A"/>
    <w:rsid w:val="00810BDC"/>
    <w:rsid w:val="0081232A"/>
    <w:rsid w:val="00813970"/>
    <w:rsid w:val="00814FF4"/>
    <w:rsid w:val="00815372"/>
    <w:rsid w:val="00816771"/>
    <w:rsid w:val="0081686B"/>
    <w:rsid w:val="00817AF9"/>
    <w:rsid w:val="00820C78"/>
    <w:rsid w:val="00823E5E"/>
    <w:rsid w:val="00826BDE"/>
    <w:rsid w:val="00830E5D"/>
    <w:rsid w:val="00831441"/>
    <w:rsid w:val="00831E03"/>
    <w:rsid w:val="00834451"/>
    <w:rsid w:val="008348C4"/>
    <w:rsid w:val="00836842"/>
    <w:rsid w:val="00836ECC"/>
    <w:rsid w:val="008424C4"/>
    <w:rsid w:val="0084556C"/>
    <w:rsid w:val="008459C0"/>
    <w:rsid w:val="008464F8"/>
    <w:rsid w:val="00850B9E"/>
    <w:rsid w:val="00855B88"/>
    <w:rsid w:val="00855C34"/>
    <w:rsid w:val="00856390"/>
    <w:rsid w:val="00860C9A"/>
    <w:rsid w:val="0086126B"/>
    <w:rsid w:val="00862045"/>
    <w:rsid w:val="00863B62"/>
    <w:rsid w:val="00864E6C"/>
    <w:rsid w:val="00865D58"/>
    <w:rsid w:val="00867524"/>
    <w:rsid w:val="00867534"/>
    <w:rsid w:val="008708AC"/>
    <w:rsid w:val="00870CBA"/>
    <w:rsid w:val="00871697"/>
    <w:rsid w:val="00873ED8"/>
    <w:rsid w:val="008741A3"/>
    <w:rsid w:val="00876CE7"/>
    <w:rsid w:val="008803D1"/>
    <w:rsid w:val="00882574"/>
    <w:rsid w:val="008878FD"/>
    <w:rsid w:val="00892817"/>
    <w:rsid w:val="0089390A"/>
    <w:rsid w:val="00893CCD"/>
    <w:rsid w:val="00894BE1"/>
    <w:rsid w:val="00895C80"/>
    <w:rsid w:val="008A1AB9"/>
    <w:rsid w:val="008A4342"/>
    <w:rsid w:val="008A4368"/>
    <w:rsid w:val="008A4707"/>
    <w:rsid w:val="008A4A5F"/>
    <w:rsid w:val="008A65BE"/>
    <w:rsid w:val="008A6EC3"/>
    <w:rsid w:val="008B2FD7"/>
    <w:rsid w:val="008B6380"/>
    <w:rsid w:val="008B72D0"/>
    <w:rsid w:val="008B7307"/>
    <w:rsid w:val="008C02C5"/>
    <w:rsid w:val="008C1C36"/>
    <w:rsid w:val="008C25A1"/>
    <w:rsid w:val="008C31D9"/>
    <w:rsid w:val="008C32C5"/>
    <w:rsid w:val="008C4F88"/>
    <w:rsid w:val="008C58DC"/>
    <w:rsid w:val="008C6DA7"/>
    <w:rsid w:val="008D1FC8"/>
    <w:rsid w:val="008D408F"/>
    <w:rsid w:val="008E1B0B"/>
    <w:rsid w:val="008E326C"/>
    <w:rsid w:val="008E5AC6"/>
    <w:rsid w:val="008F0BEE"/>
    <w:rsid w:val="008F0FB1"/>
    <w:rsid w:val="008F160E"/>
    <w:rsid w:val="008F1645"/>
    <w:rsid w:val="008F1BD6"/>
    <w:rsid w:val="008F5C53"/>
    <w:rsid w:val="008F61D6"/>
    <w:rsid w:val="008F746F"/>
    <w:rsid w:val="008F7B2B"/>
    <w:rsid w:val="0090112D"/>
    <w:rsid w:val="00905D6A"/>
    <w:rsid w:val="00907CFC"/>
    <w:rsid w:val="00911103"/>
    <w:rsid w:val="00913645"/>
    <w:rsid w:val="0091524F"/>
    <w:rsid w:val="009157E5"/>
    <w:rsid w:val="00916936"/>
    <w:rsid w:val="009173A0"/>
    <w:rsid w:val="00920CF1"/>
    <w:rsid w:val="00921FB4"/>
    <w:rsid w:val="0093248F"/>
    <w:rsid w:val="00933F19"/>
    <w:rsid w:val="009359E2"/>
    <w:rsid w:val="00936A0C"/>
    <w:rsid w:val="009410E0"/>
    <w:rsid w:val="00942BAA"/>
    <w:rsid w:val="009437C5"/>
    <w:rsid w:val="00947511"/>
    <w:rsid w:val="00950BB5"/>
    <w:rsid w:val="00952592"/>
    <w:rsid w:val="00952C49"/>
    <w:rsid w:val="0095411F"/>
    <w:rsid w:val="00955F94"/>
    <w:rsid w:val="00956025"/>
    <w:rsid w:val="009563D4"/>
    <w:rsid w:val="00956659"/>
    <w:rsid w:val="009566A0"/>
    <w:rsid w:val="009574AF"/>
    <w:rsid w:val="009606E9"/>
    <w:rsid w:val="00960D77"/>
    <w:rsid w:val="009615C3"/>
    <w:rsid w:val="00962326"/>
    <w:rsid w:val="0096490C"/>
    <w:rsid w:val="009660AD"/>
    <w:rsid w:val="00966EEF"/>
    <w:rsid w:val="00967AE9"/>
    <w:rsid w:val="00971743"/>
    <w:rsid w:val="00972581"/>
    <w:rsid w:val="009734E0"/>
    <w:rsid w:val="00981C08"/>
    <w:rsid w:val="00981C3C"/>
    <w:rsid w:val="00984015"/>
    <w:rsid w:val="0098426C"/>
    <w:rsid w:val="00986186"/>
    <w:rsid w:val="009948B6"/>
    <w:rsid w:val="009975F9"/>
    <w:rsid w:val="009A032A"/>
    <w:rsid w:val="009A2A1F"/>
    <w:rsid w:val="009A7283"/>
    <w:rsid w:val="009A7C28"/>
    <w:rsid w:val="009B0AF5"/>
    <w:rsid w:val="009B42AB"/>
    <w:rsid w:val="009B5AF8"/>
    <w:rsid w:val="009B5FD8"/>
    <w:rsid w:val="009B6FE9"/>
    <w:rsid w:val="009C5027"/>
    <w:rsid w:val="009C5287"/>
    <w:rsid w:val="009C530D"/>
    <w:rsid w:val="009C6A20"/>
    <w:rsid w:val="009D30C4"/>
    <w:rsid w:val="009D44C3"/>
    <w:rsid w:val="009D5E06"/>
    <w:rsid w:val="009E1A87"/>
    <w:rsid w:val="009E3C3F"/>
    <w:rsid w:val="009E424F"/>
    <w:rsid w:val="009E464E"/>
    <w:rsid w:val="009E669B"/>
    <w:rsid w:val="009E6A66"/>
    <w:rsid w:val="009E7AF8"/>
    <w:rsid w:val="009F02C8"/>
    <w:rsid w:val="009F660F"/>
    <w:rsid w:val="009F76AD"/>
    <w:rsid w:val="00A0033C"/>
    <w:rsid w:val="00A02CA7"/>
    <w:rsid w:val="00A03E05"/>
    <w:rsid w:val="00A03F45"/>
    <w:rsid w:val="00A04D14"/>
    <w:rsid w:val="00A0661D"/>
    <w:rsid w:val="00A06A7D"/>
    <w:rsid w:val="00A10059"/>
    <w:rsid w:val="00A1572B"/>
    <w:rsid w:val="00A15B12"/>
    <w:rsid w:val="00A2091B"/>
    <w:rsid w:val="00A21DE3"/>
    <w:rsid w:val="00A24F4F"/>
    <w:rsid w:val="00A26B76"/>
    <w:rsid w:val="00A30CD9"/>
    <w:rsid w:val="00A32C16"/>
    <w:rsid w:val="00A36326"/>
    <w:rsid w:val="00A37F22"/>
    <w:rsid w:val="00A40067"/>
    <w:rsid w:val="00A415C5"/>
    <w:rsid w:val="00A4306E"/>
    <w:rsid w:val="00A4388D"/>
    <w:rsid w:val="00A44C9A"/>
    <w:rsid w:val="00A44EE2"/>
    <w:rsid w:val="00A46370"/>
    <w:rsid w:val="00A51664"/>
    <w:rsid w:val="00A52BF7"/>
    <w:rsid w:val="00A531CE"/>
    <w:rsid w:val="00A55054"/>
    <w:rsid w:val="00A56CC7"/>
    <w:rsid w:val="00A60821"/>
    <w:rsid w:val="00A64450"/>
    <w:rsid w:val="00A65F84"/>
    <w:rsid w:val="00A67848"/>
    <w:rsid w:val="00A7380D"/>
    <w:rsid w:val="00A75D5D"/>
    <w:rsid w:val="00A76FFB"/>
    <w:rsid w:val="00A77273"/>
    <w:rsid w:val="00A80609"/>
    <w:rsid w:val="00A825F4"/>
    <w:rsid w:val="00A83630"/>
    <w:rsid w:val="00A83869"/>
    <w:rsid w:val="00A9026C"/>
    <w:rsid w:val="00A90CE1"/>
    <w:rsid w:val="00A91B3F"/>
    <w:rsid w:val="00A931C3"/>
    <w:rsid w:val="00A935CF"/>
    <w:rsid w:val="00A937DC"/>
    <w:rsid w:val="00A96773"/>
    <w:rsid w:val="00AA1156"/>
    <w:rsid w:val="00AA1715"/>
    <w:rsid w:val="00AA1C8C"/>
    <w:rsid w:val="00AA29C5"/>
    <w:rsid w:val="00AA3276"/>
    <w:rsid w:val="00AA363D"/>
    <w:rsid w:val="00AA50DA"/>
    <w:rsid w:val="00AB22BE"/>
    <w:rsid w:val="00AB2F7C"/>
    <w:rsid w:val="00AB2FB9"/>
    <w:rsid w:val="00AB6047"/>
    <w:rsid w:val="00AB667C"/>
    <w:rsid w:val="00AB6FB1"/>
    <w:rsid w:val="00AC09D8"/>
    <w:rsid w:val="00AC1219"/>
    <w:rsid w:val="00AC14FE"/>
    <w:rsid w:val="00AC4564"/>
    <w:rsid w:val="00AC4C71"/>
    <w:rsid w:val="00AC4DED"/>
    <w:rsid w:val="00AC53DE"/>
    <w:rsid w:val="00AC7372"/>
    <w:rsid w:val="00AD1B9B"/>
    <w:rsid w:val="00AD31D5"/>
    <w:rsid w:val="00AD3AB8"/>
    <w:rsid w:val="00AD418C"/>
    <w:rsid w:val="00AE0FCC"/>
    <w:rsid w:val="00AE2B5C"/>
    <w:rsid w:val="00AE3A4D"/>
    <w:rsid w:val="00AE47DA"/>
    <w:rsid w:val="00AE4E53"/>
    <w:rsid w:val="00AE69C8"/>
    <w:rsid w:val="00AE7DC8"/>
    <w:rsid w:val="00AF027B"/>
    <w:rsid w:val="00AF0DFD"/>
    <w:rsid w:val="00AF1935"/>
    <w:rsid w:val="00AF3FA6"/>
    <w:rsid w:val="00AF4C5B"/>
    <w:rsid w:val="00AF577B"/>
    <w:rsid w:val="00AF597D"/>
    <w:rsid w:val="00AF5BA6"/>
    <w:rsid w:val="00AF681D"/>
    <w:rsid w:val="00AF7058"/>
    <w:rsid w:val="00AF79A7"/>
    <w:rsid w:val="00AF7AB5"/>
    <w:rsid w:val="00B0054C"/>
    <w:rsid w:val="00B0155C"/>
    <w:rsid w:val="00B0369F"/>
    <w:rsid w:val="00B04D69"/>
    <w:rsid w:val="00B06BB3"/>
    <w:rsid w:val="00B07EB9"/>
    <w:rsid w:val="00B07F9E"/>
    <w:rsid w:val="00B10026"/>
    <w:rsid w:val="00B10C96"/>
    <w:rsid w:val="00B11AEE"/>
    <w:rsid w:val="00B13564"/>
    <w:rsid w:val="00B13D8E"/>
    <w:rsid w:val="00B15AE4"/>
    <w:rsid w:val="00B15D7C"/>
    <w:rsid w:val="00B17126"/>
    <w:rsid w:val="00B17705"/>
    <w:rsid w:val="00B1797E"/>
    <w:rsid w:val="00B20F1A"/>
    <w:rsid w:val="00B24040"/>
    <w:rsid w:val="00B258C4"/>
    <w:rsid w:val="00B322CC"/>
    <w:rsid w:val="00B34913"/>
    <w:rsid w:val="00B374FF"/>
    <w:rsid w:val="00B37D83"/>
    <w:rsid w:val="00B415BD"/>
    <w:rsid w:val="00B422D7"/>
    <w:rsid w:val="00B430F1"/>
    <w:rsid w:val="00B447D8"/>
    <w:rsid w:val="00B462BE"/>
    <w:rsid w:val="00B47208"/>
    <w:rsid w:val="00B50FF2"/>
    <w:rsid w:val="00B519E6"/>
    <w:rsid w:val="00B52A74"/>
    <w:rsid w:val="00B53D64"/>
    <w:rsid w:val="00B6015C"/>
    <w:rsid w:val="00B6090E"/>
    <w:rsid w:val="00B63BF4"/>
    <w:rsid w:val="00B648DA"/>
    <w:rsid w:val="00B65014"/>
    <w:rsid w:val="00B6579D"/>
    <w:rsid w:val="00B6656F"/>
    <w:rsid w:val="00B67B44"/>
    <w:rsid w:val="00B714C0"/>
    <w:rsid w:val="00B72F6F"/>
    <w:rsid w:val="00B7320A"/>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15B5"/>
    <w:rsid w:val="00BA1650"/>
    <w:rsid w:val="00BA2FCA"/>
    <w:rsid w:val="00BA3829"/>
    <w:rsid w:val="00BA695A"/>
    <w:rsid w:val="00BA7681"/>
    <w:rsid w:val="00BB3058"/>
    <w:rsid w:val="00BB3D92"/>
    <w:rsid w:val="00BB54EF"/>
    <w:rsid w:val="00BB6032"/>
    <w:rsid w:val="00BC2D66"/>
    <w:rsid w:val="00BC5E46"/>
    <w:rsid w:val="00BC63E9"/>
    <w:rsid w:val="00BC6E4A"/>
    <w:rsid w:val="00BC7B93"/>
    <w:rsid w:val="00BD0ED6"/>
    <w:rsid w:val="00BD28FA"/>
    <w:rsid w:val="00BD3EF7"/>
    <w:rsid w:val="00BD41A5"/>
    <w:rsid w:val="00BD4DB9"/>
    <w:rsid w:val="00BD501C"/>
    <w:rsid w:val="00BD666F"/>
    <w:rsid w:val="00BD774B"/>
    <w:rsid w:val="00BD7E28"/>
    <w:rsid w:val="00BE362E"/>
    <w:rsid w:val="00BE4971"/>
    <w:rsid w:val="00BE5A8A"/>
    <w:rsid w:val="00BF03C0"/>
    <w:rsid w:val="00BF167A"/>
    <w:rsid w:val="00BF1ECF"/>
    <w:rsid w:val="00BF217B"/>
    <w:rsid w:val="00BF46F5"/>
    <w:rsid w:val="00BF4F89"/>
    <w:rsid w:val="00C00651"/>
    <w:rsid w:val="00C00DFB"/>
    <w:rsid w:val="00C00FAB"/>
    <w:rsid w:val="00C02744"/>
    <w:rsid w:val="00C0378B"/>
    <w:rsid w:val="00C03D85"/>
    <w:rsid w:val="00C055CF"/>
    <w:rsid w:val="00C06C2A"/>
    <w:rsid w:val="00C10573"/>
    <w:rsid w:val="00C118B1"/>
    <w:rsid w:val="00C126D4"/>
    <w:rsid w:val="00C159F8"/>
    <w:rsid w:val="00C17843"/>
    <w:rsid w:val="00C179DD"/>
    <w:rsid w:val="00C20527"/>
    <w:rsid w:val="00C24073"/>
    <w:rsid w:val="00C30BD1"/>
    <w:rsid w:val="00C31A7F"/>
    <w:rsid w:val="00C336AA"/>
    <w:rsid w:val="00C33C5D"/>
    <w:rsid w:val="00C345A6"/>
    <w:rsid w:val="00C348A7"/>
    <w:rsid w:val="00C406A7"/>
    <w:rsid w:val="00C40CDD"/>
    <w:rsid w:val="00C40FA9"/>
    <w:rsid w:val="00C42081"/>
    <w:rsid w:val="00C43B42"/>
    <w:rsid w:val="00C45108"/>
    <w:rsid w:val="00C46703"/>
    <w:rsid w:val="00C50BF5"/>
    <w:rsid w:val="00C540FB"/>
    <w:rsid w:val="00C550F5"/>
    <w:rsid w:val="00C5746C"/>
    <w:rsid w:val="00C57913"/>
    <w:rsid w:val="00C57B7C"/>
    <w:rsid w:val="00C604F8"/>
    <w:rsid w:val="00C60AF7"/>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50DB"/>
    <w:rsid w:val="00C76810"/>
    <w:rsid w:val="00C80823"/>
    <w:rsid w:val="00C81C23"/>
    <w:rsid w:val="00C83360"/>
    <w:rsid w:val="00C8359E"/>
    <w:rsid w:val="00C83E15"/>
    <w:rsid w:val="00C84144"/>
    <w:rsid w:val="00C8580E"/>
    <w:rsid w:val="00C86F6F"/>
    <w:rsid w:val="00C917FB"/>
    <w:rsid w:val="00C92F5F"/>
    <w:rsid w:val="00C93A31"/>
    <w:rsid w:val="00C93EF0"/>
    <w:rsid w:val="00C97E4A"/>
    <w:rsid w:val="00CA0E7A"/>
    <w:rsid w:val="00CA0FB4"/>
    <w:rsid w:val="00CA2952"/>
    <w:rsid w:val="00CA2ECB"/>
    <w:rsid w:val="00CA3285"/>
    <w:rsid w:val="00CA52EC"/>
    <w:rsid w:val="00CB25CB"/>
    <w:rsid w:val="00CB34C0"/>
    <w:rsid w:val="00CB6937"/>
    <w:rsid w:val="00CC28D4"/>
    <w:rsid w:val="00CC30FE"/>
    <w:rsid w:val="00CC356D"/>
    <w:rsid w:val="00CC37C8"/>
    <w:rsid w:val="00CC4ABE"/>
    <w:rsid w:val="00CC5AC7"/>
    <w:rsid w:val="00CC6119"/>
    <w:rsid w:val="00CC7449"/>
    <w:rsid w:val="00CD1323"/>
    <w:rsid w:val="00CD1407"/>
    <w:rsid w:val="00CD412F"/>
    <w:rsid w:val="00CD6B05"/>
    <w:rsid w:val="00CD74C4"/>
    <w:rsid w:val="00CE0A5D"/>
    <w:rsid w:val="00CE401A"/>
    <w:rsid w:val="00CE60D0"/>
    <w:rsid w:val="00CE629B"/>
    <w:rsid w:val="00CE6327"/>
    <w:rsid w:val="00CF3D0E"/>
    <w:rsid w:val="00CF51C3"/>
    <w:rsid w:val="00CF7548"/>
    <w:rsid w:val="00D0717F"/>
    <w:rsid w:val="00D1465F"/>
    <w:rsid w:val="00D149BF"/>
    <w:rsid w:val="00D21B38"/>
    <w:rsid w:val="00D3185F"/>
    <w:rsid w:val="00D3604C"/>
    <w:rsid w:val="00D3626D"/>
    <w:rsid w:val="00D44793"/>
    <w:rsid w:val="00D44FA7"/>
    <w:rsid w:val="00D45D76"/>
    <w:rsid w:val="00D461B9"/>
    <w:rsid w:val="00D4652D"/>
    <w:rsid w:val="00D50577"/>
    <w:rsid w:val="00D51EAD"/>
    <w:rsid w:val="00D52899"/>
    <w:rsid w:val="00D52C10"/>
    <w:rsid w:val="00D54A0D"/>
    <w:rsid w:val="00D56B23"/>
    <w:rsid w:val="00D57950"/>
    <w:rsid w:val="00D60040"/>
    <w:rsid w:val="00D61272"/>
    <w:rsid w:val="00D612BC"/>
    <w:rsid w:val="00D62E4E"/>
    <w:rsid w:val="00D64014"/>
    <w:rsid w:val="00D65D6A"/>
    <w:rsid w:val="00D725DB"/>
    <w:rsid w:val="00D740CC"/>
    <w:rsid w:val="00D74494"/>
    <w:rsid w:val="00D87DDB"/>
    <w:rsid w:val="00D916A1"/>
    <w:rsid w:val="00D921AE"/>
    <w:rsid w:val="00D93E44"/>
    <w:rsid w:val="00D94E21"/>
    <w:rsid w:val="00D957E9"/>
    <w:rsid w:val="00D95AD0"/>
    <w:rsid w:val="00D97943"/>
    <w:rsid w:val="00DA5110"/>
    <w:rsid w:val="00DA7E21"/>
    <w:rsid w:val="00DB016D"/>
    <w:rsid w:val="00DB1814"/>
    <w:rsid w:val="00DB1913"/>
    <w:rsid w:val="00DB3208"/>
    <w:rsid w:val="00DB5462"/>
    <w:rsid w:val="00DC0CA4"/>
    <w:rsid w:val="00DC1B47"/>
    <w:rsid w:val="00DC2354"/>
    <w:rsid w:val="00DC43AC"/>
    <w:rsid w:val="00DC4429"/>
    <w:rsid w:val="00DC560F"/>
    <w:rsid w:val="00DC5704"/>
    <w:rsid w:val="00DD0BEA"/>
    <w:rsid w:val="00DD282B"/>
    <w:rsid w:val="00DD2EB0"/>
    <w:rsid w:val="00DD36CF"/>
    <w:rsid w:val="00DD3E33"/>
    <w:rsid w:val="00DD497E"/>
    <w:rsid w:val="00DE11DC"/>
    <w:rsid w:val="00DE4166"/>
    <w:rsid w:val="00DE614D"/>
    <w:rsid w:val="00DE618B"/>
    <w:rsid w:val="00DE761C"/>
    <w:rsid w:val="00DE7A95"/>
    <w:rsid w:val="00DF05D8"/>
    <w:rsid w:val="00DF2127"/>
    <w:rsid w:val="00DF324D"/>
    <w:rsid w:val="00DF35A9"/>
    <w:rsid w:val="00DF3E33"/>
    <w:rsid w:val="00DF5244"/>
    <w:rsid w:val="00DF5758"/>
    <w:rsid w:val="00E0273F"/>
    <w:rsid w:val="00E061EF"/>
    <w:rsid w:val="00E06AEA"/>
    <w:rsid w:val="00E1001F"/>
    <w:rsid w:val="00E10FBF"/>
    <w:rsid w:val="00E13EEC"/>
    <w:rsid w:val="00E14E05"/>
    <w:rsid w:val="00E222D9"/>
    <w:rsid w:val="00E23AE8"/>
    <w:rsid w:val="00E243D7"/>
    <w:rsid w:val="00E25B59"/>
    <w:rsid w:val="00E273EF"/>
    <w:rsid w:val="00E30567"/>
    <w:rsid w:val="00E31865"/>
    <w:rsid w:val="00E34634"/>
    <w:rsid w:val="00E34E88"/>
    <w:rsid w:val="00E370BD"/>
    <w:rsid w:val="00E405C7"/>
    <w:rsid w:val="00E40DA2"/>
    <w:rsid w:val="00E418A5"/>
    <w:rsid w:val="00E41E87"/>
    <w:rsid w:val="00E41EFA"/>
    <w:rsid w:val="00E42FD2"/>
    <w:rsid w:val="00E45B12"/>
    <w:rsid w:val="00E50E1F"/>
    <w:rsid w:val="00E54034"/>
    <w:rsid w:val="00E6043C"/>
    <w:rsid w:val="00E60B40"/>
    <w:rsid w:val="00E64696"/>
    <w:rsid w:val="00E64D23"/>
    <w:rsid w:val="00E65928"/>
    <w:rsid w:val="00E65DB2"/>
    <w:rsid w:val="00E66630"/>
    <w:rsid w:val="00E67EA2"/>
    <w:rsid w:val="00E70B02"/>
    <w:rsid w:val="00E717A2"/>
    <w:rsid w:val="00E71B45"/>
    <w:rsid w:val="00E72DCD"/>
    <w:rsid w:val="00E75B4C"/>
    <w:rsid w:val="00E760B0"/>
    <w:rsid w:val="00E801F0"/>
    <w:rsid w:val="00E80F99"/>
    <w:rsid w:val="00E8184D"/>
    <w:rsid w:val="00E837E6"/>
    <w:rsid w:val="00E85540"/>
    <w:rsid w:val="00E858D6"/>
    <w:rsid w:val="00E8633C"/>
    <w:rsid w:val="00E91B19"/>
    <w:rsid w:val="00E9313A"/>
    <w:rsid w:val="00E93ADB"/>
    <w:rsid w:val="00E96700"/>
    <w:rsid w:val="00EA1693"/>
    <w:rsid w:val="00EA3469"/>
    <w:rsid w:val="00EA377B"/>
    <w:rsid w:val="00EA53E6"/>
    <w:rsid w:val="00EB0E19"/>
    <w:rsid w:val="00EB1105"/>
    <w:rsid w:val="00EB624F"/>
    <w:rsid w:val="00EB64DB"/>
    <w:rsid w:val="00EC09A8"/>
    <w:rsid w:val="00EC5844"/>
    <w:rsid w:val="00EC6283"/>
    <w:rsid w:val="00ED2978"/>
    <w:rsid w:val="00ED619A"/>
    <w:rsid w:val="00ED657F"/>
    <w:rsid w:val="00ED749D"/>
    <w:rsid w:val="00EE05EE"/>
    <w:rsid w:val="00EE0D72"/>
    <w:rsid w:val="00EE14D1"/>
    <w:rsid w:val="00EE5E3D"/>
    <w:rsid w:val="00EF22EB"/>
    <w:rsid w:val="00EF30D4"/>
    <w:rsid w:val="00EF3570"/>
    <w:rsid w:val="00EF3B9C"/>
    <w:rsid w:val="00EF4826"/>
    <w:rsid w:val="00F0030A"/>
    <w:rsid w:val="00F024F6"/>
    <w:rsid w:val="00F05030"/>
    <w:rsid w:val="00F05A92"/>
    <w:rsid w:val="00F11BFB"/>
    <w:rsid w:val="00F11EF5"/>
    <w:rsid w:val="00F130A9"/>
    <w:rsid w:val="00F13231"/>
    <w:rsid w:val="00F14772"/>
    <w:rsid w:val="00F155E8"/>
    <w:rsid w:val="00F156A8"/>
    <w:rsid w:val="00F16BF8"/>
    <w:rsid w:val="00F20A59"/>
    <w:rsid w:val="00F22B81"/>
    <w:rsid w:val="00F22FB8"/>
    <w:rsid w:val="00F23A1F"/>
    <w:rsid w:val="00F2417F"/>
    <w:rsid w:val="00F243D3"/>
    <w:rsid w:val="00F24B82"/>
    <w:rsid w:val="00F271B5"/>
    <w:rsid w:val="00F2738C"/>
    <w:rsid w:val="00F27BE6"/>
    <w:rsid w:val="00F30540"/>
    <w:rsid w:val="00F34098"/>
    <w:rsid w:val="00F3622B"/>
    <w:rsid w:val="00F43247"/>
    <w:rsid w:val="00F43570"/>
    <w:rsid w:val="00F46671"/>
    <w:rsid w:val="00F47637"/>
    <w:rsid w:val="00F5281C"/>
    <w:rsid w:val="00F557E0"/>
    <w:rsid w:val="00F61B76"/>
    <w:rsid w:val="00F630D1"/>
    <w:rsid w:val="00F66151"/>
    <w:rsid w:val="00F71F29"/>
    <w:rsid w:val="00F73D46"/>
    <w:rsid w:val="00F74FB5"/>
    <w:rsid w:val="00F756BC"/>
    <w:rsid w:val="00F776C8"/>
    <w:rsid w:val="00F80796"/>
    <w:rsid w:val="00F84A08"/>
    <w:rsid w:val="00F85D27"/>
    <w:rsid w:val="00F86A25"/>
    <w:rsid w:val="00F86ADA"/>
    <w:rsid w:val="00F92CCE"/>
    <w:rsid w:val="00F94FCC"/>
    <w:rsid w:val="00FA0279"/>
    <w:rsid w:val="00FA2FF8"/>
    <w:rsid w:val="00FA6FAD"/>
    <w:rsid w:val="00FA759D"/>
    <w:rsid w:val="00FB0C72"/>
    <w:rsid w:val="00FB0F73"/>
    <w:rsid w:val="00FB2169"/>
    <w:rsid w:val="00FB22A8"/>
    <w:rsid w:val="00FB2787"/>
    <w:rsid w:val="00FB389A"/>
    <w:rsid w:val="00FB4C68"/>
    <w:rsid w:val="00FB5C67"/>
    <w:rsid w:val="00FB64E3"/>
    <w:rsid w:val="00FB6F13"/>
    <w:rsid w:val="00FC1D97"/>
    <w:rsid w:val="00FC297E"/>
    <w:rsid w:val="00FC2E46"/>
    <w:rsid w:val="00FC3D5A"/>
    <w:rsid w:val="00FC4345"/>
    <w:rsid w:val="00FD115F"/>
    <w:rsid w:val="00FD1E7A"/>
    <w:rsid w:val="00FD2047"/>
    <w:rsid w:val="00FD4B28"/>
    <w:rsid w:val="00FD549F"/>
    <w:rsid w:val="00FD5726"/>
    <w:rsid w:val="00FD6804"/>
    <w:rsid w:val="00FD72A9"/>
    <w:rsid w:val="00FE0B94"/>
    <w:rsid w:val="00FE1935"/>
    <w:rsid w:val="00FE1CEE"/>
    <w:rsid w:val="00FE2710"/>
    <w:rsid w:val="00FE4260"/>
    <w:rsid w:val="00FE4618"/>
    <w:rsid w:val="00FE51FE"/>
    <w:rsid w:val="00FE53D2"/>
    <w:rsid w:val="00FE542D"/>
    <w:rsid w:val="00FE6669"/>
    <w:rsid w:val="00FE669E"/>
    <w:rsid w:val="00FE68B2"/>
    <w:rsid w:val="00FE7E03"/>
    <w:rsid w:val="00FF0963"/>
    <w:rsid w:val="00FF32E2"/>
    <w:rsid w:val="00FF3527"/>
    <w:rsid w:val="00FF3DD4"/>
    <w:rsid w:val="00FF4845"/>
    <w:rsid w:val="00FF6085"/>
    <w:rsid w:val="00FF7393"/>
    <w:rsid w:val="01536528"/>
    <w:rsid w:val="02421D02"/>
    <w:rsid w:val="05E933F5"/>
    <w:rsid w:val="05F23A3F"/>
    <w:rsid w:val="069B7C33"/>
    <w:rsid w:val="07BE007D"/>
    <w:rsid w:val="099A0675"/>
    <w:rsid w:val="0B5B1E16"/>
    <w:rsid w:val="0B744B0C"/>
    <w:rsid w:val="0BEB6F66"/>
    <w:rsid w:val="0C791B80"/>
    <w:rsid w:val="0C955188"/>
    <w:rsid w:val="0F225395"/>
    <w:rsid w:val="0FAD1102"/>
    <w:rsid w:val="121A5E17"/>
    <w:rsid w:val="12C363B1"/>
    <w:rsid w:val="132711CC"/>
    <w:rsid w:val="13FB7F63"/>
    <w:rsid w:val="14A34882"/>
    <w:rsid w:val="159D5775"/>
    <w:rsid w:val="169D3553"/>
    <w:rsid w:val="17667DE9"/>
    <w:rsid w:val="18115FA7"/>
    <w:rsid w:val="19777080"/>
    <w:rsid w:val="1B680783"/>
    <w:rsid w:val="1DCA7323"/>
    <w:rsid w:val="1DEC16E8"/>
    <w:rsid w:val="1E122A78"/>
    <w:rsid w:val="1E8C347C"/>
    <w:rsid w:val="1ED13DFB"/>
    <w:rsid w:val="1F313FDF"/>
    <w:rsid w:val="1F6B0692"/>
    <w:rsid w:val="224B72CB"/>
    <w:rsid w:val="23571659"/>
    <w:rsid w:val="244D0366"/>
    <w:rsid w:val="24577437"/>
    <w:rsid w:val="24D740D4"/>
    <w:rsid w:val="27930A0C"/>
    <w:rsid w:val="27DB3EDB"/>
    <w:rsid w:val="2816018C"/>
    <w:rsid w:val="2A1831C5"/>
    <w:rsid w:val="2A3F4BF5"/>
    <w:rsid w:val="2B6C2944"/>
    <w:rsid w:val="2CAB3B93"/>
    <w:rsid w:val="2D485B6F"/>
    <w:rsid w:val="2DDE64D3"/>
    <w:rsid w:val="2E30091E"/>
    <w:rsid w:val="2E424CB4"/>
    <w:rsid w:val="2F0361F1"/>
    <w:rsid w:val="30CE282F"/>
    <w:rsid w:val="31CC516B"/>
    <w:rsid w:val="31F862AE"/>
    <w:rsid w:val="340E7B7F"/>
    <w:rsid w:val="342310E4"/>
    <w:rsid w:val="34A02734"/>
    <w:rsid w:val="35DE2B48"/>
    <w:rsid w:val="36FC6348"/>
    <w:rsid w:val="37052D23"/>
    <w:rsid w:val="3A86417A"/>
    <w:rsid w:val="3ACF78CF"/>
    <w:rsid w:val="3AE8460D"/>
    <w:rsid w:val="3BA1126C"/>
    <w:rsid w:val="3E4405D4"/>
    <w:rsid w:val="3F6031EC"/>
    <w:rsid w:val="401D3FD3"/>
    <w:rsid w:val="40442B0E"/>
    <w:rsid w:val="413801F6"/>
    <w:rsid w:val="416F5F0D"/>
    <w:rsid w:val="41C2018E"/>
    <w:rsid w:val="41EE0F83"/>
    <w:rsid w:val="42D15B1E"/>
    <w:rsid w:val="43A35D9D"/>
    <w:rsid w:val="44160645"/>
    <w:rsid w:val="44765407"/>
    <w:rsid w:val="448D5140"/>
    <w:rsid w:val="45A1557E"/>
    <w:rsid w:val="45A81344"/>
    <w:rsid w:val="45C85647"/>
    <w:rsid w:val="480B1BC8"/>
    <w:rsid w:val="49277031"/>
    <w:rsid w:val="4B180E1F"/>
    <w:rsid w:val="4CA0731E"/>
    <w:rsid w:val="4D446617"/>
    <w:rsid w:val="4D6E11CA"/>
    <w:rsid w:val="4DB409F0"/>
    <w:rsid w:val="4DD40F69"/>
    <w:rsid w:val="50483F54"/>
    <w:rsid w:val="57A53A3A"/>
    <w:rsid w:val="5C634E4E"/>
    <w:rsid w:val="5C6B34A4"/>
    <w:rsid w:val="5D4D4958"/>
    <w:rsid w:val="5E565A8E"/>
    <w:rsid w:val="5E641D71"/>
    <w:rsid w:val="5E9428E3"/>
    <w:rsid w:val="5EDF1D3E"/>
    <w:rsid w:val="60B45075"/>
    <w:rsid w:val="670C5884"/>
    <w:rsid w:val="6876329A"/>
    <w:rsid w:val="696F0C5D"/>
    <w:rsid w:val="6A681023"/>
    <w:rsid w:val="6AEB57B0"/>
    <w:rsid w:val="6C040F28"/>
    <w:rsid w:val="6CC938CF"/>
    <w:rsid w:val="6CE4695B"/>
    <w:rsid w:val="6D1006A0"/>
    <w:rsid w:val="6E7361E8"/>
    <w:rsid w:val="703E276F"/>
    <w:rsid w:val="7104137A"/>
    <w:rsid w:val="71E53F7A"/>
    <w:rsid w:val="73293FFE"/>
    <w:rsid w:val="741C1FBD"/>
    <w:rsid w:val="769C07B3"/>
    <w:rsid w:val="76C53359"/>
    <w:rsid w:val="770A6B55"/>
    <w:rsid w:val="78880AE2"/>
    <w:rsid w:val="7A3D2A94"/>
    <w:rsid w:val="7AAD7D37"/>
    <w:rsid w:val="7B1B3E90"/>
    <w:rsid w:val="7BBD6DD7"/>
    <w:rsid w:val="7D2D1C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strokecolor="#385d8a">
      <v:fill on="f"/>
      <v:stroke color="#385d8a" weight="2pt"/>
    </o:shapedefaults>
    <o:shapelayout v:ext="edit">
      <o:idmap v:ext="edit" data="1"/>
    </o:shapelayout>
  </w:shapeDefaults>
  <w:decimalSymbol w:val="."/>
  <w:listSeparator w:val=","/>
  <w14:docId w14:val="1A5DFCBC"/>
  <w15:chartTrackingRefBased/>
  <w15:docId w15:val="{C8E54D08-134F-4555-8396-DB7A5267C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0"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semiHidden/>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a5"/>
    <w:semiHidden/>
    <w:pPr>
      <w:shd w:val="clear" w:color="auto" w:fill="000080"/>
    </w:pPr>
  </w:style>
  <w:style w:type="character" w:customStyle="1" w:styleId="a5">
    <w:name w:val="文档结构图 字符"/>
    <w:link w:val="a4"/>
    <w:semiHidden/>
    <w:rPr>
      <w:sz w:val="24"/>
      <w:shd w:val="clear" w:color="auto" w:fill="000080"/>
    </w:rPr>
  </w:style>
  <w:style w:type="paragraph" w:styleId="a6">
    <w:name w:val="annotation text"/>
    <w:basedOn w:val="a"/>
    <w:link w:val="a7"/>
    <w:uiPriority w:val="99"/>
    <w:semiHidden/>
  </w:style>
  <w:style w:type="character" w:customStyle="1" w:styleId="a7">
    <w:name w:val="批注文字 字符"/>
    <w:link w:val="a6"/>
    <w:uiPriority w:val="99"/>
    <w:semiHidden/>
    <w:rPr>
      <w:sz w:val="24"/>
    </w:rPr>
  </w:style>
  <w:style w:type="paragraph" w:styleId="a8">
    <w:name w:val="Body Text"/>
    <w:basedOn w:val="a"/>
    <w:semiHidden/>
    <w:rPr>
      <w:rFonts w:eastAsia="隶书"/>
      <w:sz w:val="52"/>
    </w:rPr>
  </w:style>
  <w:style w:type="paragraph" w:styleId="a9">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b">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c">
    <w:name w:val="Balloon Text"/>
    <w:basedOn w:val="a"/>
    <w:semiHidden/>
    <w:rPr>
      <w:sz w:val="18"/>
      <w:szCs w:val="18"/>
    </w:rPr>
  </w:style>
  <w:style w:type="paragraph" w:styleId="ad">
    <w:name w:val="footer"/>
    <w:basedOn w:val="a"/>
    <w:link w:val="ae"/>
    <w:uiPriority w:val="99"/>
    <w:pPr>
      <w:tabs>
        <w:tab w:val="center" w:pos="4153"/>
        <w:tab w:val="right" w:pos="8306"/>
      </w:tabs>
      <w:spacing w:line="240" w:lineRule="atLeast"/>
    </w:pPr>
    <w:rPr>
      <w:sz w:val="18"/>
    </w:rPr>
  </w:style>
  <w:style w:type="character" w:customStyle="1" w:styleId="ae">
    <w:name w:val="页脚 字符"/>
    <w:link w:val="ad"/>
    <w:uiPriority w:val="99"/>
    <w:rPr>
      <w:sz w:val="18"/>
    </w:rPr>
  </w:style>
  <w:style w:type="paragraph" w:styleId="af">
    <w:name w:val="header"/>
    <w:basedOn w:val="a"/>
    <w:link w:val="af0"/>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0">
    <w:name w:val="页眉 字符"/>
    <w:link w:val="af"/>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lang w:val="en-US" w:eastAsia="zh-CN"/>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lang w:val="en-US" w:eastAsia="zh-CN"/>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1">
    <w:name w:val="Normal (Web)"/>
    <w:basedOn w:val="a"/>
    <w:uiPriority w:val="99"/>
    <w:pPr>
      <w:widowControl/>
      <w:adjustRightInd/>
      <w:spacing w:line="360" w:lineRule="auto"/>
      <w:textAlignment w:val="auto"/>
    </w:pPr>
    <w:rPr>
      <w:rFonts w:ascii="宋体" w:hAnsi="宋体"/>
      <w:sz w:val="18"/>
      <w:szCs w:val="18"/>
    </w:rPr>
  </w:style>
  <w:style w:type="paragraph" w:styleId="af2">
    <w:name w:val="annotation subject"/>
    <w:basedOn w:val="a6"/>
    <w:next w:val="a6"/>
    <w:semiHidden/>
    <w:rPr>
      <w:b/>
      <w:bCs/>
    </w:rPr>
  </w:style>
  <w:style w:type="paragraph" w:styleId="af3">
    <w:name w:val="Body Text First Indent"/>
    <w:basedOn w:val="a8"/>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qFormat/>
    <w:rPr>
      <w:b/>
      <w:bCs/>
    </w:rPr>
  </w:style>
  <w:style w:type="character" w:styleId="af6">
    <w:name w:val="page number"/>
    <w:basedOn w:val="a0"/>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paragraph" w:customStyle="1" w:styleId="Normal">
    <w:name w:val="Normal"/>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styleId="afa">
    <w:name w:val="List Paragraph"/>
    <w:basedOn w:val="a"/>
    <w:uiPriority w:val="34"/>
    <w:qFormat/>
    <w:pPr>
      <w:ind w:firstLineChars="200" w:firstLine="420"/>
    </w:pPr>
  </w:style>
  <w:style w:type="paragraph" w:styleId="afb">
    <w:name w:val="No Spacing"/>
    <w:link w:val="afc"/>
    <w:uiPriority w:val="1"/>
    <w:qFormat/>
    <w:rPr>
      <w:rFonts w:ascii="Calibri" w:hAnsi="Calibri"/>
      <w:sz w:val="22"/>
      <w:szCs w:val="22"/>
    </w:rPr>
  </w:style>
  <w:style w:type="character" w:customStyle="1" w:styleId="afc">
    <w:name w:val="无间隔 字符"/>
    <w:link w:val="afb"/>
    <w:uiPriority w:val="1"/>
    <w:rPr>
      <w:rFonts w:ascii="Calibri" w:hAnsi="Calibri"/>
      <w:sz w:val="22"/>
      <w:szCs w:val="22"/>
    </w:rPr>
  </w:style>
  <w:style w:type="paragraph" w:customStyle="1" w:styleId="10">
    <w:name w:val="正文1"/>
    <w:pPr>
      <w:widowControl w:val="0"/>
      <w:adjustRightInd w:val="0"/>
      <w:spacing w:line="360" w:lineRule="atLeast"/>
      <w:jc w:val="center"/>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image" Target="media/image5.png"/><Relationship Id="rId21" Type="http://schemas.openxmlformats.org/officeDocument/2006/relationships/header" Target="header6.xml"/><Relationship Id="rId34" Type="http://schemas.openxmlformats.org/officeDocument/2006/relationships/chart" Target="charts/chart2.xml"/><Relationship Id="rId42" Type="http://schemas.openxmlformats.org/officeDocument/2006/relationships/header" Target="header11.xml"/><Relationship Id="rId47" Type="http://schemas.openxmlformats.org/officeDocument/2006/relationships/image" Target="media/image10.jpeg"/><Relationship Id="rId50" Type="http://schemas.openxmlformats.org/officeDocument/2006/relationships/header" Target="header1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8.xml"/><Relationship Id="rId11" Type="http://schemas.openxmlformats.org/officeDocument/2006/relationships/comments" Target="comments.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chart" Target="charts/chart5.xml"/><Relationship Id="rId40" Type="http://schemas.openxmlformats.org/officeDocument/2006/relationships/hyperlink" Target="javascript:" TargetMode="External"/><Relationship Id="rId45" Type="http://schemas.openxmlformats.org/officeDocument/2006/relationships/image" Target="media/image8.png"/><Relationship Id="rId53" Type="http://schemas.microsoft.com/office/2011/relationships/people" Target="people.xml"/><Relationship Id="rId5" Type="http://schemas.openxmlformats.org/officeDocument/2006/relationships/footnotes" Target="footnotes.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image" Target="media/image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microsoft.com/office/2018/08/relationships/commentsExtensible" Target="commentsExtensible.xml"/><Relationship Id="rId22" Type="http://schemas.openxmlformats.org/officeDocument/2006/relationships/footer" Target="footer6.xml"/><Relationship Id="rId27" Type="http://schemas.openxmlformats.org/officeDocument/2006/relationships/image" Target="media/image2.png"/><Relationship Id="rId30" Type="http://schemas.openxmlformats.org/officeDocument/2006/relationships/header" Target="header10.xml"/><Relationship Id="rId35" Type="http://schemas.openxmlformats.org/officeDocument/2006/relationships/chart" Target="charts/chart3.xml"/><Relationship Id="rId43" Type="http://schemas.openxmlformats.org/officeDocument/2006/relationships/footer" Target="footer11.xml"/><Relationship Id="rId48" Type="http://schemas.openxmlformats.org/officeDocument/2006/relationships/image" Target="media/image11.jpeg"/><Relationship Id="rId8" Type="http://schemas.openxmlformats.org/officeDocument/2006/relationships/footer" Target="footer1.xml"/><Relationship Id="rId51" Type="http://schemas.openxmlformats.org/officeDocument/2006/relationships/footer" Target="footer13.xml"/><Relationship Id="rId3"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chart" Target="charts/chart1.xml"/><Relationship Id="rId38" Type="http://schemas.openxmlformats.org/officeDocument/2006/relationships/image" Target="media/image4.png"/><Relationship Id="rId46" Type="http://schemas.openxmlformats.org/officeDocument/2006/relationships/image" Target="media/image9.jpeg"/><Relationship Id="rId20" Type="http://schemas.openxmlformats.org/officeDocument/2006/relationships/footer" Target="footer5.xml"/><Relationship Id="rId41" Type="http://schemas.openxmlformats.org/officeDocument/2006/relationships/hyperlink" Target="javascript:"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chart" Target="charts/chart4.xml"/><Relationship Id="rId49" Type="http://schemas.openxmlformats.org/officeDocument/2006/relationships/footer" Target="footer1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l\cl\&#38108;&#29275;&#38598;&#22242;&#22320;.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1382;&#24180;&#22303;&#22320;&#25104;&#20132;&#21450;&#20844;&#21578;&#21830;&#21150;2025&#24180;4&#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1382;&#24180;&#22303;&#22320;&#25104;&#20132;&#21450;&#20844;&#21578;&#21830;&#21150;2025&#24180;4&#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5968;&#25454;&#27719;&#38598;&#20998;&#26512;-&#21830;&#21150;-2025&#24180;4&#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5968;&#25454;&#27719;&#38598;&#20998;&#26512;-&#21830;&#21150;-2025&#24180;4&#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065-4261-98BA-5CCF935CF298}"/>
                </c:ext>
              </c:extLst>
            </c:dLbl>
            <c:dLbl>
              <c:idx val="1"/>
              <c:delete val="1"/>
              <c:extLst>
                <c:ext xmlns:c15="http://schemas.microsoft.com/office/drawing/2012/chart" uri="{CE6537A1-D6FC-4f65-9D91-7224C49458BB}"/>
                <c:ext xmlns:c16="http://schemas.microsoft.com/office/drawing/2014/chart" uri="{C3380CC4-5D6E-409C-BE32-E72D297353CC}">
                  <c16:uniqueId val="{00000001-3065-4261-98BA-5CCF935CF298}"/>
                </c:ext>
              </c:extLst>
            </c:dLbl>
            <c:dLbl>
              <c:idx val="2"/>
              <c:delete val="1"/>
              <c:extLst>
                <c:ext xmlns:c15="http://schemas.microsoft.com/office/drawing/2012/chart" uri="{CE6537A1-D6FC-4f65-9D91-7224C49458BB}"/>
                <c:ext xmlns:c16="http://schemas.microsoft.com/office/drawing/2014/chart" uri="{C3380CC4-5D6E-409C-BE32-E72D297353CC}">
                  <c16:uniqueId val="{00000002-3065-4261-98BA-5CCF935CF298}"/>
                </c:ext>
              </c:extLst>
            </c:dLbl>
            <c:dLbl>
              <c:idx val="3"/>
              <c:delete val="1"/>
              <c:extLst>
                <c:ext xmlns:c15="http://schemas.microsoft.com/office/drawing/2012/chart" uri="{CE6537A1-D6FC-4f65-9D91-7224C49458BB}"/>
                <c:ext xmlns:c16="http://schemas.microsoft.com/office/drawing/2014/chart" uri="{C3380CC4-5D6E-409C-BE32-E72D297353CC}">
                  <c16:uniqueId val="{00000003-3065-4261-98BA-5CCF935CF298}"/>
                </c:ext>
              </c:extLst>
            </c:dLbl>
            <c:dLbl>
              <c:idx val="4"/>
              <c:delete val="1"/>
              <c:extLst>
                <c:ext xmlns:c15="http://schemas.microsoft.com/office/drawing/2012/chart" uri="{CE6537A1-D6FC-4f65-9D91-7224C49458BB}"/>
                <c:ext xmlns:c16="http://schemas.microsoft.com/office/drawing/2014/chart" uri="{C3380CC4-5D6E-409C-BE32-E72D297353CC}">
                  <c16:uniqueId val="{00000004-3065-4261-98BA-5CCF935CF298}"/>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65-4261-98BA-5CCF935CF2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公告和成交建面!$B$4:$B$9</c:f>
              <c:numCache>
                <c:formatCode>General</c:formatCode>
                <c:ptCount val="6"/>
                <c:pt idx="0">
                  <c:v>127.4</c:v>
                </c:pt>
                <c:pt idx="1">
                  <c:v>107.96</c:v>
                </c:pt>
                <c:pt idx="2">
                  <c:v>81.36</c:v>
                </c:pt>
                <c:pt idx="3">
                  <c:v>178.96</c:v>
                </c:pt>
                <c:pt idx="4">
                  <c:v>68.73</c:v>
                </c:pt>
                <c:pt idx="5" formatCode="0.00">
                  <c:v>78.75</c:v>
                </c:pt>
              </c:numCache>
            </c:numRef>
          </c:val>
          <c:extLst>
            <c:ext xmlns:c16="http://schemas.microsoft.com/office/drawing/2014/chart" uri="{C3380CC4-5D6E-409C-BE32-E72D297353CC}">
              <c16:uniqueId val="{00000006-3065-4261-98BA-5CCF935CF298}"/>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3065-4261-98BA-5CCF935CF298}"/>
                </c:ext>
              </c:extLst>
            </c:dLbl>
            <c:dLbl>
              <c:idx val="1"/>
              <c:delete val="1"/>
              <c:extLst>
                <c:ext xmlns:c15="http://schemas.microsoft.com/office/drawing/2012/chart" uri="{CE6537A1-D6FC-4f65-9D91-7224C49458BB}"/>
                <c:ext xmlns:c16="http://schemas.microsoft.com/office/drawing/2014/chart" uri="{C3380CC4-5D6E-409C-BE32-E72D297353CC}">
                  <c16:uniqueId val="{00000008-3065-4261-98BA-5CCF935CF298}"/>
                </c:ext>
              </c:extLst>
            </c:dLbl>
            <c:dLbl>
              <c:idx val="2"/>
              <c:delete val="1"/>
              <c:extLst>
                <c:ext xmlns:c15="http://schemas.microsoft.com/office/drawing/2012/chart" uri="{CE6537A1-D6FC-4f65-9D91-7224C49458BB}"/>
                <c:ext xmlns:c16="http://schemas.microsoft.com/office/drawing/2014/chart" uri="{C3380CC4-5D6E-409C-BE32-E72D297353CC}">
                  <c16:uniqueId val="{00000009-3065-4261-98BA-5CCF935CF298}"/>
                </c:ext>
              </c:extLst>
            </c:dLbl>
            <c:dLbl>
              <c:idx val="3"/>
              <c:delete val="1"/>
              <c:extLst>
                <c:ext xmlns:c15="http://schemas.microsoft.com/office/drawing/2012/chart" uri="{CE6537A1-D6FC-4f65-9D91-7224C49458BB}"/>
                <c:ext xmlns:c16="http://schemas.microsoft.com/office/drawing/2014/chart" uri="{C3380CC4-5D6E-409C-BE32-E72D297353CC}">
                  <c16:uniqueId val="{0000000A-3065-4261-98BA-5CCF935CF298}"/>
                </c:ext>
              </c:extLst>
            </c:dLbl>
            <c:dLbl>
              <c:idx val="4"/>
              <c:delete val="1"/>
              <c:extLst>
                <c:ext xmlns:c15="http://schemas.microsoft.com/office/drawing/2012/chart" uri="{CE6537A1-D6FC-4f65-9D91-7224C49458BB}"/>
                <c:ext xmlns:c16="http://schemas.microsoft.com/office/drawing/2014/chart" uri="{C3380CC4-5D6E-409C-BE32-E72D297353CC}">
                  <c16:uniqueId val="{0000000B-3065-4261-98BA-5CCF935CF298}"/>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65-4261-98BA-5CCF935CF2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公告和成交建面!$C$4:$C$9</c:f>
              <c:numCache>
                <c:formatCode>General</c:formatCode>
                <c:ptCount val="6"/>
                <c:pt idx="0">
                  <c:v>127.33</c:v>
                </c:pt>
                <c:pt idx="1">
                  <c:v>70.36</c:v>
                </c:pt>
                <c:pt idx="2">
                  <c:v>78.680000000000007</c:v>
                </c:pt>
                <c:pt idx="3">
                  <c:v>158.1</c:v>
                </c:pt>
                <c:pt idx="4">
                  <c:v>102.78</c:v>
                </c:pt>
                <c:pt idx="5">
                  <c:v>78.75</c:v>
                </c:pt>
              </c:numCache>
            </c:numRef>
          </c:val>
          <c:extLst>
            <c:ext xmlns:c16="http://schemas.microsoft.com/office/drawing/2014/chart" uri="{C3380CC4-5D6E-409C-BE32-E72D297353CC}">
              <c16:uniqueId val="{0000000D-3065-4261-98BA-5CCF935CF298}"/>
            </c:ext>
          </c:extLst>
        </c:ser>
        <c:dLbls>
          <c:showLegendKey val="0"/>
          <c:showVal val="0"/>
          <c:showCatName val="0"/>
          <c:showSerName val="0"/>
          <c:showPercent val="0"/>
          <c:showBubbleSize val="0"/>
        </c:dLbls>
        <c:gapWidth val="150"/>
        <c:axId val="321348096"/>
        <c:axId val="290178176"/>
      </c:barChart>
      <c:catAx>
        <c:axId val="321348096"/>
        <c:scaling>
          <c:orientation val="minMax"/>
        </c:scaling>
        <c:delete val="0"/>
        <c:axPos val="b"/>
        <c:numFmt formatCode="General" sourceLinked="0"/>
        <c:majorTickMark val="out"/>
        <c:minorTickMark val="none"/>
        <c:tickLblPos val="nextTo"/>
        <c:crossAx val="290178176"/>
        <c:crosses val="autoZero"/>
        <c:auto val="1"/>
        <c:lblAlgn val="ctr"/>
        <c:lblOffset val="100"/>
        <c:noMultiLvlLbl val="0"/>
      </c:catAx>
      <c:valAx>
        <c:axId val="290178176"/>
        <c:scaling>
          <c:orientation val="minMax"/>
        </c:scaling>
        <c:delete val="0"/>
        <c:axPos val="l"/>
        <c:majorGridlines/>
        <c:numFmt formatCode="General" sourceLinked="1"/>
        <c:majorTickMark val="out"/>
        <c:minorTickMark val="none"/>
        <c:tickLblPos val="nextTo"/>
        <c:crossAx val="3213480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14986</c:v>
                </c:pt>
              </c:numCache>
            </c:numRef>
          </c:val>
          <c:smooth val="0"/>
          <c:extLst>
            <c:ext xmlns:c16="http://schemas.microsoft.com/office/drawing/2014/chart" uri="{C3380CC4-5D6E-409C-BE32-E72D297353CC}">
              <c16:uniqueId val="{00000000-4C97-4439-B9BB-BDF6BD6345F9}"/>
            </c:ext>
          </c:extLst>
        </c:ser>
        <c:dLbls>
          <c:showLegendKey val="0"/>
          <c:showVal val="0"/>
          <c:showCatName val="0"/>
          <c:showSerName val="0"/>
          <c:showPercent val="0"/>
          <c:showBubbleSize val="0"/>
        </c:dLbls>
        <c:marker val="1"/>
        <c:smooth val="0"/>
        <c:axId val="321349632"/>
        <c:axId val="290180480"/>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4C97-4439-B9BB-BDF6BD6345F9}"/>
            </c:ext>
          </c:extLst>
        </c:ser>
        <c:dLbls>
          <c:showLegendKey val="0"/>
          <c:showVal val="0"/>
          <c:showCatName val="0"/>
          <c:showSerName val="0"/>
          <c:showPercent val="0"/>
          <c:showBubbleSize val="0"/>
        </c:dLbls>
        <c:marker val="1"/>
        <c:smooth val="0"/>
        <c:axId val="395116032"/>
        <c:axId val="290181056"/>
      </c:lineChart>
      <c:catAx>
        <c:axId val="321349632"/>
        <c:scaling>
          <c:orientation val="minMax"/>
        </c:scaling>
        <c:delete val="0"/>
        <c:axPos val="b"/>
        <c:numFmt formatCode="General" sourceLinked="0"/>
        <c:majorTickMark val="out"/>
        <c:minorTickMark val="none"/>
        <c:tickLblPos val="nextTo"/>
        <c:crossAx val="290180480"/>
        <c:crosses val="autoZero"/>
        <c:auto val="1"/>
        <c:lblAlgn val="ctr"/>
        <c:lblOffset val="100"/>
        <c:noMultiLvlLbl val="0"/>
      </c:catAx>
      <c:valAx>
        <c:axId val="290180480"/>
        <c:scaling>
          <c:orientation val="minMax"/>
        </c:scaling>
        <c:delete val="0"/>
        <c:axPos val="l"/>
        <c:majorGridlines/>
        <c:numFmt formatCode="General" sourceLinked="1"/>
        <c:majorTickMark val="out"/>
        <c:minorTickMark val="none"/>
        <c:tickLblPos val="nextTo"/>
        <c:crossAx val="321349632"/>
        <c:crosses val="autoZero"/>
        <c:crossBetween val="between"/>
      </c:valAx>
      <c:valAx>
        <c:axId val="290181056"/>
        <c:scaling>
          <c:orientation val="minMax"/>
          <c:max val="5.000000000000001E-3"/>
        </c:scaling>
        <c:delete val="0"/>
        <c:axPos val="r"/>
        <c:numFmt formatCode="0.00%" sourceLinked="1"/>
        <c:majorTickMark val="out"/>
        <c:minorTickMark val="none"/>
        <c:tickLblPos val="nextTo"/>
        <c:crossAx val="395116032"/>
        <c:crosses val="max"/>
        <c:crossBetween val="between"/>
        <c:majorUnit val="1.0000000000000002E-3"/>
      </c:valAx>
      <c:catAx>
        <c:axId val="395116032"/>
        <c:scaling>
          <c:orientation val="minMax"/>
        </c:scaling>
        <c:delete val="1"/>
        <c:axPos val="b"/>
        <c:numFmt formatCode="General" sourceLinked="1"/>
        <c:majorTickMark val="out"/>
        <c:minorTickMark val="none"/>
        <c:tickLblPos val="nextTo"/>
        <c:crossAx val="29018105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'2025年地价监测结果'!$D$15:$D$24</c:f>
              <c:numCache>
                <c:formatCode>0.00%</c:formatCode>
                <c:ptCount val="10"/>
                <c:pt idx="0">
                  <c:v>5.0000000000000001E-3</c:v>
                </c:pt>
                <c:pt idx="1">
                  <c:v>2.3999999999999998E-3</c:v>
                </c:pt>
                <c:pt idx="2">
                  <c:v>4.5999999999999999E-3</c:v>
                </c:pt>
                <c:pt idx="3">
                  <c:v>-2.0999999999999999E-3</c:v>
                </c:pt>
                <c:pt idx="4">
                  <c:v>-4.7000000000000002E-3</c:v>
                </c:pt>
                <c:pt idx="5">
                  <c:v>-4.7999999999999996E-3</c:v>
                </c:pt>
                <c:pt idx="6">
                  <c:v>-5.7000000000000002E-3</c:v>
                </c:pt>
                <c:pt idx="7">
                  <c:v>-6.1999999999999998E-3</c:v>
                </c:pt>
                <c:pt idx="8">
                  <c:v>-2.2000000000000001E-3</c:v>
                </c:pt>
                <c:pt idx="9">
                  <c:v>-8.9999999999999993E-3</c:v>
                </c:pt>
              </c:numCache>
            </c:numRef>
          </c:val>
          <c:smooth val="0"/>
          <c:extLst>
            <c:ext xmlns:c16="http://schemas.microsoft.com/office/drawing/2014/chart" uri="{C3380CC4-5D6E-409C-BE32-E72D297353CC}">
              <c16:uniqueId val="{00000000-489C-483D-8D6F-132EE1D65F66}"/>
            </c:ext>
          </c:extLst>
        </c:ser>
        <c:ser>
          <c:idx val="2"/>
          <c:order val="1"/>
          <c:tx>
            <c:strRef>
              <c:f>'2025年地价监测结果'!$J$4</c:f>
              <c:strCache>
                <c:ptCount val="1"/>
                <c:pt idx="0">
                  <c:v>办公（中心城区）</c:v>
                </c:pt>
              </c:strCache>
            </c:strRef>
          </c:tx>
          <c:spPr>
            <a:ln w="22225"/>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'2025年地价监测结果'!$J$15:$J$24</c:f>
              <c:numCache>
                <c:formatCode>0.00%</c:formatCode>
                <c:ptCount val="10"/>
                <c:pt idx="0">
                  <c:v>3.0999999999999999E-3</c:v>
                </c:pt>
                <c:pt idx="1">
                  <c:v>-1.6000000000000001E-3</c:v>
                </c:pt>
                <c:pt idx="2">
                  <c:v>-1.6000000000000001E-3</c:v>
                </c:pt>
                <c:pt idx="3">
                  <c:v>-1.38E-2</c:v>
                </c:pt>
                <c:pt idx="4">
                  <c:v>-2.8999999999999998E-3</c:v>
                </c:pt>
                <c:pt idx="5">
                  <c:v>-7.4999999999999997E-3</c:v>
                </c:pt>
                <c:pt idx="6">
                  <c:v>-8.9999999999999993E-3</c:v>
                </c:pt>
                <c:pt idx="7">
                  <c:v>-1.0500000000000001E-2</c:v>
                </c:pt>
                <c:pt idx="8">
                  <c:v>-8.2000000000000007E-3</c:v>
                </c:pt>
                <c:pt idx="9">
                  <c:v>-4.7000000000000002E-3</c:v>
                </c:pt>
              </c:numCache>
            </c:numRef>
          </c:val>
          <c:smooth val="0"/>
          <c:extLst>
            <c:ext xmlns:c16="http://schemas.microsoft.com/office/drawing/2014/chart" uri="{C3380CC4-5D6E-409C-BE32-E72D297353CC}">
              <c16:uniqueId val="{00000001-489C-483D-8D6F-132EE1D65F66}"/>
            </c:ext>
          </c:extLst>
        </c:ser>
        <c:dLbls>
          <c:showLegendKey val="0"/>
          <c:showVal val="0"/>
          <c:showCatName val="0"/>
          <c:showSerName val="0"/>
          <c:showPercent val="0"/>
          <c:showBubbleSize val="0"/>
        </c:dLbls>
        <c:smooth val="0"/>
        <c:axId val="439128064"/>
        <c:axId val="438159616"/>
      </c:lineChart>
      <c:catAx>
        <c:axId val="439128064"/>
        <c:scaling>
          <c:orientation val="minMax"/>
        </c:scaling>
        <c:delete val="0"/>
        <c:axPos val="b"/>
        <c:numFmt formatCode="General" sourceLinked="1"/>
        <c:majorTickMark val="none"/>
        <c:minorTickMark val="none"/>
        <c:tickLblPos val="low"/>
        <c:crossAx val="438159616"/>
        <c:crosses val="autoZero"/>
        <c:auto val="1"/>
        <c:lblAlgn val="ctr"/>
        <c:lblOffset val="100"/>
        <c:noMultiLvlLbl val="0"/>
      </c:catAx>
      <c:valAx>
        <c:axId val="4381596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280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'2025年地价监测结果'!$G$15:$G$24</c:f>
              <c:numCache>
                <c:formatCode>0.00%</c:formatCode>
                <c:ptCount val="10"/>
                <c:pt idx="0">
                  <c:v>3.5000000000000001E-3</c:v>
                </c:pt>
                <c:pt idx="1">
                  <c:v>6.9999999999999999E-4</c:v>
                </c:pt>
                <c:pt idx="2">
                  <c:v>2.5000000000000001E-3</c:v>
                </c:pt>
                <c:pt idx="3">
                  <c:v>-3.0999999999999999E-3</c:v>
                </c:pt>
                <c:pt idx="4">
                  <c:v>-6.6E-3</c:v>
                </c:pt>
                <c:pt idx="5">
                  <c:v>-6.1000000000000004E-3</c:v>
                </c:pt>
                <c:pt idx="6">
                  <c:v>-1.47E-2</c:v>
                </c:pt>
                <c:pt idx="7">
                  <c:v>-3.0999999999999999E-3</c:v>
                </c:pt>
                <c:pt idx="8">
                  <c:v>-8.0000000000000002E-3</c:v>
                </c:pt>
                <c:pt idx="9">
                  <c:v>-2.0500000000000001E-2</c:v>
                </c:pt>
              </c:numCache>
            </c:numRef>
          </c:val>
          <c:smooth val="0"/>
          <c:extLst>
            <c:ext xmlns:c16="http://schemas.microsoft.com/office/drawing/2014/chart" uri="{C3380CC4-5D6E-409C-BE32-E72D297353CC}">
              <c16:uniqueId val="{00000000-EAA6-447D-AF59-94301255E052}"/>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'2025年地价监测结果'!$I$15:$I$24</c:f>
              <c:numCache>
                <c:formatCode>0.00%</c:formatCode>
                <c:ptCount val="10"/>
                <c:pt idx="0">
                  <c:v>1.6999999999999999E-3</c:v>
                </c:pt>
                <c:pt idx="1">
                  <c:v>8.9999999999999998E-4</c:v>
                </c:pt>
                <c:pt idx="2">
                  <c:v>4.0000000000000001E-3</c:v>
                </c:pt>
                <c:pt idx="3">
                  <c:v>-3.8999999999999998E-3</c:v>
                </c:pt>
                <c:pt idx="4">
                  <c:v>-5.1999999999999998E-3</c:v>
                </c:pt>
                <c:pt idx="5">
                  <c:v>-7.1000000000000004E-3</c:v>
                </c:pt>
                <c:pt idx="6">
                  <c:v>-9.7999999999999997E-3</c:v>
                </c:pt>
                <c:pt idx="7">
                  <c:v>-1.03E-2</c:v>
                </c:pt>
                <c:pt idx="8">
                  <c:v>-1.4500000000000001E-2</c:v>
                </c:pt>
                <c:pt idx="9">
                  <c:v>-3.6799999999999999E-2</c:v>
                </c:pt>
              </c:numCache>
            </c:numRef>
          </c:val>
          <c:smooth val="0"/>
          <c:extLst>
            <c:ext xmlns:c16="http://schemas.microsoft.com/office/drawing/2014/chart" uri="{C3380CC4-5D6E-409C-BE32-E72D297353CC}">
              <c16:uniqueId val="{00000001-EAA6-447D-AF59-94301255E052}"/>
            </c:ext>
          </c:extLst>
        </c:ser>
        <c:dLbls>
          <c:showLegendKey val="0"/>
          <c:showVal val="0"/>
          <c:showCatName val="0"/>
          <c:showSerName val="0"/>
          <c:showPercent val="0"/>
          <c:showBubbleSize val="0"/>
        </c:dLbls>
        <c:smooth val="0"/>
        <c:axId val="439130624"/>
        <c:axId val="438161920"/>
      </c:lineChart>
      <c:catAx>
        <c:axId val="439130624"/>
        <c:scaling>
          <c:orientation val="minMax"/>
        </c:scaling>
        <c:delete val="0"/>
        <c:axPos val="b"/>
        <c:numFmt formatCode="General" sourceLinked="1"/>
        <c:majorTickMark val="none"/>
        <c:minorTickMark val="none"/>
        <c:tickLblPos val="low"/>
        <c:crossAx val="438161920"/>
        <c:crosses val="autoZero"/>
        <c:auto val="1"/>
        <c:lblAlgn val="ctr"/>
        <c:lblOffset val="100"/>
        <c:noMultiLvlLbl val="0"/>
      </c:catAx>
      <c:valAx>
        <c:axId val="438161920"/>
        <c:scaling>
          <c:orientation val="minMax"/>
          <c:max val="1.0000000000000002E-2"/>
          <c:min val="-4.0000000000000008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30624"/>
        <c:crosses val="autoZero"/>
        <c:crossBetween val="midCat"/>
        <c:majorUnit val="5.000000000000001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铜牛集团地.dot</Template>
  <TotalTime>22</TotalTime>
  <Pages>57</Pages>
  <Words>5937</Words>
  <Characters>33844</Characters>
  <Application>Microsoft Office Word</Application>
  <DocSecurity>0</DocSecurity>
  <Lines>282</Lines>
  <Paragraphs>79</Paragraphs>
  <ScaleCrop>false</ScaleCrop>
  <Company>Microsoft</Company>
  <LinksUpToDate>false</LinksUpToDate>
  <CharactersWithSpaces>39702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皓源 许</cp:lastModifiedBy>
  <cp:revision>4</cp:revision>
  <cp:lastPrinted>2019-04-08T03:25:00Z</cp:lastPrinted>
  <dcterms:created xsi:type="dcterms:W3CDTF">2026-01-27T06:12:00Z</dcterms:created>
  <dcterms:modified xsi:type="dcterms:W3CDTF">2026-01-27T06:32:00Z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eyJoZGlkIjoiOTcwMTMwZTgwZjBhOWY5ZDIzMzA3YjZmYWI3ZGQ5NjUiLCJ1c2VySWQiOiIyMDkxMDc5NzUifQ==</vt:lpwstr>
  </property>
  <property fmtid="{D5CDD505-2E9C-101B-9397-08002B2CF9AE}" pid="3" name="KSOProductBuildVer">
    <vt:lpwstr>2052-12.1.0.24657</vt:lpwstr>
  </property>
  <property fmtid="{D5CDD505-2E9C-101B-9397-08002B2CF9AE}" pid="4" name="ICV">
    <vt:lpwstr>7A18B5E7EF0E49559860D01D2B9DE65B_12</vt:lpwstr>
  </property>
</Properties>
</file>