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Override PartName="/word/theme/themeOverride4.xml" ContentType="application/vnd.openxmlformats-officedocument.themeOverride+xml"/>
  <Override PartName="/word/theme/themeOverride5.xml" ContentType="application/vnd.openxmlformats-officedocument.themeOverride+xml"/>
  <Override PartName="/word/theme/themeOverride6.xml" ContentType="application/vnd.openxmlformats-officedocument.themeOverride+xml"/>
  <Override PartName="/word/theme/themeOverride7.xml" ContentType="application/vnd.openxmlformats-officedocument.themeOverride+xml"/>
  <Override PartName="/word/theme/themeOverride8.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34"/>
        <w:tblW w:w="4950" w:type="pct"/>
        <w:tblCellSpacing w:w="15" w:type="dxa"/>
        <w:tblInd w:w="0" w:type="dxa"/>
        <w:tblLayout w:type="autofit"/>
        <w:tblCellMar>
          <w:top w:w="0" w:type="dxa"/>
          <w:left w:w="108" w:type="dxa"/>
          <w:bottom w:w="0" w:type="dxa"/>
          <w:right w:w="108" w:type="dxa"/>
        </w:tblCellMar>
      </w:tblPr>
      <w:tblGrid>
        <w:gridCol w:w="7388"/>
        <w:gridCol w:w="1773"/>
      </w:tblGrid>
      <w:tr w14:paraId="019E1F8C">
        <w:tblPrEx>
          <w:tblCellMar>
            <w:top w:w="0" w:type="dxa"/>
            <w:left w:w="108" w:type="dxa"/>
            <w:bottom w:w="0" w:type="dxa"/>
            <w:right w:w="108" w:type="dxa"/>
          </w:tblCellMar>
        </w:tblPrEx>
        <w:trPr>
          <w:trHeight w:val="745" w:hRule="atLeast"/>
          <w:tblCellSpacing w:w="15" w:type="dxa"/>
        </w:trPr>
        <w:tc>
          <w:tcPr>
            <w:tcW w:w="4014" w:type="pct"/>
            <w:tcMar>
              <w:top w:w="15" w:type="dxa"/>
              <w:left w:w="15" w:type="dxa"/>
              <w:bottom w:w="15" w:type="dxa"/>
              <w:right w:w="15" w:type="dxa"/>
            </w:tcMar>
            <w:vAlign w:val="center"/>
          </w:tcPr>
          <w:p w14:paraId="03BFEFA5">
            <w:pPr>
              <w:rPr>
                <w:color w:val="auto"/>
              </w:rPr>
            </w:pPr>
            <w:r>
              <w:rPr>
                <w:rFonts w:hint="eastAsia" w:ascii="楷体" w:hAnsi="楷体" w:eastAsia="楷体"/>
                <w:color w:val="auto"/>
                <w:sz w:val="32"/>
                <w:szCs w:val="32"/>
              </w:rPr>
              <w:t>备案号：</w:t>
            </w:r>
            <w:r>
              <w:rPr>
                <w:rFonts w:ascii="楷体" w:hAnsi="楷体" w:eastAsia="楷体" w:cs="楷体"/>
                <w:sz w:val="32"/>
                <w:szCs w:val="32"/>
              </w:rPr>
              <w:t>1103726BA0002</w:t>
            </w:r>
            <w:r>
              <w:rPr>
                <w:rFonts w:ascii="宋体" w:hAnsi="宋体" w:eastAsia="宋体" w:cs="宋体"/>
                <w:sz w:val="24"/>
                <w:szCs w:val="24"/>
              </w:rPr>
              <w:t xml:space="preserve"> </w:t>
            </w:r>
          </w:p>
        </w:tc>
        <w:tc>
          <w:tcPr>
            <w:tcW w:w="937" w:type="pct"/>
            <w:vMerge w:val="restart"/>
          </w:tcPr>
          <w:p w14:paraId="4F62CAE2">
            <w:pPr>
              <w:rPr>
                <w:rFonts w:ascii="楷体" w:hAnsi="楷体" w:eastAsia="楷体"/>
                <w:color w:val="auto"/>
                <w:sz w:val="32"/>
                <w:szCs w:val="32"/>
              </w:rPr>
            </w:pPr>
            <w:r>
              <w:rPr>
                <w:rFonts w:ascii="宋体" w:hAnsi="宋体" w:eastAsia="宋体" w:cs="宋体"/>
                <w:sz w:val="24"/>
                <w:szCs w:val="24"/>
              </w:rPr>
              <w:fldChar w:fldCharType="begin"/>
            </w:r>
            <w:r>
              <w:rPr>
                <w:rFonts w:ascii="宋体" w:hAnsi="宋体" w:eastAsia="宋体" w:cs="宋体"/>
                <w:sz w:val="24"/>
                <w:szCs w:val="24"/>
              </w:rPr>
              <w:instrText xml:space="preserve">INCLUDEPICTURE \d "C:\\Users\\win10\\AppData\\Local\\Temp\\52bd3059da65450f84b33f128314cd0b\\C671C90C\\file5804.files\\image001.jpg" \* MERGEFORMATINET </w:instrText>
            </w:r>
            <w:r>
              <w:rPr>
                <w:rFonts w:ascii="宋体" w:hAnsi="宋体" w:eastAsia="宋体" w:cs="宋体"/>
                <w:sz w:val="24"/>
                <w:szCs w:val="24"/>
              </w:rPr>
              <w:fldChar w:fldCharType="separate"/>
            </w:r>
            <w:r>
              <w:rPr>
                <w:rFonts w:ascii="宋体" w:hAnsi="宋体" w:eastAsia="宋体" w:cs="宋体"/>
                <w:sz w:val="24"/>
                <w:szCs w:val="24"/>
              </w:rPr>
              <w:drawing>
                <wp:inline distT="0" distB="0" distL="114300" distR="114300">
                  <wp:extent cx="952500" cy="952500"/>
                  <wp:effectExtent l="0" t="0" r="7620" b="7620"/>
                  <wp:docPr id="41"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descr="IMG_256"/>
                          <pic:cNvPicPr>
                            <a:picLocks noChangeAspect="1"/>
                          </pic:cNvPicPr>
                        </pic:nvPicPr>
                        <pic:blipFill>
                          <a:blip r:embed="rId37"/>
                          <a:stretch>
                            <a:fillRect/>
                          </a:stretch>
                        </pic:blipFill>
                        <pic:spPr>
                          <a:xfrm>
                            <a:off x="0" y="0"/>
                            <a:ext cx="952500" cy="952500"/>
                          </a:xfrm>
                          <a:prstGeom prst="rect">
                            <a:avLst/>
                          </a:prstGeom>
                          <a:noFill/>
                          <a:ln w="9525">
                            <a:noFill/>
                          </a:ln>
                        </pic:spPr>
                      </pic:pic>
                    </a:graphicData>
                  </a:graphic>
                </wp:inline>
              </w:drawing>
            </w:r>
            <w:r>
              <w:rPr>
                <w:rFonts w:ascii="宋体" w:hAnsi="宋体" w:eastAsia="宋体" w:cs="宋体"/>
                <w:sz w:val="24"/>
                <w:szCs w:val="24"/>
              </w:rPr>
              <w:fldChar w:fldCharType="end"/>
            </w:r>
          </w:p>
        </w:tc>
      </w:tr>
      <w:tr w14:paraId="35BC6368">
        <w:tblPrEx>
          <w:tblCellMar>
            <w:top w:w="0" w:type="dxa"/>
            <w:left w:w="108" w:type="dxa"/>
            <w:bottom w:w="0" w:type="dxa"/>
            <w:right w:w="108" w:type="dxa"/>
          </w:tblCellMar>
        </w:tblPrEx>
        <w:trPr>
          <w:trHeight w:val="337" w:hRule="atLeast"/>
          <w:tblCellSpacing w:w="15" w:type="dxa"/>
        </w:trPr>
        <w:tc>
          <w:tcPr>
            <w:tcW w:w="4014" w:type="pct"/>
            <w:tcMar>
              <w:top w:w="15" w:type="dxa"/>
              <w:left w:w="15" w:type="dxa"/>
              <w:bottom w:w="15" w:type="dxa"/>
              <w:right w:w="15" w:type="dxa"/>
            </w:tcMar>
            <w:vAlign w:val="center"/>
          </w:tcPr>
          <w:p w14:paraId="76523434">
            <w:pPr>
              <w:rPr>
                <w:color w:val="auto"/>
              </w:rPr>
            </w:pPr>
            <w:r>
              <w:rPr>
                <w:rFonts w:hint="eastAsia" w:ascii="楷体" w:hAnsi="楷体" w:eastAsia="楷体"/>
                <w:color w:val="auto"/>
                <w:sz w:val="32"/>
                <w:szCs w:val="32"/>
              </w:rPr>
              <w:t>查询码：</w:t>
            </w:r>
            <w:r>
              <w:rPr>
                <w:rFonts w:hint="eastAsia" w:ascii="楷体" w:hAnsi="楷体" w:eastAsia="楷体" w:cs="楷体"/>
                <w:sz w:val="32"/>
                <w:szCs w:val="32"/>
              </w:rPr>
              <w:t>E7AD1D4A</w:t>
            </w:r>
            <w:r>
              <w:rPr>
                <w:rFonts w:ascii="宋体" w:hAnsi="宋体" w:eastAsia="宋体" w:cs="宋体"/>
                <w:sz w:val="24"/>
                <w:szCs w:val="24"/>
              </w:rPr>
              <w:t xml:space="preserve"> </w:t>
            </w:r>
          </w:p>
        </w:tc>
        <w:tc>
          <w:tcPr>
            <w:tcW w:w="937" w:type="pct"/>
            <w:vMerge w:val="continue"/>
          </w:tcPr>
          <w:p w14:paraId="690E1BD5">
            <w:pPr>
              <w:rPr>
                <w:rFonts w:ascii="楷体" w:hAnsi="楷体" w:eastAsia="楷体"/>
                <w:color w:val="auto"/>
                <w:sz w:val="32"/>
                <w:szCs w:val="32"/>
              </w:rPr>
            </w:pPr>
          </w:p>
        </w:tc>
      </w:tr>
    </w:tbl>
    <w:p w14:paraId="14269BE2">
      <w:pPr>
        <w:spacing w:line="300" w:lineRule="auto"/>
        <w:rPr>
          <w:rFonts w:ascii="Arial" w:hAnsi="Arial" w:cs="Arial"/>
          <w:b/>
          <w:color w:val="auto"/>
          <w:sz w:val="44"/>
        </w:rPr>
      </w:pPr>
    </w:p>
    <w:p w14:paraId="14835B44">
      <w:pPr>
        <w:spacing w:line="300" w:lineRule="auto"/>
        <w:rPr>
          <w:rFonts w:ascii="Arial" w:hAnsi="Arial" w:cs="Arial"/>
          <w:b/>
          <w:color w:val="auto"/>
          <w:sz w:val="44"/>
        </w:rPr>
      </w:pPr>
    </w:p>
    <w:p w14:paraId="1062F4A7">
      <w:pPr>
        <w:spacing w:line="300" w:lineRule="auto"/>
        <w:rPr>
          <w:rFonts w:ascii="Arial" w:hAnsi="Arial" w:cs="Arial"/>
          <w:b/>
          <w:color w:val="auto"/>
          <w:sz w:val="44"/>
        </w:rPr>
      </w:pPr>
    </w:p>
    <w:p w14:paraId="7709ABA7">
      <w:pPr>
        <w:spacing w:line="300" w:lineRule="auto"/>
        <w:rPr>
          <w:rFonts w:ascii="Arial" w:hAnsi="Arial" w:cs="Arial"/>
          <w:b/>
          <w:color w:val="auto"/>
          <w:sz w:val="44"/>
        </w:rPr>
      </w:pPr>
    </w:p>
    <w:p w14:paraId="0635484B">
      <w:pPr>
        <w:spacing w:line="300" w:lineRule="auto"/>
        <w:jc w:val="center"/>
        <w:rPr>
          <w:rFonts w:ascii="Arial" w:hAnsi="Arial" w:cs="Arial"/>
          <w:b/>
          <w:color w:val="auto"/>
          <w:sz w:val="44"/>
        </w:rPr>
      </w:pPr>
      <w:r>
        <w:rPr>
          <w:rFonts w:ascii="Arial" w:hAnsi="Arial" w:cs="Arial"/>
          <w:b/>
          <w:color w:val="auto"/>
          <w:sz w:val="44"/>
        </w:rPr>
        <w:t>土</w:t>
      </w:r>
      <w:r>
        <w:rPr>
          <w:rFonts w:ascii="Arial" w:hAnsi="Arial" w:eastAsia="仿宋_GB2312" w:cs="Arial"/>
          <w:b/>
          <w:color w:val="auto"/>
          <w:sz w:val="44"/>
        </w:rPr>
        <w:t xml:space="preserve"> </w:t>
      </w:r>
      <w:r>
        <w:rPr>
          <w:rFonts w:ascii="Arial" w:hAnsi="Arial" w:cs="Arial"/>
          <w:b/>
          <w:color w:val="auto"/>
          <w:sz w:val="44"/>
        </w:rPr>
        <w:t>地</w:t>
      </w:r>
      <w:r>
        <w:rPr>
          <w:rFonts w:ascii="Arial" w:hAnsi="Arial" w:eastAsia="仿宋_GB2312" w:cs="Arial"/>
          <w:b/>
          <w:color w:val="auto"/>
          <w:sz w:val="44"/>
        </w:rPr>
        <w:t xml:space="preserve"> </w:t>
      </w:r>
      <w:r>
        <w:rPr>
          <w:rFonts w:ascii="Arial" w:hAnsi="Arial" w:cs="Arial"/>
          <w:b/>
          <w:color w:val="auto"/>
          <w:sz w:val="44"/>
        </w:rPr>
        <w:t>估</w:t>
      </w:r>
      <w:r>
        <w:rPr>
          <w:rFonts w:ascii="Arial" w:hAnsi="Arial" w:eastAsia="仿宋_GB2312" w:cs="Arial"/>
          <w:b/>
          <w:color w:val="auto"/>
          <w:sz w:val="44"/>
        </w:rPr>
        <w:t xml:space="preserve"> </w:t>
      </w:r>
      <w:r>
        <w:rPr>
          <w:rFonts w:ascii="Arial" w:hAnsi="Arial" w:cs="Arial"/>
          <w:b/>
          <w:color w:val="auto"/>
          <w:sz w:val="44"/>
        </w:rPr>
        <w:t>价</w:t>
      </w:r>
      <w:r>
        <w:rPr>
          <w:rFonts w:ascii="Arial" w:hAnsi="Arial" w:eastAsia="仿宋_GB2312" w:cs="Arial"/>
          <w:b/>
          <w:color w:val="auto"/>
          <w:sz w:val="44"/>
        </w:rPr>
        <w:t xml:space="preserve"> </w:t>
      </w:r>
      <w:r>
        <w:rPr>
          <w:rFonts w:ascii="Arial" w:hAnsi="Arial" w:cs="Arial"/>
          <w:b/>
          <w:color w:val="auto"/>
          <w:sz w:val="44"/>
        </w:rPr>
        <w:t>报</w:t>
      </w:r>
      <w:r>
        <w:rPr>
          <w:rFonts w:ascii="Arial" w:hAnsi="Arial" w:eastAsia="仿宋_GB2312" w:cs="Arial"/>
          <w:b/>
          <w:color w:val="auto"/>
          <w:sz w:val="44"/>
        </w:rPr>
        <w:t xml:space="preserve"> </w:t>
      </w:r>
      <w:r>
        <w:rPr>
          <w:rFonts w:ascii="Arial" w:hAnsi="Arial" w:cs="Arial"/>
          <w:b/>
          <w:color w:val="auto"/>
          <w:sz w:val="44"/>
        </w:rPr>
        <w:t>告</w:t>
      </w:r>
    </w:p>
    <w:p w14:paraId="4E381492">
      <w:pPr>
        <w:spacing w:line="300" w:lineRule="auto"/>
        <w:jc w:val="center"/>
        <w:rPr>
          <w:rFonts w:ascii="Arial" w:hAnsi="Arial" w:eastAsia="昆仑仿宋" w:cs="Arial"/>
          <w:b/>
          <w:color w:val="auto"/>
          <w:sz w:val="44"/>
        </w:rPr>
      </w:pPr>
    </w:p>
    <w:p w14:paraId="321E1257">
      <w:pPr>
        <w:spacing w:line="300" w:lineRule="auto"/>
        <w:jc w:val="center"/>
        <w:rPr>
          <w:rFonts w:ascii="Arial" w:hAnsi="Arial" w:eastAsia="昆仑仿宋" w:cs="Arial"/>
          <w:b/>
          <w:color w:val="auto"/>
          <w:sz w:val="44"/>
        </w:rPr>
      </w:pPr>
    </w:p>
    <w:p w14:paraId="398383DB">
      <w:pPr>
        <w:spacing w:line="300" w:lineRule="auto"/>
        <w:rPr>
          <w:rFonts w:ascii="Arial" w:hAnsi="Arial" w:eastAsia="楷体_GB2312" w:cs="Arial"/>
          <w:b/>
          <w:color w:val="auto"/>
          <w:sz w:val="32"/>
        </w:rPr>
      </w:pPr>
    </w:p>
    <w:p w14:paraId="15734BE9">
      <w:pPr>
        <w:overflowPunct w:val="0"/>
        <w:spacing w:line="300" w:lineRule="auto"/>
        <w:ind w:left="2201" w:hanging="2201" w:hangingChars="685"/>
        <w:jc w:val="both"/>
        <w:rPr>
          <w:rFonts w:ascii="Arial" w:hAnsi="Arial" w:eastAsia="楷体_GB2312" w:cs="Arial"/>
          <w:b/>
          <w:i/>
          <w:color w:val="auto"/>
          <w:sz w:val="28"/>
          <w:szCs w:val="28"/>
        </w:rPr>
      </w:pPr>
      <w:r>
        <w:rPr>
          <w:rFonts w:ascii="Arial" w:hAnsi="Arial" w:eastAsia="楷体_GB2312" w:cs="Arial"/>
          <w:b/>
          <w:color w:val="auto"/>
          <w:sz w:val="32"/>
        </w:rPr>
        <w:t>项</w:t>
      </w:r>
      <w:r>
        <w:rPr>
          <w:rFonts w:ascii="Arial" w:hAnsi="Arial" w:eastAsia="仿宋_GB2312" w:cs="Arial"/>
          <w:b/>
          <w:color w:val="auto"/>
          <w:sz w:val="32"/>
        </w:rPr>
        <w:t xml:space="preserve">  </w:t>
      </w:r>
      <w:r>
        <w:rPr>
          <w:rFonts w:ascii="Arial" w:hAnsi="Arial" w:eastAsia="楷体_GB2312" w:cs="Arial"/>
          <w:b/>
          <w:color w:val="auto"/>
          <w:sz w:val="32"/>
        </w:rPr>
        <w:t>目</w:t>
      </w:r>
      <w:r>
        <w:rPr>
          <w:rFonts w:ascii="Arial" w:hAnsi="Arial" w:eastAsia="仿宋_GB2312" w:cs="Arial"/>
          <w:b/>
          <w:color w:val="auto"/>
          <w:sz w:val="32"/>
        </w:rPr>
        <w:t xml:space="preserve"> </w:t>
      </w:r>
      <w:r>
        <w:rPr>
          <w:rFonts w:ascii="Arial" w:hAnsi="Arial" w:eastAsia="楷体_GB2312" w:cs="Arial"/>
          <w:b/>
          <w:color w:val="auto"/>
          <w:sz w:val="32"/>
        </w:rPr>
        <w:t>名</w:t>
      </w:r>
      <w:r>
        <w:rPr>
          <w:rFonts w:ascii="Arial" w:hAnsi="Arial" w:eastAsia="仿宋_GB2312" w:cs="Arial"/>
          <w:b/>
          <w:color w:val="auto"/>
          <w:sz w:val="32"/>
        </w:rPr>
        <w:t xml:space="preserve"> </w:t>
      </w:r>
      <w:r>
        <w:rPr>
          <w:rFonts w:ascii="Arial" w:hAnsi="Arial" w:eastAsia="楷体_GB2312" w:cs="Arial"/>
          <w:b/>
          <w:color w:val="auto"/>
          <w:sz w:val="32"/>
        </w:rPr>
        <w:t>称：</w:t>
      </w:r>
      <w:bookmarkStart w:id="0" w:name="_Hlk138693155"/>
      <w:r>
        <w:rPr>
          <w:rFonts w:hint="eastAsia" w:ascii="Arial" w:hAnsi="Arial" w:eastAsia="楷体_GB2312" w:cs="Arial"/>
          <w:b/>
          <w:color w:val="auto"/>
          <w:sz w:val="32"/>
        </w:rPr>
        <w:t>北京市</w:t>
      </w:r>
      <w:bookmarkEnd w:id="0"/>
      <w:r>
        <w:rPr>
          <w:rFonts w:hint="eastAsia" w:ascii="Arial" w:hAnsi="Arial" w:eastAsia="楷体_GB2312" w:cs="Arial"/>
          <w:b/>
          <w:color w:val="auto"/>
          <w:sz w:val="32"/>
        </w:rPr>
        <w:t>顺义区高丽营镇夏县营村棚户区改造土地开发项目01－008、01－016、01－026－1、01</w:t>
      </w:r>
      <w:bookmarkStart w:id="421" w:name="_GoBack"/>
      <w:r>
        <w:rPr>
          <w:rFonts w:hint="eastAsia" w:ascii="Arial" w:hAnsi="Arial" w:eastAsia="楷体_GB2312" w:cs="Arial"/>
          <w:b/>
          <w:color w:val="auto"/>
          <w:sz w:val="32"/>
        </w:rPr>
        <w:t>－</w:t>
      </w:r>
      <w:bookmarkEnd w:id="421"/>
      <w:r>
        <w:rPr>
          <w:rFonts w:hint="eastAsia" w:ascii="Arial" w:hAnsi="Arial" w:eastAsia="楷体_GB2312" w:cs="Arial"/>
          <w:b/>
          <w:color w:val="auto"/>
          <w:sz w:val="32"/>
        </w:rPr>
        <w:t>020地块二类居住用地、托幼用地国有建设用地使用权出让价格评估</w:t>
      </w:r>
      <w:r>
        <w:rPr>
          <w:rFonts w:hint="eastAsia" w:ascii="楷体" w:hAnsi="楷体" w:eastAsia="楷体" w:cs="Arial"/>
          <w:b/>
          <w:color w:val="auto"/>
          <w:sz w:val="32"/>
        </w:rPr>
        <w:t>（北京市顺义区）</w:t>
      </w:r>
    </w:p>
    <w:p w14:paraId="2C66ED45">
      <w:pPr>
        <w:spacing w:line="300" w:lineRule="auto"/>
        <w:jc w:val="both"/>
        <w:rPr>
          <w:rFonts w:ascii="Arial" w:hAnsi="Arial" w:eastAsia="楷体_GB2312" w:cs="Arial"/>
          <w:b/>
          <w:color w:val="auto"/>
          <w:sz w:val="28"/>
          <w:szCs w:val="28"/>
        </w:rPr>
      </w:pPr>
    </w:p>
    <w:p w14:paraId="0E98D435">
      <w:pPr>
        <w:spacing w:line="300" w:lineRule="auto"/>
        <w:jc w:val="both"/>
        <w:rPr>
          <w:rFonts w:ascii="Arial" w:hAnsi="Arial" w:eastAsia="楷体_GB2312" w:cs="Arial"/>
          <w:b/>
          <w:color w:val="auto"/>
          <w:sz w:val="32"/>
        </w:rPr>
      </w:pPr>
      <w:r>
        <w:rPr>
          <w:rFonts w:ascii="Arial" w:hAnsi="Arial" w:eastAsia="楷体_GB2312" w:cs="Arial"/>
          <w:b/>
          <w:color w:val="auto"/>
          <w:sz w:val="32"/>
        </w:rPr>
        <w:t>受托估价单位：北京康正宏基房地产评估有限公司</w:t>
      </w:r>
    </w:p>
    <w:p w14:paraId="63FD33A0">
      <w:pPr>
        <w:spacing w:line="300" w:lineRule="auto"/>
        <w:jc w:val="both"/>
        <w:rPr>
          <w:rFonts w:ascii="Arial" w:hAnsi="Arial" w:eastAsia="楷体_GB2312" w:cs="Arial"/>
          <w:b/>
          <w:color w:val="auto"/>
          <w:sz w:val="32"/>
        </w:rPr>
      </w:pPr>
    </w:p>
    <w:p w14:paraId="0F75942C">
      <w:pPr>
        <w:spacing w:line="300" w:lineRule="auto"/>
        <w:jc w:val="both"/>
        <w:rPr>
          <w:rFonts w:ascii="Arial" w:hAnsi="Arial" w:eastAsia="楷体_GB2312" w:cs="Arial"/>
          <w:b/>
          <w:color w:val="auto"/>
          <w:sz w:val="32"/>
        </w:rPr>
      </w:pPr>
      <w:r>
        <w:rPr>
          <w:rFonts w:ascii="Arial" w:hAnsi="Arial" w:eastAsia="楷体_GB2312" w:cs="Arial"/>
          <w:b/>
          <w:color w:val="auto"/>
          <w:sz w:val="32"/>
        </w:rPr>
        <w:t>土地估价报告编号：北京康正202</w:t>
      </w:r>
      <w:r>
        <w:rPr>
          <w:rFonts w:hint="eastAsia" w:ascii="Arial" w:hAnsi="Arial" w:eastAsia="楷体_GB2312" w:cs="Arial"/>
          <w:b/>
          <w:color w:val="auto"/>
          <w:sz w:val="32"/>
        </w:rPr>
        <w:t>6</w:t>
      </w:r>
      <w:r>
        <w:rPr>
          <w:rFonts w:ascii="Arial" w:hAnsi="Arial" w:eastAsia="楷体_GB2312" w:cs="Arial"/>
          <w:b/>
          <w:color w:val="auto"/>
          <w:sz w:val="32"/>
        </w:rPr>
        <w:t>（估）字第000</w:t>
      </w:r>
      <w:r>
        <w:rPr>
          <w:rFonts w:hint="eastAsia" w:ascii="Arial" w:hAnsi="Arial" w:eastAsia="楷体_GB2312" w:cs="Arial"/>
          <w:b/>
          <w:color w:val="auto"/>
          <w:sz w:val="32"/>
        </w:rPr>
        <w:t>1</w:t>
      </w:r>
      <w:r>
        <w:rPr>
          <w:rFonts w:ascii="Arial" w:hAnsi="Arial" w:eastAsia="楷体_GB2312" w:cs="Arial"/>
          <w:b/>
          <w:color w:val="auto"/>
          <w:sz w:val="32"/>
        </w:rPr>
        <w:t>号</w:t>
      </w:r>
      <w:r>
        <w:rPr>
          <w:rFonts w:hint="eastAsia" w:ascii="Arial" w:hAnsi="Arial" w:eastAsia="楷体_GB2312" w:cs="Arial"/>
          <w:b/>
          <w:color w:val="auto"/>
          <w:sz w:val="32"/>
        </w:rPr>
        <w:t xml:space="preserve">      </w:t>
      </w:r>
    </w:p>
    <w:p w14:paraId="436AF93D">
      <w:pPr>
        <w:spacing w:line="300" w:lineRule="auto"/>
        <w:jc w:val="both"/>
        <w:rPr>
          <w:rFonts w:ascii="Arial" w:hAnsi="Arial" w:eastAsia="楷体_GB2312" w:cs="Arial"/>
          <w:b/>
          <w:color w:val="auto"/>
          <w:sz w:val="32"/>
        </w:rPr>
      </w:pPr>
      <w:r>
        <w:rPr>
          <w:rFonts w:hint="eastAsia" w:ascii="Arial" w:hAnsi="Arial" w:eastAsia="楷体_GB2312" w:cs="Arial"/>
          <w:b/>
          <w:color w:val="auto"/>
          <w:sz w:val="32"/>
        </w:rPr>
        <w:t xml:space="preserve">             </w:t>
      </w:r>
    </w:p>
    <w:p w14:paraId="20E30A87">
      <w:pPr>
        <w:spacing w:line="300" w:lineRule="auto"/>
        <w:jc w:val="both"/>
        <w:rPr>
          <w:rFonts w:ascii="Arial" w:hAnsi="Arial" w:eastAsia="楷体_GB2312" w:cs="Arial"/>
          <w:b/>
          <w:color w:val="auto"/>
          <w:sz w:val="32"/>
        </w:rPr>
      </w:pPr>
      <w:r>
        <w:rPr>
          <w:rFonts w:hint="eastAsia" w:ascii="Arial" w:hAnsi="Arial" w:eastAsia="楷体_GB2312" w:cs="Arial"/>
          <w:b/>
          <w:color w:val="auto"/>
          <w:sz w:val="32"/>
        </w:rPr>
        <w:t xml:space="preserve">电子备案编号：1103726BA0002 </w:t>
      </w:r>
    </w:p>
    <w:p w14:paraId="2B6077DB">
      <w:pPr>
        <w:spacing w:line="300" w:lineRule="auto"/>
        <w:jc w:val="both"/>
        <w:rPr>
          <w:rFonts w:ascii="Arial" w:hAnsi="Arial" w:eastAsia="楷体_GB2312" w:cs="Arial"/>
          <w:b/>
          <w:color w:val="auto"/>
          <w:sz w:val="32"/>
        </w:rPr>
      </w:pPr>
    </w:p>
    <w:p w14:paraId="495EB79D">
      <w:pPr>
        <w:spacing w:line="300" w:lineRule="auto"/>
        <w:jc w:val="both"/>
        <w:rPr>
          <w:rFonts w:ascii="Arial" w:hAnsi="Arial" w:eastAsia="仿宋_GB2312" w:cs="Arial"/>
          <w:b/>
          <w:color w:val="auto"/>
          <w:sz w:val="44"/>
        </w:rPr>
        <w:sectPr>
          <w:headerReference r:id="rId7" w:type="first"/>
          <w:footerReference r:id="rId10" w:type="first"/>
          <w:headerReference r:id="rId5" w:type="default"/>
          <w:footerReference r:id="rId8" w:type="default"/>
          <w:headerReference r:id="rId6" w:type="even"/>
          <w:footerReference r:id="rId9" w:type="even"/>
          <w:type w:val="nextColumn"/>
          <w:pgSz w:w="11907" w:h="16840"/>
          <w:pgMar w:top="1418" w:right="1418" w:bottom="1134" w:left="1418" w:header="851" w:footer="1134" w:gutter="0"/>
          <w:pgNumType w:start="0"/>
          <w:cols w:space="720" w:num="1"/>
          <w:titlePg/>
        </w:sectPr>
      </w:pPr>
      <w:r>
        <w:rPr>
          <w:rFonts w:ascii="Arial" w:hAnsi="Arial" w:eastAsia="楷体_GB2312" w:cs="Arial"/>
          <w:b/>
          <w:color w:val="auto"/>
          <w:sz w:val="32"/>
        </w:rPr>
        <w:t>提交估价报告日期：202</w:t>
      </w:r>
      <w:r>
        <w:rPr>
          <w:rFonts w:hint="eastAsia" w:ascii="Arial" w:hAnsi="Arial" w:eastAsia="楷体_GB2312" w:cs="Arial"/>
          <w:b/>
          <w:color w:val="auto"/>
          <w:sz w:val="32"/>
        </w:rPr>
        <w:t>6</w:t>
      </w:r>
      <w:r>
        <w:rPr>
          <w:rFonts w:ascii="Arial" w:hAnsi="Arial" w:eastAsia="楷体_GB2312" w:cs="Arial"/>
          <w:b/>
          <w:color w:val="auto"/>
          <w:sz w:val="32"/>
        </w:rPr>
        <w:t>年</w:t>
      </w:r>
      <w:r>
        <w:rPr>
          <w:rFonts w:hint="eastAsia" w:ascii="Arial" w:hAnsi="Arial" w:eastAsia="楷体_GB2312" w:cs="Arial"/>
          <w:b/>
          <w:color w:val="auto"/>
          <w:sz w:val="32"/>
        </w:rPr>
        <w:t>4</w:t>
      </w:r>
      <w:r>
        <w:rPr>
          <w:rFonts w:ascii="Arial" w:hAnsi="Arial" w:eastAsia="楷体_GB2312" w:cs="Arial"/>
          <w:b/>
          <w:color w:val="auto"/>
          <w:sz w:val="32"/>
        </w:rPr>
        <w:t>月</w:t>
      </w:r>
      <w:r>
        <w:rPr>
          <w:rFonts w:hint="eastAsia" w:ascii="Arial" w:hAnsi="Arial" w:eastAsia="楷体_GB2312" w:cs="Arial"/>
          <w:b/>
          <w:color w:val="auto"/>
          <w:sz w:val="32"/>
          <w:lang w:val="en-US" w:eastAsia="zh-CN"/>
        </w:rPr>
        <w:t>21</w:t>
      </w:r>
      <w:r>
        <w:rPr>
          <w:rFonts w:ascii="Arial" w:hAnsi="Arial" w:eastAsia="楷体_GB2312" w:cs="Arial"/>
          <w:b/>
          <w:color w:val="auto"/>
          <w:sz w:val="32"/>
        </w:rPr>
        <w:t>日</w:t>
      </w:r>
    </w:p>
    <w:p w14:paraId="0F77239F">
      <w:pPr>
        <w:pStyle w:val="22"/>
        <w:spacing w:line="300" w:lineRule="auto"/>
        <w:rPr>
          <w:rFonts w:ascii="Arial" w:cs="Arial"/>
          <w:b/>
          <w:color w:val="auto"/>
          <w:sz w:val="40"/>
          <w:szCs w:val="40"/>
        </w:rPr>
      </w:pPr>
      <w:bookmarkStart w:id="1" w:name="_Toc132016554"/>
      <w:bookmarkStart w:id="2" w:name="_Toc132016601"/>
      <w:r>
        <w:rPr>
          <w:rFonts w:ascii="Arial" w:cs="Arial"/>
          <w:b/>
          <w:color w:val="auto"/>
          <w:sz w:val="40"/>
          <w:szCs w:val="40"/>
        </w:rPr>
        <w:t>目录</w:t>
      </w:r>
      <w:bookmarkEnd w:id="1"/>
      <w:bookmarkEnd w:id="2"/>
    </w:p>
    <w:p w14:paraId="7B2CBFD6">
      <w:pPr>
        <w:rPr>
          <w:color w:val="auto"/>
        </w:rPr>
      </w:pPr>
    </w:p>
    <w:p w14:paraId="23522057">
      <w:pPr>
        <w:pStyle w:val="22"/>
        <w:rPr>
          <w:rFonts w:ascii="Arial" w:eastAsia="等线" w:cs="Arial"/>
          <w:b/>
          <w:bCs/>
          <w:color w:val="auto"/>
          <w:kern w:val="2"/>
        </w:rPr>
      </w:pPr>
      <w:r>
        <w:rPr>
          <w:rFonts w:ascii="Arial" w:eastAsia="仿宋" w:cs="Arial"/>
          <w:b/>
          <w:bCs/>
          <w:color w:val="auto"/>
        </w:rPr>
        <w:fldChar w:fldCharType="begin"/>
      </w:r>
      <w:r>
        <w:rPr>
          <w:rFonts w:ascii="Arial" w:eastAsia="仿宋" w:cs="Arial"/>
          <w:b/>
          <w:bCs/>
          <w:color w:val="auto"/>
        </w:rPr>
        <w:instrText xml:space="preserve"> TOC \o "1-2" \h \z \u </w:instrText>
      </w:r>
      <w:r>
        <w:rPr>
          <w:rFonts w:ascii="Arial" w:eastAsia="仿宋" w:cs="Arial"/>
          <w:b/>
          <w:bCs/>
          <w:color w:val="auto"/>
        </w:rPr>
        <w:fldChar w:fldCharType="separate"/>
      </w:r>
      <w:r>
        <w:rPr>
          <w:color w:val="auto"/>
        </w:rPr>
        <w:fldChar w:fldCharType="begin"/>
      </w:r>
      <w:r>
        <w:rPr>
          <w:color w:val="auto"/>
        </w:rPr>
        <w:instrText xml:space="preserve"> HYPERLINK \l "_Toc138062989" </w:instrText>
      </w:r>
      <w:r>
        <w:rPr>
          <w:color w:val="auto"/>
        </w:rPr>
        <w:fldChar w:fldCharType="separate"/>
      </w:r>
      <w:r>
        <w:rPr>
          <w:rStyle w:val="40"/>
          <w:rFonts w:ascii="Arial" w:cs="Arial"/>
          <w:b/>
          <w:bCs/>
          <w:color w:val="auto"/>
        </w:rPr>
        <w:t>第一部分  摘  要</w:t>
      </w:r>
      <w:r>
        <w:rPr>
          <w:rFonts w:ascii="Arial" w:cs="Arial"/>
          <w:b/>
          <w:bCs/>
          <w:color w:val="auto"/>
        </w:rPr>
        <w:tab/>
      </w:r>
      <w:r>
        <w:rPr>
          <w:rFonts w:ascii="Arial" w:cs="Arial"/>
          <w:b/>
          <w:bCs/>
          <w:color w:val="auto"/>
        </w:rPr>
        <w:t xml:space="preserve">  </w:t>
      </w:r>
      <w:r>
        <w:rPr>
          <w:rFonts w:ascii="Arial" w:cs="Arial"/>
          <w:b/>
          <w:bCs/>
          <w:color w:val="auto"/>
        </w:rPr>
        <w:fldChar w:fldCharType="begin"/>
      </w:r>
      <w:r>
        <w:rPr>
          <w:rFonts w:ascii="Arial" w:cs="Arial"/>
          <w:b/>
          <w:bCs/>
          <w:color w:val="auto"/>
        </w:rPr>
        <w:instrText xml:space="preserve"> PAGEREF _Toc138062989 \h </w:instrText>
      </w:r>
      <w:r>
        <w:rPr>
          <w:rFonts w:ascii="Arial" w:cs="Arial"/>
          <w:b/>
          <w:bCs/>
          <w:color w:val="auto"/>
        </w:rPr>
        <w:fldChar w:fldCharType="separate"/>
      </w:r>
      <w:r>
        <w:rPr>
          <w:rFonts w:ascii="Arial" w:cs="Arial"/>
          <w:b/>
          <w:bCs/>
          <w:color w:val="auto"/>
        </w:rPr>
        <w:t>1</w:t>
      </w:r>
      <w:r>
        <w:rPr>
          <w:rFonts w:ascii="Arial" w:cs="Arial"/>
          <w:b/>
          <w:bCs/>
          <w:color w:val="auto"/>
        </w:rPr>
        <w:fldChar w:fldCharType="end"/>
      </w:r>
      <w:r>
        <w:rPr>
          <w:rFonts w:ascii="Arial" w:cs="Arial"/>
          <w:b/>
          <w:bCs/>
          <w:color w:val="auto"/>
        </w:rPr>
        <w:fldChar w:fldCharType="end"/>
      </w:r>
    </w:p>
    <w:p w14:paraId="31930FD0">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"_Toc138062990" </w:instrText>
      </w:r>
      <w:r>
        <w:rPr>
          <w:color w:val="auto"/>
        </w:rPr>
        <w:fldChar w:fldCharType="separate"/>
      </w:r>
      <w:r>
        <w:rPr>
          <w:rStyle w:val="40"/>
          <w:rFonts w:ascii="Arial" w:hAnsi="Arial" w:eastAsia="仿宋_GB2312" w:cs="Arial"/>
          <w:b/>
          <w:bCs/>
          <w:color w:val="auto"/>
          <w:sz w:val="28"/>
          <w:szCs w:val="28"/>
        </w:rPr>
        <w:t>一、估价项目名称</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_Toc138062990 \h </w:instrText>
      </w:r>
      <w:r>
        <w:rPr>
          <w:rFonts w:ascii="Arial" w:hAnsi="Arial" w:cs="Arial"/>
          <w:b/>
          <w:bCs/>
          <w:color w:val="auto"/>
          <w:sz w:val="28"/>
          <w:szCs w:val="28"/>
        </w:rPr>
        <w:fldChar w:fldCharType="separate"/>
      </w:r>
      <w:r>
        <w:rPr>
          <w:rFonts w:ascii="Arial" w:hAnsi="Arial" w:cs="Arial"/>
          <w:b/>
          <w:bCs/>
          <w:color w:val="auto"/>
          <w:sz w:val="28"/>
          <w:szCs w:val="28"/>
        </w:rPr>
        <w:t>1</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459B31A0">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"_Toc138062991" </w:instrText>
      </w:r>
      <w:r>
        <w:rPr>
          <w:color w:val="auto"/>
        </w:rPr>
        <w:fldChar w:fldCharType="separate"/>
      </w:r>
      <w:r>
        <w:rPr>
          <w:rStyle w:val="40"/>
          <w:rFonts w:ascii="Arial" w:hAnsi="Arial" w:eastAsia="仿宋_GB2312" w:cs="Arial"/>
          <w:b/>
          <w:bCs/>
          <w:color w:val="auto"/>
          <w:sz w:val="28"/>
          <w:szCs w:val="28"/>
        </w:rPr>
        <w:t>二、委托估价方</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_Toc138062991 \h </w:instrText>
      </w:r>
      <w:r>
        <w:rPr>
          <w:rFonts w:ascii="Arial" w:hAnsi="Arial" w:cs="Arial"/>
          <w:b/>
          <w:bCs/>
          <w:color w:val="auto"/>
          <w:sz w:val="28"/>
          <w:szCs w:val="28"/>
        </w:rPr>
        <w:fldChar w:fldCharType="separate"/>
      </w:r>
      <w:r>
        <w:rPr>
          <w:rFonts w:ascii="Arial" w:hAnsi="Arial" w:cs="Arial"/>
          <w:b/>
          <w:bCs/>
          <w:color w:val="auto"/>
          <w:sz w:val="28"/>
          <w:szCs w:val="28"/>
        </w:rPr>
        <w:t>1</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17C2365F">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"_Toc138062992" </w:instrText>
      </w:r>
      <w:r>
        <w:rPr>
          <w:color w:val="auto"/>
        </w:rPr>
        <w:fldChar w:fldCharType="separate"/>
      </w:r>
      <w:r>
        <w:rPr>
          <w:rStyle w:val="40"/>
          <w:rFonts w:ascii="Arial" w:hAnsi="Arial" w:eastAsia="仿宋_GB2312" w:cs="Arial"/>
          <w:b/>
          <w:bCs/>
          <w:color w:val="auto"/>
          <w:sz w:val="28"/>
          <w:szCs w:val="28"/>
        </w:rPr>
        <w:t>三、估价目的</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_Toc138062992 \h </w:instrText>
      </w:r>
      <w:r>
        <w:rPr>
          <w:rFonts w:ascii="Arial" w:hAnsi="Arial" w:cs="Arial"/>
          <w:b/>
          <w:bCs/>
          <w:color w:val="auto"/>
          <w:sz w:val="28"/>
          <w:szCs w:val="28"/>
        </w:rPr>
        <w:fldChar w:fldCharType="separate"/>
      </w:r>
      <w:r>
        <w:rPr>
          <w:rFonts w:ascii="Arial" w:hAnsi="Arial" w:cs="Arial"/>
          <w:b/>
          <w:bCs/>
          <w:color w:val="auto"/>
          <w:sz w:val="28"/>
          <w:szCs w:val="28"/>
        </w:rPr>
        <w:t>1</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515465DC">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"_Toc138062993" </w:instrText>
      </w:r>
      <w:r>
        <w:rPr>
          <w:color w:val="auto"/>
        </w:rPr>
        <w:fldChar w:fldCharType="separate"/>
      </w:r>
      <w:r>
        <w:rPr>
          <w:rStyle w:val="40"/>
          <w:rFonts w:ascii="Arial" w:hAnsi="Arial" w:eastAsia="仿宋_GB2312" w:cs="Arial"/>
          <w:b/>
          <w:bCs/>
          <w:color w:val="auto"/>
          <w:sz w:val="28"/>
          <w:szCs w:val="28"/>
        </w:rPr>
        <w:t>四、估价期日</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_Toc138062993 \h </w:instrText>
      </w:r>
      <w:r>
        <w:rPr>
          <w:rFonts w:ascii="Arial" w:hAnsi="Arial" w:cs="Arial"/>
          <w:b/>
          <w:bCs/>
          <w:color w:val="auto"/>
          <w:sz w:val="28"/>
          <w:szCs w:val="28"/>
        </w:rPr>
        <w:fldChar w:fldCharType="separate"/>
      </w:r>
      <w:r>
        <w:rPr>
          <w:rFonts w:ascii="Arial" w:hAnsi="Arial" w:cs="Arial"/>
          <w:b/>
          <w:bCs/>
          <w:color w:val="auto"/>
          <w:sz w:val="28"/>
          <w:szCs w:val="28"/>
        </w:rPr>
        <w:t>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5CCF51CF">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"_Toc138062994" </w:instrText>
      </w:r>
      <w:r>
        <w:rPr>
          <w:color w:val="auto"/>
        </w:rPr>
        <w:fldChar w:fldCharType="separate"/>
      </w:r>
      <w:r>
        <w:rPr>
          <w:rStyle w:val="40"/>
          <w:rFonts w:ascii="Arial" w:hAnsi="Arial" w:eastAsia="仿宋_GB2312" w:cs="Arial"/>
          <w:b/>
          <w:bCs/>
          <w:color w:val="auto"/>
          <w:sz w:val="28"/>
          <w:szCs w:val="28"/>
        </w:rPr>
        <w:t>五、估价日期</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_Toc138062994 \h </w:instrText>
      </w:r>
      <w:r>
        <w:rPr>
          <w:rFonts w:ascii="Arial" w:hAnsi="Arial" w:cs="Arial"/>
          <w:b/>
          <w:bCs/>
          <w:color w:val="auto"/>
          <w:sz w:val="28"/>
          <w:szCs w:val="28"/>
        </w:rPr>
        <w:fldChar w:fldCharType="separate"/>
      </w:r>
      <w:r>
        <w:rPr>
          <w:rFonts w:ascii="Arial" w:hAnsi="Arial" w:cs="Arial"/>
          <w:b/>
          <w:bCs/>
          <w:color w:val="auto"/>
          <w:sz w:val="28"/>
          <w:szCs w:val="28"/>
        </w:rPr>
        <w:t>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6B2A0103">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"_Toc138062995" </w:instrText>
      </w:r>
      <w:r>
        <w:rPr>
          <w:color w:val="auto"/>
        </w:rPr>
        <w:fldChar w:fldCharType="separate"/>
      </w:r>
      <w:r>
        <w:rPr>
          <w:rStyle w:val="40"/>
          <w:rFonts w:ascii="Arial" w:hAnsi="Arial" w:eastAsia="仿宋_GB2312" w:cs="Arial"/>
          <w:b/>
          <w:bCs/>
          <w:color w:val="auto"/>
          <w:sz w:val="28"/>
          <w:szCs w:val="28"/>
        </w:rPr>
        <w:t>六、地价定义</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_Toc138062995 \h </w:instrText>
      </w:r>
      <w:r>
        <w:rPr>
          <w:rFonts w:ascii="Arial" w:hAnsi="Arial" w:cs="Arial"/>
          <w:b/>
          <w:bCs/>
          <w:color w:val="auto"/>
          <w:sz w:val="28"/>
          <w:szCs w:val="28"/>
        </w:rPr>
        <w:fldChar w:fldCharType="separate"/>
      </w:r>
      <w:r>
        <w:rPr>
          <w:rFonts w:ascii="Arial" w:hAnsi="Arial" w:cs="Arial"/>
          <w:b/>
          <w:bCs/>
          <w:color w:val="auto"/>
          <w:sz w:val="28"/>
          <w:szCs w:val="28"/>
        </w:rPr>
        <w:t>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254B8B3C">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"_Toc138062996" </w:instrText>
      </w:r>
      <w:r>
        <w:rPr>
          <w:color w:val="auto"/>
        </w:rPr>
        <w:fldChar w:fldCharType="separate"/>
      </w:r>
      <w:r>
        <w:rPr>
          <w:rStyle w:val="40"/>
          <w:rFonts w:ascii="Arial" w:hAnsi="Arial" w:eastAsia="仿宋_GB2312" w:cs="Arial"/>
          <w:b/>
          <w:bCs/>
          <w:color w:val="auto"/>
          <w:sz w:val="28"/>
          <w:szCs w:val="28"/>
        </w:rPr>
        <w:t>七、估价结果</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_Toc138062996 \h </w:instrText>
      </w:r>
      <w:r>
        <w:rPr>
          <w:rFonts w:ascii="Arial" w:hAnsi="Arial" w:cs="Arial"/>
          <w:b/>
          <w:bCs/>
          <w:color w:val="auto"/>
          <w:sz w:val="28"/>
          <w:szCs w:val="28"/>
        </w:rPr>
        <w:fldChar w:fldCharType="separate"/>
      </w:r>
      <w:r>
        <w:rPr>
          <w:rFonts w:ascii="Arial" w:hAnsi="Arial" w:cs="Arial"/>
          <w:b/>
          <w:bCs/>
          <w:color w:val="auto"/>
          <w:sz w:val="28"/>
          <w:szCs w:val="28"/>
        </w:rPr>
        <w:t>7</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0BBDBE27">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"_Toc138062997" </w:instrText>
      </w:r>
      <w:r>
        <w:rPr>
          <w:color w:val="auto"/>
        </w:rPr>
        <w:fldChar w:fldCharType="separate"/>
      </w:r>
      <w:r>
        <w:rPr>
          <w:rStyle w:val="40"/>
          <w:rFonts w:ascii="Arial" w:hAnsi="Arial" w:cs="Arial"/>
          <w:b/>
          <w:bCs/>
          <w:color w:val="auto"/>
          <w:sz w:val="28"/>
          <w:szCs w:val="28"/>
        </w:rPr>
        <w:t>八</w:t>
      </w:r>
      <w:r>
        <w:rPr>
          <w:rStyle w:val="40"/>
          <w:rFonts w:ascii="Arial" w:hAnsi="Arial" w:eastAsia="仿宋_GB2312" w:cs="Arial"/>
          <w:b/>
          <w:bCs/>
          <w:color w:val="auto"/>
          <w:sz w:val="28"/>
          <w:szCs w:val="28"/>
        </w:rPr>
        <w:t>、土地估价专业评估师签字</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_Toc138062997 \h </w:instrText>
      </w:r>
      <w:r>
        <w:rPr>
          <w:rFonts w:ascii="Arial" w:hAnsi="Arial" w:cs="Arial"/>
          <w:b/>
          <w:bCs/>
          <w:color w:val="auto"/>
          <w:sz w:val="28"/>
          <w:szCs w:val="28"/>
        </w:rPr>
        <w:fldChar w:fldCharType="separate"/>
      </w:r>
      <w:r>
        <w:rPr>
          <w:rFonts w:ascii="Arial" w:hAnsi="Arial" w:cs="Arial"/>
          <w:b/>
          <w:bCs/>
          <w:color w:val="auto"/>
          <w:sz w:val="28"/>
          <w:szCs w:val="28"/>
        </w:rPr>
        <w:t>12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5B948165">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"_Toc138062998" </w:instrText>
      </w:r>
      <w:r>
        <w:rPr>
          <w:color w:val="auto"/>
        </w:rPr>
        <w:fldChar w:fldCharType="separate"/>
      </w:r>
      <w:r>
        <w:rPr>
          <w:rStyle w:val="40"/>
          <w:rFonts w:ascii="Arial" w:hAnsi="Arial" w:eastAsia="仿宋_GB2312" w:cs="Arial"/>
          <w:b/>
          <w:bCs/>
          <w:color w:val="auto"/>
          <w:sz w:val="28"/>
          <w:szCs w:val="28"/>
        </w:rPr>
        <w:t>九、土地估价机构</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_Toc138062998 \h </w:instrText>
      </w:r>
      <w:r>
        <w:rPr>
          <w:rFonts w:ascii="Arial" w:hAnsi="Arial" w:cs="Arial"/>
          <w:b/>
          <w:bCs/>
          <w:color w:val="auto"/>
          <w:sz w:val="28"/>
          <w:szCs w:val="28"/>
        </w:rPr>
        <w:fldChar w:fldCharType="separate"/>
      </w:r>
      <w:r>
        <w:rPr>
          <w:rFonts w:ascii="Arial" w:hAnsi="Arial" w:cs="Arial"/>
          <w:b/>
          <w:bCs/>
          <w:color w:val="auto"/>
          <w:sz w:val="28"/>
          <w:szCs w:val="28"/>
        </w:rPr>
        <w:t>12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720CDFB5">
      <w:pPr>
        <w:pStyle w:val="22"/>
        <w:rPr>
          <w:rFonts w:ascii="Arial" w:eastAsia="等线" w:cs="Arial"/>
          <w:b/>
          <w:bCs/>
          <w:color w:val="auto"/>
          <w:kern w:val="2"/>
        </w:rPr>
      </w:pPr>
      <w:r>
        <w:rPr>
          <w:color w:val="auto"/>
        </w:rPr>
        <w:fldChar w:fldCharType="begin"/>
      </w:r>
      <w:r>
        <w:rPr>
          <w:color w:val="auto"/>
        </w:rPr>
        <w:instrText xml:space="preserve"> HYPERLINK \l "_Toc138063000" </w:instrText>
      </w:r>
      <w:r>
        <w:rPr>
          <w:color w:val="auto"/>
        </w:rPr>
        <w:fldChar w:fldCharType="separate"/>
      </w:r>
      <w:r>
        <w:rPr>
          <w:rStyle w:val="40"/>
          <w:rFonts w:ascii="Arial" w:cs="Arial"/>
          <w:b/>
          <w:bCs/>
          <w:color w:val="auto"/>
        </w:rPr>
        <w:t>第二部分  估价对象界定</w:t>
      </w:r>
      <w:r>
        <w:rPr>
          <w:rFonts w:ascii="Arial" w:cs="Arial"/>
          <w:b/>
          <w:bCs/>
          <w:color w:val="auto"/>
        </w:rPr>
        <w:tab/>
      </w:r>
      <w:r>
        <w:rPr>
          <w:rFonts w:ascii="Arial" w:cs="Arial"/>
          <w:b/>
          <w:bCs/>
          <w:color w:val="auto"/>
        </w:rPr>
        <w:fldChar w:fldCharType="begin"/>
      </w:r>
      <w:r>
        <w:rPr>
          <w:rFonts w:ascii="Arial" w:cs="Arial"/>
          <w:b/>
          <w:bCs/>
          <w:color w:val="auto"/>
        </w:rPr>
        <w:instrText xml:space="preserve"> PAGEREF _Toc138063000 \h </w:instrText>
      </w:r>
      <w:r>
        <w:rPr>
          <w:rFonts w:ascii="Arial" w:cs="Arial"/>
          <w:b/>
          <w:bCs/>
          <w:color w:val="auto"/>
        </w:rPr>
        <w:fldChar w:fldCharType="separate"/>
      </w:r>
      <w:r>
        <w:rPr>
          <w:rFonts w:ascii="Arial" w:cs="Arial"/>
          <w:b/>
          <w:bCs/>
          <w:color w:val="auto"/>
        </w:rPr>
        <w:t>15</w:t>
      </w:r>
      <w:r>
        <w:rPr>
          <w:rFonts w:ascii="Arial" w:cs="Arial"/>
          <w:b/>
          <w:bCs/>
          <w:color w:val="auto"/>
        </w:rPr>
        <w:fldChar w:fldCharType="end"/>
      </w:r>
      <w:r>
        <w:rPr>
          <w:rFonts w:ascii="Arial" w:cs="Arial"/>
          <w:b/>
          <w:bCs/>
          <w:color w:val="auto"/>
        </w:rPr>
        <w:fldChar w:fldCharType="end"/>
      </w:r>
    </w:p>
    <w:p w14:paraId="6D760A4B">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"_Toc138063001" </w:instrText>
      </w:r>
      <w:r>
        <w:rPr>
          <w:color w:val="auto"/>
        </w:rPr>
        <w:fldChar w:fldCharType="separate"/>
      </w:r>
      <w:r>
        <w:rPr>
          <w:rStyle w:val="40"/>
          <w:rFonts w:ascii="Arial" w:hAnsi="Arial" w:eastAsia="仿宋_GB2312" w:cs="Arial"/>
          <w:b/>
          <w:bCs/>
          <w:color w:val="auto"/>
          <w:sz w:val="28"/>
          <w:szCs w:val="28"/>
        </w:rPr>
        <w:t>一、委托估价方</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_Toc138063001 \h </w:instrText>
      </w:r>
      <w:r>
        <w:rPr>
          <w:rFonts w:ascii="Arial" w:hAnsi="Arial" w:cs="Arial"/>
          <w:b/>
          <w:bCs/>
          <w:color w:val="auto"/>
          <w:sz w:val="28"/>
          <w:szCs w:val="28"/>
        </w:rPr>
        <w:fldChar w:fldCharType="separate"/>
      </w:r>
      <w:r>
        <w:rPr>
          <w:rFonts w:ascii="Arial" w:hAnsi="Arial" w:cs="Arial"/>
          <w:b/>
          <w:bCs/>
          <w:color w:val="auto"/>
          <w:sz w:val="28"/>
          <w:szCs w:val="28"/>
        </w:rPr>
        <w:t>15</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60529142">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"_Toc138063002" </w:instrText>
      </w:r>
      <w:r>
        <w:rPr>
          <w:color w:val="auto"/>
        </w:rPr>
        <w:fldChar w:fldCharType="separate"/>
      </w:r>
      <w:r>
        <w:rPr>
          <w:rStyle w:val="40"/>
          <w:rFonts w:ascii="Arial" w:hAnsi="Arial" w:eastAsia="仿宋_GB2312" w:cs="Arial"/>
          <w:b/>
          <w:bCs/>
          <w:color w:val="auto"/>
          <w:sz w:val="28"/>
          <w:szCs w:val="28"/>
        </w:rPr>
        <w:t>二、估价对象</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_Toc138063002 \h </w:instrText>
      </w:r>
      <w:r>
        <w:rPr>
          <w:rFonts w:ascii="Arial" w:hAnsi="Arial" w:cs="Arial"/>
          <w:b/>
          <w:bCs/>
          <w:color w:val="auto"/>
          <w:sz w:val="28"/>
          <w:szCs w:val="28"/>
        </w:rPr>
        <w:fldChar w:fldCharType="separate"/>
      </w:r>
      <w:r>
        <w:rPr>
          <w:rFonts w:ascii="Arial" w:hAnsi="Arial" w:cs="Arial"/>
          <w:b/>
          <w:bCs/>
          <w:color w:val="auto"/>
          <w:sz w:val="28"/>
          <w:szCs w:val="28"/>
        </w:rPr>
        <w:t>15</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51F476B1">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"_Toc138063003" </w:instrText>
      </w:r>
      <w:r>
        <w:rPr>
          <w:color w:val="auto"/>
        </w:rPr>
        <w:fldChar w:fldCharType="separate"/>
      </w:r>
      <w:r>
        <w:rPr>
          <w:rStyle w:val="40"/>
          <w:rFonts w:ascii="Arial" w:hAnsi="Arial" w:eastAsia="仿宋_GB2312" w:cs="Arial"/>
          <w:b/>
          <w:bCs/>
          <w:color w:val="auto"/>
          <w:sz w:val="28"/>
          <w:szCs w:val="28"/>
        </w:rPr>
        <w:t>三、估价对象概况</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_Toc138063003 \h </w:instrText>
      </w:r>
      <w:r>
        <w:rPr>
          <w:rFonts w:ascii="Arial" w:hAnsi="Arial" w:cs="Arial"/>
          <w:b/>
          <w:bCs/>
          <w:color w:val="auto"/>
          <w:sz w:val="28"/>
          <w:szCs w:val="28"/>
        </w:rPr>
        <w:fldChar w:fldCharType="separate"/>
      </w:r>
      <w:r>
        <w:rPr>
          <w:rFonts w:ascii="Arial" w:hAnsi="Arial" w:cs="Arial"/>
          <w:b/>
          <w:bCs/>
          <w:color w:val="auto"/>
          <w:sz w:val="28"/>
          <w:szCs w:val="28"/>
        </w:rPr>
        <w:t>17</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02D560F7">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"_Toc138063004" </w:instrText>
      </w:r>
      <w:r>
        <w:rPr>
          <w:color w:val="auto"/>
        </w:rPr>
        <w:fldChar w:fldCharType="separate"/>
      </w:r>
      <w:r>
        <w:rPr>
          <w:rStyle w:val="40"/>
          <w:rFonts w:ascii="Arial" w:hAnsi="Arial" w:eastAsia="仿宋_GB2312" w:cs="Arial"/>
          <w:b/>
          <w:bCs/>
          <w:color w:val="auto"/>
          <w:sz w:val="28"/>
          <w:szCs w:val="28"/>
        </w:rPr>
        <w:t>四、影响地价的因素说明</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_Toc138063004 \h </w:instrText>
      </w:r>
      <w:r>
        <w:rPr>
          <w:rFonts w:ascii="Arial" w:hAnsi="Arial" w:cs="Arial"/>
          <w:b/>
          <w:bCs/>
          <w:color w:val="auto"/>
          <w:sz w:val="28"/>
          <w:szCs w:val="28"/>
        </w:rPr>
        <w:fldChar w:fldCharType="separate"/>
      </w:r>
      <w:r>
        <w:rPr>
          <w:rFonts w:ascii="Arial" w:hAnsi="Arial" w:cs="Arial"/>
          <w:b/>
          <w:bCs/>
          <w:color w:val="auto"/>
          <w:sz w:val="28"/>
          <w:szCs w:val="28"/>
        </w:rPr>
        <w:t>21</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7A84D6CE">
      <w:pPr>
        <w:pStyle w:val="22"/>
        <w:rPr>
          <w:rFonts w:ascii="Arial" w:eastAsia="等线" w:cs="Arial"/>
          <w:b/>
          <w:bCs/>
          <w:color w:val="auto"/>
          <w:kern w:val="2"/>
        </w:rPr>
      </w:pPr>
      <w:r>
        <w:rPr>
          <w:color w:val="auto"/>
        </w:rPr>
        <w:fldChar w:fldCharType="begin"/>
      </w:r>
      <w:r>
        <w:rPr>
          <w:color w:val="auto"/>
        </w:rPr>
        <w:instrText xml:space="preserve"> HYPERLINK \l "_Toc138063006" </w:instrText>
      </w:r>
      <w:r>
        <w:rPr>
          <w:color w:val="auto"/>
        </w:rPr>
        <w:fldChar w:fldCharType="separate"/>
      </w:r>
      <w:r>
        <w:rPr>
          <w:rStyle w:val="40"/>
          <w:rFonts w:ascii="Arial" w:cs="Arial"/>
          <w:b/>
          <w:bCs/>
          <w:color w:val="auto"/>
        </w:rPr>
        <w:t>第三部分  土地估价结果及其使用</w:t>
      </w:r>
      <w:r>
        <w:rPr>
          <w:rFonts w:ascii="Arial" w:cs="Arial"/>
          <w:b/>
          <w:bCs/>
          <w:color w:val="auto"/>
        </w:rPr>
        <w:tab/>
      </w:r>
      <w:r>
        <w:rPr>
          <w:rFonts w:ascii="Arial" w:cs="Arial"/>
          <w:b/>
          <w:bCs/>
          <w:color w:val="auto"/>
        </w:rPr>
        <w:fldChar w:fldCharType="begin"/>
      </w:r>
      <w:r>
        <w:rPr>
          <w:rFonts w:ascii="Arial" w:cs="Arial"/>
          <w:b/>
          <w:bCs/>
          <w:color w:val="auto"/>
        </w:rPr>
        <w:instrText xml:space="preserve"> PAGEREF _Toc138063006 \h </w:instrText>
      </w:r>
      <w:r>
        <w:rPr>
          <w:rFonts w:ascii="Arial" w:cs="Arial"/>
          <w:b/>
          <w:bCs/>
          <w:color w:val="auto"/>
        </w:rPr>
        <w:fldChar w:fldCharType="separate"/>
      </w:r>
      <w:r>
        <w:rPr>
          <w:rFonts w:ascii="Arial" w:cs="Arial"/>
          <w:b/>
          <w:bCs/>
          <w:color w:val="auto"/>
        </w:rPr>
        <w:t>55</w:t>
      </w:r>
      <w:r>
        <w:rPr>
          <w:rFonts w:ascii="Arial" w:cs="Arial"/>
          <w:b/>
          <w:bCs/>
          <w:color w:val="auto"/>
        </w:rPr>
        <w:fldChar w:fldCharType="end"/>
      </w:r>
      <w:r>
        <w:rPr>
          <w:rFonts w:ascii="Arial" w:cs="Arial"/>
          <w:b/>
          <w:bCs/>
          <w:color w:val="auto"/>
        </w:rPr>
        <w:fldChar w:fldCharType="end"/>
      </w:r>
    </w:p>
    <w:p w14:paraId="5456626D">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"_Toc138063007" </w:instrText>
      </w:r>
      <w:r>
        <w:rPr>
          <w:color w:val="auto"/>
        </w:rPr>
        <w:fldChar w:fldCharType="separate"/>
      </w:r>
      <w:r>
        <w:rPr>
          <w:rStyle w:val="40"/>
          <w:rFonts w:ascii="Arial" w:hAnsi="Arial" w:eastAsia="仿宋_GB2312" w:cs="Arial"/>
          <w:b/>
          <w:bCs/>
          <w:color w:val="auto"/>
          <w:sz w:val="28"/>
          <w:szCs w:val="28"/>
        </w:rPr>
        <w:t>一、估价依据</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_Toc138063007 \h </w:instrText>
      </w:r>
      <w:r>
        <w:rPr>
          <w:rFonts w:ascii="Arial" w:hAnsi="Arial" w:cs="Arial"/>
          <w:b/>
          <w:bCs/>
          <w:color w:val="auto"/>
          <w:sz w:val="28"/>
          <w:szCs w:val="28"/>
        </w:rPr>
        <w:fldChar w:fldCharType="separate"/>
      </w:r>
      <w:r>
        <w:rPr>
          <w:rFonts w:ascii="Arial" w:hAnsi="Arial" w:cs="Arial"/>
          <w:b/>
          <w:bCs/>
          <w:color w:val="auto"/>
          <w:sz w:val="28"/>
          <w:szCs w:val="28"/>
        </w:rPr>
        <w:t>55</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06DE8E92">
      <w:pPr>
        <w:pStyle w:val="27"/>
        <w:rPr>
          <w:rFonts w:ascii="Arial" w:hAnsi="Arial" w:eastAsia="等线" w:cs="Arial"/>
          <w:b/>
          <w:bCs/>
          <w:color w:val="auto"/>
          <w:kern w:val="2"/>
          <w:sz w:val="28"/>
          <w:szCs w:val="28"/>
        </w:rPr>
      </w:pPr>
      <w:r>
        <w:rPr>
          <w:color w:val="auto"/>
        </w:rPr>
        <w:fldChar w:fldCharType="begin"/>
      </w:r>
      <w:r>
        <w:rPr>
          <w:color w:val="auto"/>
        </w:rPr>
        <w:instrText xml:space="preserve"> HYPERLINK \l "_Toc138063008" </w:instrText>
      </w:r>
      <w:r>
        <w:rPr>
          <w:color w:val="auto"/>
        </w:rPr>
        <w:fldChar w:fldCharType="separate"/>
      </w:r>
      <w:r>
        <w:rPr>
          <w:rStyle w:val="40"/>
          <w:rFonts w:ascii="Arial" w:hAnsi="Arial" w:eastAsia="仿宋_GB2312" w:cs="Arial"/>
          <w:b/>
          <w:bCs/>
          <w:color w:val="auto"/>
          <w:sz w:val="28"/>
          <w:szCs w:val="28"/>
        </w:rPr>
        <w:t>二、土地估价</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_Toc138063008 \h </w:instrText>
      </w:r>
      <w:r>
        <w:rPr>
          <w:rFonts w:ascii="Arial" w:hAnsi="Arial" w:cs="Arial"/>
          <w:b/>
          <w:bCs/>
          <w:color w:val="auto"/>
          <w:sz w:val="28"/>
          <w:szCs w:val="28"/>
        </w:rPr>
        <w:fldChar w:fldCharType="separate"/>
      </w:r>
      <w:r>
        <w:rPr>
          <w:rFonts w:ascii="Arial" w:hAnsi="Arial" w:cs="Arial"/>
          <w:b/>
          <w:bCs/>
          <w:color w:val="auto"/>
          <w:sz w:val="28"/>
          <w:szCs w:val="28"/>
        </w:rPr>
        <w:t>61</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2C3644CE">
      <w:pPr>
        <w:pStyle w:val="22"/>
        <w:rPr>
          <w:rFonts w:ascii="Arial" w:cs="Arial"/>
          <w:color w:val="auto"/>
          <w:sz w:val="44"/>
        </w:rPr>
        <w:sectPr>
          <w:headerReference r:id="rId12" w:type="first"/>
          <w:footerReference r:id="rId15" w:type="first"/>
          <w:headerReference r:id="rId11" w:type="default"/>
          <w:footerReference r:id="rId13" w:type="default"/>
          <w:footerReference r:id="rId14" w:type="even"/>
          <w:pgSz w:w="11907" w:h="16840"/>
          <w:pgMar w:top="1418" w:right="1418" w:bottom="1134" w:left="1418" w:header="851" w:footer="1134" w:gutter="0"/>
          <w:pgNumType w:start="1"/>
          <w:cols w:space="720" w:num="1"/>
          <w:titlePg/>
        </w:sectPr>
      </w:pPr>
      <w:r>
        <w:rPr>
          <w:color w:val="auto"/>
        </w:rPr>
        <w:fldChar w:fldCharType="begin"/>
      </w:r>
      <w:r>
        <w:rPr>
          <w:color w:val="auto"/>
        </w:rPr>
        <w:instrText xml:space="preserve"> HYPERLINK \l "_Toc138063009" </w:instrText>
      </w:r>
      <w:r>
        <w:rPr>
          <w:color w:val="auto"/>
        </w:rPr>
        <w:fldChar w:fldCharType="separate"/>
      </w:r>
      <w:r>
        <w:rPr>
          <w:rStyle w:val="40"/>
          <w:rFonts w:ascii="Arial" w:cs="Arial"/>
          <w:b/>
          <w:bCs/>
          <w:color w:val="auto"/>
        </w:rPr>
        <w:t>第四部分  附  件</w:t>
      </w:r>
      <w:r>
        <w:rPr>
          <w:rFonts w:ascii="Arial" w:cs="Arial"/>
          <w:b/>
          <w:bCs/>
          <w:color w:val="auto"/>
        </w:rPr>
        <w:tab/>
      </w:r>
      <w:r>
        <w:rPr>
          <w:rFonts w:ascii="Arial" w:cs="Arial"/>
          <w:b/>
          <w:bCs/>
          <w:color w:val="auto"/>
        </w:rPr>
        <w:fldChar w:fldCharType="begin"/>
      </w:r>
      <w:r>
        <w:rPr>
          <w:rFonts w:ascii="Arial" w:cs="Arial"/>
          <w:b/>
          <w:bCs/>
          <w:color w:val="auto"/>
        </w:rPr>
        <w:instrText xml:space="preserve"> PAGEREF _Toc138063009 \h </w:instrText>
      </w:r>
      <w:r>
        <w:rPr>
          <w:rFonts w:ascii="Arial" w:cs="Arial"/>
          <w:b/>
          <w:bCs/>
          <w:color w:val="auto"/>
        </w:rPr>
        <w:fldChar w:fldCharType="separate"/>
      </w:r>
      <w:r>
        <w:rPr>
          <w:rFonts w:ascii="Arial" w:cs="Arial"/>
          <w:b/>
          <w:bCs/>
          <w:color w:val="auto"/>
        </w:rPr>
        <w:t>83</w:t>
      </w:r>
      <w:r>
        <w:rPr>
          <w:rFonts w:ascii="Arial" w:cs="Arial"/>
          <w:b/>
          <w:bCs/>
          <w:color w:val="auto"/>
        </w:rPr>
        <w:fldChar w:fldCharType="end"/>
      </w:r>
      <w:r>
        <w:rPr>
          <w:rFonts w:ascii="Arial" w:cs="Arial"/>
          <w:b/>
          <w:bCs/>
          <w:color w:val="auto"/>
        </w:rPr>
        <w:fldChar w:fldCharType="end"/>
      </w:r>
      <w:r>
        <w:rPr>
          <w:rFonts w:ascii="Arial" w:eastAsia="仿宋" w:cs="Arial"/>
          <w:b/>
          <w:bCs/>
          <w:color w:val="auto"/>
        </w:rPr>
        <w:fldChar w:fldCharType="end"/>
      </w:r>
    </w:p>
    <w:p w14:paraId="1FF3DF58">
      <w:pPr>
        <w:spacing w:line="300" w:lineRule="auto"/>
        <w:jc w:val="center"/>
        <w:rPr>
          <w:rFonts w:ascii="Arial" w:hAnsi="Arial" w:cs="Arial"/>
          <w:b/>
          <w:color w:val="auto"/>
          <w:sz w:val="32"/>
        </w:rPr>
      </w:pPr>
      <w:r>
        <w:rPr>
          <w:rFonts w:ascii="Arial" w:hAnsi="Arial" w:cs="Arial"/>
          <w:b/>
          <w:color w:val="auto"/>
          <w:sz w:val="32"/>
        </w:rPr>
        <w:t>土</w:t>
      </w:r>
      <w:r>
        <w:rPr>
          <w:rFonts w:ascii="Arial" w:hAnsi="Arial" w:eastAsia="仿宋_GB2312" w:cs="Arial"/>
          <w:b/>
          <w:color w:val="auto"/>
          <w:sz w:val="32"/>
        </w:rPr>
        <w:t xml:space="preserve"> </w:t>
      </w:r>
      <w:r>
        <w:rPr>
          <w:rFonts w:ascii="Arial" w:hAnsi="Arial" w:cs="Arial"/>
          <w:b/>
          <w:color w:val="auto"/>
          <w:sz w:val="32"/>
        </w:rPr>
        <w:t>地</w:t>
      </w:r>
      <w:r>
        <w:rPr>
          <w:rFonts w:ascii="Arial" w:hAnsi="Arial" w:eastAsia="仿宋_GB2312" w:cs="Arial"/>
          <w:b/>
          <w:color w:val="auto"/>
          <w:sz w:val="32"/>
        </w:rPr>
        <w:t xml:space="preserve"> </w:t>
      </w:r>
      <w:r>
        <w:rPr>
          <w:rFonts w:ascii="Arial" w:hAnsi="Arial" w:cs="Arial"/>
          <w:b/>
          <w:color w:val="auto"/>
          <w:sz w:val="32"/>
        </w:rPr>
        <w:t>估</w:t>
      </w:r>
      <w:r>
        <w:rPr>
          <w:rFonts w:ascii="Arial" w:hAnsi="Arial" w:eastAsia="仿宋_GB2312" w:cs="Arial"/>
          <w:b/>
          <w:color w:val="auto"/>
          <w:sz w:val="32"/>
        </w:rPr>
        <w:t xml:space="preserve"> </w:t>
      </w:r>
      <w:r>
        <w:rPr>
          <w:rFonts w:ascii="Arial" w:hAnsi="Arial" w:cs="Arial"/>
          <w:b/>
          <w:color w:val="auto"/>
          <w:sz w:val="32"/>
        </w:rPr>
        <w:t>价</w:t>
      </w:r>
      <w:r>
        <w:rPr>
          <w:rFonts w:ascii="Arial" w:hAnsi="Arial" w:eastAsia="仿宋_GB2312" w:cs="Arial"/>
          <w:b/>
          <w:color w:val="auto"/>
          <w:sz w:val="32"/>
        </w:rPr>
        <w:t xml:space="preserve"> </w:t>
      </w:r>
      <w:r>
        <w:rPr>
          <w:rFonts w:ascii="Arial" w:hAnsi="Arial" w:cs="Arial"/>
          <w:b/>
          <w:color w:val="auto"/>
          <w:sz w:val="32"/>
        </w:rPr>
        <w:t>报</w:t>
      </w:r>
      <w:r>
        <w:rPr>
          <w:rFonts w:ascii="Arial" w:hAnsi="Arial" w:eastAsia="仿宋_GB2312" w:cs="Arial"/>
          <w:b/>
          <w:color w:val="auto"/>
          <w:sz w:val="32"/>
        </w:rPr>
        <w:t xml:space="preserve"> </w:t>
      </w:r>
      <w:r>
        <w:rPr>
          <w:rFonts w:ascii="Arial" w:hAnsi="Arial" w:cs="Arial"/>
          <w:b/>
          <w:color w:val="auto"/>
          <w:sz w:val="32"/>
        </w:rPr>
        <w:t>告</w:t>
      </w:r>
    </w:p>
    <w:p w14:paraId="19695049">
      <w:pPr>
        <w:spacing w:line="300" w:lineRule="auto"/>
        <w:rPr>
          <w:rFonts w:ascii="Arial" w:hAnsi="Arial" w:eastAsia="楷体_GB2312" w:cs="Arial"/>
          <w:b/>
          <w:color w:val="auto"/>
          <w:sz w:val="32"/>
        </w:rPr>
      </w:pPr>
    </w:p>
    <w:p w14:paraId="6957B055">
      <w:pPr>
        <w:tabs>
          <w:tab w:val="center" w:pos="4332"/>
          <w:tab w:val="right" w:pos="8664"/>
        </w:tabs>
        <w:spacing w:line="300" w:lineRule="auto"/>
        <w:outlineLvl w:val="0"/>
        <w:rPr>
          <w:rFonts w:ascii="Arial" w:hAnsi="Arial" w:cs="Arial"/>
          <w:color w:val="auto"/>
          <w:sz w:val="32"/>
        </w:rPr>
      </w:pPr>
      <w:bookmarkStart w:id="3" w:name="_Toc416783516"/>
      <w:bookmarkStart w:id="4" w:name="_Toc418750878"/>
      <w:r>
        <w:rPr>
          <w:rFonts w:ascii="Arial" w:hAnsi="Arial" w:cs="Arial"/>
          <w:b/>
          <w:color w:val="auto"/>
          <w:sz w:val="32"/>
        </w:rPr>
        <w:tab/>
      </w:r>
      <w:bookmarkStart w:id="5" w:name="_Toc520261123"/>
      <w:bookmarkStart w:id="6" w:name="_Toc425250300"/>
      <w:bookmarkStart w:id="7" w:name="_Toc531701548"/>
      <w:bookmarkStart w:id="8" w:name="_Toc132016719"/>
      <w:bookmarkStart w:id="9" w:name="_Toc469066300"/>
      <w:bookmarkStart w:id="10" w:name="_Toc138062989"/>
      <w:r>
        <w:rPr>
          <w:rFonts w:ascii="Arial" w:hAnsi="Arial" w:cs="Arial"/>
          <w:b/>
          <w:color w:val="auto"/>
          <w:sz w:val="32"/>
        </w:rPr>
        <w:t>第一部分</w:t>
      </w:r>
      <w:r>
        <w:rPr>
          <w:rFonts w:ascii="Arial" w:hAnsi="Arial" w:eastAsia="仿宋_GB2312" w:cs="Arial"/>
          <w:b/>
          <w:color w:val="auto"/>
          <w:sz w:val="32"/>
        </w:rPr>
        <w:t xml:space="preserve">  </w:t>
      </w:r>
      <w:r>
        <w:rPr>
          <w:rFonts w:ascii="Arial" w:hAnsi="Arial" w:cs="Arial"/>
          <w:b/>
          <w:color w:val="auto"/>
          <w:sz w:val="32"/>
        </w:rPr>
        <w:t>摘</w:t>
      </w:r>
      <w:r>
        <w:rPr>
          <w:rFonts w:ascii="Arial" w:hAnsi="Arial" w:eastAsia="仿宋_GB2312" w:cs="Arial"/>
          <w:b/>
          <w:color w:val="auto"/>
          <w:sz w:val="32"/>
        </w:rPr>
        <w:t xml:space="preserve">  </w:t>
      </w:r>
      <w:r>
        <w:rPr>
          <w:rFonts w:ascii="Arial" w:hAnsi="Arial" w:cs="Arial"/>
          <w:b/>
          <w:color w:val="auto"/>
          <w:sz w:val="32"/>
        </w:rPr>
        <w:t>要</w:t>
      </w:r>
      <w:bookmarkEnd w:id="3"/>
      <w:bookmarkEnd w:id="4"/>
      <w:bookmarkEnd w:id="5"/>
      <w:bookmarkEnd w:id="6"/>
      <w:bookmarkEnd w:id="7"/>
      <w:bookmarkEnd w:id="8"/>
      <w:bookmarkEnd w:id="9"/>
      <w:bookmarkEnd w:id="10"/>
      <w:r>
        <w:rPr>
          <w:rFonts w:ascii="Arial" w:hAnsi="Arial" w:cs="Arial"/>
          <w:b/>
          <w:color w:val="auto"/>
          <w:sz w:val="32"/>
        </w:rPr>
        <w:tab/>
      </w:r>
    </w:p>
    <w:p w14:paraId="0C5372D0">
      <w:pPr>
        <w:spacing w:line="300" w:lineRule="auto"/>
        <w:rPr>
          <w:rFonts w:ascii="Arial" w:hAnsi="Arial" w:eastAsia="仿宋_GB2312" w:cs="Arial"/>
          <w:color w:val="auto"/>
          <w:sz w:val="28"/>
        </w:rPr>
      </w:pPr>
    </w:p>
    <w:p w14:paraId="7F5DCF6D">
      <w:pPr>
        <w:spacing w:line="300" w:lineRule="auto"/>
        <w:jc w:val="both"/>
        <w:outlineLvl w:val="1"/>
        <w:rPr>
          <w:rFonts w:ascii="Arial" w:hAnsi="Arial" w:eastAsia="仿宋_GB2312" w:cs="Arial"/>
          <w:b/>
          <w:bCs/>
          <w:color w:val="auto"/>
          <w:sz w:val="28"/>
        </w:rPr>
      </w:pPr>
      <w:bookmarkStart w:id="11" w:name="_Toc138062990"/>
      <w:r>
        <w:rPr>
          <w:rFonts w:ascii="Arial" w:hAnsi="Arial" w:eastAsia="仿宋_GB2312" w:cs="Arial"/>
          <w:b/>
          <w:bCs/>
          <w:color w:val="auto"/>
          <w:sz w:val="28"/>
        </w:rPr>
        <w:t>一、估价项目名称</w:t>
      </w:r>
      <w:bookmarkEnd w:id="11"/>
    </w:p>
    <w:p w14:paraId="562CE44F">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北京市顺义区高丽营镇夏县营村棚户区改造土地开发项目01－008、01－016、01－026－1、01－020地块二类居住用地、托幼用地国有建设用地使用权出让价格评估</w:t>
      </w:r>
    </w:p>
    <w:p w14:paraId="718114D1">
      <w:pPr>
        <w:spacing w:line="300" w:lineRule="auto"/>
        <w:ind w:firstLine="560" w:firstLineChars="200"/>
        <w:jc w:val="both"/>
        <w:rPr>
          <w:rFonts w:ascii="Arial" w:hAnsi="Arial" w:eastAsia="仿宋_GB2312" w:cs="Arial"/>
          <w:color w:val="auto"/>
          <w:sz w:val="28"/>
        </w:rPr>
      </w:pPr>
    </w:p>
    <w:p w14:paraId="77D92AC9">
      <w:pPr>
        <w:spacing w:line="300" w:lineRule="auto"/>
        <w:jc w:val="both"/>
        <w:outlineLvl w:val="1"/>
        <w:rPr>
          <w:rFonts w:ascii="Arial" w:hAnsi="Arial" w:eastAsia="仿宋_GB2312" w:cs="Arial"/>
          <w:b/>
          <w:bCs/>
          <w:color w:val="auto"/>
          <w:sz w:val="28"/>
        </w:rPr>
      </w:pPr>
      <w:bookmarkStart w:id="12" w:name="_Toc469066302"/>
      <w:bookmarkStart w:id="13" w:name="_Toc515261586"/>
      <w:bookmarkStart w:id="14" w:name="_Toc132016721"/>
      <w:bookmarkStart w:id="15" w:name="_Toc416783518"/>
      <w:bookmarkStart w:id="16" w:name="_Toc520261125"/>
      <w:bookmarkStart w:id="17" w:name="_Toc138062991"/>
      <w:bookmarkStart w:id="18" w:name="_Toc515458359"/>
      <w:bookmarkStart w:id="19" w:name="_Toc531701550"/>
      <w:bookmarkStart w:id="20" w:name="_Toc425250302"/>
      <w:bookmarkStart w:id="21" w:name="_Toc418750880"/>
      <w:r>
        <w:rPr>
          <w:rFonts w:ascii="Arial" w:hAnsi="Arial" w:eastAsia="仿宋_GB2312" w:cs="Arial"/>
          <w:b/>
          <w:bCs/>
          <w:color w:val="auto"/>
          <w:sz w:val="28"/>
        </w:rPr>
        <w:t>二、委托估价方</w:t>
      </w:r>
      <w:bookmarkEnd w:id="12"/>
      <w:bookmarkEnd w:id="13"/>
      <w:bookmarkEnd w:id="14"/>
      <w:bookmarkEnd w:id="15"/>
      <w:bookmarkEnd w:id="16"/>
      <w:bookmarkEnd w:id="17"/>
      <w:bookmarkEnd w:id="18"/>
      <w:bookmarkEnd w:id="19"/>
      <w:bookmarkEnd w:id="20"/>
      <w:bookmarkEnd w:id="21"/>
    </w:p>
    <w:p w14:paraId="165EAF9B">
      <w:pPr>
        <w:spacing w:line="300" w:lineRule="auto"/>
        <w:ind w:firstLine="560" w:firstLineChars="200"/>
        <w:jc w:val="both"/>
        <w:rPr>
          <w:rFonts w:ascii="Arial" w:hAnsi="Arial" w:eastAsia="仿宋" w:cs="Arial"/>
          <w:bCs/>
          <w:color w:val="auto"/>
          <w:sz w:val="28"/>
          <w:szCs w:val="28"/>
        </w:rPr>
      </w:pPr>
      <w:r>
        <w:rPr>
          <w:rFonts w:hint="eastAsia" w:ascii="Arial" w:hAnsi="Arial" w:eastAsia="仿宋" w:cs="Arial"/>
          <w:bCs/>
          <w:color w:val="auto"/>
          <w:sz w:val="28"/>
          <w:szCs w:val="28"/>
        </w:rPr>
        <w:t>单位名称：北京市规划和自然资源委员会</w:t>
      </w:r>
    </w:p>
    <w:p w14:paraId="6B5EA1C4">
      <w:pPr>
        <w:spacing w:line="300" w:lineRule="auto"/>
        <w:ind w:firstLine="560" w:firstLineChars="200"/>
        <w:jc w:val="both"/>
        <w:rPr>
          <w:rFonts w:ascii="Arial" w:hAnsi="Arial" w:eastAsia="仿宋" w:cs="Arial"/>
          <w:bCs/>
          <w:color w:val="auto"/>
          <w:sz w:val="28"/>
          <w:szCs w:val="28"/>
        </w:rPr>
      </w:pPr>
      <w:r>
        <w:rPr>
          <w:rFonts w:hint="eastAsia" w:ascii="Arial" w:hAnsi="Arial" w:eastAsia="仿宋" w:cs="Arial"/>
          <w:bCs/>
          <w:color w:val="auto"/>
          <w:sz w:val="28"/>
          <w:szCs w:val="28"/>
        </w:rPr>
        <w:t>地址：北京市通州区承安街1号院</w:t>
      </w:r>
    </w:p>
    <w:p w14:paraId="3B62FD98">
      <w:pPr>
        <w:spacing w:line="300" w:lineRule="auto"/>
        <w:ind w:firstLine="560" w:firstLineChars="200"/>
        <w:jc w:val="both"/>
        <w:rPr>
          <w:rFonts w:ascii="Arial" w:hAnsi="Arial" w:eastAsia="仿宋" w:cs="Arial"/>
          <w:bCs/>
          <w:color w:val="auto"/>
          <w:sz w:val="28"/>
          <w:szCs w:val="28"/>
        </w:rPr>
      </w:pPr>
      <w:r>
        <w:rPr>
          <w:rFonts w:hint="eastAsia" w:ascii="Arial" w:hAnsi="Arial" w:eastAsia="仿宋" w:cs="Arial"/>
          <w:bCs/>
          <w:color w:val="auto"/>
          <w:sz w:val="28"/>
          <w:szCs w:val="28"/>
        </w:rPr>
        <w:t>联系人：李德润</w:t>
      </w:r>
    </w:p>
    <w:p w14:paraId="7121556D">
      <w:pPr>
        <w:spacing w:line="300" w:lineRule="auto"/>
        <w:ind w:firstLine="560" w:firstLineChars="200"/>
        <w:jc w:val="both"/>
        <w:rPr>
          <w:rFonts w:ascii="Arial" w:hAnsi="Arial" w:eastAsia="仿宋" w:cs="Arial"/>
          <w:bCs/>
          <w:color w:val="auto"/>
          <w:sz w:val="28"/>
          <w:szCs w:val="28"/>
        </w:rPr>
      </w:pPr>
      <w:r>
        <w:rPr>
          <w:rFonts w:hint="eastAsia" w:ascii="Arial" w:hAnsi="Arial" w:eastAsia="仿宋" w:cs="Arial"/>
          <w:bCs/>
          <w:color w:val="auto"/>
          <w:sz w:val="28"/>
          <w:szCs w:val="28"/>
        </w:rPr>
        <w:t>联系电话：010－55595171</w:t>
      </w:r>
    </w:p>
    <w:p w14:paraId="5DD7C547">
      <w:pPr>
        <w:spacing w:line="300" w:lineRule="auto"/>
        <w:ind w:firstLine="560" w:firstLineChars="200"/>
        <w:jc w:val="both"/>
        <w:rPr>
          <w:rFonts w:ascii="Arial" w:hAnsi="Arial" w:eastAsia="仿宋" w:cs="Arial"/>
          <w:bCs/>
          <w:color w:val="auto"/>
          <w:sz w:val="28"/>
          <w:szCs w:val="28"/>
        </w:rPr>
      </w:pPr>
    </w:p>
    <w:p w14:paraId="2494AF6A">
      <w:pPr>
        <w:spacing w:line="300" w:lineRule="auto"/>
        <w:jc w:val="both"/>
        <w:outlineLvl w:val="1"/>
        <w:rPr>
          <w:rFonts w:ascii="Arial" w:hAnsi="Arial" w:eastAsia="仿宋_GB2312" w:cs="Arial"/>
          <w:b/>
          <w:bCs/>
          <w:color w:val="auto"/>
          <w:sz w:val="28"/>
        </w:rPr>
      </w:pPr>
      <w:bookmarkStart w:id="22" w:name="_Toc531701551"/>
      <w:bookmarkStart w:id="23" w:name="_Toc469066303"/>
      <w:bookmarkStart w:id="24" w:name="_Toc520261126"/>
      <w:bookmarkStart w:id="25" w:name="_Toc416783519"/>
      <w:bookmarkStart w:id="26" w:name="_Toc138062992"/>
      <w:bookmarkStart w:id="27" w:name="_Toc515458360"/>
      <w:bookmarkStart w:id="28" w:name="_Toc418750881"/>
      <w:bookmarkStart w:id="29" w:name="_Toc515261587"/>
      <w:bookmarkStart w:id="30" w:name="_Toc425250303"/>
      <w:bookmarkStart w:id="31" w:name="_Toc132016722"/>
      <w:r>
        <w:rPr>
          <w:rFonts w:ascii="Arial" w:hAnsi="Arial" w:eastAsia="仿宋_GB2312" w:cs="Arial"/>
          <w:b/>
          <w:bCs/>
          <w:color w:val="auto"/>
          <w:sz w:val="28"/>
        </w:rPr>
        <w:t>三、估价目的</w:t>
      </w:r>
      <w:bookmarkEnd w:id="22"/>
      <w:bookmarkEnd w:id="23"/>
      <w:bookmarkEnd w:id="24"/>
      <w:bookmarkEnd w:id="25"/>
      <w:bookmarkEnd w:id="26"/>
      <w:bookmarkEnd w:id="27"/>
      <w:bookmarkEnd w:id="28"/>
      <w:bookmarkEnd w:id="29"/>
      <w:bookmarkEnd w:id="30"/>
      <w:bookmarkEnd w:id="31"/>
    </w:p>
    <w:p w14:paraId="6C4E605C">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w:t>
      </w:r>
      <w:r>
        <w:rPr>
          <w:rFonts w:hint="eastAsia" w:ascii="Arial" w:hAnsi="Arial" w:eastAsia="仿宋" w:cs="Arial"/>
          <w:color w:val="auto"/>
          <w:sz w:val="28"/>
          <w:szCs w:val="28"/>
        </w:rPr>
        <w:t>为</w:t>
      </w:r>
      <w:r>
        <w:rPr>
          <w:rFonts w:hint="eastAsia" w:ascii="Arial" w:hAnsi="Arial" w:eastAsia="仿宋_GB2312" w:cs="Arial"/>
          <w:color w:val="auto"/>
          <w:sz w:val="28"/>
        </w:rPr>
        <w:t>北京市顺义区高丽营镇夏县营村棚户区改造土地开发项目01－008、01－016、01－026－1、01－020地块R2二类居住用地、A334托幼用地，</w:t>
      </w:r>
      <w:r>
        <w:rPr>
          <w:rFonts w:ascii="Arial" w:hAnsi="Arial" w:eastAsia="仿宋" w:cs="Arial"/>
          <w:color w:val="auto"/>
          <w:sz w:val="28"/>
          <w:szCs w:val="28"/>
        </w:rPr>
        <w:t>位于</w:t>
      </w:r>
      <w:r>
        <w:rPr>
          <w:rFonts w:ascii="Arial" w:hAnsi="Arial" w:eastAsia="仿宋" w:cs="Arial"/>
          <w:color w:val="auto"/>
          <w:sz w:val="28"/>
        </w:rPr>
        <w:t>顺义</w:t>
      </w:r>
      <w:r>
        <w:rPr>
          <w:rFonts w:ascii="Arial" w:hAnsi="Arial" w:eastAsia="仿宋" w:cs="Arial"/>
          <w:color w:val="auto"/>
          <w:sz w:val="28"/>
          <w:szCs w:val="28"/>
        </w:rPr>
        <w:t>区</w:t>
      </w:r>
      <w:r>
        <w:rPr>
          <w:rFonts w:ascii="Arial" w:hAnsi="Arial" w:eastAsia="仿宋" w:cs="Arial"/>
          <w:color w:val="auto"/>
          <w:sz w:val="28"/>
        </w:rPr>
        <w:t>高丽营</w:t>
      </w:r>
      <w:r>
        <w:rPr>
          <w:rFonts w:ascii="Arial" w:hAnsi="Arial" w:eastAsia="仿宋" w:cs="Arial"/>
          <w:color w:val="auto"/>
          <w:sz w:val="28"/>
          <w:szCs w:val="28"/>
        </w:rPr>
        <w:t>镇夏县营村，</w:t>
      </w:r>
      <w:r>
        <w:rPr>
          <w:rFonts w:hint="eastAsia" w:ascii="Arial" w:hAnsi="Arial" w:eastAsia="仿宋" w:cs="Arial"/>
          <w:color w:val="auto"/>
          <w:sz w:val="28"/>
          <w:szCs w:val="28"/>
        </w:rPr>
        <w:t>东至火寺路，西至喜行路，南至丽喜花园，北至鑫鼎街</w:t>
      </w:r>
      <w:r>
        <w:rPr>
          <w:rFonts w:ascii="Arial" w:hAnsi="Arial" w:eastAsia="仿宋" w:cs="Arial"/>
          <w:color w:val="auto"/>
          <w:sz w:val="28"/>
          <w:szCs w:val="28"/>
        </w:rPr>
        <w:t>。该宗地已取得</w:t>
      </w:r>
      <w:r>
        <w:rPr>
          <w:rFonts w:ascii="Arial" w:hAnsi="Arial" w:eastAsia="仿宋" w:cs="Arial"/>
          <w:color w:val="auto"/>
          <w:sz w:val="28"/>
        </w:rPr>
        <w:t>《北京市人民政府关于顺义区二〇二〇年度批次建设用地的批复》（京政地字【2020】121号）</w:t>
      </w:r>
      <w:r>
        <w:rPr>
          <w:rFonts w:ascii="Arial" w:hAnsi="Arial" w:eastAsia="仿宋" w:cs="Arial"/>
          <w:color w:val="auto"/>
          <w:sz w:val="28"/>
          <w:szCs w:val="28"/>
        </w:rPr>
        <w:t>，同意</w:t>
      </w:r>
      <w:r>
        <w:rPr>
          <w:rFonts w:ascii="Arial" w:hAnsi="Arial" w:eastAsia="仿宋" w:cs="Arial"/>
          <w:color w:val="auto"/>
          <w:sz w:val="28"/>
        </w:rPr>
        <w:t>北京中交城市开发有限公司</w:t>
      </w:r>
      <w:r>
        <w:rPr>
          <w:rFonts w:ascii="Arial" w:hAnsi="Arial" w:eastAsia="仿宋" w:cs="Arial"/>
          <w:color w:val="auto"/>
          <w:sz w:val="28"/>
          <w:szCs w:val="28"/>
        </w:rPr>
        <w:t>实施</w:t>
      </w:r>
      <w:r>
        <w:rPr>
          <w:rFonts w:ascii="Arial" w:hAnsi="Arial" w:eastAsia="仿宋" w:cs="Arial"/>
          <w:color w:val="auto"/>
          <w:sz w:val="28"/>
        </w:rPr>
        <w:t>顺义</w:t>
      </w:r>
      <w:r>
        <w:rPr>
          <w:rFonts w:ascii="Arial" w:hAnsi="Arial" w:eastAsia="仿宋" w:cs="Arial"/>
          <w:color w:val="auto"/>
          <w:sz w:val="28"/>
          <w:szCs w:val="28"/>
        </w:rPr>
        <w:t>区高丽营镇夏县营村棚户区</w:t>
      </w:r>
      <w:r>
        <w:rPr>
          <w:rFonts w:ascii="Arial" w:hAnsi="Arial" w:eastAsia="仿宋" w:cs="Arial"/>
          <w:color w:val="auto"/>
          <w:sz w:val="28"/>
        </w:rPr>
        <w:t>改造土地开发项目</w:t>
      </w:r>
      <w:r>
        <w:rPr>
          <w:rFonts w:ascii="Arial" w:hAnsi="Arial" w:eastAsia="仿宋" w:cs="Arial"/>
          <w:color w:val="auto"/>
          <w:sz w:val="28"/>
          <w:szCs w:val="28"/>
        </w:rPr>
        <w:t>，其中经营性建设用地入市公开交易。根据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,估价对象规划建设用地性质为</w:t>
      </w:r>
      <w:r>
        <w:rPr>
          <w:rFonts w:ascii="Arial" w:hAnsi="Arial" w:eastAsia="仿宋" w:cs="Arial"/>
          <w:color w:val="auto"/>
          <w:sz w:val="28"/>
        </w:rPr>
        <w:t>R2二类居住用地及A334托幼</w:t>
      </w:r>
      <w:r>
        <w:rPr>
          <w:rFonts w:ascii="Arial" w:hAnsi="Arial" w:eastAsia="仿宋" w:cs="Arial"/>
          <w:color w:val="auto"/>
          <w:sz w:val="28"/>
          <w:szCs w:val="28"/>
        </w:rPr>
        <w:t>用地，拟按照规划用途对估价对象实施挂牌供应。</w:t>
      </w:r>
    </w:p>
    <w:p w14:paraId="474810FA">
      <w:pPr>
        <w:adjustRightInd/>
        <w:spacing w:line="300" w:lineRule="auto"/>
        <w:ind w:firstLine="560" w:firstLineChars="200"/>
        <w:jc w:val="both"/>
        <w:rPr>
          <w:rFonts w:ascii="Arial" w:hAnsi="Arial" w:eastAsia="仿宋_GB2312" w:cs="Arial"/>
          <w:color w:val="auto"/>
          <w:sz w:val="28"/>
        </w:rPr>
      </w:pPr>
      <w:r>
        <w:rPr>
          <w:rFonts w:ascii="Arial" w:hAnsi="Arial" w:eastAsia="仿宋" w:cs="Arial"/>
          <w:color w:val="auto"/>
          <w:sz w:val="28"/>
        </w:rPr>
        <w:t>根据《招标拍卖挂牌出让国有建设用地使用权规定》（国土资源部令第39号）及《国土资源部办公厅关于发布&lt;国有建设用地使用权出让地价评估技术规范&gt;的通知》（国土资厅发（2018）4号）的有关规定，受</w:t>
      </w:r>
      <w:r>
        <w:rPr>
          <w:rFonts w:hint="eastAsia" w:ascii="Arial" w:hAnsi="Arial" w:eastAsia="仿宋" w:cs="Arial"/>
          <w:bCs/>
          <w:color w:val="auto"/>
          <w:sz w:val="28"/>
          <w:szCs w:val="28"/>
        </w:rPr>
        <w:t>北京市规划和自然资源委员会</w:t>
      </w:r>
      <w:r>
        <w:rPr>
          <w:rFonts w:ascii="Arial" w:hAnsi="Arial" w:eastAsia="仿宋" w:cs="Arial"/>
          <w:color w:val="auto"/>
          <w:sz w:val="28"/>
        </w:rPr>
        <w:t>委托</w:t>
      </w:r>
      <w:r>
        <w:rPr>
          <w:rFonts w:hint="eastAsia" w:ascii="Arial" w:hAnsi="Arial" w:eastAsia="仿宋" w:cs="Arial"/>
          <w:color w:val="auto"/>
          <w:sz w:val="28"/>
        </w:rPr>
        <w:t>，</w:t>
      </w:r>
      <w:r>
        <w:rPr>
          <w:rFonts w:ascii="Arial" w:hAnsi="Arial" w:eastAsia="仿宋" w:cs="Arial"/>
          <w:color w:val="auto"/>
          <w:sz w:val="28"/>
        </w:rPr>
        <w:t>评估该</w:t>
      </w:r>
      <w:r>
        <w:rPr>
          <w:rFonts w:hint="eastAsia" w:ascii="Arial" w:hAnsi="Arial" w:eastAsia="仿宋" w:cs="Arial"/>
          <w:color w:val="auto"/>
          <w:sz w:val="28"/>
        </w:rPr>
        <w:t>项目</w:t>
      </w:r>
      <w:r>
        <w:rPr>
          <w:rFonts w:ascii="Arial" w:hAnsi="Arial" w:eastAsia="仿宋" w:cs="Arial"/>
          <w:color w:val="auto"/>
          <w:sz w:val="28"/>
        </w:rPr>
        <w:t>（北京市顺义区高丽营镇夏县营村棚户区改造土地开发项目01</w:t>
      </w:r>
      <w:r>
        <w:rPr>
          <w:rFonts w:hint="eastAsia" w:ascii="Arial" w:hAnsi="Arial" w:eastAsia="仿宋" w:cs="Arial"/>
          <w:color w:val="auto"/>
          <w:sz w:val="28"/>
        </w:rPr>
        <w:t>－</w:t>
      </w:r>
      <w:r>
        <w:rPr>
          <w:rFonts w:ascii="Arial" w:hAnsi="Arial" w:eastAsia="仿宋" w:cs="Arial"/>
          <w:color w:val="auto"/>
          <w:sz w:val="28"/>
        </w:rPr>
        <w:t>008、01</w:t>
      </w:r>
      <w:r>
        <w:rPr>
          <w:rFonts w:hint="eastAsia" w:ascii="Arial" w:hAnsi="Arial" w:eastAsia="仿宋" w:cs="Arial"/>
          <w:color w:val="auto"/>
          <w:sz w:val="28"/>
        </w:rPr>
        <w:t>－</w:t>
      </w:r>
      <w:r>
        <w:rPr>
          <w:rFonts w:ascii="Arial" w:hAnsi="Arial" w:eastAsia="仿宋" w:cs="Arial"/>
          <w:color w:val="auto"/>
          <w:sz w:val="28"/>
        </w:rPr>
        <w:t>016、01</w:t>
      </w:r>
      <w:r>
        <w:rPr>
          <w:rFonts w:hint="eastAsia" w:ascii="Arial" w:hAnsi="Arial" w:eastAsia="仿宋" w:cs="Arial"/>
          <w:color w:val="auto"/>
          <w:sz w:val="28"/>
        </w:rPr>
        <w:t>－</w:t>
      </w:r>
      <w:r>
        <w:rPr>
          <w:rFonts w:ascii="Arial" w:hAnsi="Arial" w:eastAsia="仿宋" w:cs="Arial"/>
          <w:color w:val="auto"/>
          <w:sz w:val="28"/>
        </w:rPr>
        <w:t>026</w:t>
      </w:r>
      <w:r>
        <w:rPr>
          <w:rFonts w:hint="eastAsia" w:ascii="Arial" w:hAnsi="Arial" w:eastAsia="仿宋" w:cs="Arial"/>
          <w:color w:val="auto"/>
          <w:sz w:val="28"/>
        </w:rPr>
        <w:t>－</w:t>
      </w:r>
      <w:r>
        <w:rPr>
          <w:rFonts w:ascii="Arial" w:hAnsi="Arial" w:eastAsia="仿宋" w:cs="Arial"/>
          <w:color w:val="auto"/>
          <w:sz w:val="28"/>
        </w:rPr>
        <w:t>1、01</w:t>
      </w:r>
      <w:r>
        <w:rPr>
          <w:rFonts w:hint="eastAsia" w:ascii="Arial" w:hAnsi="Arial" w:eastAsia="仿宋" w:cs="Arial"/>
          <w:color w:val="auto"/>
          <w:sz w:val="28"/>
        </w:rPr>
        <w:t>－</w:t>
      </w:r>
      <w:r>
        <w:rPr>
          <w:rFonts w:ascii="Arial" w:hAnsi="Arial" w:eastAsia="仿宋" w:cs="Arial"/>
          <w:color w:val="auto"/>
          <w:sz w:val="28"/>
        </w:rPr>
        <w:t>020地块R2二类居住用地、A334托幼用地）国有建设用地使用权价格，为出让方通过集体决策确定</w:t>
      </w:r>
      <w:r>
        <w:rPr>
          <w:rFonts w:ascii="Arial" w:hAnsi="Arial" w:eastAsia="仿宋_GB2312" w:cs="Arial"/>
          <w:color w:val="auto"/>
          <w:sz w:val="28"/>
        </w:rPr>
        <w:t>土地出让底价提供参考依据。</w:t>
      </w:r>
    </w:p>
    <w:p w14:paraId="7746408F">
      <w:pPr>
        <w:adjustRightInd/>
        <w:spacing w:line="300" w:lineRule="auto"/>
        <w:ind w:firstLine="560" w:firstLineChars="200"/>
        <w:jc w:val="both"/>
        <w:rPr>
          <w:rFonts w:ascii="Arial" w:hAnsi="Arial" w:eastAsia="仿宋_GB2312" w:cs="Arial"/>
          <w:color w:val="auto"/>
          <w:sz w:val="28"/>
        </w:rPr>
      </w:pPr>
    </w:p>
    <w:p w14:paraId="3464A299">
      <w:pPr>
        <w:spacing w:line="300" w:lineRule="auto"/>
        <w:jc w:val="both"/>
        <w:outlineLvl w:val="1"/>
        <w:rPr>
          <w:rFonts w:ascii="Arial" w:hAnsi="Arial" w:eastAsia="仿宋_GB2312" w:cs="Arial"/>
          <w:color w:val="auto"/>
          <w:sz w:val="28"/>
        </w:rPr>
      </w:pPr>
      <w:bookmarkStart w:id="32" w:name="_Toc132016723"/>
      <w:bookmarkStart w:id="33" w:name="_Toc515458361"/>
      <w:bookmarkStart w:id="34" w:name="_Toc469066304"/>
      <w:bookmarkStart w:id="35" w:name="_Toc418750882"/>
      <w:bookmarkStart w:id="36" w:name="_Toc138062993"/>
      <w:bookmarkStart w:id="37" w:name="_Toc416783520"/>
      <w:bookmarkStart w:id="38" w:name="_Toc515261588"/>
      <w:bookmarkStart w:id="39" w:name="_Toc425250304"/>
      <w:bookmarkStart w:id="40" w:name="_Toc520261127"/>
      <w:bookmarkStart w:id="41" w:name="_Toc531701552"/>
      <w:r>
        <w:rPr>
          <w:rFonts w:ascii="Arial" w:hAnsi="Arial" w:eastAsia="仿宋_GB2312" w:cs="Arial"/>
          <w:b/>
          <w:bCs/>
          <w:color w:val="auto"/>
          <w:sz w:val="28"/>
        </w:rPr>
        <w:t>四、估价期日</w:t>
      </w:r>
      <w:bookmarkEnd w:id="32"/>
      <w:bookmarkEnd w:id="33"/>
      <w:bookmarkEnd w:id="34"/>
      <w:bookmarkEnd w:id="35"/>
      <w:bookmarkEnd w:id="36"/>
      <w:bookmarkEnd w:id="37"/>
      <w:bookmarkEnd w:id="38"/>
      <w:bookmarkEnd w:id="39"/>
      <w:bookmarkEnd w:id="40"/>
      <w:bookmarkEnd w:id="41"/>
    </w:p>
    <w:p w14:paraId="02B6D148">
      <w:pPr>
        <w:spacing w:line="300" w:lineRule="auto"/>
        <w:ind w:firstLine="560" w:firstLineChars="200"/>
        <w:jc w:val="both"/>
        <w:rPr>
          <w:rFonts w:hint="eastAsia" w:ascii="Arial" w:hAnsi="Arial" w:eastAsia="仿宋_GB2312" w:cs="Arial"/>
          <w:color w:val="auto"/>
          <w:sz w:val="28"/>
          <w:lang w:eastAsia="zh-CN"/>
        </w:rPr>
      </w:pPr>
      <w:r>
        <w:rPr>
          <w:rFonts w:hint="eastAsia" w:ascii="Arial" w:hAnsi="Arial" w:eastAsia="仿宋_GB2312" w:cs="Arial"/>
          <w:color w:val="auto"/>
          <w:sz w:val="28"/>
        </w:rPr>
        <w:t>根据委托估价方提供的《</w:t>
      </w:r>
      <w:r>
        <w:rPr>
          <w:rFonts w:ascii="Arial" w:hAnsi="Arial" w:eastAsia="仿宋_GB2312" w:cs="Arial"/>
          <w:color w:val="auto"/>
          <w:sz w:val="28"/>
          <w:szCs w:val="28"/>
        </w:rPr>
        <w:t>国有建设用地使用权出让地价评估委托书</w:t>
      </w:r>
      <w:r>
        <w:rPr>
          <w:rFonts w:hint="eastAsia" w:ascii="Arial" w:hAnsi="Arial" w:eastAsia="仿宋_GB2312" w:cs="Arial"/>
          <w:color w:val="auto"/>
          <w:sz w:val="28"/>
        </w:rPr>
        <w:t>》，本次评估估价期日为2026年3月26</w:t>
      </w:r>
      <w:r>
        <w:rPr>
          <w:rFonts w:hint="eastAsia" w:ascii="Arial" w:hAnsi="Arial" w:eastAsia="仿宋_GB2312" w:cs="Arial"/>
          <w:color w:val="auto"/>
          <w:sz w:val="28"/>
          <w:szCs w:val="28"/>
        </w:rPr>
        <w:t>日，亦为估价师实地查勘之日</w:t>
      </w:r>
      <w:r>
        <w:rPr>
          <w:rFonts w:hint="eastAsia" w:ascii="Arial" w:hAnsi="Arial" w:eastAsia="仿宋_GB2312" w:cs="Arial"/>
          <w:color w:val="auto"/>
          <w:sz w:val="28"/>
          <w:szCs w:val="28"/>
          <w:lang w:eastAsia="zh-CN"/>
        </w:rPr>
        <w:t>。</w:t>
      </w:r>
    </w:p>
    <w:p w14:paraId="16065633">
      <w:pPr>
        <w:spacing w:line="300" w:lineRule="auto"/>
        <w:ind w:firstLine="560" w:firstLineChars="200"/>
        <w:jc w:val="both"/>
        <w:rPr>
          <w:rFonts w:ascii="Arial" w:hAnsi="Arial" w:eastAsia="仿宋_GB2312" w:cs="Arial"/>
          <w:color w:val="auto"/>
          <w:sz w:val="28"/>
        </w:rPr>
      </w:pPr>
    </w:p>
    <w:p w14:paraId="42CE3B58">
      <w:pPr>
        <w:tabs>
          <w:tab w:val="left" w:pos="6957"/>
        </w:tabs>
        <w:spacing w:line="300" w:lineRule="auto"/>
        <w:jc w:val="both"/>
        <w:outlineLvl w:val="1"/>
        <w:rPr>
          <w:rFonts w:ascii="Arial" w:hAnsi="Arial" w:eastAsia="仿宋_GB2312" w:cs="Arial"/>
          <w:b/>
          <w:bCs/>
          <w:color w:val="auto"/>
          <w:sz w:val="28"/>
        </w:rPr>
      </w:pPr>
      <w:bookmarkStart w:id="42" w:name="_Toc515261589"/>
      <w:bookmarkStart w:id="43" w:name="_Toc132016724"/>
      <w:bookmarkStart w:id="44" w:name="_Toc520261128"/>
      <w:bookmarkStart w:id="45" w:name="_Toc138062994"/>
      <w:bookmarkStart w:id="46" w:name="_Toc418750883"/>
      <w:bookmarkStart w:id="47" w:name="_Toc515458362"/>
      <w:bookmarkStart w:id="48" w:name="_Toc416783521"/>
      <w:bookmarkStart w:id="49" w:name="_Toc531701553"/>
      <w:bookmarkStart w:id="50" w:name="_Toc469066305"/>
      <w:bookmarkStart w:id="51" w:name="_Toc425250305"/>
      <w:r>
        <w:rPr>
          <w:rFonts w:ascii="Arial" w:hAnsi="Arial" w:eastAsia="仿宋_GB2312" w:cs="Arial"/>
          <w:b/>
          <w:bCs/>
          <w:color w:val="auto"/>
          <w:sz w:val="28"/>
        </w:rPr>
        <w:t>五、估价日期</w:t>
      </w:r>
      <w:bookmarkEnd w:id="42"/>
      <w:bookmarkEnd w:id="43"/>
      <w:bookmarkEnd w:id="44"/>
      <w:bookmarkEnd w:id="45"/>
      <w:bookmarkEnd w:id="46"/>
      <w:bookmarkEnd w:id="47"/>
      <w:bookmarkEnd w:id="48"/>
      <w:bookmarkEnd w:id="49"/>
      <w:bookmarkEnd w:id="50"/>
      <w:bookmarkEnd w:id="51"/>
      <w:r>
        <w:rPr>
          <w:rFonts w:ascii="Arial" w:hAnsi="Arial" w:eastAsia="仿宋_GB2312" w:cs="Arial"/>
          <w:b/>
          <w:bCs/>
          <w:color w:val="auto"/>
          <w:sz w:val="28"/>
        </w:rPr>
        <w:tab/>
      </w:r>
    </w:p>
    <w:p w14:paraId="3B04DF20">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2026年3月26日至2026年4月</w:t>
      </w:r>
      <w:r>
        <w:rPr>
          <w:rFonts w:hint="eastAsia" w:ascii="Arial" w:hAnsi="Arial" w:eastAsia="仿宋_GB2312" w:cs="Arial"/>
          <w:color w:val="auto"/>
          <w:sz w:val="28"/>
          <w:lang w:val="en-US" w:eastAsia="zh-CN"/>
        </w:rPr>
        <w:t>21</w:t>
      </w:r>
      <w:r>
        <w:rPr>
          <w:rFonts w:hint="eastAsia" w:ascii="Arial" w:hAnsi="Arial" w:eastAsia="仿宋_GB2312" w:cs="Arial"/>
          <w:color w:val="auto"/>
          <w:sz w:val="28"/>
        </w:rPr>
        <w:t>日</w:t>
      </w:r>
    </w:p>
    <w:p w14:paraId="2AF3A0F8">
      <w:pPr>
        <w:spacing w:line="300" w:lineRule="auto"/>
        <w:ind w:firstLine="560" w:firstLineChars="200"/>
        <w:jc w:val="both"/>
        <w:rPr>
          <w:rFonts w:ascii="Arial" w:hAnsi="Arial" w:eastAsia="仿宋_GB2312" w:cs="Arial"/>
          <w:color w:val="auto"/>
          <w:sz w:val="28"/>
        </w:rPr>
      </w:pPr>
    </w:p>
    <w:p w14:paraId="01EF8396">
      <w:pPr>
        <w:tabs>
          <w:tab w:val="left" w:pos="6957"/>
        </w:tabs>
        <w:spacing w:line="300" w:lineRule="auto"/>
        <w:jc w:val="both"/>
        <w:outlineLvl w:val="1"/>
        <w:rPr>
          <w:rFonts w:ascii="Arial" w:hAnsi="Arial" w:eastAsia="仿宋_GB2312" w:cs="Arial"/>
          <w:b/>
          <w:bCs/>
          <w:color w:val="auto"/>
          <w:sz w:val="28"/>
        </w:rPr>
      </w:pPr>
      <w:bookmarkStart w:id="52" w:name="_Toc531701554"/>
      <w:bookmarkStart w:id="53" w:name="_Toc520261129"/>
      <w:bookmarkStart w:id="54" w:name="_Toc138062995"/>
      <w:bookmarkStart w:id="55" w:name="_Toc132016725"/>
      <w:r>
        <w:rPr>
          <w:rFonts w:ascii="Arial" w:hAnsi="Arial" w:eastAsia="仿宋_GB2312" w:cs="Arial"/>
          <w:b/>
          <w:bCs/>
          <w:color w:val="auto"/>
          <w:sz w:val="28"/>
        </w:rPr>
        <w:t>六、地价定义</w:t>
      </w:r>
      <w:bookmarkEnd w:id="52"/>
      <w:bookmarkEnd w:id="53"/>
      <w:bookmarkEnd w:id="54"/>
      <w:bookmarkEnd w:id="55"/>
    </w:p>
    <w:p w14:paraId="3E9411A5">
      <w:pPr>
        <w:adjustRightInd/>
        <w:spacing w:line="300" w:lineRule="auto"/>
        <w:ind w:firstLine="560" w:firstLineChars="200"/>
        <w:rPr>
          <w:rFonts w:ascii="Arial" w:hAnsi="Arial" w:eastAsia="仿宋" w:cs="Arial"/>
          <w:color w:val="auto"/>
          <w:sz w:val="28"/>
        </w:rPr>
      </w:pPr>
      <w:r>
        <w:rPr>
          <w:rFonts w:ascii="Arial" w:hAnsi="Arial" w:eastAsia="仿宋" w:cs="Arial"/>
          <w:color w:val="auto"/>
          <w:sz w:val="28"/>
        </w:rPr>
        <w:t>土地估价专业评估师根据地价评估的技术规程、方法和项目的具体要求，参照正常市场价格水平，评估拟出让宗地国有建设用地使用权价格。</w:t>
      </w:r>
    </w:p>
    <w:p w14:paraId="6AC232F4">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熟地价是在公开市场条件下形成的客观合理价格，即估价对象在设定土地用途、</w:t>
      </w:r>
      <w:r>
        <w:rPr>
          <w:rFonts w:hint="eastAsia" w:ascii="Arial" w:hAnsi="Arial" w:eastAsia="仿宋" w:cs="Arial"/>
          <w:color w:val="auto"/>
          <w:sz w:val="28"/>
        </w:rPr>
        <w:t>土地利用条件</w:t>
      </w:r>
      <w:r>
        <w:rPr>
          <w:rFonts w:ascii="Arial" w:hAnsi="Arial" w:eastAsia="仿宋" w:cs="Arial"/>
          <w:color w:val="auto"/>
          <w:sz w:val="28"/>
        </w:rPr>
        <w:t>、</w:t>
      </w:r>
      <w:r>
        <w:rPr>
          <w:rFonts w:hint="eastAsia" w:ascii="Arial" w:hAnsi="Arial" w:eastAsia="仿宋" w:cs="Arial"/>
          <w:color w:val="auto"/>
          <w:sz w:val="28"/>
        </w:rPr>
        <w:t>土地</w:t>
      </w:r>
      <w:r>
        <w:rPr>
          <w:rFonts w:ascii="Arial" w:hAnsi="Arial" w:eastAsia="仿宋" w:cs="Arial"/>
          <w:color w:val="auto"/>
          <w:sz w:val="28"/>
        </w:rPr>
        <w:t>开发程度、</w:t>
      </w:r>
      <w:r>
        <w:rPr>
          <w:rFonts w:hint="eastAsia" w:ascii="Arial" w:hAnsi="Arial" w:eastAsia="仿宋" w:cs="Arial"/>
          <w:color w:val="auto"/>
          <w:sz w:val="28"/>
        </w:rPr>
        <w:t>权利类型、土地</w:t>
      </w:r>
      <w:r>
        <w:rPr>
          <w:rFonts w:ascii="Arial" w:hAnsi="Arial" w:eastAsia="仿宋" w:cs="Arial"/>
          <w:color w:val="auto"/>
          <w:sz w:val="28"/>
        </w:rPr>
        <w:t>使用</w:t>
      </w:r>
      <w:r>
        <w:rPr>
          <w:rFonts w:hint="eastAsia" w:ascii="Arial" w:hAnsi="Arial" w:eastAsia="仿宋" w:cs="Arial"/>
          <w:color w:val="auto"/>
          <w:sz w:val="28"/>
        </w:rPr>
        <w:t>权年限、估价期日</w:t>
      </w:r>
      <w:r>
        <w:rPr>
          <w:rFonts w:ascii="Arial" w:hAnsi="Arial" w:eastAsia="仿宋" w:cs="Arial"/>
          <w:color w:val="auto"/>
          <w:sz w:val="28"/>
        </w:rPr>
        <w:t>及</w:t>
      </w:r>
      <w:r>
        <w:rPr>
          <w:rFonts w:hint="eastAsia" w:ascii="Arial" w:hAnsi="Arial" w:eastAsia="仿宋" w:cs="Arial"/>
          <w:color w:val="auto"/>
          <w:sz w:val="28"/>
        </w:rPr>
        <w:t>价格类型</w:t>
      </w:r>
      <w:r>
        <w:rPr>
          <w:rFonts w:ascii="Arial" w:hAnsi="Arial" w:eastAsia="仿宋" w:cs="Arial"/>
          <w:color w:val="auto"/>
          <w:sz w:val="28"/>
        </w:rPr>
        <w:t>下，于估价期日的出让国有建设用地使用权价格。</w:t>
      </w:r>
    </w:p>
    <w:p w14:paraId="7E2C9088">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根据《城镇土地估价规程》（GB/T 18508</w:t>
      </w:r>
      <w:r>
        <w:rPr>
          <w:rFonts w:hint="eastAsia" w:ascii="Arial" w:hAnsi="Arial" w:eastAsia="仿宋" w:cs="Arial"/>
          <w:color w:val="auto"/>
          <w:sz w:val="28"/>
        </w:rPr>
        <w:t>－</w:t>
      </w:r>
      <w:r>
        <w:rPr>
          <w:rFonts w:ascii="Arial" w:hAnsi="Arial" w:eastAsia="仿宋" w:cs="Arial"/>
          <w:color w:val="auto"/>
          <w:sz w:val="28"/>
        </w:rPr>
        <w:t>2014）</w:t>
      </w:r>
      <w:r>
        <w:rPr>
          <w:rFonts w:hint="eastAsia" w:ascii="Arial" w:hAnsi="Arial" w:eastAsia="仿宋" w:cs="Arial"/>
          <w:color w:val="auto"/>
          <w:sz w:val="28"/>
        </w:rPr>
        <w:t>、</w:t>
      </w:r>
      <w:r>
        <w:rPr>
          <w:rFonts w:ascii="Arial" w:hAnsi="Arial" w:eastAsia="仿宋" w:cs="Arial"/>
          <w:color w:val="auto"/>
          <w:sz w:val="28"/>
        </w:rPr>
        <w:t>《国土资源部办公厅关于发布&lt;国有建设用地使用权出让地价评估技术规范&gt;的通知》（国土资厅发（2018）4号），对有关事项做出以下设定：</w:t>
      </w:r>
    </w:p>
    <w:p w14:paraId="79062D70">
      <w:pPr>
        <w:pStyle w:val="90"/>
        <w:numPr>
          <w:ilvl w:val="0"/>
          <w:numId w:val="5"/>
        </w:numPr>
        <w:adjustRightInd/>
        <w:spacing w:line="300" w:lineRule="auto"/>
        <w:ind w:left="0" w:firstLine="562"/>
        <w:jc w:val="both"/>
        <w:textAlignment w:val="auto"/>
        <w:rPr>
          <w:rFonts w:ascii="Arial" w:hAnsi="Arial" w:eastAsia="仿宋" w:cs="Arial"/>
          <w:b/>
          <w:bCs/>
          <w:color w:val="auto"/>
          <w:sz w:val="28"/>
        </w:rPr>
      </w:pPr>
      <w:r>
        <w:rPr>
          <w:rFonts w:ascii="Arial" w:hAnsi="Arial" w:eastAsia="仿宋" w:cs="Arial"/>
          <w:b/>
          <w:bCs/>
          <w:color w:val="auto"/>
          <w:sz w:val="28"/>
        </w:rPr>
        <w:t>土地用途</w:t>
      </w:r>
    </w:p>
    <w:p w14:paraId="3516D7CF">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w:t>
      </w:r>
      <w:r>
        <w:rPr>
          <w:rFonts w:ascii="Arial" w:hAnsi="Arial" w:eastAsia="仿宋" w:cs="Arial"/>
          <w:color w:val="auto"/>
          <w:sz w:val="28"/>
        </w:rPr>
        <w:t>估价对象规划用途为R2二类居住用地及A334托幼用地，其中A334托幼用地不出让。</w:t>
      </w:r>
    </w:p>
    <w:p w14:paraId="10A8E8CF">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北京市城乡规划与土地利用用地分类对应指南（试行）》（市规划国土发（2017）316号），R2二类居住用地是设施较齐全、环境良好、以多中高层住宅为主用地，可对应土地利用现状分类城镇住宅用地（指城镇用于生活居住的各类房屋用地及附属设施用地）。结合《自然资源部办公厅关于印发〈国土空间调查、规划、用途管制用地用海分类指南（试行）〉的通知》（自然资办（2020）51号）、《北京市人民政府关于更新出让国有建设用地使用权基准地价的通知》（京政发（2022）12号），按照</w:t>
      </w:r>
      <w:r>
        <w:rPr>
          <w:rFonts w:hint="eastAsia" w:ascii="Arial" w:hAnsi="Arial" w:eastAsia="仿宋" w:cs="Arial"/>
          <w:color w:val="auto"/>
          <w:sz w:val="28"/>
          <w:szCs w:val="28"/>
        </w:rPr>
        <w:t>《北京市国有建设用地使用权出让地价评估技术导则》（2026年2月10日实施）相关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 w:cs="Arial"/>
          <w:color w:val="auto"/>
          <w:sz w:val="28"/>
        </w:rPr>
        <w:t>”</w:t>
      </w:r>
    </w:p>
    <w:p w14:paraId="02E624A6">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综上所述，根据本次估价目的及估价对象实际情况，结合出让评估要求，本次需同时评估城镇住宅用地、其他商业服务业用地、公共管理与公共服务用地熟地价。本次评估估价对象熟地总价时，按城镇住宅用地测算结果作为最终估价结果，其他商业服务业用地、公共管理与公共服务用地仅测算列示楼面地价。</w:t>
      </w:r>
    </w:p>
    <w:p w14:paraId="49672E77">
      <w:pPr>
        <w:adjustRightInd/>
        <w:spacing w:line="300" w:lineRule="auto"/>
        <w:ind w:firstLine="562" w:firstLineChars="200"/>
        <w:jc w:val="both"/>
        <w:rPr>
          <w:rFonts w:ascii="Arial" w:hAnsi="Arial" w:eastAsia="仿宋" w:cs="Arial"/>
          <w:b/>
          <w:bCs/>
          <w:color w:val="auto"/>
          <w:sz w:val="28"/>
        </w:rPr>
      </w:pPr>
      <w:r>
        <w:rPr>
          <w:rFonts w:hint="eastAsia" w:ascii="Arial" w:hAnsi="Arial" w:eastAsia="仿宋" w:cs="Arial"/>
          <w:b/>
          <w:bCs/>
          <w:color w:val="auto"/>
          <w:sz w:val="28"/>
        </w:rPr>
        <w:t>2.土地利用条件</w:t>
      </w:r>
    </w:p>
    <w:p w14:paraId="47A4EE44">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土地利用条件主要是指土地开发使用的程度，包括土地面积、建筑面积、容积率、建筑密度、建筑高度限制等，分为规划条件和实际利用程度。其中：</w:t>
      </w:r>
    </w:p>
    <w:p w14:paraId="2071B283">
      <w:pPr>
        <w:adjustRightInd/>
        <w:spacing w:line="300" w:lineRule="auto"/>
        <w:ind w:firstLine="420"/>
        <w:jc w:val="both"/>
        <w:rPr>
          <w:rFonts w:ascii="Arial" w:hAnsi="Arial" w:eastAsia="仿宋" w:cs="Arial"/>
          <w:b/>
          <w:bCs/>
          <w:color w:val="auto"/>
          <w:sz w:val="28"/>
        </w:rPr>
      </w:pPr>
      <w:r>
        <w:rPr>
          <w:rFonts w:hint="eastAsia" w:ascii="Arial" w:hAnsi="Arial" w:eastAsia="仿宋" w:cs="Arial"/>
          <w:b/>
          <w:bCs/>
          <w:color w:val="auto"/>
          <w:sz w:val="28"/>
        </w:rPr>
        <w:t>（1）规划条件</w:t>
      </w:r>
    </w:p>
    <w:p w14:paraId="544D1108">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根据《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本次估价对象01－008等地块共4宗地，用地规模合计为60990.43平方米，全部为建设用地，建筑规模合计为71508.52平方米。其中，估价对象01－008地块（R2二类居住用地）建设用地规模为24804.85平方米，地上建筑规模为29765.82平方米，容积率为1.2；估价对象01－016地块（R2二类居住用地）建设用地规模为23103.85平方米，地上建筑规模为27724.62平方米，容积率为1.2； 估价对象01－026－1地块（R2二类居住用地）建设用地规模为8881.75平方米，地上建筑规模为10658.10平方米，容积率为1.2；另有估价对象01－020地块（A334托幼用地，不出让）建设用地规模为4199.98平方米，地上建筑规模为3359.98平方米，容积率为0.8。根据《北京市国有建设用地使用权出让地价评估技术导则》（2026年2月10日实施）中的相关规定，本次评估01－008、01－016、01－026－1地块（R2二类居住用地）容积率为1.2。</w:t>
      </w:r>
    </w:p>
    <w:p w14:paraId="738D8693">
      <w:pPr>
        <w:adjustRightInd/>
        <w:spacing w:line="300" w:lineRule="auto"/>
        <w:ind w:left="560"/>
        <w:jc w:val="both"/>
        <w:rPr>
          <w:rFonts w:ascii="Arial" w:hAnsi="Arial" w:eastAsia="仿宋" w:cs="Arial"/>
          <w:b/>
          <w:bCs/>
          <w:color w:val="auto"/>
          <w:sz w:val="28"/>
        </w:rPr>
      </w:pPr>
      <w:r>
        <w:rPr>
          <w:rFonts w:hint="eastAsia" w:ascii="Arial" w:hAnsi="Arial" w:eastAsia="仿宋" w:cs="Arial"/>
          <w:b/>
          <w:bCs/>
          <w:color w:val="auto"/>
          <w:sz w:val="28"/>
        </w:rPr>
        <w:t>（2）实际利用程度</w:t>
      </w:r>
    </w:p>
    <w:p w14:paraId="554552F1">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rPr>
        <w:t>根据委托估价方介绍及土地估价专业评估师实地查勘，本次评估估价对象实际土地开发程度为红线外市政基础设施达</w:t>
      </w:r>
      <w:r>
        <w:rPr>
          <w:rFonts w:hint="eastAsia" w:ascii="Arial" w:hAnsi="Arial" w:eastAsia="仿宋" w:cs="Arial"/>
          <w:color w:val="auto"/>
          <w:sz w:val="28"/>
          <w:szCs w:val="28"/>
        </w:rPr>
        <w:t>“七通”（通路、通上水（自来水、中水）、通下水（雨水、污水）、通电（管沟、电缆）、通讯、通燃气、通热力）</w:t>
      </w:r>
      <w:r>
        <w:rPr>
          <w:rFonts w:ascii="Arial" w:hAnsi="Arial" w:eastAsia="仿宋" w:cs="Arial"/>
          <w:color w:val="auto"/>
          <w:sz w:val="28"/>
        </w:rPr>
        <w:t>、宗地红线内场地</w:t>
      </w:r>
      <w:r>
        <w:rPr>
          <w:rFonts w:hint="eastAsia" w:ascii="Arial" w:hAnsi="Arial" w:eastAsia="仿宋" w:cs="Arial"/>
          <w:color w:val="auto"/>
          <w:sz w:val="28"/>
          <w:szCs w:val="28"/>
        </w:rPr>
        <w:t>平整。</w:t>
      </w:r>
    </w:p>
    <w:p w14:paraId="12340EA6">
      <w:pPr>
        <w:adjustRightInd/>
        <w:spacing w:line="300" w:lineRule="auto"/>
        <w:ind w:firstLine="562" w:firstLineChars="200"/>
        <w:jc w:val="both"/>
        <w:rPr>
          <w:rFonts w:ascii="Arial" w:hAnsi="Arial" w:eastAsia="仿宋" w:cs="Arial"/>
          <w:b/>
          <w:bCs/>
          <w:color w:val="auto"/>
          <w:sz w:val="28"/>
          <w:szCs w:val="28"/>
        </w:rPr>
      </w:pPr>
      <w:r>
        <w:rPr>
          <w:rFonts w:hint="eastAsia" w:ascii="Arial" w:hAnsi="Arial" w:eastAsia="仿宋" w:cs="Arial"/>
          <w:b/>
          <w:bCs/>
          <w:color w:val="auto"/>
          <w:sz w:val="28"/>
          <w:szCs w:val="28"/>
        </w:rPr>
        <w:t>3.土地开发程度</w:t>
      </w:r>
    </w:p>
    <w:p w14:paraId="734ECFDC">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rPr>
        <w:t>根据委托估价方介绍及土地估价专业评估师实地查勘，本次评估估价对象实际土地开发程度为红线外市政基础设施达</w:t>
      </w:r>
      <w:r>
        <w:rPr>
          <w:rFonts w:hint="eastAsia" w:ascii="Arial" w:hAnsi="Arial" w:eastAsia="仿宋" w:cs="Arial"/>
          <w:color w:val="auto"/>
          <w:sz w:val="28"/>
          <w:szCs w:val="28"/>
        </w:rPr>
        <w:t>“七通”（通路、通上水（自来水、中水）、通下水（雨水、污水）、通电（管沟、电缆）、通讯、通燃气、通热力）</w:t>
      </w:r>
      <w:r>
        <w:rPr>
          <w:rFonts w:ascii="Arial" w:hAnsi="Arial" w:eastAsia="仿宋" w:cs="Arial"/>
          <w:color w:val="auto"/>
          <w:sz w:val="28"/>
        </w:rPr>
        <w:t>、宗地红线内场地</w:t>
      </w:r>
      <w:r>
        <w:rPr>
          <w:rFonts w:hint="eastAsia" w:ascii="Arial" w:hAnsi="Arial" w:eastAsia="仿宋" w:cs="Arial"/>
          <w:color w:val="auto"/>
          <w:sz w:val="28"/>
          <w:szCs w:val="28"/>
        </w:rPr>
        <w:t>平整。</w:t>
      </w:r>
    </w:p>
    <w:p w14:paraId="401EBFB2">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szCs w:val="28"/>
        </w:rPr>
        <w:t>根据《北京市顺义区人民政府关于顺义区高丽营镇夏县营村棚户区改造土地开发项目01－008、01－016、01－026－1、01－020地块提请地价审核有关事宜的函》记载，估</w:t>
      </w:r>
      <w:r>
        <w:rPr>
          <w:rFonts w:ascii="Arial" w:hAnsi="Arial" w:eastAsia="仿宋" w:cs="Arial"/>
          <w:color w:val="auto"/>
          <w:sz w:val="28"/>
        </w:rPr>
        <w:t>价对象供地条件为宗地外</w:t>
      </w:r>
      <w:r>
        <w:rPr>
          <w:rFonts w:hint="eastAsia" w:ascii="Arial" w:hAnsi="Arial" w:eastAsia="仿宋" w:cs="Arial"/>
          <w:color w:val="auto"/>
          <w:sz w:val="28"/>
          <w:szCs w:val="28"/>
        </w:rPr>
        <w:t>“七通”（通路、通上水（自来水、中水）、通下水（雨水、污水）、通电、通讯、通燃气、通热力）</w:t>
      </w:r>
      <w:r>
        <w:rPr>
          <w:rFonts w:ascii="Arial" w:hAnsi="Arial" w:eastAsia="仿宋" w:cs="Arial"/>
          <w:color w:val="auto"/>
          <w:sz w:val="28"/>
        </w:rPr>
        <w:t>、宗地红线内场地平整。本次评估设定土地开发程度即为实际开发程度红线外市政基础设施达</w:t>
      </w:r>
      <w:r>
        <w:rPr>
          <w:rFonts w:hint="eastAsia" w:ascii="Arial" w:hAnsi="Arial" w:eastAsia="仿宋" w:cs="Arial"/>
          <w:color w:val="auto"/>
          <w:sz w:val="28"/>
          <w:szCs w:val="28"/>
        </w:rPr>
        <w:t>“七通”</w:t>
      </w:r>
      <w:r>
        <w:rPr>
          <w:rFonts w:ascii="Arial" w:hAnsi="Arial" w:eastAsia="仿宋" w:cs="Arial"/>
          <w:color w:val="auto"/>
          <w:sz w:val="28"/>
        </w:rPr>
        <w:t>、宗地红线内场地平整</w:t>
      </w:r>
      <w:r>
        <w:rPr>
          <w:rFonts w:hint="eastAsia" w:ascii="Arial" w:hAnsi="Arial" w:eastAsia="仿宋" w:cs="Arial"/>
          <w:color w:val="auto"/>
          <w:sz w:val="28"/>
        </w:rPr>
        <w:t>。</w:t>
      </w:r>
    </w:p>
    <w:p w14:paraId="49DB16BC">
      <w:pPr>
        <w:pStyle w:val="90"/>
        <w:adjustRightInd/>
        <w:spacing w:line="300" w:lineRule="auto"/>
        <w:ind w:left="560" w:firstLine="0" w:firstLineChars="0"/>
        <w:jc w:val="both"/>
        <w:textAlignment w:val="auto"/>
        <w:rPr>
          <w:rFonts w:ascii="Arial" w:hAnsi="Arial" w:eastAsia="仿宋" w:cs="Arial"/>
          <w:b/>
          <w:bCs/>
          <w:color w:val="auto"/>
          <w:sz w:val="28"/>
        </w:rPr>
      </w:pPr>
      <w:r>
        <w:rPr>
          <w:rFonts w:hint="eastAsia" w:ascii="Arial" w:hAnsi="Arial" w:eastAsia="仿宋" w:cs="Arial"/>
          <w:b/>
          <w:bCs/>
          <w:color w:val="auto"/>
          <w:sz w:val="28"/>
        </w:rPr>
        <w:t>4.权利类型</w:t>
      </w:r>
    </w:p>
    <w:p w14:paraId="38FCC3F7">
      <w:pPr>
        <w:pStyle w:val="90"/>
        <w:adjustRightInd/>
        <w:spacing w:line="300" w:lineRule="auto"/>
        <w:ind w:firstLine="560"/>
        <w:jc w:val="both"/>
        <w:textAlignment w:val="auto"/>
        <w:rPr>
          <w:rFonts w:ascii="Arial" w:hAnsi="Arial" w:eastAsia="仿宋" w:cs="Arial"/>
          <w:color w:val="auto"/>
          <w:sz w:val="28"/>
        </w:rPr>
      </w:pPr>
      <w:r>
        <w:rPr>
          <w:rFonts w:hint="eastAsia" w:ascii="Arial" w:hAnsi="Arial" w:eastAsia="仿宋" w:cs="Arial"/>
          <w:color w:val="auto"/>
          <w:sz w:val="28"/>
        </w:rPr>
        <w:t xml:space="preserve">权利类型是指价格对应的何种权利、他项权利，以及权利限制等。估价对象权利类型设定具体如下： </w:t>
      </w:r>
    </w:p>
    <w:p w14:paraId="2BE7CF5B">
      <w:pPr>
        <w:pStyle w:val="90"/>
        <w:adjustRightInd/>
        <w:spacing w:line="300" w:lineRule="auto"/>
        <w:ind w:firstLine="560"/>
        <w:jc w:val="both"/>
        <w:textAlignment w:val="auto"/>
        <w:rPr>
          <w:rFonts w:ascii="Arial" w:hAnsi="Arial" w:eastAsia="仿宋" w:cs="Arial"/>
          <w:color w:val="auto"/>
          <w:sz w:val="28"/>
        </w:rPr>
      </w:pPr>
      <w:r>
        <w:rPr>
          <w:rFonts w:hint="eastAsia" w:ascii="Arial" w:hAnsi="Arial" w:eastAsia="仿宋" w:cs="Arial"/>
          <w:color w:val="auto"/>
          <w:sz w:val="28"/>
        </w:rPr>
        <w:t xml:space="preserve">（1）土地所有权：估价对象的土地所有权属于国家。 </w:t>
      </w:r>
    </w:p>
    <w:p w14:paraId="7AF0386C">
      <w:pPr>
        <w:pStyle w:val="90"/>
        <w:adjustRightInd/>
        <w:spacing w:line="300" w:lineRule="auto"/>
        <w:ind w:firstLine="560"/>
        <w:jc w:val="both"/>
        <w:textAlignment w:val="auto"/>
        <w:rPr>
          <w:rFonts w:ascii="Arial" w:hAnsi="Arial" w:eastAsia="仿宋" w:cs="Arial"/>
          <w:color w:val="auto"/>
          <w:sz w:val="28"/>
        </w:rPr>
      </w:pPr>
      <w:r>
        <w:rPr>
          <w:rFonts w:hint="eastAsia" w:ascii="Arial" w:hAnsi="Arial" w:eastAsia="仿宋" w:cs="Arial"/>
          <w:color w:val="auto"/>
          <w:sz w:val="28"/>
        </w:rPr>
        <w:t xml:space="preserve">（2）土地使用权：估价对象于估价期日为拟进行公开招拍挂出让入市交易宗地，待土地出让后，由受让方办理不动产权登记。本次评估设定土地使用权类型为出让。 </w:t>
      </w:r>
    </w:p>
    <w:p w14:paraId="07FCBAC4">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3）他项权利状况：根据委托估价方提供的《国有建设用地使用权出让地价评估委托书》，估价对象为拟入市公开交易地块，尚未办理不动产登记手续，故本次估价以估价对象不存在抵押、担保、典当、租赁等他项权利为假设前提，并假定估价对象没有影响估价对象价值的其他他项权利存在。</w:t>
      </w:r>
    </w:p>
    <w:p w14:paraId="35F368EA">
      <w:pPr>
        <w:pStyle w:val="90"/>
        <w:adjustRightInd/>
        <w:spacing w:line="300" w:lineRule="auto"/>
        <w:ind w:firstLine="562"/>
        <w:jc w:val="both"/>
        <w:textAlignment w:val="auto"/>
        <w:rPr>
          <w:rFonts w:ascii="Arial" w:hAnsi="Arial" w:eastAsia="仿宋" w:cs="Arial"/>
          <w:b/>
          <w:bCs/>
          <w:color w:val="auto"/>
          <w:sz w:val="28"/>
          <w:szCs w:val="28"/>
        </w:rPr>
      </w:pPr>
      <w:r>
        <w:rPr>
          <w:rFonts w:hint="eastAsia" w:ascii="Arial" w:hAnsi="Arial" w:eastAsia="仿宋" w:cs="Arial"/>
          <w:b/>
          <w:bCs/>
          <w:color w:val="auto"/>
          <w:sz w:val="28"/>
        </w:rPr>
        <w:t>5.</w:t>
      </w:r>
      <w:r>
        <w:rPr>
          <w:rFonts w:ascii="Arial" w:hAnsi="Arial" w:eastAsia="仿宋" w:cs="Arial"/>
          <w:b/>
          <w:bCs/>
          <w:color w:val="auto"/>
          <w:sz w:val="28"/>
          <w:szCs w:val="28"/>
        </w:rPr>
        <w:t xml:space="preserve"> 土地使用权年限</w:t>
      </w:r>
    </w:p>
    <w:p w14:paraId="2A9CE49D">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估价对象规划用途为R2二类居住用地及A334托幼用地，其中A334托幼用地不出让。</w:t>
      </w:r>
    </w:p>
    <w:p w14:paraId="2B262B85">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估价对象于估价期日为拟出让国有建设用地使用权。考虑到本次估价目的，根据《中华人民共和国城镇国有土地使用权出让和转让暂行条例》（国务院令第55号）、</w:t>
      </w:r>
      <w:r>
        <w:rPr>
          <w:rFonts w:ascii="Arial" w:hAnsi="Arial" w:eastAsia="仿宋" w:cs="Arial"/>
          <w:color w:val="auto"/>
          <w:sz w:val="28"/>
        </w:rPr>
        <w:t>《北京市人民政府关于更新出让国有建设用地使用权基准地价的通知》（京政发（2022）12号）</w:t>
      </w:r>
      <w:r>
        <w:rPr>
          <w:rFonts w:hint="eastAsia" w:ascii="Arial" w:hAnsi="Arial" w:eastAsia="仿宋" w:cs="Arial"/>
          <w:color w:val="auto"/>
          <w:sz w:val="28"/>
          <w:szCs w:val="28"/>
        </w:rPr>
        <w:t>、《北京市国有建设用地使用权出让地价评估技术导则》（2026年2月10日实施）相关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 w:cs="Arial"/>
          <w:color w:val="auto"/>
          <w:sz w:val="28"/>
        </w:rPr>
        <w:t>”</w:t>
      </w:r>
      <w:r>
        <w:rPr>
          <w:rFonts w:ascii="Arial" w:hAnsi="Arial" w:eastAsia="仿宋" w:cs="Arial"/>
          <w:color w:val="auto"/>
          <w:sz w:val="28"/>
          <w:szCs w:val="28"/>
        </w:rPr>
        <w:t>本次评估设定土地使用年限为法定最高使用年限</w:t>
      </w:r>
      <w:r>
        <w:rPr>
          <w:rFonts w:hint="eastAsia" w:ascii="Arial" w:hAnsi="Arial" w:eastAsia="仿宋" w:cs="Arial"/>
          <w:color w:val="auto"/>
          <w:sz w:val="28"/>
          <w:szCs w:val="28"/>
        </w:rPr>
        <w:t>，即城镇住宅用地70年、其他商业服务业用地40年、</w:t>
      </w:r>
      <w:r>
        <w:rPr>
          <w:rFonts w:ascii="Arial" w:hAnsi="Arial" w:eastAsia="仿宋" w:cs="Arial"/>
          <w:color w:val="auto"/>
          <w:sz w:val="28"/>
        </w:rPr>
        <w:t>公共</w:t>
      </w:r>
      <w:r>
        <w:rPr>
          <w:rFonts w:hint="eastAsia" w:ascii="Arial" w:hAnsi="Arial" w:eastAsia="仿宋" w:cs="Arial"/>
          <w:color w:val="auto"/>
          <w:sz w:val="28"/>
        </w:rPr>
        <w:t>管理与公共</w:t>
      </w:r>
      <w:r>
        <w:rPr>
          <w:rFonts w:ascii="Arial" w:hAnsi="Arial" w:eastAsia="仿宋" w:cs="Arial"/>
          <w:color w:val="auto"/>
          <w:sz w:val="28"/>
        </w:rPr>
        <w:t>服务</w:t>
      </w:r>
      <w:r>
        <w:rPr>
          <w:rFonts w:hint="eastAsia" w:ascii="Arial" w:hAnsi="Arial" w:eastAsia="仿宋" w:cs="Arial"/>
          <w:color w:val="auto"/>
          <w:sz w:val="28"/>
        </w:rPr>
        <w:t>用地</w:t>
      </w:r>
      <w:r>
        <w:rPr>
          <w:rFonts w:ascii="Arial" w:hAnsi="Arial" w:eastAsia="仿宋" w:cs="Arial"/>
          <w:color w:val="auto"/>
          <w:sz w:val="28"/>
          <w:szCs w:val="28"/>
        </w:rPr>
        <w:t>50年。</w:t>
      </w:r>
    </w:p>
    <w:p w14:paraId="4460E739">
      <w:pPr>
        <w:adjustRightInd/>
        <w:spacing w:line="300" w:lineRule="auto"/>
        <w:ind w:firstLine="562" w:firstLineChars="200"/>
        <w:jc w:val="both"/>
        <w:rPr>
          <w:rFonts w:ascii="Arial" w:hAnsi="Arial" w:eastAsia="仿宋" w:cs="Arial"/>
          <w:b/>
          <w:bCs/>
          <w:color w:val="auto"/>
          <w:sz w:val="28"/>
        </w:rPr>
      </w:pPr>
      <w:r>
        <w:rPr>
          <w:rFonts w:hint="eastAsia" w:ascii="Arial" w:hAnsi="Arial" w:eastAsia="仿宋" w:cs="Arial"/>
          <w:b/>
          <w:bCs/>
          <w:color w:val="auto"/>
          <w:sz w:val="28"/>
          <w:szCs w:val="28"/>
        </w:rPr>
        <w:t>6.估价期日</w:t>
      </w:r>
    </w:p>
    <w:p w14:paraId="3C72E0BC">
      <w:pPr>
        <w:pStyle w:val="90"/>
        <w:adjustRightInd/>
        <w:spacing w:line="300" w:lineRule="auto"/>
        <w:ind w:firstLine="560"/>
        <w:jc w:val="both"/>
        <w:textAlignment w:val="auto"/>
        <w:rPr>
          <w:rFonts w:ascii="Arial" w:hAnsi="Arial" w:eastAsia="仿宋" w:cs="Arial"/>
          <w:color w:val="auto"/>
          <w:sz w:val="28"/>
        </w:rPr>
      </w:pPr>
      <w:r>
        <w:rPr>
          <w:rFonts w:ascii="Arial" w:hAnsi="Arial" w:eastAsia="仿宋" w:cs="Arial"/>
          <w:color w:val="auto"/>
          <w:sz w:val="28"/>
        </w:rPr>
        <w:t>根据委托估价方提供的《国有建设用地使用权出让地价评估委托书》， 本次评估估价期日为2026年</w:t>
      </w:r>
      <w:r>
        <w:rPr>
          <w:rFonts w:hint="eastAsia" w:ascii="Arial" w:hAnsi="Arial" w:eastAsia="仿宋" w:cs="Arial"/>
          <w:color w:val="auto"/>
          <w:sz w:val="28"/>
        </w:rPr>
        <w:t>3</w:t>
      </w:r>
      <w:r>
        <w:rPr>
          <w:rFonts w:ascii="Arial" w:hAnsi="Arial" w:eastAsia="仿宋" w:cs="Arial"/>
          <w:color w:val="auto"/>
          <w:sz w:val="28"/>
        </w:rPr>
        <w:t>月</w:t>
      </w:r>
      <w:r>
        <w:rPr>
          <w:rFonts w:hint="eastAsia" w:ascii="Arial" w:hAnsi="Arial" w:eastAsia="仿宋" w:cs="Arial"/>
          <w:color w:val="auto"/>
          <w:sz w:val="28"/>
        </w:rPr>
        <w:t>26</w:t>
      </w:r>
      <w:r>
        <w:rPr>
          <w:rFonts w:ascii="Arial" w:hAnsi="Arial" w:eastAsia="仿宋" w:cs="Arial"/>
          <w:color w:val="auto"/>
          <w:sz w:val="28"/>
        </w:rPr>
        <w:t>日，本次评估依据《国有建设用地使 用权出让地价评估委托书》设定估价期日为2026年</w:t>
      </w:r>
      <w:r>
        <w:rPr>
          <w:rFonts w:hint="eastAsia" w:ascii="Arial" w:hAnsi="Arial" w:eastAsia="仿宋" w:cs="Arial"/>
          <w:color w:val="auto"/>
          <w:sz w:val="28"/>
        </w:rPr>
        <w:t>3</w:t>
      </w:r>
      <w:r>
        <w:rPr>
          <w:rFonts w:ascii="Arial" w:hAnsi="Arial" w:eastAsia="仿宋" w:cs="Arial"/>
          <w:color w:val="auto"/>
          <w:sz w:val="28"/>
        </w:rPr>
        <w:t>月</w:t>
      </w:r>
      <w:r>
        <w:rPr>
          <w:rFonts w:hint="eastAsia" w:ascii="Arial" w:hAnsi="Arial" w:eastAsia="仿宋" w:cs="Arial"/>
          <w:color w:val="auto"/>
          <w:sz w:val="28"/>
        </w:rPr>
        <w:t>26</w:t>
      </w:r>
      <w:r>
        <w:rPr>
          <w:rFonts w:ascii="Arial" w:hAnsi="Arial" w:eastAsia="仿宋" w:cs="Arial"/>
          <w:color w:val="auto"/>
          <w:sz w:val="28"/>
        </w:rPr>
        <w:t>日，亦为估价 师</w:t>
      </w:r>
      <w:r>
        <w:rPr>
          <w:rFonts w:hint="eastAsia" w:ascii="Arial" w:hAnsi="Arial" w:eastAsia="仿宋" w:cs="Arial"/>
          <w:color w:val="auto"/>
          <w:sz w:val="28"/>
        </w:rPr>
        <w:t>实地查勘</w:t>
      </w:r>
      <w:r>
        <w:rPr>
          <w:rFonts w:ascii="Arial" w:hAnsi="Arial" w:eastAsia="仿宋" w:cs="Arial"/>
          <w:color w:val="auto"/>
          <w:sz w:val="28"/>
        </w:rPr>
        <w:t>之日。</w:t>
      </w:r>
    </w:p>
    <w:p w14:paraId="1CB0294B">
      <w:pPr>
        <w:pStyle w:val="90"/>
        <w:adjustRightInd/>
        <w:spacing w:line="300" w:lineRule="auto"/>
        <w:ind w:firstLine="562"/>
        <w:jc w:val="both"/>
        <w:textAlignment w:val="auto"/>
        <w:rPr>
          <w:rFonts w:ascii="Arial" w:hAnsi="Arial" w:eastAsia="仿宋" w:cs="Arial"/>
          <w:b/>
          <w:bCs/>
          <w:color w:val="auto"/>
          <w:sz w:val="28"/>
        </w:rPr>
      </w:pPr>
      <w:r>
        <w:rPr>
          <w:rFonts w:hint="eastAsia" w:ascii="Arial" w:hAnsi="Arial" w:eastAsia="仿宋" w:cs="Arial"/>
          <w:b/>
          <w:bCs/>
          <w:color w:val="auto"/>
          <w:sz w:val="28"/>
        </w:rPr>
        <w:t>7.价格类型</w:t>
      </w:r>
    </w:p>
    <w:p w14:paraId="273F9968">
      <w:pPr>
        <w:pStyle w:val="90"/>
        <w:adjustRightInd/>
        <w:spacing w:line="300" w:lineRule="auto"/>
        <w:ind w:firstLine="560"/>
        <w:jc w:val="both"/>
        <w:textAlignment w:val="auto"/>
        <w:rPr>
          <w:rFonts w:ascii="Arial" w:hAnsi="Arial" w:eastAsia="仿宋" w:cs="Arial"/>
          <w:color w:val="auto"/>
          <w:sz w:val="28"/>
        </w:rPr>
      </w:pPr>
      <w:r>
        <w:rPr>
          <w:rFonts w:ascii="Arial" w:hAnsi="Arial" w:eastAsia="仿宋" w:cs="Arial"/>
          <w:color w:val="auto"/>
          <w:sz w:val="28"/>
        </w:rPr>
        <w:t>估价对象土地使用权性质为国有土地使用权，现拟办理入市交易手续， 估价结果是土地估价专业评估师按照规定的程序和方法，参照当地正常市 场价格水平，评估出让宗地土地使用权价格，故本次估价设定价格类型为 出让国有建设用地使用权公开市场价格。</w:t>
      </w:r>
    </w:p>
    <w:p w14:paraId="53F0A4E4">
      <w:pPr>
        <w:pStyle w:val="90"/>
        <w:adjustRightInd/>
        <w:spacing w:line="300" w:lineRule="auto"/>
        <w:ind w:left="560" w:firstLine="0" w:firstLineChars="0"/>
        <w:jc w:val="both"/>
        <w:textAlignment w:val="auto"/>
        <w:rPr>
          <w:rFonts w:ascii="Arial" w:hAnsi="Arial" w:eastAsia="仿宋" w:cs="Arial"/>
          <w:b/>
          <w:bCs/>
          <w:color w:val="auto"/>
          <w:sz w:val="28"/>
          <w:szCs w:val="28"/>
        </w:rPr>
      </w:pPr>
      <w:r>
        <w:rPr>
          <w:rFonts w:hint="eastAsia" w:ascii="Arial" w:hAnsi="Arial" w:eastAsia="仿宋" w:cs="Arial"/>
          <w:b/>
          <w:bCs/>
          <w:color w:val="auto"/>
          <w:sz w:val="28"/>
          <w:szCs w:val="28"/>
        </w:rPr>
        <w:t>8.</w:t>
      </w:r>
      <w:r>
        <w:rPr>
          <w:rFonts w:ascii="Arial" w:hAnsi="Arial" w:eastAsia="仿宋" w:cs="Arial"/>
          <w:b/>
          <w:bCs/>
          <w:color w:val="auto"/>
          <w:sz w:val="28"/>
          <w:szCs w:val="28"/>
        </w:rPr>
        <w:t>地价</w:t>
      </w:r>
      <w:r>
        <w:rPr>
          <w:rFonts w:hint="eastAsia" w:ascii="Arial" w:hAnsi="Arial" w:eastAsia="仿宋" w:cs="Arial"/>
          <w:b/>
          <w:bCs/>
          <w:color w:val="auto"/>
          <w:sz w:val="28"/>
          <w:szCs w:val="28"/>
        </w:rPr>
        <w:t>定义</w:t>
      </w:r>
    </w:p>
    <w:p w14:paraId="0BB3DE82">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本报告所评估的熟地价为：在公开市场条件下，估价对象宗地在估价期日</w:t>
      </w:r>
      <w:r>
        <w:rPr>
          <w:rFonts w:hint="eastAsia" w:ascii="Arial" w:hAnsi="Arial" w:eastAsia="仿宋" w:cs="Arial"/>
          <w:color w:val="auto"/>
          <w:sz w:val="28"/>
        </w:rPr>
        <w:t>2026年3月26日</w:t>
      </w:r>
      <w:r>
        <w:rPr>
          <w:rFonts w:ascii="Arial" w:hAnsi="Arial" w:eastAsia="仿宋" w:cs="Arial"/>
          <w:color w:val="auto"/>
          <w:sz w:val="28"/>
        </w:rPr>
        <w:t>，在北京市基准地价住宅类九级IX</w:t>
      </w:r>
      <w:r>
        <w:rPr>
          <w:rFonts w:hint="eastAsia" w:ascii="Arial" w:hAnsi="Arial" w:eastAsia="仿宋" w:cs="Arial"/>
          <w:color w:val="auto"/>
          <w:sz w:val="28"/>
        </w:rPr>
        <w:t>－</w:t>
      </w:r>
      <w:r>
        <w:rPr>
          <w:rFonts w:ascii="Arial" w:hAnsi="Arial" w:eastAsia="仿宋" w:cs="Arial"/>
          <w:color w:val="auto"/>
          <w:sz w:val="28"/>
        </w:rPr>
        <w:t>顺5区片、商服类九级IX</w:t>
      </w:r>
      <w:r>
        <w:rPr>
          <w:rFonts w:hint="eastAsia" w:ascii="Arial" w:hAnsi="Arial" w:eastAsia="仿宋" w:cs="Arial"/>
          <w:color w:val="auto"/>
          <w:sz w:val="28"/>
        </w:rPr>
        <w:t>－</w:t>
      </w:r>
      <w:r>
        <w:rPr>
          <w:rFonts w:ascii="Arial" w:hAnsi="Arial" w:eastAsia="仿宋" w:cs="Arial"/>
          <w:color w:val="auto"/>
          <w:sz w:val="28"/>
        </w:rPr>
        <w:t>顺5区片、公共服务类九级IX</w:t>
      </w:r>
      <w:r>
        <w:rPr>
          <w:rFonts w:hint="eastAsia" w:ascii="Arial" w:hAnsi="Arial" w:eastAsia="仿宋" w:cs="Arial"/>
          <w:color w:val="auto"/>
          <w:sz w:val="28"/>
        </w:rPr>
        <w:t>－</w:t>
      </w:r>
      <w:r>
        <w:rPr>
          <w:rFonts w:ascii="Arial" w:hAnsi="Arial" w:eastAsia="仿宋" w:cs="Arial"/>
          <w:color w:val="auto"/>
          <w:sz w:val="28"/>
        </w:rPr>
        <w:t>顺5区片，宗地实际开发程度为宗地外</w:t>
      </w:r>
      <w:r>
        <w:rPr>
          <w:rFonts w:hint="eastAsia" w:ascii="Arial" w:hAnsi="Arial" w:eastAsia="仿宋" w:cs="Arial"/>
          <w:color w:val="auto"/>
          <w:sz w:val="28"/>
        </w:rPr>
        <w:t>“七通”（通路、通上水（自来水、中水）、通下水（雨水、污水）、通电（管沟、电缆）、通讯、通燃气、通热力）</w:t>
      </w:r>
      <w:r>
        <w:rPr>
          <w:rFonts w:ascii="Arial" w:hAnsi="Arial" w:eastAsia="仿宋" w:cs="Arial"/>
          <w:color w:val="auto"/>
          <w:sz w:val="28"/>
        </w:rPr>
        <w:t>，宗地红线内场地平整；根据</w:t>
      </w:r>
      <w:r>
        <w:rPr>
          <w:rFonts w:hint="eastAsia" w:ascii="Arial" w:hAnsi="Arial" w:eastAsia="仿宋_GB2312" w:cs="Arial"/>
          <w:color w:val="auto"/>
          <w:sz w:val="28"/>
          <w:szCs w:val="28"/>
        </w:rPr>
        <w:t>《北京市顺义区人民政府关于顺义区高丽营镇夏县营村棚户区改造土地开发项目01－008、01－016、01－026－1、01－020地块提请地价审核有关事宜的函》</w:t>
      </w:r>
      <w:r>
        <w:rPr>
          <w:rFonts w:ascii="Arial" w:hAnsi="Arial" w:eastAsia="仿宋" w:cs="Arial"/>
          <w:color w:val="auto"/>
          <w:sz w:val="28"/>
        </w:rPr>
        <w:t>，评估设定土地开发程度为宗地外</w:t>
      </w:r>
      <w:r>
        <w:rPr>
          <w:rFonts w:hint="eastAsia" w:ascii="Arial" w:hAnsi="Arial" w:eastAsia="仿宋" w:cs="Arial"/>
          <w:color w:val="auto"/>
          <w:sz w:val="28"/>
        </w:rPr>
        <w:t>“七通”（通路、通上水（自来水、中水）、通下水（雨水、污水）、通电、通讯、通燃气、通热力）</w:t>
      </w:r>
      <w:r>
        <w:rPr>
          <w:rFonts w:ascii="Arial" w:hAnsi="Arial" w:eastAsia="仿宋" w:cs="Arial"/>
          <w:color w:val="auto"/>
          <w:sz w:val="28"/>
        </w:rPr>
        <w:t>，宗地红线内场地平整，规划用地性质为R2二类居住用地，评估设定用途为</w:t>
      </w:r>
      <w:r>
        <w:rPr>
          <w:rFonts w:hint="eastAsia" w:ascii="Arial" w:hAnsi="Arial" w:eastAsia="仿宋" w:cs="Arial"/>
          <w:color w:val="auto"/>
          <w:sz w:val="28"/>
        </w:rPr>
        <w:t>城镇住宅用地、其他商业服务业用地及公共管理与公共服务用地</w:t>
      </w:r>
      <w:r>
        <w:rPr>
          <w:rFonts w:ascii="Arial" w:hAnsi="Arial" w:eastAsia="仿宋" w:cs="Arial"/>
          <w:color w:val="auto"/>
          <w:sz w:val="28"/>
        </w:rPr>
        <w:t>，</w:t>
      </w:r>
      <w:r>
        <w:rPr>
          <w:rFonts w:ascii="Arial" w:hAnsi="Arial" w:eastAsia="仿宋" w:cs="Arial"/>
          <w:color w:val="auto"/>
          <w:sz w:val="28"/>
          <w:szCs w:val="28"/>
        </w:rPr>
        <w:t>评估设定土地使用年限为法定最高使用年限</w:t>
      </w:r>
      <w:r>
        <w:rPr>
          <w:rFonts w:hint="eastAsia" w:ascii="Arial" w:hAnsi="Arial" w:eastAsia="仿宋" w:cs="Arial"/>
          <w:color w:val="auto"/>
          <w:sz w:val="28"/>
          <w:szCs w:val="28"/>
        </w:rPr>
        <w:t>，即城镇住宅用地70年、其他商业服务业用地40年、</w:t>
      </w:r>
      <w:r>
        <w:rPr>
          <w:rFonts w:ascii="Arial" w:hAnsi="Arial" w:eastAsia="仿宋" w:cs="Arial"/>
          <w:color w:val="auto"/>
          <w:sz w:val="28"/>
        </w:rPr>
        <w:t>公共</w:t>
      </w:r>
      <w:r>
        <w:rPr>
          <w:rFonts w:hint="eastAsia" w:ascii="Arial" w:hAnsi="Arial" w:eastAsia="仿宋" w:cs="Arial"/>
          <w:color w:val="auto"/>
          <w:sz w:val="28"/>
        </w:rPr>
        <w:t>管理与公共</w:t>
      </w:r>
      <w:r>
        <w:rPr>
          <w:rFonts w:ascii="Arial" w:hAnsi="Arial" w:eastAsia="仿宋" w:cs="Arial"/>
          <w:color w:val="auto"/>
          <w:sz w:val="28"/>
        </w:rPr>
        <w:t>服务</w:t>
      </w:r>
      <w:r>
        <w:rPr>
          <w:rFonts w:hint="eastAsia" w:ascii="Arial" w:hAnsi="Arial" w:eastAsia="仿宋" w:cs="Arial"/>
          <w:color w:val="auto"/>
          <w:sz w:val="28"/>
        </w:rPr>
        <w:t>用地</w:t>
      </w:r>
      <w:r>
        <w:rPr>
          <w:rFonts w:ascii="Arial" w:hAnsi="Arial" w:eastAsia="仿宋" w:cs="Arial"/>
          <w:color w:val="auto"/>
          <w:sz w:val="28"/>
          <w:szCs w:val="28"/>
        </w:rPr>
        <w:t>50年</w:t>
      </w:r>
      <w:r>
        <w:rPr>
          <w:rFonts w:ascii="Arial" w:hAnsi="Arial" w:eastAsia="仿宋" w:cs="Arial"/>
          <w:color w:val="auto"/>
          <w:sz w:val="28"/>
        </w:rPr>
        <w:t>，土地面积为</w:t>
      </w:r>
      <w:r>
        <w:rPr>
          <w:rFonts w:hint="eastAsia" w:ascii="Arial" w:hAnsi="Arial" w:eastAsia="仿宋" w:cs="Arial"/>
          <w:color w:val="auto"/>
          <w:sz w:val="28"/>
        </w:rPr>
        <w:t>56790.45</w:t>
      </w:r>
      <w:r>
        <w:rPr>
          <w:rFonts w:ascii="Arial" w:hAnsi="Arial" w:eastAsia="仿宋" w:cs="Arial"/>
          <w:color w:val="auto"/>
          <w:sz w:val="28"/>
        </w:rPr>
        <w:t>平方米，01</w:t>
      </w:r>
      <w:r>
        <w:rPr>
          <w:rFonts w:hint="eastAsia" w:ascii="Arial" w:hAnsi="Arial" w:eastAsia="仿宋" w:cs="Arial"/>
          <w:color w:val="auto"/>
          <w:sz w:val="28"/>
        </w:rPr>
        <w:t>－</w:t>
      </w:r>
      <w:r>
        <w:rPr>
          <w:rFonts w:ascii="Arial" w:hAnsi="Arial" w:eastAsia="仿宋" w:cs="Arial"/>
          <w:color w:val="auto"/>
          <w:sz w:val="28"/>
        </w:rPr>
        <w:t>008、01</w:t>
      </w:r>
      <w:r>
        <w:rPr>
          <w:rFonts w:hint="eastAsia" w:ascii="Arial" w:hAnsi="Arial" w:eastAsia="仿宋" w:cs="Arial"/>
          <w:color w:val="auto"/>
          <w:sz w:val="28"/>
        </w:rPr>
        <w:t>－</w:t>
      </w:r>
      <w:r>
        <w:rPr>
          <w:rFonts w:ascii="Arial" w:hAnsi="Arial" w:eastAsia="仿宋" w:cs="Arial"/>
          <w:color w:val="auto"/>
          <w:sz w:val="28"/>
        </w:rPr>
        <w:t>016、01</w:t>
      </w:r>
      <w:r>
        <w:rPr>
          <w:rFonts w:hint="eastAsia" w:ascii="Arial" w:hAnsi="Arial" w:eastAsia="仿宋" w:cs="Arial"/>
          <w:color w:val="auto"/>
          <w:sz w:val="28"/>
        </w:rPr>
        <w:t>－</w:t>
      </w:r>
      <w:r>
        <w:rPr>
          <w:rFonts w:ascii="Arial" w:hAnsi="Arial" w:eastAsia="仿宋" w:cs="Arial"/>
          <w:color w:val="auto"/>
          <w:sz w:val="28"/>
        </w:rPr>
        <w:t>026</w:t>
      </w:r>
      <w:r>
        <w:rPr>
          <w:rFonts w:hint="eastAsia" w:ascii="Arial" w:hAnsi="Arial" w:eastAsia="仿宋" w:cs="Arial"/>
          <w:color w:val="auto"/>
          <w:sz w:val="28"/>
        </w:rPr>
        <w:t>－</w:t>
      </w:r>
      <w:r>
        <w:rPr>
          <w:rFonts w:ascii="Arial" w:hAnsi="Arial" w:eastAsia="仿宋" w:cs="Arial"/>
          <w:color w:val="auto"/>
          <w:sz w:val="28"/>
        </w:rPr>
        <w:t>1地块（R2二类居住用地）容积率为1.2；</w:t>
      </w:r>
      <w:r>
        <w:rPr>
          <w:rFonts w:hint="eastAsia" w:ascii="Arial" w:hAnsi="Arial" w:eastAsia="仿宋" w:cs="Arial"/>
          <w:color w:val="auto"/>
          <w:sz w:val="28"/>
        </w:rPr>
        <w:t>无他项权利限制，</w:t>
      </w:r>
      <w:r>
        <w:rPr>
          <w:rFonts w:ascii="Arial" w:hAnsi="Arial" w:eastAsia="仿宋" w:cs="Arial"/>
          <w:color w:val="auto"/>
          <w:sz w:val="28"/>
        </w:rPr>
        <w:t>在规划利用条件下的出让国有建设用地使用权价格。</w:t>
      </w:r>
    </w:p>
    <w:p w14:paraId="532C9CC0">
      <w:pPr>
        <w:adjustRightInd/>
        <w:spacing w:line="300" w:lineRule="auto"/>
        <w:ind w:firstLine="560" w:firstLineChars="200"/>
        <w:jc w:val="both"/>
        <w:rPr>
          <w:rFonts w:ascii="Arial" w:hAnsi="Arial" w:eastAsia="仿宋" w:cs="Arial"/>
          <w:color w:val="auto"/>
          <w:sz w:val="28"/>
        </w:rPr>
      </w:pPr>
    </w:p>
    <w:p w14:paraId="01006F45">
      <w:pPr>
        <w:rPr>
          <w:rFonts w:ascii="Arial" w:hAnsi="Arial" w:eastAsia="仿宋_GB2312" w:cs="Arial"/>
          <w:b/>
          <w:bCs/>
          <w:color w:val="auto"/>
          <w:sz w:val="28"/>
        </w:rPr>
      </w:pPr>
      <w:bookmarkStart w:id="56" w:name="_Toc132016726"/>
      <w:bookmarkStart w:id="57" w:name="_Toc138062996"/>
      <w:bookmarkStart w:id="58" w:name="_Toc531701555"/>
      <w:bookmarkStart w:id="59" w:name="_Toc520261130"/>
      <w:bookmarkStart w:id="60" w:name="_Toc515458363"/>
      <w:r>
        <w:rPr>
          <w:rFonts w:ascii="Arial" w:hAnsi="Arial" w:eastAsia="仿宋_GB2312" w:cs="Arial"/>
          <w:b/>
          <w:bCs/>
          <w:color w:val="auto"/>
          <w:sz w:val="28"/>
        </w:rPr>
        <w:br w:type="page"/>
      </w:r>
    </w:p>
    <w:p w14:paraId="1AA6AB45">
      <w:pPr>
        <w:tabs>
          <w:tab w:val="left" w:pos="6957"/>
        </w:tabs>
        <w:spacing w:line="300" w:lineRule="auto"/>
        <w:jc w:val="both"/>
        <w:outlineLvl w:val="1"/>
        <w:rPr>
          <w:rFonts w:ascii="Arial" w:hAnsi="Arial" w:eastAsia="仿宋_GB2312" w:cs="Arial"/>
          <w:b/>
          <w:bCs/>
          <w:color w:val="auto"/>
          <w:sz w:val="28"/>
        </w:rPr>
      </w:pPr>
      <w:r>
        <w:rPr>
          <w:rFonts w:ascii="Arial" w:hAnsi="Arial" w:eastAsia="仿宋_GB2312" w:cs="Arial"/>
          <w:b/>
          <w:bCs/>
          <w:color w:val="auto"/>
          <w:sz w:val="28"/>
        </w:rPr>
        <w:t>七、估价结果</w:t>
      </w:r>
      <w:bookmarkEnd w:id="56"/>
      <w:bookmarkEnd w:id="57"/>
      <w:bookmarkEnd w:id="58"/>
      <w:bookmarkEnd w:id="59"/>
      <w:bookmarkEnd w:id="60"/>
    </w:p>
    <w:p w14:paraId="26F7D54A">
      <w:pPr>
        <w:spacing w:line="300" w:lineRule="auto"/>
        <w:ind w:firstLine="562" w:firstLineChars="200"/>
        <w:jc w:val="both"/>
        <w:rPr>
          <w:rFonts w:ascii="Arial" w:hAnsi="Arial" w:eastAsia="仿宋_GB2312" w:cs="Arial"/>
          <w:color w:val="auto"/>
          <w:kern w:val="2"/>
          <w:sz w:val="28"/>
        </w:rPr>
      </w:pPr>
      <w:bookmarkStart w:id="61" w:name="_Toc469066308"/>
      <w:bookmarkStart w:id="62" w:name="_Toc418750886"/>
      <w:bookmarkStart w:id="63" w:name="_Toc416783524"/>
      <w:bookmarkStart w:id="64" w:name="_Toc520261131"/>
      <w:bookmarkStart w:id="65" w:name="_Toc531701556"/>
      <w:bookmarkStart w:id="66" w:name="_Toc425250308"/>
      <w:r>
        <w:rPr>
          <w:rFonts w:ascii="黑体" w:hAnsi="黑体" w:eastAsia="黑体" w:cs="Arial"/>
          <w:b/>
          <w:color w:val="auto"/>
          <w:sz w:val="28"/>
        </w:rPr>
        <w:t>估价对象位于北京市基准地价住宅</w:t>
      </w:r>
      <w:r>
        <w:rPr>
          <w:rFonts w:hint="eastAsia" w:ascii="黑体" w:hAnsi="黑体" w:eastAsia="黑体" w:cs="Arial"/>
          <w:b/>
          <w:color w:val="auto"/>
          <w:sz w:val="28"/>
        </w:rPr>
        <w:t>九级（IX－顺5）</w:t>
      </w:r>
      <w:r>
        <w:rPr>
          <w:rFonts w:ascii="黑体" w:hAnsi="黑体" w:eastAsia="黑体" w:cs="Arial"/>
          <w:b/>
          <w:color w:val="auto"/>
          <w:sz w:val="28"/>
        </w:rPr>
        <w:t>、</w:t>
      </w:r>
      <w:r>
        <w:rPr>
          <w:rFonts w:hint="eastAsia" w:ascii="黑体" w:hAnsi="黑体" w:eastAsia="黑体" w:cs="Arial"/>
          <w:b/>
          <w:color w:val="auto"/>
          <w:sz w:val="28"/>
        </w:rPr>
        <w:t>其他商业服务业用地九级（IX－顺5）</w:t>
      </w:r>
      <w:r>
        <w:rPr>
          <w:rFonts w:ascii="黑体" w:hAnsi="黑体" w:eastAsia="黑体" w:cs="Arial"/>
          <w:b/>
          <w:color w:val="auto"/>
          <w:sz w:val="28"/>
        </w:rPr>
        <w:t>、</w:t>
      </w:r>
      <w:r>
        <w:rPr>
          <w:rFonts w:hint="eastAsia" w:ascii="黑体" w:hAnsi="黑体" w:eastAsia="黑体" w:cs="Arial"/>
          <w:b/>
          <w:color w:val="auto"/>
          <w:sz w:val="28"/>
        </w:rPr>
        <w:t>公共服务九级（IX－顺5）</w:t>
      </w:r>
      <w:r>
        <w:rPr>
          <w:rFonts w:ascii="黑体" w:hAnsi="黑体" w:eastAsia="黑体" w:cs="Arial"/>
          <w:b/>
          <w:color w:val="auto"/>
          <w:sz w:val="28"/>
        </w:rPr>
        <w:t>范围内</w:t>
      </w:r>
      <w:r>
        <w:rPr>
          <w:rFonts w:ascii="Arial" w:hAnsi="Arial" w:eastAsia="黑体" w:cs="Arial"/>
          <w:b/>
          <w:color w:val="auto"/>
          <w:sz w:val="28"/>
        </w:rPr>
        <w:t>。</w:t>
      </w:r>
      <w:r>
        <w:rPr>
          <w:rFonts w:ascii="Arial" w:hAnsi="Arial" w:eastAsia="仿宋_GB2312" w:cs="Arial"/>
          <w:color w:val="auto"/>
          <w:kern w:val="2"/>
          <w:sz w:val="28"/>
        </w:rPr>
        <w:t>土地估价专业评估师根据估价的目的，按照估价的程序，采用科学的估价方法（基准地价系数修正法和剩余法），在认真分析现有资料的基础上，通过仔细测算和认真分析各种影响</w:t>
      </w:r>
      <w:r>
        <w:rPr>
          <w:rFonts w:ascii="Arial" w:hAnsi="Arial" w:eastAsia="仿宋_GB2312" w:cs="Arial"/>
          <w:color w:val="auto"/>
          <w:sz w:val="28"/>
        </w:rPr>
        <w:t>土地</w:t>
      </w:r>
      <w:r>
        <w:rPr>
          <w:rFonts w:ascii="Arial" w:hAnsi="Arial" w:eastAsia="仿宋_GB2312" w:cs="Arial"/>
          <w:color w:val="auto"/>
          <w:kern w:val="2"/>
          <w:sz w:val="28"/>
        </w:rPr>
        <w:t>价格的因素，确定</w:t>
      </w:r>
      <w:r>
        <w:rPr>
          <w:rFonts w:ascii="Arial" w:hAnsi="Arial" w:eastAsia="仿宋_GB2312" w:cs="Arial"/>
          <w:color w:val="auto"/>
          <w:sz w:val="28"/>
        </w:rPr>
        <w:t>估价对象于估价期日</w:t>
      </w:r>
      <w:r>
        <w:rPr>
          <w:rFonts w:hint="eastAsia" w:ascii="Arial" w:hAnsi="Arial" w:eastAsia="仿宋_GB2312" w:cs="Arial"/>
          <w:color w:val="auto"/>
          <w:sz w:val="28"/>
        </w:rPr>
        <w:t>2026年3月26日</w:t>
      </w:r>
      <w:r>
        <w:rPr>
          <w:rFonts w:ascii="Arial" w:hAnsi="Arial" w:eastAsia="仿宋_GB2312" w:cs="Arial"/>
          <w:color w:val="auto"/>
          <w:sz w:val="28"/>
        </w:rPr>
        <w:t>的</w:t>
      </w:r>
      <w:r>
        <w:rPr>
          <w:rFonts w:hint="eastAsia" w:ascii="Arial" w:hAnsi="Arial" w:eastAsia="仿宋_GB2312" w:cs="Arial"/>
          <w:color w:val="auto"/>
          <w:kern w:val="2"/>
          <w:sz w:val="28"/>
        </w:rPr>
        <w:t>地价结果</w:t>
      </w:r>
      <w:r>
        <w:rPr>
          <w:rFonts w:ascii="Arial" w:hAnsi="Arial" w:eastAsia="仿宋_GB2312" w:cs="Arial"/>
          <w:color w:val="auto"/>
          <w:kern w:val="2"/>
          <w:sz w:val="28"/>
        </w:rPr>
        <w:t>为：</w:t>
      </w:r>
      <w:r>
        <w:rPr>
          <w:rFonts w:hint="eastAsia" w:ascii="Arial" w:hAnsi="Arial" w:eastAsia="仿宋_GB2312" w:cs="Arial"/>
          <w:color w:val="auto"/>
          <w:kern w:val="2"/>
          <w:sz w:val="28"/>
        </w:rPr>
        <w:t>（币种：人民币）</w:t>
      </w:r>
    </w:p>
    <w:p w14:paraId="724AFDD7">
      <w:pPr>
        <w:snapToGrid w:val="0"/>
        <w:spacing w:before="120" w:beforeLines="50" w:line="288" w:lineRule="auto"/>
        <w:ind w:firstLine="562" w:firstLineChars="200"/>
        <w:rPr>
          <w:rFonts w:ascii="Arial" w:hAnsi="Arial" w:eastAsia="仿宋_GB2312" w:cs="Arial"/>
          <w:color w:val="auto"/>
          <w:kern w:val="2"/>
          <w:sz w:val="28"/>
        </w:rPr>
      </w:pPr>
      <w:r>
        <w:rPr>
          <w:rFonts w:hint="eastAsia" w:ascii="Arial" w:hAnsi="Arial" w:eastAsia="仿宋_GB2312" w:cs="Arial"/>
          <w:b/>
          <w:bCs/>
          <w:color w:val="auto"/>
          <w:kern w:val="2"/>
          <w:sz w:val="28"/>
        </w:rPr>
        <w:t>规划总建设用地面积：</w:t>
      </w:r>
      <w:r>
        <w:rPr>
          <w:rFonts w:hint="eastAsia" w:ascii="Arial" w:hAnsi="Arial" w:eastAsia="仿宋_GB2312" w:cs="Arial"/>
          <w:color w:val="auto"/>
          <w:kern w:val="2"/>
          <w:sz w:val="28"/>
        </w:rPr>
        <w:t>60990.43平方米</w:t>
      </w:r>
    </w:p>
    <w:p w14:paraId="0126342A">
      <w:pPr>
        <w:snapToGrid w:val="0"/>
        <w:spacing w:before="120" w:beforeLines="50" w:line="288" w:lineRule="auto"/>
        <w:ind w:firstLine="562" w:firstLineChars="200"/>
        <w:rPr>
          <w:rFonts w:ascii="Arial" w:hAnsi="Arial" w:eastAsia="仿宋_GB2312" w:cs="Arial"/>
          <w:color w:val="auto"/>
          <w:kern w:val="2"/>
          <w:sz w:val="28"/>
        </w:rPr>
      </w:pPr>
      <w:r>
        <w:rPr>
          <w:rFonts w:hint="eastAsia" w:ascii="Arial" w:hAnsi="Arial" w:eastAsia="仿宋_GB2312" w:cs="Arial"/>
          <w:b/>
          <w:bCs/>
          <w:color w:val="auto"/>
          <w:kern w:val="2"/>
          <w:sz w:val="28"/>
        </w:rPr>
        <w:t>规划总建筑面积：</w:t>
      </w:r>
      <w:r>
        <w:rPr>
          <w:rFonts w:hint="eastAsia" w:ascii="Arial" w:hAnsi="Arial" w:eastAsia="仿宋_GB2312" w:cs="Arial"/>
          <w:color w:val="auto"/>
          <w:kern w:val="2"/>
          <w:sz w:val="28"/>
        </w:rPr>
        <w:t>71508.52平方米</w:t>
      </w:r>
    </w:p>
    <w:p w14:paraId="1B423C50">
      <w:pPr>
        <w:snapToGrid w:val="0"/>
        <w:spacing w:before="120" w:beforeLines="50" w:line="288" w:lineRule="auto"/>
        <w:ind w:firstLine="840" w:firstLineChars="300"/>
        <w:rPr>
          <w:rFonts w:ascii="Arial" w:hAnsi="Arial" w:eastAsia="仿宋_GB2312" w:cs="Arial"/>
          <w:b/>
          <w:color w:val="auto"/>
          <w:kern w:val="2"/>
          <w:sz w:val="28"/>
        </w:rPr>
      </w:pPr>
      <w:r>
        <w:rPr>
          <w:rFonts w:hint="eastAsia" w:ascii="Arial" w:hAnsi="Arial" w:eastAsia="仿宋_GB2312" w:cs="Arial"/>
          <w:color w:val="auto"/>
          <w:kern w:val="2"/>
          <w:sz w:val="28"/>
        </w:rPr>
        <w:t>其中，经营性建筑面积：68148.54平方米</w:t>
      </w:r>
    </w:p>
    <w:p w14:paraId="7D270FF5">
      <w:pPr>
        <w:snapToGrid w:val="0"/>
        <w:spacing w:line="288" w:lineRule="auto"/>
        <w:ind w:firstLine="562" w:firstLineChars="200"/>
        <w:rPr>
          <w:rFonts w:ascii="Arial" w:hAnsi="Arial" w:eastAsia="仿宋_GB2312" w:cs="Arial"/>
          <w:b/>
          <w:color w:val="auto"/>
          <w:kern w:val="2"/>
          <w:sz w:val="28"/>
        </w:rPr>
      </w:pPr>
      <w:r>
        <w:rPr>
          <w:rFonts w:ascii="Arial" w:hAnsi="Arial" w:eastAsia="仿宋_GB2312" w:cs="Arial"/>
          <w:b/>
          <w:color w:val="auto"/>
          <w:kern w:val="2"/>
          <w:sz w:val="28"/>
        </w:rPr>
        <w:t>熟地</w:t>
      </w:r>
      <w:r>
        <w:rPr>
          <w:rFonts w:hint="eastAsia" w:ascii="Arial" w:hAnsi="Arial" w:eastAsia="仿宋_GB2312" w:cs="Arial"/>
          <w:b/>
          <w:color w:val="auto"/>
          <w:kern w:val="2"/>
          <w:sz w:val="28"/>
        </w:rPr>
        <w:t>总</w:t>
      </w:r>
      <w:r>
        <w:rPr>
          <w:rFonts w:ascii="Arial" w:hAnsi="Arial" w:eastAsia="仿宋_GB2312" w:cs="Arial"/>
          <w:b/>
          <w:color w:val="auto"/>
          <w:kern w:val="2"/>
          <w:sz w:val="28"/>
        </w:rPr>
        <w:t>价：</w:t>
      </w:r>
    </w:p>
    <w:p w14:paraId="67A3BD4A">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熟地价总额：</w:t>
      </w:r>
      <w:r>
        <w:rPr>
          <w:rFonts w:hint="eastAsia" w:ascii="Arial" w:hAnsi="Arial" w:eastAsia="仿宋_GB2312" w:cs="Arial"/>
          <w:color w:val="auto"/>
          <w:kern w:val="2"/>
          <w:sz w:val="28"/>
        </w:rPr>
        <w:t>74568.1325</w:t>
      </w:r>
      <w:r>
        <w:rPr>
          <w:rFonts w:ascii="Arial" w:hAnsi="Arial" w:eastAsia="仿宋_GB2312" w:cs="Arial"/>
          <w:color w:val="auto"/>
          <w:kern w:val="2"/>
          <w:sz w:val="28"/>
        </w:rPr>
        <w:t xml:space="preserve"> 万元</w:t>
      </w:r>
    </w:p>
    <w:p w14:paraId="37C0E9A2">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大写金额：</w:t>
      </w:r>
      <w:r>
        <w:rPr>
          <w:rFonts w:hint="eastAsia" w:ascii="Arial" w:hAnsi="Arial" w:eastAsia="仿宋_GB2312" w:cs="Arial"/>
          <w:color w:val="auto"/>
          <w:kern w:val="2"/>
          <w:sz w:val="28"/>
        </w:rPr>
        <w:t>柒亿肆仟伍佰陆拾捌万壹仟叁佰贰拾伍</w:t>
      </w:r>
      <w:r>
        <w:rPr>
          <w:rFonts w:ascii="Arial" w:hAnsi="Arial" w:eastAsia="仿宋_GB2312" w:cs="Arial"/>
          <w:color w:val="auto"/>
          <w:kern w:val="2"/>
          <w:sz w:val="28"/>
        </w:rPr>
        <w:t>元整</w:t>
      </w:r>
    </w:p>
    <w:p w14:paraId="79BA6D4E">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楼面地价：10942元/平方米</w:t>
      </w:r>
    </w:p>
    <w:p w14:paraId="11B11039">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城镇住宅用地：</w:t>
      </w:r>
    </w:p>
    <w:p w14:paraId="2B528D9B">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熟地价总额：</w:t>
      </w:r>
      <w:r>
        <w:rPr>
          <w:rFonts w:hint="eastAsia" w:ascii="Arial" w:hAnsi="Arial" w:eastAsia="仿宋_GB2312" w:cs="Arial"/>
          <w:color w:val="auto"/>
          <w:kern w:val="2"/>
          <w:sz w:val="28"/>
        </w:rPr>
        <w:t>74568.1325</w:t>
      </w:r>
      <w:r>
        <w:rPr>
          <w:rFonts w:ascii="Arial" w:hAnsi="Arial" w:eastAsia="仿宋_GB2312" w:cs="Arial"/>
          <w:color w:val="auto"/>
          <w:kern w:val="2"/>
          <w:sz w:val="28"/>
        </w:rPr>
        <w:t xml:space="preserve"> 万元</w:t>
      </w:r>
    </w:p>
    <w:p w14:paraId="10FEC9EE">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大写金额：</w:t>
      </w:r>
      <w:r>
        <w:rPr>
          <w:rFonts w:hint="eastAsia" w:ascii="Arial" w:hAnsi="Arial" w:eastAsia="仿宋_GB2312" w:cs="Arial"/>
          <w:color w:val="auto"/>
          <w:kern w:val="2"/>
          <w:sz w:val="28"/>
        </w:rPr>
        <w:t>柒亿肆仟伍佰陆拾捌万壹仟叁佰贰拾伍</w:t>
      </w:r>
      <w:r>
        <w:rPr>
          <w:rFonts w:ascii="Arial" w:hAnsi="Arial" w:eastAsia="仿宋_GB2312" w:cs="Arial"/>
          <w:color w:val="auto"/>
          <w:kern w:val="2"/>
          <w:sz w:val="28"/>
        </w:rPr>
        <w:t>元整</w:t>
      </w:r>
    </w:p>
    <w:p w14:paraId="33341D92">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楼面地价：10942元/平方米</w:t>
      </w:r>
    </w:p>
    <w:p w14:paraId="57AA4B95">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其他商业服务业用地：</w:t>
      </w:r>
    </w:p>
    <w:p w14:paraId="1226C182">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楼面地价：5295元/平方米</w:t>
      </w:r>
    </w:p>
    <w:p w14:paraId="511DEB5A">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公共管理与公共服务用地：</w:t>
      </w:r>
    </w:p>
    <w:p w14:paraId="2A8B709B">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楼面地价：3249元/平方米</w:t>
      </w:r>
    </w:p>
    <w:p w14:paraId="63BC7DB6">
      <w:pPr>
        <w:snapToGrid w:val="0"/>
        <w:spacing w:before="120" w:beforeLines="50" w:line="288" w:lineRule="auto"/>
        <w:ind w:firstLine="560" w:firstLineChars="200"/>
        <w:rPr>
          <w:rFonts w:ascii="Arial" w:hAnsi="Arial" w:eastAsia="仿宋_GB2312" w:cs="Arial"/>
          <w:color w:val="auto"/>
          <w:kern w:val="2"/>
          <w:sz w:val="28"/>
        </w:rPr>
      </w:pPr>
      <w:r>
        <w:rPr>
          <w:rFonts w:ascii="Arial" w:hAnsi="Arial" w:eastAsia="仿宋_GB2312" w:cs="Arial"/>
          <w:color w:val="auto"/>
          <w:kern w:val="2"/>
          <w:sz w:val="28"/>
        </w:rPr>
        <w:t>详见《估价结果汇总表》</w:t>
      </w:r>
    </w:p>
    <w:p w14:paraId="70D288B5">
      <w:pPr>
        <w:snapToGrid w:val="0"/>
        <w:spacing w:before="120" w:beforeLines="50" w:line="300"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根据北京市顺义区人民政府《北京市顺义区人民政府关于顺义区高丽营镇夏县营村棚户区改造土地开发项目01－008、01－016、01－026－1、01－020地块提请地价审核有关事宜的函》，本项目不存在回迁、回购等实物补偿内容。</w:t>
      </w:r>
    </w:p>
    <w:p w14:paraId="5C6B98E8">
      <w:pPr>
        <w:snapToGrid w:val="0"/>
        <w:spacing w:before="120" w:beforeLines="50" w:line="288"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根据《自然资源部 国家林业和草原局关于进一步做好自然资源要素保障的通知》（自然资办发（2026）38号），通过强化国土空间规划弹性、优化审批流程、优先保障国家重大项目及重点领域新增用地指标，并严格执行耕地占补平衡，旨在提升自然资源要素配置效率。其对新增供地市场的影响在于：在严守资源安全底线前提下，为有效投资和合理建设需求开辟“绿色通道”，推动土地供应更加精准、高效地向高质量发展领域倾斜，促进土地节约集约利用，实现“保护”与“保障”的动态平衡，推动行业从粗放规模扩张转向高质量内涵式发展。</w:t>
      </w:r>
    </w:p>
    <w:p w14:paraId="7E70855C">
      <w:pPr>
        <w:snapToGrid w:val="0"/>
        <w:spacing w:before="120" w:beforeLines="50" w:line="288" w:lineRule="auto"/>
        <w:ind w:firstLine="560" w:firstLineChars="200"/>
        <w:jc w:val="both"/>
        <w:rPr>
          <w:rFonts w:ascii="Arial" w:hAnsi="Arial" w:eastAsia="仿宋_GB2312" w:cs="Arial"/>
          <w:color w:val="auto"/>
          <w:sz w:val="28"/>
        </w:rPr>
      </w:pPr>
      <w:r>
        <w:rPr>
          <w:rFonts w:hint="eastAsia" w:ascii="Arial" w:hAnsi="Arial" w:eastAsia="仿宋_GB2312" w:cs="Arial"/>
          <w:color w:val="auto"/>
          <w:kern w:val="2"/>
          <w:sz w:val="28"/>
        </w:rPr>
        <w:t>根据《北京市国有建设用地使用权出让地价评估技术导则》（2026年2月10日实施）</w:t>
      </w:r>
      <w:r>
        <w:rPr>
          <w:rFonts w:hint="eastAsia" w:ascii="Arial" w:hAnsi="Arial" w:eastAsia="仿宋" w:cs="Arial"/>
          <w:color w:val="auto"/>
          <w:sz w:val="28"/>
          <w:szCs w:val="28"/>
        </w:rPr>
        <w:t>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_GB2312" w:cs="Arial"/>
          <w:color w:val="auto"/>
          <w:kern w:val="2"/>
          <w:sz w:val="28"/>
        </w:rPr>
        <w:t>其他商服、公共服务用途统一地价水平确定其配套服务设施部分的熟地单价，按就高原则确定价格水平，后续也不涉及其他商服及公共服务用途之间地价款调整问题。</w:t>
      </w:r>
      <w:r>
        <w:rPr>
          <w:rFonts w:hint="eastAsia" w:ascii="Arial" w:hAnsi="Arial" w:eastAsia="仿宋" w:cs="Arial"/>
          <w:color w:val="auto"/>
          <w:sz w:val="28"/>
        </w:rPr>
        <w:t>”</w:t>
      </w:r>
    </w:p>
    <w:p w14:paraId="0648B136">
      <w:pPr>
        <w:keepNext w:val="0"/>
        <w:keepLines w:val="0"/>
        <w:pageBreakBefore w:val="0"/>
        <w:widowControl w:val="0"/>
        <w:kinsoku/>
        <w:wordWrap/>
        <w:overflowPunct/>
        <w:topLinePunct w:val="0"/>
        <w:autoSpaceDE/>
        <w:autoSpaceDN/>
        <w:bidi w:val="0"/>
        <w:adjustRightInd w:val="0"/>
        <w:snapToGrid w:val="0"/>
        <w:spacing w:before="120" w:beforeLines="50" w:after="164" w:afterLines="50" w:line="288" w:lineRule="auto"/>
        <w:ind w:firstLine="560" w:firstLineChars="200"/>
        <w:jc w:val="both"/>
        <w:textAlignment w:val="baseline"/>
        <w:rPr>
          <w:rFonts w:ascii="Arial" w:hAnsi="Arial" w:eastAsia="仿宋_GB2312" w:cs="Arial"/>
          <w:color w:val="auto"/>
          <w:kern w:val="2"/>
          <w:sz w:val="28"/>
        </w:rPr>
      </w:pPr>
      <w:r>
        <w:rPr>
          <w:rFonts w:hint="eastAsia" w:ascii="Arial" w:hAnsi="Arial" w:eastAsia="仿宋_GB2312" w:cs="Arial"/>
          <w:color w:val="auto"/>
          <w:kern w:val="2"/>
          <w:sz w:val="28"/>
        </w:rPr>
        <w:t>根据本次估价目的和出让评估要求，本次评估估价对象熟地总价时按城镇住宅用地测算结果作为最终估价结果，其他商业服务业用地、公共管理与公共服务用地仅测算列示楼面地价。具体估价结果如下表所示：</w:t>
      </w:r>
    </w:p>
    <w:tbl>
      <w:tblPr>
        <w:tblStyle w:val="34"/>
        <w:tblW w:w="9072" w:type="dxa"/>
        <w:jc w:val="center"/>
        <w:tblLayout w:type="fixed"/>
        <w:tblCellMar>
          <w:top w:w="0" w:type="dxa"/>
          <w:left w:w="108" w:type="dxa"/>
          <w:bottom w:w="0" w:type="dxa"/>
          <w:right w:w="108" w:type="dxa"/>
        </w:tblCellMar>
      </w:tblPr>
      <w:tblGrid>
        <w:gridCol w:w="3649"/>
        <w:gridCol w:w="1728"/>
        <w:gridCol w:w="1932"/>
        <w:gridCol w:w="1763"/>
      </w:tblGrid>
      <w:tr w14:paraId="17AAC7BB">
        <w:tblPrEx>
          <w:tblCellMar>
            <w:top w:w="0" w:type="dxa"/>
            <w:left w:w="108" w:type="dxa"/>
            <w:bottom w:w="0" w:type="dxa"/>
            <w:right w:w="108" w:type="dxa"/>
          </w:tblCellMar>
        </w:tblPrEx>
        <w:trPr>
          <w:trHeight w:val="1125" w:hRule="atLeast"/>
          <w:jc w:val="center"/>
        </w:trPr>
        <w:tc>
          <w:tcPr>
            <w:tcW w:w="9072" w:type="dxa"/>
            <w:gridSpan w:val="4"/>
            <w:tcBorders>
              <w:top w:val="nil"/>
              <w:left w:val="nil"/>
              <w:bottom w:val="single" w:color="auto" w:sz="4" w:space="0"/>
              <w:right w:val="nil"/>
            </w:tcBorders>
            <w:shd w:val="clear" w:color="auto" w:fill="auto"/>
            <w:vAlign w:val="center"/>
          </w:tcPr>
          <w:p w14:paraId="0A2E5AF6">
            <w:pPr>
              <w:widowControl/>
              <w:adjustRightInd/>
              <w:spacing w:line="300" w:lineRule="auto"/>
              <w:jc w:val="center"/>
              <w:textAlignment w:val="auto"/>
              <w:rPr>
                <w:rFonts w:ascii="Arial" w:hAnsi="Arial" w:eastAsia="黑体" w:cs="Arial"/>
                <w:color w:val="auto"/>
                <w:sz w:val="28"/>
                <w:szCs w:val="28"/>
              </w:rPr>
            </w:pPr>
            <w:r>
              <w:rPr>
                <w:rFonts w:hint="eastAsia" w:ascii="Arial" w:hAnsi="Arial" w:eastAsia="仿宋_GB2312" w:cs="Arial"/>
                <w:b/>
                <w:bCs/>
                <w:color w:val="auto"/>
                <w:sz w:val="28"/>
              </w:rPr>
              <w:t>北京市顺义区高丽营镇夏县营村棚户区改造土地开发项目01－008、01－016、01－026－1、01－020地块R2二类居住用地、A334托幼用地国有建设用地使用权</w:t>
            </w:r>
            <w:r>
              <w:rPr>
                <w:rFonts w:ascii="Arial" w:hAnsi="Arial" w:eastAsia="仿宋_GB2312" w:cs="Arial"/>
                <w:b/>
                <w:bCs/>
                <w:color w:val="auto"/>
                <w:sz w:val="28"/>
              </w:rPr>
              <w:t>估价结果汇总表</w:t>
            </w:r>
          </w:p>
        </w:tc>
      </w:tr>
      <w:tr w14:paraId="794F9ACA">
        <w:tblPrEx>
          <w:tblCellMar>
            <w:top w:w="0" w:type="dxa"/>
            <w:left w:w="108" w:type="dxa"/>
            <w:bottom w:w="0" w:type="dxa"/>
            <w:right w:w="108" w:type="dxa"/>
          </w:tblCellMar>
        </w:tblPrEx>
        <w:trPr>
          <w:trHeight w:val="675" w:hRule="atLeast"/>
          <w:jc w:val="center"/>
        </w:trPr>
        <w:tc>
          <w:tcPr>
            <w:tcW w:w="3649" w:type="dxa"/>
            <w:tcBorders>
              <w:top w:val="nil"/>
              <w:left w:val="single" w:color="auto" w:sz="4" w:space="0"/>
              <w:bottom w:val="single" w:color="auto" w:sz="4" w:space="0"/>
              <w:right w:val="single" w:color="auto" w:sz="4" w:space="0"/>
            </w:tcBorders>
            <w:shd w:val="clear" w:color="auto" w:fill="auto"/>
            <w:vAlign w:val="center"/>
          </w:tcPr>
          <w:p w14:paraId="392341A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地价类型</w:t>
            </w:r>
            <w:r>
              <w:rPr>
                <w:rFonts w:ascii="Arial" w:hAnsi="Arial" w:eastAsia="仿宋_GB2312" w:cs="Arial"/>
                <w:color w:val="auto"/>
                <w:szCs w:val="24"/>
              </w:rPr>
              <w:t>　</w:t>
            </w:r>
          </w:p>
        </w:tc>
        <w:tc>
          <w:tcPr>
            <w:tcW w:w="1728" w:type="dxa"/>
            <w:tcBorders>
              <w:top w:val="nil"/>
              <w:left w:val="nil"/>
              <w:bottom w:val="single" w:color="auto" w:sz="4" w:space="0"/>
              <w:right w:val="single" w:color="auto" w:sz="4" w:space="0"/>
            </w:tcBorders>
            <w:shd w:val="clear" w:color="auto" w:fill="auto"/>
            <w:vAlign w:val="center"/>
          </w:tcPr>
          <w:p w14:paraId="5014034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楼面地价</w:t>
            </w:r>
            <w:r>
              <w:rPr>
                <w:rFonts w:ascii="Arial" w:hAnsi="Arial" w:eastAsia="仿宋_GB2312" w:cs="Arial"/>
                <w:color w:val="auto"/>
                <w:szCs w:val="24"/>
              </w:rPr>
              <w:br w:type="textWrapping"/>
            </w:r>
            <w:r>
              <w:rPr>
                <w:rFonts w:ascii="Arial" w:hAnsi="Arial" w:eastAsia="仿宋_GB2312" w:cs="Arial"/>
                <w:color w:val="auto"/>
                <w:szCs w:val="24"/>
              </w:rPr>
              <w:t>（元/平方米）</w:t>
            </w:r>
          </w:p>
        </w:tc>
        <w:tc>
          <w:tcPr>
            <w:tcW w:w="1932" w:type="dxa"/>
            <w:tcBorders>
              <w:top w:val="nil"/>
              <w:left w:val="nil"/>
              <w:bottom w:val="single" w:color="auto" w:sz="4" w:space="0"/>
              <w:right w:val="single" w:color="auto" w:sz="4" w:space="0"/>
            </w:tcBorders>
            <w:shd w:val="clear" w:color="auto" w:fill="auto"/>
            <w:vAlign w:val="center"/>
          </w:tcPr>
          <w:p w14:paraId="18E2EDF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经营性</w:t>
            </w:r>
            <w:r>
              <w:rPr>
                <w:rFonts w:ascii="Arial" w:hAnsi="Arial" w:eastAsia="仿宋_GB2312" w:cs="Arial"/>
                <w:color w:val="auto"/>
                <w:szCs w:val="24"/>
              </w:rPr>
              <w:t>建筑规模</w:t>
            </w:r>
            <w:r>
              <w:rPr>
                <w:rFonts w:ascii="Arial" w:hAnsi="Arial" w:eastAsia="仿宋_GB2312" w:cs="Arial"/>
                <w:color w:val="auto"/>
                <w:szCs w:val="24"/>
              </w:rPr>
              <w:br w:type="textWrapping"/>
            </w:r>
            <w:r>
              <w:rPr>
                <w:rFonts w:ascii="Arial" w:hAnsi="Arial" w:eastAsia="仿宋_GB2312" w:cs="Arial"/>
                <w:color w:val="auto"/>
                <w:szCs w:val="24"/>
              </w:rPr>
              <w:t>（平方米）</w:t>
            </w:r>
          </w:p>
        </w:tc>
        <w:tc>
          <w:tcPr>
            <w:tcW w:w="1763" w:type="dxa"/>
            <w:tcBorders>
              <w:top w:val="nil"/>
              <w:left w:val="nil"/>
              <w:bottom w:val="single" w:color="auto" w:sz="4" w:space="0"/>
              <w:right w:val="single" w:color="auto" w:sz="4" w:space="0"/>
            </w:tcBorders>
            <w:shd w:val="clear" w:color="auto" w:fill="auto"/>
            <w:vAlign w:val="center"/>
          </w:tcPr>
          <w:p w14:paraId="5A9528C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熟地</w:t>
            </w:r>
            <w:r>
              <w:rPr>
                <w:rFonts w:ascii="Arial" w:hAnsi="Arial" w:eastAsia="仿宋_GB2312" w:cs="Arial"/>
                <w:color w:val="auto"/>
                <w:szCs w:val="24"/>
              </w:rPr>
              <w:t>总价</w:t>
            </w:r>
            <w:r>
              <w:rPr>
                <w:rFonts w:ascii="Arial" w:hAnsi="Arial" w:eastAsia="仿宋_GB2312" w:cs="Arial"/>
                <w:color w:val="auto"/>
                <w:szCs w:val="24"/>
              </w:rPr>
              <w:br w:type="textWrapping"/>
            </w:r>
            <w:r>
              <w:rPr>
                <w:rFonts w:ascii="Arial" w:hAnsi="Arial" w:eastAsia="仿宋_GB2312" w:cs="Arial"/>
                <w:color w:val="auto"/>
                <w:szCs w:val="24"/>
              </w:rPr>
              <w:t>（万元）</w:t>
            </w:r>
          </w:p>
        </w:tc>
      </w:tr>
      <w:tr w14:paraId="3ACF7F11">
        <w:tblPrEx>
          <w:tblCellMar>
            <w:top w:w="0" w:type="dxa"/>
            <w:left w:w="108" w:type="dxa"/>
            <w:bottom w:w="0" w:type="dxa"/>
            <w:right w:w="108" w:type="dxa"/>
          </w:tblCellMar>
        </w:tblPrEx>
        <w:trPr>
          <w:trHeight w:val="565" w:hRule="atLeast"/>
          <w:jc w:val="center"/>
        </w:trPr>
        <w:tc>
          <w:tcPr>
            <w:tcW w:w="3649" w:type="dxa"/>
            <w:tcBorders>
              <w:top w:val="nil"/>
              <w:left w:val="single" w:color="auto" w:sz="4" w:space="0"/>
              <w:bottom w:val="single" w:color="auto" w:sz="4" w:space="0"/>
              <w:right w:val="single" w:color="auto" w:sz="4" w:space="0"/>
            </w:tcBorders>
            <w:shd w:val="clear" w:color="auto" w:fill="auto"/>
            <w:vAlign w:val="center"/>
          </w:tcPr>
          <w:p w14:paraId="2A31C02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城镇住宅用地熟地价</w:t>
            </w:r>
          </w:p>
        </w:tc>
        <w:tc>
          <w:tcPr>
            <w:tcW w:w="1728" w:type="dxa"/>
            <w:tcBorders>
              <w:top w:val="nil"/>
              <w:left w:val="nil"/>
              <w:bottom w:val="single" w:color="auto" w:sz="4" w:space="0"/>
              <w:right w:val="single" w:color="auto" w:sz="4" w:space="0"/>
            </w:tcBorders>
            <w:shd w:val="clear" w:color="auto" w:fill="auto"/>
            <w:vAlign w:val="center"/>
          </w:tcPr>
          <w:p w14:paraId="25F48906">
            <w:pPr>
              <w:spacing w:line="300" w:lineRule="auto"/>
              <w:jc w:val="center"/>
              <w:rPr>
                <w:rFonts w:ascii="黑体" w:hAnsi="黑体" w:eastAsia="黑体" w:cs="宋体"/>
                <w:color w:val="auto"/>
                <w:szCs w:val="24"/>
              </w:rPr>
            </w:pPr>
            <w:r>
              <w:rPr>
                <w:rFonts w:hint="eastAsia" w:ascii="黑体" w:hAnsi="黑体" w:eastAsia="黑体" w:cs="宋体"/>
                <w:color w:val="auto"/>
                <w:szCs w:val="24"/>
              </w:rPr>
              <w:t>10942</w:t>
            </w:r>
          </w:p>
        </w:tc>
        <w:tc>
          <w:tcPr>
            <w:tcW w:w="1932" w:type="dxa"/>
            <w:tcBorders>
              <w:top w:val="nil"/>
              <w:left w:val="nil"/>
              <w:bottom w:val="single" w:color="auto" w:sz="4" w:space="0"/>
              <w:right w:val="single" w:color="auto" w:sz="4" w:space="0"/>
            </w:tcBorders>
            <w:shd w:val="clear" w:color="auto" w:fill="auto"/>
            <w:vAlign w:val="center"/>
          </w:tcPr>
          <w:p w14:paraId="101B68E7">
            <w:pPr>
              <w:spacing w:line="300" w:lineRule="auto"/>
              <w:jc w:val="center"/>
              <w:rPr>
                <w:rFonts w:ascii="黑体" w:hAnsi="黑体" w:eastAsia="黑体"/>
                <w:color w:val="auto"/>
              </w:rPr>
            </w:pPr>
            <w:r>
              <w:rPr>
                <w:rFonts w:ascii="黑体" w:hAnsi="黑体" w:eastAsia="黑体"/>
                <w:color w:val="auto"/>
              </w:rPr>
              <w:t>68148.54</w:t>
            </w:r>
          </w:p>
        </w:tc>
        <w:tc>
          <w:tcPr>
            <w:tcW w:w="1763" w:type="dxa"/>
            <w:tcBorders>
              <w:top w:val="nil"/>
              <w:left w:val="nil"/>
              <w:bottom w:val="single" w:color="auto" w:sz="4" w:space="0"/>
              <w:right w:val="single" w:color="auto" w:sz="4" w:space="0"/>
            </w:tcBorders>
            <w:shd w:val="clear" w:color="auto" w:fill="auto"/>
            <w:vAlign w:val="center"/>
          </w:tcPr>
          <w:p w14:paraId="5AA7D0A3">
            <w:pPr>
              <w:spacing w:line="300" w:lineRule="auto"/>
              <w:jc w:val="center"/>
              <w:rPr>
                <w:rFonts w:ascii="黑体" w:hAnsi="黑体" w:eastAsia="黑体" w:cs="宋体"/>
                <w:color w:val="auto"/>
                <w:szCs w:val="24"/>
              </w:rPr>
            </w:pPr>
            <w:r>
              <w:rPr>
                <w:rFonts w:hint="eastAsia" w:ascii="黑体" w:hAnsi="黑体" w:eastAsia="黑体"/>
                <w:color w:val="auto"/>
              </w:rPr>
              <w:t>74568.1325</w:t>
            </w:r>
            <w:r>
              <w:rPr>
                <w:rFonts w:ascii="黑体" w:hAnsi="黑体" w:eastAsia="黑体"/>
                <w:color w:val="auto"/>
              </w:rPr>
              <w:t xml:space="preserve"> </w:t>
            </w:r>
          </w:p>
        </w:tc>
      </w:tr>
      <w:tr w14:paraId="0DF55AE4">
        <w:tblPrEx>
          <w:tblCellMar>
            <w:top w:w="0" w:type="dxa"/>
            <w:left w:w="108" w:type="dxa"/>
            <w:bottom w:w="0" w:type="dxa"/>
            <w:right w:w="108" w:type="dxa"/>
          </w:tblCellMar>
        </w:tblPrEx>
        <w:trPr>
          <w:trHeight w:val="525" w:hRule="atLeast"/>
          <w:jc w:val="center"/>
        </w:trPr>
        <w:tc>
          <w:tcPr>
            <w:tcW w:w="3649" w:type="dxa"/>
            <w:tcBorders>
              <w:top w:val="nil"/>
              <w:left w:val="single" w:color="auto" w:sz="4" w:space="0"/>
              <w:bottom w:val="single" w:color="auto" w:sz="4" w:space="0"/>
              <w:right w:val="single" w:color="auto" w:sz="4" w:space="0"/>
            </w:tcBorders>
            <w:shd w:val="clear" w:color="auto" w:fill="auto"/>
            <w:vAlign w:val="center"/>
          </w:tcPr>
          <w:p w14:paraId="30E20B8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其他商业服务业用地用途熟地价</w:t>
            </w:r>
          </w:p>
        </w:tc>
        <w:tc>
          <w:tcPr>
            <w:tcW w:w="1728" w:type="dxa"/>
            <w:tcBorders>
              <w:top w:val="nil"/>
              <w:left w:val="nil"/>
              <w:bottom w:val="single" w:color="auto" w:sz="4" w:space="0"/>
              <w:right w:val="single" w:color="auto" w:sz="4" w:space="0"/>
            </w:tcBorders>
            <w:shd w:val="clear" w:color="auto" w:fill="auto"/>
            <w:vAlign w:val="center"/>
          </w:tcPr>
          <w:p w14:paraId="370D2F05">
            <w:pPr>
              <w:spacing w:line="300" w:lineRule="auto"/>
              <w:jc w:val="center"/>
              <w:rPr>
                <w:rFonts w:ascii="黑体" w:hAnsi="黑体" w:eastAsia="黑体" w:cs="宋体"/>
                <w:color w:val="auto"/>
                <w:szCs w:val="24"/>
              </w:rPr>
            </w:pPr>
            <w:r>
              <w:rPr>
                <w:rFonts w:hint="eastAsia" w:ascii="黑体" w:hAnsi="黑体" w:eastAsia="黑体" w:cs="宋体"/>
                <w:color w:val="auto"/>
                <w:szCs w:val="24"/>
              </w:rPr>
              <w:t>5295</w:t>
            </w:r>
          </w:p>
        </w:tc>
        <w:tc>
          <w:tcPr>
            <w:tcW w:w="1932" w:type="dxa"/>
            <w:tcBorders>
              <w:top w:val="nil"/>
              <w:left w:val="nil"/>
              <w:bottom w:val="single" w:color="auto" w:sz="4" w:space="0"/>
              <w:right w:val="single" w:color="auto" w:sz="4" w:space="0"/>
            </w:tcBorders>
            <w:shd w:val="clear" w:color="auto" w:fill="auto"/>
            <w:vAlign w:val="center"/>
          </w:tcPr>
          <w:p w14:paraId="09B17C5A">
            <w:pPr>
              <w:spacing w:line="300" w:lineRule="auto"/>
              <w:jc w:val="center"/>
              <w:rPr>
                <w:rFonts w:ascii="黑体" w:hAnsi="黑体" w:eastAsia="黑体"/>
                <w:color w:val="auto"/>
              </w:rPr>
            </w:pPr>
            <w:r>
              <w:rPr>
                <w:rFonts w:hint="eastAsia" w:ascii="黑体" w:hAnsi="黑体" w:eastAsia="黑体"/>
                <w:color w:val="auto"/>
              </w:rPr>
              <w:t>－</w:t>
            </w:r>
          </w:p>
        </w:tc>
        <w:tc>
          <w:tcPr>
            <w:tcW w:w="1763" w:type="dxa"/>
            <w:tcBorders>
              <w:top w:val="nil"/>
              <w:left w:val="nil"/>
              <w:bottom w:val="single" w:color="auto" w:sz="4" w:space="0"/>
              <w:right w:val="single" w:color="auto" w:sz="4" w:space="0"/>
            </w:tcBorders>
            <w:shd w:val="clear" w:color="auto" w:fill="auto"/>
            <w:vAlign w:val="center"/>
          </w:tcPr>
          <w:p w14:paraId="188B3FAA">
            <w:pPr>
              <w:spacing w:line="300" w:lineRule="auto"/>
              <w:jc w:val="center"/>
              <w:rPr>
                <w:rFonts w:ascii="黑体" w:hAnsi="黑体" w:eastAsia="黑体" w:cs="宋体"/>
                <w:color w:val="auto"/>
                <w:szCs w:val="24"/>
              </w:rPr>
            </w:pPr>
            <w:r>
              <w:rPr>
                <w:rFonts w:hint="eastAsia" w:ascii="黑体" w:hAnsi="黑体" w:eastAsia="黑体"/>
                <w:color w:val="auto"/>
              </w:rPr>
              <w:t>－</w:t>
            </w:r>
          </w:p>
        </w:tc>
      </w:tr>
      <w:tr w14:paraId="7E449813">
        <w:tblPrEx>
          <w:tblCellMar>
            <w:top w:w="0" w:type="dxa"/>
            <w:left w:w="108" w:type="dxa"/>
            <w:bottom w:w="0" w:type="dxa"/>
            <w:right w:w="108" w:type="dxa"/>
          </w:tblCellMar>
        </w:tblPrEx>
        <w:trPr>
          <w:trHeight w:val="525" w:hRule="atLeast"/>
          <w:jc w:val="center"/>
        </w:trPr>
        <w:tc>
          <w:tcPr>
            <w:tcW w:w="3649" w:type="dxa"/>
            <w:tcBorders>
              <w:top w:val="single" w:color="auto" w:sz="4" w:space="0"/>
              <w:left w:val="single" w:color="auto" w:sz="4" w:space="0"/>
              <w:bottom w:val="single" w:color="auto" w:sz="4" w:space="0"/>
              <w:right w:val="single" w:color="auto" w:sz="4" w:space="0"/>
            </w:tcBorders>
            <w:shd w:val="clear" w:color="auto" w:fill="auto"/>
            <w:vAlign w:val="center"/>
          </w:tcPr>
          <w:p w14:paraId="3947B91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公共服务用途熟地价</w:t>
            </w:r>
          </w:p>
        </w:tc>
        <w:tc>
          <w:tcPr>
            <w:tcW w:w="1728" w:type="dxa"/>
            <w:tcBorders>
              <w:top w:val="single" w:color="auto" w:sz="4" w:space="0"/>
              <w:left w:val="nil"/>
              <w:bottom w:val="single" w:color="auto" w:sz="4" w:space="0"/>
              <w:right w:val="single" w:color="auto" w:sz="4" w:space="0"/>
            </w:tcBorders>
            <w:shd w:val="clear" w:color="auto" w:fill="auto"/>
            <w:vAlign w:val="center"/>
          </w:tcPr>
          <w:p w14:paraId="5F20BD50">
            <w:pPr>
              <w:spacing w:line="300" w:lineRule="auto"/>
              <w:jc w:val="center"/>
              <w:rPr>
                <w:rFonts w:ascii="黑体" w:hAnsi="黑体" w:eastAsia="黑体" w:cs="宋体"/>
                <w:color w:val="auto"/>
                <w:szCs w:val="24"/>
              </w:rPr>
            </w:pPr>
            <w:r>
              <w:rPr>
                <w:rFonts w:hint="eastAsia" w:ascii="黑体" w:hAnsi="黑体" w:eastAsia="黑体" w:cs="宋体"/>
                <w:color w:val="auto"/>
                <w:szCs w:val="24"/>
              </w:rPr>
              <w:t>3249</w:t>
            </w:r>
          </w:p>
        </w:tc>
        <w:tc>
          <w:tcPr>
            <w:tcW w:w="1932" w:type="dxa"/>
            <w:tcBorders>
              <w:top w:val="single" w:color="auto" w:sz="4" w:space="0"/>
              <w:left w:val="nil"/>
              <w:bottom w:val="single" w:color="auto" w:sz="4" w:space="0"/>
              <w:right w:val="single" w:color="auto" w:sz="4" w:space="0"/>
            </w:tcBorders>
            <w:shd w:val="clear" w:color="auto" w:fill="auto"/>
            <w:vAlign w:val="center"/>
          </w:tcPr>
          <w:p w14:paraId="7ECF328C">
            <w:pPr>
              <w:spacing w:line="300" w:lineRule="auto"/>
              <w:jc w:val="center"/>
              <w:rPr>
                <w:rFonts w:ascii="黑体" w:hAnsi="黑体" w:eastAsia="黑体"/>
                <w:color w:val="auto"/>
              </w:rPr>
            </w:pPr>
            <w:r>
              <w:rPr>
                <w:rFonts w:hint="eastAsia" w:ascii="黑体" w:hAnsi="黑体" w:eastAsia="黑体"/>
                <w:color w:val="auto"/>
              </w:rPr>
              <w:t>－</w:t>
            </w:r>
          </w:p>
        </w:tc>
        <w:tc>
          <w:tcPr>
            <w:tcW w:w="1763" w:type="dxa"/>
            <w:tcBorders>
              <w:top w:val="single" w:color="auto" w:sz="4" w:space="0"/>
              <w:left w:val="nil"/>
              <w:bottom w:val="single" w:color="auto" w:sz="4" w:space="0"/>
              <w:right w:val="single" w:color="auto" w:sz="4" w:space="0"/>
            </w:tcBorders>
            <w:shd w:val="clear" w:color="auto" w:fill="auto"/>
            <w:vAlign w:val="center"/>
          </w:tcPr>
          <w:p w14:paraId="08AE61DB">
            <w:pPr>
              <w:spacing w:line="300" w:lineRule="auto"/>
              <w:jc w:val="center"/>
              <w:rPr>
                <w:rFonts w:ascii="黑体" w:hAnsi="黑体" w:eastAsia="黑体" w:cs="宋体"/>
                <w:color w:val="auto"/>
                <w:szCs w:val="24"/>
              </w:rPr>
            </w:pPr>
            <w:r>
              <w:rPr>
                <w:rFonts w:hint="eastAsia" w:ascii="黑体" w:hAnsi="黑体" w:eastAsia="黑体"/>
                <w:color w:val="auto"/>
              </w:rPr>
              <w:t>－</w:t>
            </w:r>
          </w:p>
        </w:tc>
      </w:tr>
      <w:tr w14:paraId="61CD6659">
        <w:tblPrEx>
          <w:tblCellMar>
            <w:top w:w="0" w:type="dxa"/>
            <w:left w:w="108" w:type="dxa"/>
            <w:bottom w:w="0" w:type="dxa"/>
            <w:right w:w="108" w:type="dxa"/>
          </w:tblCellMar>
        </w:tblPrEx>
        <w:trPr>
          <w:trHeight w:val="525" w:hRule="atLeast"/>
          <w:jc w:val="center"/>
        </w:trPr>
        <w:tc>
          <w:tcPr>
            <w:tcW w:w="3649" w:type="dxa"/>
            <w:tcBorders>
              <w:top w:val="single" w:color="auto" w:sz="4" w:space="0"/>
              <w:left w:val="single" w:color="auto" w:sz="4" w:space="0"/>
              <w:bottom w:val="single" w:color="auto" w:sz="4" w:space="0"/>
              <w:right w:val="single" w:color="auto" w:sz="4" w:space="0"/>
            </w:tcBorders>
            <w:shd w:val="clear" w:color="auto" w:fill="auto"/>
            <w:vAlign w:val="center"/>
          </w:tcPr>
          <w:p w14:paraId="6F716E2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小计</w:t>
            </w:r>
          </w:p>
        </w:tc>
        <w:tc>
          <w:tcPr>
            <w:tcW w:w="1728" w:type="dxa"/>
            <w:tcBorders>
              <w:top w:val="single" w:color="auto" w:sz="4" w:space="0"/>
              <w:left w:val="nil"/>
              <w:bottom w:val="single" w:color="auto" w:sz="4" w:space="0"/>
              <w:right w:val="single" w:color="auto" w:sz="4" w:space="0"/>
            </w:tcBorders>
            <w:shd w:val="clear" w:color="auto" w:fill="auto"/>
            <w:vAlign w:val="center"/>
          </w:tcPr>
          <w:p w14:paraId="1455E16D">
            <w:pPr>
              <w:spacing w:line="300" w:lineRule="auto"/>
              <w:jc w:val="center"/>
              <w:rPr>
                <w:rFonts w:ascii="黑体" w:hAnsi="黑体" w:eastAsia="黑体"/>
                <w:color w:val="auto"/>
              </w:rPr>
            </w:pPr>
            <w:r>
              <w:rPr>
                <w:rFonts w:hint="eastAsia" w:ascii="黑体" w:hAnsi="黑体" w:eastAsia="黑体"/>
                <w:color w:val="auto"/>
              </w:rPr>
              <w:t>－</w:t>
            </w:r>
          </w:p>
        </w:tc>
        <w:tc>
          <w:tcPr>
            <w:tcW w:w="1932" w:type="dxa"/>
            <w:tcBorders>
              <w:top w:val="single" w:color="auto" w:sz="4" w:space="0"/>
              <w:left w:val="nil"/>
              <w:bottom w:val="single" w:color="auto" w:sz="4" w:space="0"/>
              <w:right w:val="single" w:color="auto" w:sz="4" w:space="0"/>
            </w:tcBorders>
            <w:shd w:val="clear" w:color="auto" w:fill="auto"/>
            <w:vAlign w:val="center"/>
          </w:tcPr>
          <w:p w14:paraId="10BC2680">
            <w:pPr>
              <w:spacing w:line="300" w:lineRule="auto"/>
              <w:jc w:val="center"/>
              <w:rPr>
                <w:rFonts w:ascii="黑体" w:hAnsi="黑体" w:eastAsia="黑体"/>
                <w:color w:val="auto"/>
              </w:rPr>
            </w:pPr>
            <w:r>
              <w:rPr>
                <w:rFonts w:hint="eastAsia" w:ascii="黑体" w:hAnsi="黑体" w:eastAsia="黑体"/>
                <w:color w:val="auto"/>
              </w:rPr>
              <w:t>68148.54</w:t>
            </w:r>
          </w:p>
        </w:tc>
        <w:tc>
          <w:tcPr>
            <w:tcW w:w="1763" w:type="dxa"/>
            <w:tcBorders>
              <w:top w:val="single" w:color="auto" w:sz="4" w:space="0"/>
              <w:left w:val="nil"/>
              <w:bottom w:val="single" w:color="auto" w:sz="4" w:space="0"/>
              <w:right w:val="single" w:color="auto" w:sz="4" w:space="0"/>
            </w:tcBorders>
            <w:shd w:val="clear" w:color="auto" w:fill="auto"/>
            <w:vAlign w:val="center"/>
          </w:tcPr>
          <w:p w14:paraId="071F1CA9">
            <w:pPr>
              <w:spacing w:line="300" w:lineRule="auto"/>
              <w:jc w:val="center"/>
              <w:rPr>
                <w:rFonts w:ascii="黑体" w:hAnsi="黑体" w:eastAsia="黑体"/>
                <w:color w:val="auto"/>
              </w:rPr>
            </w:pPr>
            <w:r>
              <w:rPr>
                <w:rFonts w:hint="eastAsia" w:ascii="黑体" w:hAnsi="黑体" w:eastAsia="黑体"/>
                <w:color w:val="auto"/>
              </w:rPr>
              <w:t>74568.1325</w:t>
            </w:r>
            <w:r>
              <w:rPr>
                <w:rFonts w:ascii="黑体" w:hAnsi="黑体" w:eastAsia="黑体"/>
                <w:color w:val="auto"/>
              </w:rPr>
              <w:t xml:space="preserve"> </w:t>
            </w:r>
          </w:p>
        </w:tc>
      </w:tr>
    </w:tbl>
    <w:p w14:paraId="6227BD44">
      <w:pPr>
        <w:rPr>
          <w:rFonts w:ascii="Arial" w:hAnsi="Arial" w:eastAsia="仿宋_GB2312" w:cs="Arial"/>
          <w:b/>
          <w:color w:val="auto"/>
          <w:kern w:val="2"/>
          <w:sz w:val="28"/>
        </w:rPr>
      </w:pPr>
      <w:r>
        <w:rPr>
          <w:rFonts w:hint="eastAsia" w:ascii="Arial" w:hAnsi="Arial" w:eastAsia="仿宋_GB2312" w:cs="Arial"/>
          <w:b/>
          <w:color w:val="auto"/>
          <w:kern w:val="2"/>
          <w:sz w:val="28"/>
        </w:rPr>
        <w:br w:type="page"/>
      </w:r>
    </w:p>
    <w:p w14:paraId="09FFE3C4">
      <w:pPr>
        <w:snapToGrid w:val="0"/>
        <w:spacing w:before="240" w:beforeLines="100" w:line="288" w:lineRule="auto"/>
        <w:rPr>
          <w:rFonts w:ascii="Arial" w:hAnsi="Arial" w:eastAsia="仿宋_GB2312" w:cs="Arial"/>
          <w:b/>
          <w:color w:val="auto"/>
          <w:kern w:val="2"/>
          <w:sz w:val="28"/>
        </w:rPr>
      </w:pPr>
      <w:r>
        <w:rPr>
          <w:rFonts w:hint="eastAsia" w:ascii="Arial" w:hAnsi="Arial" w:eastAsia="仿宋_GB2312" w:cs="Arial"/>
          <w:b/>
          <w:color w:val="auto"/>
          <w:kern w:val="2"/>
          <w:sz w:val="28"/>
        </w:rPr>
        <w:t>出让底价建议：</w:t>
      </w:r>
    </w:p>
    <w:p w14:paraId="3DACBC65">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1.估价方法适用性及评估结果可信度分析</w:t>
      </w:r>
    </w:p>
    <w:p w14:paraId="225D14E9">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 xml:space="preserve"> （1）估价方法适用性</w:t>
      </w:r>
    </w:p>
    <w:p w14:paraId="4AA13C42">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根据《城镇土地估价规程》（以下简称《规程》），地价估价方法有 市场比较法、收益还原法、剩余法、成本逼近法、基准地价系数修正法等。 估价方法的选择应按照《规程》的要求，并依照原国土资源部办公厅关于 发布《国有建设用地使用权出让地价评估技术规范》的通知（国土资厅发 〔2018〕4号）、</w:t>
      </w:r>
      <w:r>
        <w:rPr>
          <w:rFonts w:hint="eastAsia" w:ascii="Arial" w:hAnsi="Arial" w:eastAsia="仿宋" w:cs="Arial"/>
          <w:color w:val="auto"/>
          <w:sz w:val="28"/>
          <w:lang w:eastAsia="zh-CN"/>
        </w:rPr>
        <w:t>《北京市国有建设用地使用权出让地价评估技术导则》（2026年2月10日实施）</w:t>
      </w:r>
      <w:r>
        <w:rPr>
          <w:rFonts w:ascii="Arial" w:hAnsi="Arial" w:eastAsia="仿宋" w:cs="Arial"/>
          <w:color w:val="auto"/>
          <w:sz w:val="28"/>
        </w:rPr>
        <w:t>中规定，出让地价评估，应至少采用两种评估方法，且成本逼近法和基准地价系数修正法选择其一，市场比较法、剩余法、收益还原法选择其一。其中城镇住宅用地、商服类用地宜在成本逼近法和基准地价系数修正法二选一时，优先选用基准地价系数修正法，慎选成本逼近法，在市场比较法、剩余法、收益还原法三选一时，优先选用剩余法，其次选择市场比较法、收益还原法。公共管理与公共服务用地和交通运输用地价格，宜在</w:t>
      </w:r>
      <w:r>
        <w:rPr>
          <w:rFonts w:hint="eastAsia" w:ascii="Arial" w:hAnsi="Arial" w:eastAsia="仿宋" w:cs="Arial"/>
          <w:color w:val="auto"/>
          <w:sz w:val="28"/>
        </w:rPr>
        <w:t>“</w:t>
      </w:r>
      <w:r>
        <w:rPr>
          <w:rFonts w:ascii="Arial" w:hAnsi="Arial" w:eastAsia="仿宋" w:cs="Arial"/>
          <w:color w:val="auto"/>
          <w:sz w:val="28"/>
        </w:rPr>
        <w:t>二选一</w:t>
      </w:r>
      <w:r>
        <w:rPr>
          <w:rFonts w:hint="eastAsia" w:ascii="Arial" w:hAnsi="Arial" w:eastAsia="仿宋" w:cs="Arial"/>
          <w:color w:val="auto"/>
          <w:sz w:val="28"/>
        </w:rPr>
        <w:t>”</w:t>
      </w:r>
      <w:r>
        <w:rPr>
          <w:rFonts w:ascii="Arial" w:hAnsi="Arial" w:eastAsia="仿宋" w:cs="Arial"/>
          <w:color w:val="auto"/>
          <w:sz w:val="28"/>
        </w:rPr>
        <w:t>时，优先选择基准地价系数修正法，慎选成本逼近法</w:t>
      </w:r>
      <w:r>
        <w:rPr>
          <w:rFonts w:hint="eastAsia" w:ascii="Arial" w:hAnsi="Arial" w:eastAsia="仿宋" w:cs="Arial"/>
          <w:color w:val="auto"/>
          <w:sz w:val="28"/>
        </w:rPr>
        <w:t>；</w:t>
      </w:r>
      <w:r>
        <w:rPr>
          <w:rFonts w:ascii="Arial" w:hAnsi="Arial" w:eastAsia="仿宋" w:cs="Arial"/>
          <w:color w:val="auto"/>
          <w:sz w:val="28"/>
        </w:rPr>
        <w:t>在</w:t>
      </w:r>
      <w:r>
        <w:rPr>
          <w:rFonts w:hint="eastAsia" w:ascii="Arial" w:hAnsi="Arial" w:eastAsia="仿宋" w:cs="Arial"/>
          <w:color w:val="auto"/>
          <w:sz w:val="28"/>
        </w:rPr>
        <w:t>“</w:t>
      </w:r>
      <w:r>
        <w:rPr>
          <w:rFonts w:ascii="Arial" w:hAnsi="Arial" w:eastAsia="仿宋" w:cs="Arial"/>
          <w:color w:val="auto"/>
          <w:sz w:val="28"/>
        </w:rPr>
        <w:t>三选一</w:t>
      </w:r>
      <w:r>
        <w:rPr>
          <w:rFonts w:hint="eastAsia" w:ascii="Arial" w:hAnsi="Arial" w:eastAsia="仿宋" w:cs="Arial"/>
          <w:color w:val="auto"/>
          <w:sz w:val="28"/>
        </w:rPr>
        <w:t>”</w:t>
      </w:r>
      <w:r>
        <w:rPr>
          <w:rFonts w:ascii="Arial" w:hAnsi="Arial" w:eastAsia="仿宋" w:cs="Arial"/>
          <w:color w:val="auto"/>
          <w:sz w:val="28"/>
        </w:rPr>
        <w:t>时，优先选择市场比较法，如缺少市场可比案例，可酌情选用剩余法、收益还原法。</w:t>
      </w:r>
    </w:p>
    <w:p w14:paraId="108AC53F">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 xml:space="preserve">本次估价为土地出让价格评估，估价目的为出让方通过集体决策确定土地出让底价提供参考依据，根据估价对象当地地产市场情况，并根据估价对象的具体特点和估价目的，本次评估选择采用基准地价系数修正法、剩余法评估得出估价对象出让土地使用权价格，方法应用符合相关政策、标准要求。 </w:t>
      </w:r>
    </w:p>
    <w:p w14:paraId="21D22177">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（2）评估结果可信度分析</w:t>
      </w:r>
    </w:p>
    <w:p w14:paraId="496C620D">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1）基准地价系数修正法</w:t>
      </w:r>
    </w:p>
    <w:p w14:paraId="6A52B2E1">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首先</w:t>
      </w:r>
      <w:r>
        <w:rPr>
          <w:rFonts w:hint="eastAsia" w:ascii="Arial" w:hAnsi="Arial" w:eastAsia="仿宋" w:cs="Arial"/>
          <w:color w:val="auto"/>
          <w:sz w:val="28"/>
        </w:rPr>
        <w:t>，</w:t>
      </w:r>
      <w:r>
        <w:rPr>
          <w:rFonts w:ascii="Arial" w:hAnsi="Arial" w:eastAsia="仿宋" w:cs="Arial"/>
          <w:color w:val="auto"/>
          <w:sz w:val="28"/>
        </w:rPr>
        <w:t>北京市人民政府于2022年3月14日发布了北京市基准地价更 新成果，基准地价基准期日为2021年1月1日。北京市基准地价更新成果作为政府公示价格，在现行土地估价实际工作中起着重要指导意义，是确定国有建设用地使用权出让价格审定、国有建设用地租赁租金审定、企业改制土地资产价格处置等依据之一。本次评估估价目的为出让方通过集体决策确定土地出让底价提供参考依据，其估价目的与基准地价系数修正法适用范围完全吻合。其次，估价对象位于</w:t>
      </w:r>
      <w:r>
        <w:rPr>
          <w:rFonts w:hint="eastAsia" w:ascii="Arial" w:hAnsi="Arial" w:eastAsia="仿宋" w:cs="Arial"/>
          <w:color w:val="auto"/>
          <w:sz w:val="28"/>
        </w:rPr>
        <w:t>顺义区高丽营镇</w:t>
      </w:r>
      <w:r>
        <w:rPr>
          <w:rFonts w:ascii="Arial" w:hAnsi="Arial" w:eastAsia="仿宋" w:cs="Arial"/>
          <w:color w:val="auto"/>
          <w:sz w:val="28"/>
        </w:rPr>
        <w:t>，属于北京市基准地价覆盖范围内，可直观获取基准地价系数修正法所需评估参数，基准地价基准期日（2021年1月1日）距本次估价期日时间虽超过五年，但可通过北京市地价动态监测成果公布的地价指数进行修正以确保在客观市场的适用度，且本次估价在已完成更新的基准地价成果基础上，根据估价对象所在区域实际情况及特点，进行相应因素修正得出基准地价</w:t>
      </w:r>
      <w:r>
        <w:rPr>
          <w:rFonts w:hint="eastAsia" w:ascii="Arial" w:hAnsi="Arial" w:eastAsia="仿宋" w:cs="Arial"/>
          <w:color w:val="auto"/>
          <w:sz w:val="28"/>
        </w:rPr>
        <w:t>系数修正</w:t>
      </w:r>
      <w:r>
        <w:rPr>
          <w:rFonts w:ascii="Arial" w:hAnsi="Arial" w:eastAsia="仿宋" w:cs="Arial"/>
          <w:color w:val="auto"/>
          <w:sz w:val="28"/>
        </w:rPr>
        <w:t>法结果，其估价结果具有参考性。</w:t>
      </w:r>
    </w:p>
    <w:p w14:paraId="5779C2F4">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2）剩余法</w:t>
      </w:r>
    </w:p>
    <w:p w14:paraId="49257652">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剩余法是在预计开发完成后不动产正常交易价格的基础上，扣除预计 的正常开发成本及有关专业费用、利息、利润和税收等，以价格余额来估 算待估土地价格的方法。</w:t>
      </w:r>
    </w:p>
    <w:p w14:paraId="313248C2">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估价对象属于待开发的项目，规划指标明确，符合城市规划要求，与周边环境相协调</w:t>
      </w:r>
      <w:r>
        <w:rPr>
          <w:rFonts w:hint="eastAsia" w:ascii="Arial" w:hAnsi="Arial" w:eastAsia="仿宋" w:cs="Arial"/>
          <w:color w:val="auto"/>
          <w:sz w:val="28"/>
        </w:rPr>
        <w:t>；</w:t>
      </w:r>
      <w:r>
        <w:rPr>
          <w:rFonts w:ascii="Arial" w:hAnsi="Arial" w:eastAsia="仿宋" w:cs="Arial"/>
          <w:color w:val="auto"/>
          <w:sz w:val="28"/>
        </w:rPr>
        <w:t>估价对象作为</w:t>
      </w:r>
      <w:r>
        <w:rPr>
          <w:rFonts w:hint="eastAsia" w:ascii="Arial" w:hAnsi="Arial" w:eastAsia="仿宋" w:cs="Arial"/>
          <w:color w:val="auto"/>
          <w:sz w:val="28"/>
        </w:rPr>
        <w:t>R2二类居住用地、A334托幼用地</w:t>
      </w:r>
      <w:r>
        <w:rPr>
          <w:rFonts w:ascii="Arial" w:hAnsi="Arial" w:eastAsia="仿宋" w:cs="Arial"/>
          <w:color w:val="auto"/>
          <w:sz w:val="28"/>
        </w:rPr>
        <w:t>属于该宗地土地的最佳利用（最有效利用），且本次评估所需的数据资料和参数都是可以获取和确定的，符合剩余法使用范围。估价人员根据估价目的、遵循估价原则、按照估价工作程序、利用科学的估价方法，在认真分析现有资料的基础上，经过周密的测算，并结合估价经验详细考虑了影响土地价格的各项因素确定的估价结果是科学可信的。</w:t>
      </w:r>
    </w:p>
    <w:p w14:paraId="09DD364A">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w:t>
      </w:r>
      <w:r>
        <w:rPr>
          <w:rFonts w:hint="eastAsia" w:ascii="Arial" w:hAnsi="Arial" w:eastAsia="仿宋" w:cs="Arial"/>
          <w:b/>
          <w:bCs/>
          <w:color w:val="auto"/>
          <w:sz w:val="28"/>
        </w:rPr>
        <w:t>.</w:t>
      </w:r>
      <w:r>
        <w:rPr>
          <w:rFonts w:ascii="Arial" w:hAnsi="Arial" w:eastAsia="仿宋" w:cs="Arial"/>
          <w:b/>
          <w:bCs/>
          <w:color w:val="auto"/>
          <w:sz w:val="28"/>
        </w:rPr>
        <w:t>评估熟地价与级别基准地价的70%比较分析</w:t>
      </w:r>
    </w:p>
    <w:p w14:paraId="1F9137E3">
      <w:pPr>
        <w:snapToGrid w:val="0"/>
        <w:spacing w:before="120" w:beforeLines="50" w:line="288" w:lineRule="auto"/>
        <w:ind w:firstLine="560" w:firstLineChars="200"/>
        <w:jc w:val="both"/>
        <w:rPr>
          <w:rFonts w:ascii="Arial" w:hAnsi="Arial" w:eastAsia="仿宋" w:cs="Arial"/>
          <w:color w:val="auto"/>
          <w:sz w:val="28"/>
        </w:rPr>
      </w:pPr>
      <w:r>
        <w:rPr>
          <w:rFonts w:hint="eastAsia" w:ascii="Arial" w:hAnsi="Arial" w:eastAsia="仿宋" w:cs="Arial"/>
          <w:color w:val="auto"/>
          <w:sz w:val="28"/>
        </w:rPr>
        <w:t>根据国土资源部办公厅《关于印发&lt;国有建设用地使用权出让底价评估技术规范&gt;的通知》（国土资厅发（2018）4号）文中相关规定：对应当实行有偿使用，且可以不采用招标拍卖挂牌方式出让的。应按本规范评估其在设定开发建设条件下的正常市场价格，并提出建议的出让底价。同时还应在土地估价报告中测算并对比说明该建议出让底价是否符合当地的协议出让最低价标准。</w:t>
      </w:r>
    </w:p>
    <w:p w14:paraId="41A6F290">
      <w:pPr>
        <w:snapToGrid w:val="0"/>
        <w:spacing w:before="120" w:beforeLines="50" w:line="288" w:lineRule="auto"/>
        <w:ind w:firstLine="560" w:firstLineChars="200"/>
        <w:jc w:val="both"/>
        <w:rPr>
          <w:rFonts w:ascii="Arial" w:hAnsi="Arial" w:eastAsia="仿宋" w:cs="Arial"/>
          <w:b/>
          <w:bCs/>
          <w:color w:val="auto"/>
          <w:sz w:val="28"/>
        </w:rPr>
      </w:pPr>
      <w:r>
        <w:rPr>
          <w:rFonts w:ascii="Arial" w:hAnsi="Arial" w:eastAsia="仿宋" w:cs="Arial"/>
          <w:color w:val="auto"/>
          <w:sz w:val="28"/>
        </w:rPr>
        <w:t>根据《北京市国有建设用地使用权出让地价评估技术导则》 （</w:t>
      </w:r>
      <w:r>
        <w:rPr>
          <w:rFonts w:hint="eastAsia" w:ascii="Arial" w:hAnsi="Arial" w:eastAsia="仿宋" w:cs="Arial"/>
          <w:color w:val="auto"/>
          <w:sz w:val="28"/>
        </w:rPr>
        <w:t>2026年2月10日实施</w:t>
      </w:r>
      <w:r>
        <w:rPr>
          <w:rFonts w:ascii="Arial" w:hAnsi="Arial" w:eastAsia="仿宋" w:cs="Arial"/>
          <w:color w:val="auto"/>
          <w:sz w:val="28"/>
        </w:rPr>
        <w:t>），</w:t>
      </w:r>
      <w:r>
        <w:rPr>
          <w:rFonts w:hint="eastAsia" w:ascii="Arial" w:hAnsi="Arial" w:eastAsia="仿宋" w:cs="Arial"/>
          <w:color w:val="auto"/>
          <w:sz w:val="28"/>
        </w:rPr>
        <w:t>“本市出让最低价标准：地上、地下国有建设用地使用权出让地价水平不得低于该宗地所在级别基准地价经除因素修正以外的其他因素修正后的70%”</w:t>
      </w:r>
      <w:r>
        <w:rPr>
          <w:rFonts w:ascii="Arial" w:hAnsi="Arial" w:eastAsia="仿宋" w:cs="Arial"/>
          <w:color w:val="auto"/>
          <w:sz w:val="28"/>
        </w:rPr>
        <w:t>；同时《协议出让国有土地使用权规定》（中华人民共和国国土资源部21号令，2003年8月1日实施）规定，</w:t>
      </w:r>
      <w:r>
        <w:rPr>
          <w:rFonts w:hint="eastAsia" w:ascii="Arial" w:hAnsi="Arial" w:eastAsia="仿宋" w:cs="Arial"/>
          <w:color w:val="auto"/>
          <w:sz w:val="28"/>
        </w:rPr>
        <w:t>“</w:t>
      </w:r>
      <w:r>
        <w:rPr>
          <w:rFonts w:ascii="Arial" w:hAnsi="Arial" w:eastAsia="仿宋" w:cs="Arial"/>
          <w:color w:val="auto"/>
          <w:sz w:val="28"/>
        </w:rPr>
        <w:t>有基准地价的地区，协议出让最低价不得低于出让地块所在级别基准地价的70%。</w:t>
      </w:r>
      <w:r>
        <w:rPr>
          <w:rFonts w:hint="eastAsia" w:ascii="Arial" w:hAnsi="Arial" w:eastAsia="仿宋" w:cs="Arial"/>
          <w:color w:val="auto"/>
          <w:sz w:val="28"/>
        </w:rPr>
        <w:t>”</w:t>
      </w:r>
      <w:r>
        <w:rPr>
          <w:rFonts w:ascii="Arial" w:hAnsi="Arial" w:eastAsia="仿宋" w:cs="Arial"/>
          <w:color w:val="auto"/>
          <w:sz w:val="28"/>
        </w:rPr>
        <w:t>北京市已公布基准地价，未公布协议出让最低价标准， 因此，本次估价将熟地价与</w:t>
      </w:r>
      <w:r>
        <w:rPr>
          <w:rFonts w:hint="eastAsia" w:ascii="Arial" w:hAnsi="Arial" w:eastAsia="仿宋" w:cs="Arial"/>
          <w:color w:val="auto"/>
          <w:sz w:val="28"/>
        </w:rPr>
        <w:t>所在级别基准地价经除因素修正以外的其他因素修正后的70%</w:t>
      </w:r>
      <w:r>
        <w:rPr>
          <w:rFonts w:ascii="Arial" w:hAnsi="Arial" w:eastAsia="仿宋" w:cs="Arial"/>
          <w:color w:val="auto"/>
          <w:sz w:val="28"/>
        </w:rPr>
        <w:t>进行对比分析。</w:t>
      </w:r>
    </w:p>
    <w:p w14:paraId="73083921">
      <w:pPr>
        <w:snapToGrid w:val="0"/>
        <w:spacing w:before="120" w:beforeLines="50" w:line="288" w:lineRule="auto"/>
        <w:ind w:firstLine="562" w:firstLineChars="200"/>
        <w:jc w:val="both"/>
        <w:rPr>
          <w:rFonts w:ascii="Arial" w:hAnsi="Arial" w:eastAsia="仿宋" w:cs="Arial"/>
          <w:b/>
          <w:bCs/>
          <w:color w:val="auto"/>
          <w:sz w:val="28"/>
        </w:rPr>
      </w:pPr>
      <w:r>
        <w:rPr>
          <w:rFonts w:hint="eastAsia" w:ascii="Arial" w:hAnsi="Arial" w:eastAsia="仿宋" w:cs="Arial"/>
          <w:b/>
          <w:bCs/>
          <w:color w:val="auto"/>
          <w:sz w:val="28"/>
        </w:rPr>
        <w:t>估价对象所在地区属于北京市基准地价住宅、商业、公共服务类九级地价区，具体计算公式如下:</w:t>
      </w:r>
    </w:p>
    <w:p w14:paraId="56973A0C">
      <w:pPr>
        <w:snapToGrid w:val="0"/>
        <w:spacing w:before="120" w:beforeLines="50" w:line="288" w:lineRule="auto"/>
        <w:ind w:firstLine="560" w:firstLineChars="200"/>
        <w:rPr>
          <w:rFonts w:ascii="Arial" w:hAnsi="Arial" w:eastAsia="仿宋" w:cs="Arial"/>
          <w:color w:val="auto"/>
          <w:sz w:val="28"/>
        </w:rPr>
      </w:pPr>
      <w:r>
        <w:rPr>
          <w:rFonts w:hint="eastAsia" w:ascii="Arial" w:hAnsi="Arial" w:eastAsia="仿宋" w:cs="Arial"/>
          <w:color w:val="auto"/>
          <w:sz w:val="28"/>
        </w:rPr>
        <w:t>楼面地价（所在级别基准地价经除因素修正以外的其他因素修正后的70%）＝适用的基准地价×用途修正系数×期日修正系数×年期修正系数×容积率修正系数×70%</w:t>
      </w:r>
    </w:p>
    <w:p w14:paraId="0ED987C0">
      <w:pPr>
        <w:snapToGrid w:val="0"/>
        <w:spacing w:before="120" w:beforeLines="50" w:line="288" w:lineRule="auto"/>
        <w:ind w:firstLine="560" w:firstLineChars="200"/>
        <w:rPr>
          <w:rFonts w:ascii="Arial" w:hAnsi="Arial" w:eastAsia="仿宋" w:cs="Arial"/>
          <w:color w:val="auto"/>
          <w:sz w:val="28"/>
        </w:rPr>
      </w:pPr>
      <w:r>
        <w:rPr>
          <w:rFonts w:hint="eastAsia" w:ascii="Arial" w:hAnsi="Arial" w:eastAsia="仿宋" w:cs="Arial"/>
          <w:color w:val="auto"/>
          <w:sz w:val="28"/>
        </w:rPr>
        <w:t>各用途估价结果详见下表:</w:t>
      </w:r>
    </w:p>
    <w:tbl>
      <w:tblPr>
        <w:tblStyle w:val="34"/>
        <w:tblW w:w="0" w:type="auto"/>
        <w:tblInd w:w="96" w:type="dxa"/>
        <w:tblLayout w:type="autofit"/>
        <w:tblCellMar>
          <w:top w:w="0" w:type="dxa"/>
          <w:left w:w="108" w:type="dxa"/>
          <w:bottom w:w="0" w:type="dxa"/>
          <w:right w:w="108" w:type="dxa"/>
        </w:tblCellMar>
      </w:tblPr>
      <w:tblGrid>
        <w:gridCol w:w="696"/>
        <w:gridCol w:w="2220"/>
        <w:gridCol w:w="2050"/>
        <w:gridCol w:w="1964"/>
        <w:gridCol w:w="2106"/>
      </w:tblGrid>
      <w:tr w14:paraId="43887B9F">
        <w:tblPrEx>
          <w:tblCellMar>
            <w:top w:w="0" w:type="dxa"/>
            <w:left w:w="108" w:type="dxa"/>
            <w:bottom w:w="0" w:type="dxa"/>
            <w:right w:w="108" w:type="dxa"/>
          </w:tblCellMar>
        </w:tblPrEx>
        <w:trPr>
          <w:trHeight w:val="864"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7DEAAA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序号</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F06D4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项目名称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D265A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住宅</w:t>
            </w:r>
          </w:p>
          <w:p w14:paraId="6B92E5B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0520D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商业</w:t>
            </w:r>
          </w:p>
          <w:p w14:paraId="7D8FE46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6C82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公共服务</w:t>
            </w:r>
          </w:p>
          <w:p w14:paraId="7B9F99B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r>
      <w:tr w14:paraId="1BA81368">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CFEEF9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185CB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级别基准地价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26DD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6160</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73646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5320</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4A86B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3170</w:t>
            </w:r>
          </w:p>
        </w:tc>
      </w:tr>
      <w:tr w14:paraId="7E3E99C8">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5B313D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27CE1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开发程度修正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AE4CA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46.67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7421F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9B5D3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46.67</w:t>
            </w:r>
          </w:p>
        </w:tc>
      </w:tr>
      <w:tr w14:paraId="64ECE3F0">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210821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9AAD2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自持限制修正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E5F9D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2EE98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4413B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6AEC952D">
        <w:tblPrEx>
          <w:tblCellMar>
            <w:top w:w="0" w:type="dxa"/>
            <w:left w:w="108" w:type="dxa"/>
            <w:bottom w:w="0" w:type="dxa"/>
            <w:right w:w="108" w:type="dxa"/>
          </w:tblCellMar>
        </w:tblPrEx>
        <w:trPr>
          <w:trHeight w:val="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8F4818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C00FD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特殊情况修正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0760F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1.05</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2D42A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ABBAF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47716CD8">
        <w:tblPrEx>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47D4DD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37363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用途修正系数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172EF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E5822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B002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580BAE98">
        <w:tblPrEx>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B032CC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312D1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期日修正系数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92B1D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1.0049</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8AD1E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0.9723</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B6EAC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0.9388</w:t>
            </w:r>
          </w:p>
        </w:tc>
      </w:tr>
      <w:tr w14:paraId="561C551C">
        <w:tblPrEx>
          <w:tblCellMar>
            <w:top w:w="0" w:type="dxa"/>
            <w:left w:w="108" w:type="dxa"/>
            <w:bottom w:w="0" w:type="dxa"/>
            <w:right w:w="108" w:type="dxa"/>
          </w:tblCellMar>
        </w:tblPrEx>
        <w:trPr>
          <w:trHeight w:val="38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17F60E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B041B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年期修正系数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AEC42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596D0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A5B61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15E49D05">
        <w:tblPrEx>
          <w:tblCellMar>
            <w:top w:w="0" w:type="dxa"/>
            <w:left w:w="108" w:type="dxa"/>
            <w:bottom w:w="0" w:type="dxa"/>
            <w:right w:w="108" w:type="dxa"/>
          </w:tblCellMar>
        </w:tblPrEx>
        <w:trPr>
          <w:trHeight w:val="374"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7C8350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D8227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容积率修正系数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F45CD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1.0597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C72DC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1.1528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7E017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1.0678</w:t>
            </w:r>
          </w:p>
        </w:tc>
      </w:tr>
      <w:tr w14:paraId="5866BDA6">
        <w:tblPrEx>
          <w:tblCellMar>
            <w:top w:w="0" w:type="dxa"/>
            <w:left w:w="108" w:type="dxa"/>
            <w:bottom w:w="0" w:type="dxa"/>
            <w:right w:w="108" w:type="dxa"/>
          </w:tblCellMar>
        </w:tblPrEx>
        <w:trPr>
          <w:trHeight w:val="41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A18B53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F90D1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基准地价修正结果</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88DC0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6937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BD1C2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4802</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E50E8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3225</w:t>
            </w:r>
          </w:p>
        </w:tc>
      </w:tr>
      <w:tr w14:paraId="0C2C7682">
        <w:tblPrEx>
          <w:tblCellMar>
            <w:top w:w="0" w:type="dxa"/>
            <w:left w:w="108" w:type="dxa"/>
            <w:bottom w:w="0" w:type="dxa"/>
            <w:right w:w="108" w:type="dxa"/>
          </w:tblCellMar>
        </w:tblPrEx>
        <w:trPr>
          <w:trHeight w:val="8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3A7F1D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7</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0636F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级别基准地价修正结果的70%</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4C9E3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4856</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65B2E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3361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D4718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2258</w:t>
            </w:r>
          </w:p>
        </w:tc>
      </w:tr>
      <w:tr w14:paraId="6F250527">
        <w:tblPrEx>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FC95F0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8</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16A82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熟地价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B2D6C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10942</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BA23A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5295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BC7C2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3249</w:t>
            </w:r>
          </w:p>
        </w:tc>
      </w:tr>
    </w:tbl>
    <w:p w14:paraId="1A58E32E">
      <w:pPr>
        <w:snapToGrid w:val="0"/>
        <w:spacing w:before="120" w:beforeLines="50" w:line="288" w:lineRule="auto"/>
        <w:ind w:firstLine="560" w:firstLineChars="200"/>
        <w:jc w:val="both"/>
        <w:rPr>
          <w:rFonts w:ascii="Arial" w:hAnsi="Arial" w:eastAsia="仿宋" w:cs="Arial"/>
          <w:color w:val="auto"/>
          <w:sz w:val="28"/>
        </w:rPr>
      </w:pPr>
      <w:r>
        <w:rPr>
          <w:rFonts w:hint="eastAsia" w:ascii="Arial" w:hAnsi="Arial" w:eastAsia="仿宋" w:cs="Arial"/>
          <w:color w:val="auto"/>
          <w:sz w:val="28"/>
        </w:rPr>
        <w:t>经测算，本次估价求取估价对象各用途熟地价均高于协议出让最低价标准（所在级别基准地价经除因素修正以外的其他因素修正后的70%），因此建议该宗地以评估熟地价作为入市底价，即74568.1325万元，建议出让楼面地价为10942元/平方米（折合经营性建筑面积）。</w:t>
      </w:r>
    </w:p>
    <w:p w14:paraId="0F57C3DC">
      <w:pPr>
        <w:snapToGrid w:val="0"/>
        <w:spacing w:before="120" w:beforeLines="50" w:line="288" w:lineRule="auto"/>
        <w:ind w:firstLine="562" w:firstLineChars="200"/>
        <w:rPr>
          <w:rFonts w:ascii="Arial" w:hAnsi="Arial" w:eastAsia="仿宋" w:cs="Arial"/>
          <w:b/>
          <w:bCs/>
          <w:color w:val="auto"/>
          <w:sz w:val="28"/>
        </w:rPr>
      </w:pPr>
      <w:r>
        <w:rPr>
          <w:rFonts w:hint="eastAsia" w:ascii="Arial" w:hAnsi="Arial" w:eastAsia="仿宋" w:cs="Arial"/>
          <w:b/>
          <w:bCs/>
          <w:color w:val="auto"/>
          <w:sz w:val="28"/>
        </w:rPr>
        <w:t>建议出让底价：74568.1325万元</w:t>
      </w:r>
    </w:p>
    <w:p w14:paraId="303A5EED">
      <w:pPr>
        <w:snapToGrid w:val="0"/>
        <w:spacing w:before="120" w:beforeLines="50" w:line="288" w:lineRule="auto"/>
        <w:ind w:firstLine="562" w:firstLineChars="200"/>
        <w:rPr>
          <w:rFonts w:ascii="Arial" w:hAnsi="Arial" w:eastAsia="仿宋" w:cs="Arial"/>
          <w:b/>
          <w:bCs/>
          <w:color w:val="auto"/>
          <w:sz w:val="28"/>
        </w:rPr>
      </w:pPr>
      <w:r>
        <w:rPr>
          <w:rFonts w:hint="eastAsia" w:ascii="Arial" w:hAnsi="Arial" w:eastAsia="仿宋" w:cs="Arial"/>
          <w:b/>
          <w:bCs/>
          <w:color w:val="auto"/>
          <w:sz w:val="28"/>
        </w:rPr>
        <w:t>大写金额：柒亿肆仟伍佰陆拾捌万壹仟叁佰贰拾伍元整</w:t>
      </w:r>
    </w:p>
    <w:p w14:paraId="35E8501A">
      <w:pPr>
        <w:snapToGrid w:val="0"/>
        <w:spacing w:before="120" w:beforeLines="50" w:line="288" w:lineRule="auto"/>
        <w:ind w:firstLine="562" w:firstLineChars="200"/>
        <w:rPr>
          <w:rFonts w:ascii="Arial" w:hAnsi="Arial" w:eastAsia="仿宋" w:cs="Arial"/>
          <w:b/>
          <w:bCs/>
          <w:color w:val="auto"/>
          <w:sz w:val="28"/>
        </w:rPr>
      </w:pPr>
      <w:r>
        <w:rPr>
          <w:rFonts w:hint="eastAsia" w:ascii="Arial" w:hAnsi="Arial" w:eastAsia="仿宋" w:cs="Arial"/>
          <w:b/>
          <w:bCs/>
          <w:color w:val="auto"/>
          <w:sz w:val="28"/>
        </w:rPr>
        <w:t>折合经营性建筑面积楼面地价：10942元/平方米</w:t>
      </w:r>
    </w:p>
    <w:p w14:paraId="26BCAFEB">
      <w:pPr>
        <w:snapToGrid w:val="0"/>
        <w:spacing w:before="120" w:beforeLines="50" w:line="288" w:lineRule="auto"/>
        <w:ind w:firstLine="560" w:firstLineChars="200"/>
        <w:rPr>
          <w:rStyle w:val="37"/>
          <w:rFonts w:ascii="Arial" w:hAnsi="Arial" w:cs="Arial"/>
          <w:color w:val="auto"/>
        </w:rPr>
      </w:pPr>
      <w:r>
        <w:rPr>
          <w:rFonts w:hint="eastAsia" w:ascii="Arial" w:hAnsi="Arial" w:eastAsia="仿宋" w:cs="Arial"/>
          <w:color w:val="auto"/>
          <w:sz w:val="28"/>
        </w:rPr>
        <w:t>估价对象的具体情况及详细估价结果见估价结果一览表。</w:t>
      </w:r>
      <w:r>
        <w:rPr>
          <w:rFonts w:hint="eastAsia" w:ascii="Arial" w:hAnsi="Arial" w:eastAsia="仿宋" w:cs="Arial"/>
          <w:color w:val="auto"/>
          <w:sz w:val="28"/>
        </w:rPr>
        <w:br w:type="page"/>
      </w:r>
      <w:bookmarkStart w:id="67" w:name="_Toc132016727"/>
      <w:bookmarkStart w:id="68" w:name="_Toc138062997"/>
      <w:r>
        <w:rPr>
          <w:rStyle w:val="37"/>
          <w:rFonts w:ascii="Arial" w:hAnsi="Arial" w:cs="Arial"/>
          <w:color w:val="auto"/>
        </w:rPr>
        <w:t>八</w:t>
      </w:r>
      <w:r>
        <w:rPr>
          <w:rFonts w:ascii="Arial" w:hAnsi="Arial" w:eastAsia="仿宋_GB2312" w:cs="Arial"/>
          <w:b/>
          <w:bCs/>
          <w:color w:val="auto"/>
          <w:sz w:val="28"/>
        </w:rPr>
        <w:t>、</w:t>
      </w:r>
      <w:r>
        <w:rPr>
          <w:rFonts w:hint="eastAsia" w:ascii="Arial" w:hAnsi="Arial" w:eastAsia="仿宋_GB2312" w:cs="Arial"/>
          <w:b/>
          <w:bCs/>
          <w:color w:val="auto"/>
          <w:sz w:val="28"/>
        </w:rPr>
        <w:t>土地估价</w:t>
      </w:r>
      <w:r>
        <w:rPr>
          <w:rFonts w:ascii="Arial" w:hAnsi="Arial" w:eastAsia="仿宋_GB2312" w:cs="Arial"/>
          <w:b/>
          <w:bCs/>
          <w:color w:val="auto"/>
          <w:sz w:val="28"/>
        </w:rPr>
        <w:t>专业评估师签字</w:t>
      </w:r>
      <w:bookmarkEnd w:id="61"/>
      <w:bookmarkEnd w:id="62"/>
      <w:bookmarkEnd w:id="63"/>
      <w:bookmarkEnd w:id="64"/>
      <w:bookmarkEnd w:id="65"/>
      <w:bookmarkEnd w:id="66"/>
      <w:bookmarkEnd w:id="67"/>
      <w:bookmarkEnd w:id="68"/>
    </w:p>
    <w:tbl>
      <w:tblPr>
        <w:tblStyle w:val="34"/>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85" w:type="dxa"/>
          <w:bottom w:w="28" w:type="dxa"/>
          <w:right w:w="85" w:type="dxa"/>
        </w:tblCellMar>
      </w:tblPr>
      <w:tblGrid>
        <w:gridCol w:w="2540"/>
        <w:gridCol w:w="3931"/>
        <w:gridCol w:w="2601"/>
      </w:tblGrid>
      <w:tr w14:paraId="47084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70" w:hRule="atLeast"/>
          <w:jc w:val="center"/>
        </w:trPr>
        <w:tc>
          <w:tcPr>
            <w:tcW w:w="9299" w:type="dxa"/>
            <w:gridSpan w:val="3"/>
            <w:shd w:val="clear" w:color="auto" w:fill="auto"/>
            <w:vAlign w:val="center"/>
          </w:tcPr>
          <w:p w14:paraId="635A87B3">
            <w:pPr>
              <w:widowControl/>
              <w:adjustRightInd/>
              <w:spacing w:line="300" w:lineRule="auto"/>
              <w:jc w:val="both"/>
              <w:textAlignment w:val="auto"/>
              <w:rPr>
                <w:rFonts w:ascii="Arial" w:hAnsi="Arial" w:eastAsia="仿宋_GB2312" w:cs="Arial"/>
                <w:b/>
                <w:bCs/>
                <w:color w:val="auto"/>
                <w:sz w:val="28"/>
                <w:szCs w:val="28"/>
              </w:rPr>
            </w:pPr>
            <w:r>
              <w:rPr>
                <w:rFonts w:ascii="Arial" w:hAnsi="Arial" w:eastAsia="仿宋_GB2312" w:cs="Arial"/>
                <w:b/>
                <w:bCs/>
                <w:color w:val="auto"/>
                <w:sz w:val="28"/>
                <w:szCs w:val="28"/>
              </w:rPr>
              <w:t>土地</w:t>
            </w:r>
            <w:r>
              <w:rPr>
                <w:rFonts w:hint="eastAsia" w:ascii="Arial" w:hAnsi="Arial" w:eastAsia="仿宋_GB2312" w:cs="Arial"/>
                <w:b/>
                <w:bCs/>
                <w:color w:val="auto"/>
                <w:sz w:val="28"/>
              </w:rPr>
              <w:t>估价</w:t>
            </w:r>
            <w:r>
              <w:rPr>
                <w:rFonts w:ascii="Arial" w:hAnsi="Arial" w:eastAsia="仿宋_GB2312" w:cs="Arial"/>
                <w:b/>
                <w:bCs/>
                <w:color w:val="auto"/>
                <w:sz w:val="28"/>
              </w:rPr>
              <w:t>专业评估</w:t>
            </w:r>
            <w:r>
              <w:rPr>
                <w:rFonts w:hint="eastAsia" w:ascii="Arial" w:hAnsi="Arial" w:eastAsia="仿宋_GB2312" w:cs="Arial"/>
                <w:b/>
                <w:bCs/>
                <w:color w:val="auto"/>
                <w:sz w:val="28"/>
              </w:rPr>
              <w:t>师</w:t>
            </w:r>
          </w:p>
        </w:tc>
      </w:tr>
      <w:tr w14:paraId="2CEDE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370" w:hRule="atLeast"/>
          <w:jc w:val="center"/>
        </w:trPr>
        <w:tc>
          <w:tcPr>
            <w:tcW w:w="2603" w:type="dxa"/>
            <w:shd w:val="clear" w:color="auto" w:fill="auto"/>
            <w:vAlign w:val="center"/>
          </w:tcPr>
          <w:p w14:paraId="3B99A155">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姓名</w:t>
            </w:r>
          </w:p>
        </w:tc>
        <w:tc>
          <w:tcPr>
            <w:tcW w:w="4031" w:type="dxa"/>
            <w:shd w:val="clear" w:color="auto" w:fill="auto"/>
            <w:vAlign w:val="center"/>
          </w:tcPr>
          <w:p w14:paraId="1F748064">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资格证号</w:t>
            </w:r>
          </w:p>
        </w:tc>
        <w:tc>
          <w:tcPr>
            <w:tcW w:w="2665" w:type="dxa"/>
            <w:shd w:val="clear" w:color="auto" w:fill="auto"/>
            <w:vAlign w:val="center"/>
          </w:tcPr>
          <w:p w14:paraId="5A875956">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签名</w:t>
            </w:r>
          </w:p>
        </w:tc>
      </w:tr>
      <w:tr w14:paraId="3DDC5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7183DB12">
            <w:pPr>
              <w:widowControl/>
              <w:adjustRightInd/>
              <w:spacing w:line="300" w:lineRule="auto"/>
              <w:jc w:val="both"/>
              <w:textAlignment w:val="auto"/>
              <w:rPr>
                <w:rFonts w:ascii="Arial" w:hAnsi="Arial" w:eastAsia="仿宋_GB2312" w:cs="Arial"/>
                <w:color w:val="auto"/>
                <w:sz w:val="28"/>
                <w:szCs w:val="28"/>
              </w:rPr>
            </w:pPr>
            <w:r>
              <w:rPr>
                <w:rFonts w:hint="eastAsia" w:ascii="Arial" w:hAnsi="Arial" w:eastAsia="仿宋_GB2312" w:cs="Arial"/>
                <w:color w:val="auto"/>
                <w:sz w:val="28"/>
                <w:szCs w:val="28"/>
              </w:rPr>
              <w:t>黄  英</w:t>
            </w:r>
          </w:p>
        </w:tc>
        <w:tc>
          <w:tcPr>
            <w:tcW w:w="4031" w:type="dxa"/>
            <w:shd w:val="clear" w:color="auto" w:fill="auto"/>
            <w:vAlign w:val="center"/>
          </w:tcPr>
          <w:p w14:paraId="2A7C5DB6">
            <w:pPr>
              <w:widowControl/>
              <w:adjustRightInd/>
              <w:spacing w:line="300" w:lineRule="auto"/>
              <w:jc w:val="both"/>
              <w:textAlignment w:val="auto"/>
              <w:rPr>
                <w:rFonts w:ascii="Arial" w:hAnsi="Arial" w:eastAsia="仿宋_GB2312" w:cs="Arial"/>
                <w:color w:val="auto"/>
                <w:sz w:val="28"/>
                <w:szCs w:val="28"/>
              </w:rPr>
            </w:pPr>
            <w:r>
              <w:rPr>
                <w:rFonts w:hint="eastAsia" w:ascii="Arial" w:hAnsi="Arial" w:eastAsia="仿宋_GB2312" w:cs="Arial"/>
                <w:color w:val="auto"/>
                <w:sz w:val="28"/>
                <w:szCs w:val="28"/>
              </w:rPr>
              <w:t>30520231111000000028</w:t>
            </w:r>
          </w:p>
        </w:tc>
        <w:tc>
          <w:tcPr>
            <w:tcW w:w="2665" w:type="dxa"/>
            <w:shd w:val="clear" w:color="auto" w:fill="auto"/>
            <w:vAlign w:val="center"/>
          </w:tcPr>
          <w:p w14:paraId="6730288C">
            <w:pPr>
              <w:widowControl/>
              <w:adjustRightInd/>
              <w:spacing w:line="300" w:lineRule="auto"/>
              <w:jc w:val="both"/>
              <w:textAlignment w:val="auto"/>
              <w:rPr>
                <w:rFonts w:ascii="Arial" w:hAnsi="Arial" w:eastAsia="仿宋_GB2312" w:cs="Arial"/>
                <w:color w:val="auto"/>
                <w:sz w:val="28"/>
                <w:szCs w:val="28"/>
              </w:rPr>
            </w:pPr>
          </w:p>
        </w:tc>
      </w:tr>
      <w:tr w14:paraId="09B6E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607C9427">
            <w:pPr>
              <w:widowControl/>
              <w:adjustRightInd/>
              <w:spacing w:line="300" w:lineRule="auto"/>
              <w:jc w:val="both"/>
              <w:textAlignment w:val="auto"/>
              <w:rPr>
                <w:rFonts w:ascii="Arial" w:hAnsi="Arial" w:eastAsia="仿宋_GB2312" w:cs="Arial"/>
                <w:color w:val="auto"/>
                <w:sz w:val="28"/>
                <w:szCs w:val="28"/>
              </w:rPr>
            </w:pPr>
            <w:r>
              <w:rPr>
                <w:rFonts w:hint="eastAsia" w:ascii="Arial" w:hAnsi="Arial" w:eastAsia="仿宋_GB2312" w:cs="Arial"/>
                <w:color w:val="auto"/>
                <w:sz w:val="28"/>
                <w:szCs w:val="28"/>
              </w:rPr>
              <w:t>叶  凌</w:t>
            </w:r>
          </w:p>
        </w:tc>
        <w:tc>
          <w:tcPr>
            <w:tcW w:w="4031" w:type="dxa"/>
            <w:shd w:val="clear" w:color="auto" w:fill="auto"/>
            <w:vAlign w:val="center"/>
          </w:tcPr>
          <w:p w14:paraId="61B43A3C">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94010078</w:t>
            </w:r>
          </w:p>
        </w:tc>
        <w:tc>
          <w:tcPr>
            <w:tcW w:w="2665" w:type="dxa"/>
            <w:shd w:val="clear" w:color="auto" w:fill="auto"/>
            <w:vAlign w:val="center"/>
          </w:tcPr>
          <w:p w14:paraId="304C20D0">
            <w:pPr>
              <w:widowControl/>
              <w:adjustRightInd/>
              <w:spacing w:line="300" w:lineRule="auto"/>
              <w:jc w:val="both"/>
              <w:textAlignment w:val="auto"/>
              <w:rPr>
                <w:rFonts w:ascii="Arial" w:hAnsi="Arial" w:eastAsia="仿宋_GB2312" w:cs="Arial"/>
                <w:color w:val="auto"/>
                <w:sz w:val="28"/>
                <w:szCs w:val="28"/>
              </w:rPr>
            </w:pPr>
          </w:p>
        </w:tc>
      </w:tr>
      <w:tr w14:paraId="37059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6A1299F2">
            <w:pPr>
              <w:widowControl/>
              <w:adjustRightInd/>
              <w:spacing w:line="300" w:lineRule="auto"/>
              <w:jc w:val="both"/>
              <w:textAlignment w:val="auto"/>
              <w:rPr>
                <w:rFonts w:ascii="Arial" w:hAnsi="Arial" w:eastAsia="仿宋_GB2312" w:cs="Arial"/>
                <w:color w:val="auto"/>
                <w:sz w:val="28"/>
                <w:szCs w:val="28"/>
              </w:rPr>
            </w:pPr>
            <w:r>
              <w:rPr>
                <w:rFonts w:hint="eastAsia" w:ascii="Arial" w:hAnsi="Arial" w:eastAsia="仿宋_GB2312" w:cs="Arial"/>
                <w:color w:val="auto"/>
                <w:sz w:val="28"/>
                <w:szCs w:val="28"/>
              </w:rPr>
              <w:t>魏伯欣</w:t>
            </w:r>
          </w:p>
        </w:tc>
        <w:tc>
          <w:tcPr>
            <w:tcW w:w="4031" w:type="dxa"/>
            <w:shd w:val="clear" w:color="auto" w:fill="auto"/>
            <w:vAlign w:val="center"/>
          </w:tcPr>
          <w:p w14:paraId="186BCF9E">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2000110133</w:t>
            </w:r>
          </w:p>
        </w:tc>
        <w:tc>
          <w:tcPr>
            <w:tcW w:w="2665" w:type="dxa"/>
            <w:shd w:val="clear" w:color="auto" w:fill="auto"/>
            <w:vAlign w:val="center"/>
          </w:tcPr>
          <w:p w14:paraId="76A3A386">
            <w:pPr>
              <w:widowControl/>
              <w:adjustRightInd/>
              <w:spacing w:line="300" w:lineRule="auto"/>
              <w:jc w:val="both"/>
              <w:textAlignment w:val="auto"/>
              <w:rPr>
                <w:rFonts w:ascii="Arial" w:hAnsi="Arial" w:eastAsia="仿宋_GB2312" w:cs="Arial"/>
                <w:color w:val="auto"/>
                <w:sz w:val="28"/>
                <w:szCs w:val="28"/>
              </w:rPr>
            </w:pPr>
          </w:p>
        </w:tc>
      </w:tr>
      <w:tr w14:paraId="077E5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94" w:hRule="atLeast"/>
          <w:jc w:val="center"/>
        </w:trPr>
        <w:tc>
          <w:tcPr>
            <w:tcW w:w="9299" w:type="dxa"/>
            <w:gridSpan w:val="3"/>
            <w:shd w:val="clear" w:color="auto" w:fill="auto"/>
            <w:vAlign w:val="center"/>
          </w:tcPr>
          <w:p w14:paraId="6813D7A9">
            <w:pPr>
              <w:widowControl/>
              <w:adjustRightInd/>
              <w:spacing w:line="300" w:lineRule="auto"/>
              <w:jc w:val="both"/>
              <w:textAlignment w:val="auto"/>
              <w:rPr>
                <w:rFonts w:ascii="Arial" w:hAnsi="Arial" w:eastAsia="仿宋_GB2312" w:cs="Arial"/>
                <w:b/>
                <w:bCs/>
                <w:color w:val="auto"/>
                <w:sz w:val="28"/>
                <w:szCs w:val="28"/>
              </w:rPr>
            </w:pPr>
            <w:r>
              <w:rPr>
                <w:rFonts w:ascii="Arial" w:hAnsi="Arial" w:eastAsia="仿宋_GB2312" w:cs="Arial"/>
                <w:b/>
                <w:bCs/>
                <w:color w:val="auto"/>
                <w:sz w:val="28"/>
                <w:szCs w:val="28"/>
              </w:rPr>
              <w:t>其他</w:t>
            </w:r>
            <w:r>
              <w:rPr>
                <w:rFonts w:hint="eastAsia" w:ascii="Arial" w:hAnsi="Arial" w:eastAsia="仿宋_GB2312" w:cs="Arial"/>
                <w:b/>
                <w:bCs/>
                <w:color w:val="auto"/>
                <w:sz w:val="28"/>
                <w:szCs w:val="28"/>
              </w:rPr>
              <w:t>评估</w:t>
            </w:r>
            <w:r>
              <w:rPr>
                <w:rFonts w:ascii="Arial" w:hAnsi="Arial" w:eastAsia="仿宋_GB2312" w:cs="Arial"/>
                <w:b/>
                <w:bCs/>
                <w:color w:val="auto"/>
                <w:sz w:val="28"/>
                <w:szCs w:val="28"/>
              </w:rPr>
              <w:t xml:space="preserve">专业人员 </w:t>
            </w:r>
          </w:p>
        </w:tc>
      </w:tr>
      <w:tr w14:paraId="7AA2E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9" w:hRule="atLeast"/>
          <w:jc w:val="center"/>
        </w:trPr>
        <w:tc>
          <w:tcPr>
            <w:tcW w:w="2603" w:type="dxa"/>
            <w:shd w:val="clear" w:color="auto" w:fill="auto"/>
            <w:vAlign w:val="center"/>
          </w:tcPr>
          <w:p w14:paraId="3A5AA2F4">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姓名</w:t>
            </w:r>
          </w:p>
        </w:tc>
        <w:tc>
          <w:tcPr>
            <w:tcW w:w="4031" w:type="dxa"/>
            <w:shd w:val="clear" w:color="auto" w:fill="auto"/>
            <w:vAlign w:val="center"/>
          </w:tcPr>
          <w:p w14:paraId="50CEEEFE">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相关资格或职称</w:t>
            </w:r>
          </w:p>
        </w:tc>
        <w:tc>
          <w:tcPr>
            <w:tcW w:w="2665" w:type="dxa"/>
            <w:shd w:val="clear" w:color="auto" w:fill="auto"/>
            <w:vAlign w:val="center"/>
          </w:tcPr>
          <w:p w14:paraId="134C1707">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签名</w:t>
            </w:r>
          </w:p>
        </w:tc>
      </w:tr>
      <w:tr w14:paraId="0885E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4BA64580">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w:t>
            </w:r>
          </w:p>
        </w:tc>
        <w:tc>
          <w:tcPr>
            <w:tcW w:w="4031" w:type="dxa"/>
            <w:shd w:val="clear" w:color="auto" w:fill="auto"/>
            <w:vAlign w:val="center"/>
          </w:tcPr>
          <w:p w14:paraId="7AD6B556">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w:t>
            </w:r>
          </w:p>
        </w:tc>
        <w:tc>
          <w:tcPr>
            <w:tcW w:w="2665" w:type="dxa"/>
            <w:shd w:val="clear" w:color="auto" w:fill="auto"/>
            <w:vAlign w:val="center"/>
          </w:tcPr>
          <w:p w14:paraId="611E24B4">
            <w:pPr>
              <w:widowControl/>
              <w:adjustRightInd/>
              <w:spacing w:line="300" w:lineRule="auto"/>
              <w:jc w:val="both"/>
              <w:textAlignment w:val="auto"/>
              <w:rPr>
                <w:rFonts w:ascii="Arial" w:hAnsi="Arial" w:eastAsia="仿宋_GB2312" w:cs="Arial"/>
                <w:color w:val="auto"/>
                <w:sz w:val="28"/>
                <w:szCs w:val="28"/>
              </w:rPr>
            </w:pPr>
          </w:p>
        </w:tc>
      </w:tr>
    </w:tbl>
    <w:p w14:paraId="03E9232C">
      <w:pPr>
        <w:spacing w:line="300" w:lineRule="auto"/>
        <w:rPr>
          <w:rFonts w:ascii="Arial" w:hAnsi="Arial" w:eastAsia="仿宋_GB2312" w:cs="Arial"/>
          <w:color w:val="auto"/>
          <w:sz w:val="28"/>
        </w:rPr>
      </w:pPr>
    </w:p>
    <w:p w14:paraId="6E55E2D5">
      <w:pPr>
        <w:spacing w:line="300" w:lineRule="auto"/>
        <w:outlineLvl w:val="1"/>
        <w:rPr>
          <w:rFonts w:ascii="Arial" w:hAnsi="Arial" w:eastAsia="仿宋_GB2312" w:cs="Arial"/>
          <w:i/>
          <w:color w:val="auto"/>
          <w:sz w:val="28"/>
        </w:rPr>
      </w:pPr>
      <w:bookmarkStart w:id="69" w:name="_Toc416783526"/>
      <w:bookmarkStart w:id="70" w:name="_Toc520261132"/>
      <w:bookmarkStart w:id="71" w:name="_Toc515458364"/>
      <w:bookmarkStart w:id="72" w:name="_Toc132016728"/>
      <w:bookmarkStart w:id="73" w:name="_Toc418750889"/>
      <w:bookmarkStart w:id="74" w:name="_Toc138062998"/>
      <w:bookmarkStart w:id="75" w:name="_Toc425250311"/>
      <w:bookmarkStart w:id="76" w:name="_Toc469066309"/>
      <w:bookmarkStart w:id="77" w:name="_Toc531701557"/>
      <w:r>
        <w:rPr>
          <w:rFonts w:ascii="Arial" w:hAnsi="Arial" w:eastAsia="仿宋_GB2312" w:cs="Arial"/>
          <w:b/>
          <w:color w:val="auto"/>
          <w:sz w:val="28"/>
        </w:rPr>
        <w:t>九、土地估价机构</w:t>
      </w:r>
      <w:bookmarkEnd w:id="69"/>
      <w:bookmarkEnd w:id="70"/>
      <w:bookmarkEnd w:id="71"/>
      <w:bookmarkEnd w:id="72"/>
      <w:bookmarkEnd w:id="73"/>
      <w:bookmarkEnd w:id="74"/>
      <w:bookmarkEnd w:id="75"/>
      <w:bookmarkEnd w:id="76"/>
      <w:bookmarkEnd w:id="77"/>
    </w:p>
    <w:p w14:paraId="2487BD05">
      <w:pPr>
        <w:spacing w:line="300" w:lineRule="auto"/>
        <w:rPr>
          <w:rFonts w:ascii="Arial" w:hAnsi="Arial" w:eastAsia="仿宋_GB2312" w:cs="Arial"/>
          <w:color w:val="auto"/>
          <w:sz w:val="28"/>
        </w:rPr>
      </w:pPr>
      <w:r>
        <w:rPr>
          <w:rFonts w:ascii="Arial" w:hAnsi="Arial" w:eastAsia="仿宋_GB2312" w:cs="Arial"/>
          <w:color w:val="auto"/>
          <w:sz w:val="28"/>
        </w:rPr>
        <w:t xml:space="preserve"> </w:t>
      </w:r>
    </w:p>
    <w:p w14:paraId="168A2401">
      <w:pPr>
        <w:spacing w:line="300" w:lineRule="auto"/>
        <w:rPr>
          <w:rFonts w:ascii="Arial" w:hAnsi="Arial" w:eastAsia="仿宋_GB2312" w:cs="Arial"/>
          <w:color w:val="auto"/>
          <w:sz w:val="28"/>
        </w:rPr>
      </w:pPr>
      <w:r>
        <w:rPr>
          <w:rFonts w:ascii="Arial" w:hAnsi="Arial" w:eastAsia="仿宋_GB2312" w:cs="Arial"/>
          <w:color w:val="auto"/>
          <w:sz w:val="28"/>
        </w:rPr>
        <w:t xml:space="preserve">                              </w:t>
      </w:r>
    </w:p>
    <w:tbl>
      <w:tblPr>
        <w:tblStyle w:val="34"/>
        <w:tblW w:w="0" w:type="auto"/>
        <w:jc w:val="right"/>
        <w:tblLayout w:type="fixed"/>
        <w:tblCellMar>
          <w:top w:w="28" w:type="dxa"/>
          <w:left w:w="85" w:type="dxa"/>
          <w:bottom w:w="28" w:type="dxa"/>
          <w:right w:w="85" w:type="dxa"/>
        </w:tblCellMar>
      </w:tblPr>
      <w:tblGrid>
        <w:gridCol w:w="4445"/>
      </w:tblGrid>
      <w:tr w14:paraId="4B7F9B32">
        <w:tblPrEx>
          <w:tblCellMar>
            <w:top w:w="28" w:type="dxa"/>
            <w:left w:w="85" w:type="dxa"/>
            <w:bottom w:w="28" w:type="dxa"/>
            <w:right w:w="85" w:type="dxa"/>
          </w:tblCellMar>
        </w:tblPrEx>
        <w:trPr>
          <w:jc w:val="right"/>
        </w:trPr>
        <w:tc>
          <w:tcPr>
            <w:tcW w:w="4445" w:type="dxa"/>
            <w:shd w:val="clear" w:color="auto" w:fill="auto"/>
          </w:tcPr>
          <w:p w14:paraId="756399F3">
            <w:pPr>
              <w:spacing w:line="300" w:lineRule="auto"/>
              <w:rPr>
                <w:rFonts w:ascii="Arial" w:hAnsi="Arial" w:eastAsia="仿宋_GB2312" w:cs="Arial"/>
                <w:color w:val="auto"/>
                <w:sz w:val="28"/>
                <w:szCs w:val="21"/>
              </w:rPr>
            </w:pPr>
            <w:r>
              <w:rPr>
                <w:rFonts w:ascii="Arial" w:hAnsi="Arial" w:eastAsia="仿宋_GB2312" w:cs="Arial"/>
                <w:color w:val="auto"/>
                <w:sz w:val="28"/>
                <w:szCs w:val="21"/>
              </w:rPr>
              <w:t>北京康正宏基房地产评估有限公司</w:t>
            </w:r>
          </w:p>
        </w:tc>
      </w:tr>
      <w:tr w14:paraId="37A300A9">
        <w:tblPrEx>
          <w:tblCellMar>
            <w:top w:w="28" w:type="dxa"/>
            <w:left w:w="85" w:type="dxa"/>
            <w:bottom w:w="28" w:type="dxa"/>
            <w:right w:w="85" w:type="dxa"/>
          </w:tblCellMar>
        </w:tblPrEx>
        <w:trPr>
          <w:trHeight w:val="1431" w:hRule="atLeast"/>
          <w:jc w:val="right"/>
        </w:trPr>
        <w:tc>
          <w:tcPr>
            <w:tcW w:w="4445" w:type="dxa"/>
            <w:shd w:val="clear" w:color="auto" w:fill="auto"/>
          </w:tcPr>
          <w:p w14:paraId="2BD79754">
            <w:pPr>
              <w:spacing w:line="300" w:lineRule="auto"/>
              <w:rPr>
                <w:rFonts w:ascii="Arial" w:hAnsi="Arial" w:eastAsia="仿宋_GB2312" w:cs="Arial"/>
                <w:color w:val="auto"/>
                <w:sz w:val="28"/>
                <w:szCs w:val="21"/>
              </w:rPr>
            </w:pPr>
            <w:r>
              <w:rPr>
                <w:rFonts w:ascii="Arial" w:hAnsi="Arial" w:eastAsia="仿宋_GB2312" w:cs="Arial"/>
                <w:color w:val="auto"/>
                <w:sz w:val="28"/>
                <w:szCs w:val="21"/>
              </w:rPr>
              <w:t>法定代表人：</w:t>
            </w:r>
          </w:p>
        </w:tc>
      </w:tr>
      <w:tr w14:paraId="2CFD8379">
        <w:tblPrEx>
          <w:tblCellMar>
            <w:top w:w="28" w:type="dxa"/>
            <w:left w:w="85" w:type="dxa"/>
            <w:bottom w:w="28" w:type="dxa"/>
            <w:right w:w="85" w:type="dxa"/>
          </w:tblCellMar>
        </w:tblPrEx>
        <w:trPr>
          <w:cantSplit/>
          <w:jc w:val="right"/>
        </w:trPr>
        <w:tc>
          <w:tcPr>
            <w:tcW w:w="4445" w:type="dxa"/>
            <w:shd w:val="clear" w:color="auto" w:fill="auto"/>
          </w:tcPr>
          <w:p w14:paraId="3D5252B4">
            <w:pPr>
              <w:spacing w:line="300" w:lineRule="auto"/>
              <w:jc w:val="right"/>
              <w:rPr>
                <w:rFonts w:ascii="Arial" w:hAnsi="Arial" w:eastAsia="仿宋_GB2312" w:cs="Arial"/>
                <w:color w:val="auto"/>
                <w:sz w:val="28"/>
                <w:szCs w:val="21"/>
              </w:rPr>
            </w:pPr>
            <w:r>
              <w:rPr>
                <w:rFonts w:hint="eastAsia" w:ascii="Arial" w:hAnsi="Arial" w:eastAsia="仿宋_GB2312" w:cs="Arial"/>
                <w:color w:val="auto"/>
                <w:sz w:val="28"/>
                <w:szCs w:val="21"/>
              </w:rPr>
              <w:t>二</w:t>
            </w:r>
            <w:r>
              <w:rPr>
                <w:rFonts w:hint="eastAsia" w:ascii="微软雅黑" w:hAnsi="微软雅黑" w:eastAsia="微软雅黑" w:cs="微软雅黑"/>
                <w:color w:val="auto"/>
                <w:sz w:val="28"/>
                <w:szCs w:val="21"/>
              </w:rPr>
              <w:t>〇</w:t>
            </w:r>
            <w:r>
              <w:rPr>
                <w:rFonts w:hint="eastAsia" w:ascii="仿宋_GB2312" w:hAnsi="仿宋_GB2312" w:eastAsia="仿宋_GB2312" w:cs="仿宋_GB2312"/>
                <w:color w:val="auto"/>
                <w:sz w:val="28"/>
                <w:szCs w:val="21"/>
              </w:rPr>
              <w:t>二六年四月</w:t>
            </w:r>
            <w:r>
              <w:rPr>
                <w:rFonts w:hint="eastAsia" w:ascii="仿宋_GB2312" w:hAnsi="仿宋_GB2312" w:eastAsia="仿宋_GB2312" w:cs="仿宋_GB2312"/>
                <w:color w:val="auto"/>
                <w:sz w:val="28"/>
                <w:szCs w:val="21"/>
                <w:lang w:val="en-US" w:eastAsia="zh-CN"/>
              </w:rPr>
              <w:t>二十一</w:t>
            </w:r>
            <w:r>
              <w:rPr>
                <w:rFonts w:hint="eastAsia" w:ascii="仿宋_GB2312" w:hAnsi="仿宋_GB2312" w:eastAsia="仿宋_GB2312" w:cs="仿宋_GB2312"/>
                <w:color w:val="auto"/>
                <w:sz w:val="28"/>
                <w:szCs w:val="21"/>
              </w:rPr>
              <w:t>日</w:t>
            </w:r>
          </w:p>
        </w:tc>
      </w:tr>
    </w:tbl>
    <w:p w14:paraId="45973291">
      <w:pPr>
        <w:spacing w:line="300" w:lineRule="auto"/>
        <w:rPr>
          <w:rFonts w:ascii="Arial" w:hAnsi="Arial" w:eastAsia="仿宋_GB2312" w:cs="Arial"/>
          <w:color w:val="auto"/>
          <w:sz w:val="28"/>
        </w:rPr>
      </w:pPr>
    </w:p>
    <w:p w14:paraId="6C8B6F87">
      <w:pPr>
        <w:spacing w:line="300" w:lineRule="auto"/>
        <w:ind w:firstLine="4480" w:firstLineChars="1600"/>
        <w:jc w:val="right"/>
        <w:rPr>
          <w:rFonts w:ascii="Arial" w:hAnsi="Arial" w:eastAsia="仿宋_GB2312" w:cs="Arial"/>
          <w:color w:val="auto"/>
          <w:sz w:val="28"/>
        </w:rPr>
      </w:pPr>
    </w:p>
    <w:p w14:paraId="1AEA8FA7">
      <w:pPr>
        <w:spacing w:line="300" w:lineRule="auto"/>
        <w:ind w:firstLine="4480" w:firstLineChars="1600"/>
        <w:rPr>
          <w:rFonts w:ascii="Arial" w:hAnsi="Arial" w:eastAsia="仿宋_GB2312" w:cs="Arial"/>
          <w:color w:val="auto"/>
          <w:sz w:val="28"/>
        </w:rPr>
        <w:sectPr>
          <w:footerReference r:id="rId16" w:type="first"/>
          <w:type w:val="nextColumn"/>
          <w:pgSz w:w="11907" w:h="16840"/>
          <w:pgMar w:top="1418" w:right="1418" w:bottom="1134" w:left="1418" w:header="794" w:footer="907" w:gutter="0"/>
          <w:pgNumType w:start="1"/>
          <w:cols w:space="720" w:num="1"/>
          <w:titlePg/>
          <w:docGrid w:linePitch="326" w:charSpace="0"/>
        </w:sectPr>
      </w:pPr>
    </w:p>
    <w:p w14:paraId="3257F385">
      <w:pPr>
        <w:spacing w:line="300" w:lineRule="auto"/>
        <w:outlineLvl w:val="1"/>
        <w:rPr>
          <w:rFonts w:ascii="Arial" w:hAnsi="Arial" w:eastAsia="仿宋_GB2312" w:cs="Arial"/>
          <w:b/>
          <w:color w:val="auto"/>
          <w:sz w:val="28"/>
        </w:rPr>
      </w:pPr>
      <w:bookmarkStart w:id="78" w:name="_Toc531701558"/>
      <w:bookmarkStart w:id="79" w:name="_Toc520261133"/>
      <w:bookmarkStart w:id="80" w:name="_Toc515458365"/>
      <w:bookmarkStart w:id="81" w:name="_Toc138062999"/>
      <w:bookmarkStart w:id="82" w:name="_Toc132016729"/>
      <w:r>
        <w:rPr>
          <w:rFonts w:ascii="Arial" w:hAnsi="Arial" w:eastAsia="仿宋_GB2312" w:cs="Arial"/>
          <w:b/>
          <w:bCs/>
          <w:color w:val="auto"/>
          <w:sz w:val="28"/>
        </w:rPr>
        <w:t>附</w:t>
      </w:r>
      <w:bookmarkEnd w:id="78"/>
      <w:r>
        <w:rPr>
          <w:rFonts w:ascii="Arial" w:hAnsi="Arial" w:eastAsia="仿宋_GB2312" w:cs="Arial"/>
          <w:b/>
          <w:color w:val="auto"/>
          <w:sz w:val="28"/>
        </w:rPr>
        <w:t xml:space="preserve">                                       </w:t>
      </w:r>
      <w:bookmarkEnd w:id="79"/>
      <w:bookmarkEnd w:id="80"/>
      <w:bookmarkStart w:id="83" w:name="_Toc531701559"/>
      <w:r>
        <w:rPr>
          <w:rFonts w:ascii="Arial" w:hAnsi="Arial" w:eastAsia="仿宋_GB2312" w:cs="Arial"/>
          <w:b/>
          <w:color w:val="auto"/>
          <w:sz w:val="28"/>
        </w:rPr>
        <w:t>估价结果一览表</w:t>
      </w:r>
      <w:bookmarkEnd w:id="81"/>
      <w:bookmarkEnd w:id="82"/>
      <w:bookmarkEnd w:id="83"/>
    </w:p>
    <w:p w14:paraId="7C0D4697">
      <w:pPr>
        <w:spacing w:line="300" w:lineRule="auto"/>
        <w:rPr>
          <w:rFonts w:ascii="Arial" w:hAnsi="Arial" w:eastAsia="仿宋_GB2312" w:cs="Arial"/>
          <w:bCs/>
          <w:color w:val="auto"/>
          <w:sz w:val="18"/>
          <w:szCs w:val="18"/>
        </w:rPr>
      </w:pPr>
      <w:r>
        <w:rPr>
          <w:rFonts w:ascii="Arial" w:hAnsi="Arial" w:eastAsia="仿宋_GB2312" w:cs="Arial"/>
          <w:bCs/>
          <w:color w:val="auto"/>
          <w:sz w:val="18"/>
          <w:szCs w:val="18"/>
        </w:rPr>
        <w:t>估价机构：</w:t>
      </w:r>
      <w:r>
        <w:rPr>
          <w:rFonts w:ascii="Arial" w:hAnsi="Arial" w:eastAsia="仿宋_GB2312" w:cs="Arial"/>
          <w:color w:val="auto"/>
          <w:sz w:val="18"/>
          <w:szCs w:val="18"/>
        </w:rPr>
        <w:t xml:space="preserve">北京康正宏基房地产评估有限公司 </w:t>
      </w:r>
      <w:r>
        <w:rPr>
          <w:rFonts w:ascii="Arial" w:hAnsi="Arial" w:eastAsia="仿宋_GB2312" w:cs="Arial"/>
          <w:bCs/>
          <w:color w:val="auto"/>
          <w:sz w:val="18"/>
          <w:szCs w:val="18"/>
        </w:rPr>
        <w:t>估价报告编号：</w:t>
      </w:r>
      <w:r>
        <w:rPr>
          <w:rFonts w:hint="eastAsia" w:ascii="Arial" w:hAnsi="Arial" w:eastAsia="仿宋_GB2312" w:cs="Arial"/>
          <w:bCs/>
          <w:color w:val="auto"/>
          <w:sz w:val="18"/>
          <w:szCs w:val="18"/>
        </w:rPr>
        <w:t>北京康正2026（估）字第0001号</w:t>
      </w:r>
      <w:r>
        <w:rPr>
          <w:rFonts w:ascii="Arial" w:hAnsi="Arial" w:eastAsia="仿宋_GB2312" w:cs="Arial"/>
          <w:bCs/>
          <w:color w:val="auto"/>
          <w:sz w:val="18"/>
          <w:szCs w:val="18"/>
        </w:rPr>
        <w:t xml:space="preserve"> 估价期日：</w:t>
      </w:r>
      <w:r>
        <w:rPr>
          <w:rFonts w:hint="eastAsia" w:ascii="Arial" w:hAnsi="Arial" w:eastAsia="仿宋_GB2312" w:cs="Arial"/>
          <w:bCs/>
          <w:color w:val="auto"/>
          <w:sz w:val="18"/>
          <w:szCs w:val="18"/>
        </w:rPr>
        <w:t>2026年3月26日</w:t>
      </w:r>
      <w:r>
        <w:rPr>
          <w:rFonts w:ascii="Arial" w:hAnsi="Arial" w:eastAsia="仿宋_GB2312" w:cs="Arial"/>
          <w:bCs/>
          <w:color w:val="auto"/>
          <w:sz w:val="18"/>
          <w:szCs w:val="18"/>
        </w:rPr>
        <w:t xml:space="preserve"> 估价期日的国有建设用地使用权性质：拟出让</w:t>
      </w:r>
    </w:p>
    <w:tbl>
      <w:tblPr>
        <w:tblStyle w:val="34"/>
        <w:tblW w:w="140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951"/>
        <w:gridCol w:w="1268"/>
        <w:gridCol w:w="647"/>
        <w:gridCol w:w="767"/>
        <w:gridCol w:w="767"/>
        <w:gridCol w:w="717"/>
        <w:gridCol w:w="1165"/>
        <w:gridCol w:w="1236"/>
        <w:gridCol w:w="1032"/>
        <w:gridCol w:w="912"/>
        <w:gridCol w:w="996"/>
        <w:gridCol w:w="960"/>
        <w:gridCol w:w="1500"/>
        <w:gridCol w:w="1082"/>
      </w:tblGrid>
      <w:tr w14:paraId="213AA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951" w:type="dxa"/>
            <w:vAlign w:val="center"/>
          </w:tcPr>
          <w:p w14:paraId="3181CFDF">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估价期日土地使用者</w:t>
            </w:r>
          </w:p>
        </w:tc>
        <w:tc>
          <w:tcPr>
            <w:tcW w:w="1268" w:type="dxa"/>
            <w:vAlign w:val="center"/>
          </w:tcPr>
          <w:p w14:paraId="48B3ACC1">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宗地名称</w:t>
            </w:r>
          </w:p>
        </w:tc>
        <w:tc>
          <w:tcPr>
            <w:tcW w:w="647" w:type="dxa"/>
            <w:vAlign w:val="center"/>
          </w:tcPr>
          <w:p w14:paraId="50B3EF70">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宗地位置</w:t>
            </w:r>
          </w:p>
        </w:tc>
        <w:tc>
          <w:tcPr>
            <w:tcW w:w="767" w:type="dxa"/>
            <w:vAlign w:val="center"/>
          </w:tcPr>
          <w:p w14:paraId="5CCDD9FB">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估价期日的规划用途</w:t>
            </w:r>
          </w:p>
        </w:tc>
        <w:tc>
          <w:tcPr>
            <w:tcW w:w="767" w:type="dxa"/>
            <w:vAlign w:val="center"/>
          </w:tcPr>
          <w:p w14:paraId="0B4705B2">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估价设定的用途</w:t>
            </w:r>
          </w:p>
        </w:tc>
        <w:tc>
          <w:tcPr>
            <w:tcW w:w="717" w:type="dxa"/>
            <w:vAlign w:val="center"/>
          </w:tcPr>
          <w:p w14:paraId="581EE077">
            <w:pPr>
              <w:adjustRightInd/>
              <w:spacing w:line="240" w:lineRule="exact"/>
              <w:rPr>
                <w:rFonts w:ascii="Arial" w:hAnsi="Arial" w:eastAsia="仿宋_GB2312" w:cs="Arial"/>
                <w:bCs/>
                <w:color w:val="auto"/>
                <w:sz w:val="18"/>
                <w:szCs w:val="18"/>
              </w:rPr>
            </w:pPr>
            <w:r>
              <w:rPr>
                <w:rFonts w:ascii="Arial" w:hAnsi="Arial" w:eastAsia="仿宋_GB2312" w:cs="Arial"/>
                <w:bCs/>
                <w:color w:val="auto"/>
                <w:sz w:val="18"/>
                <w:szCs w:val="18"/>
              </w:rPr>
              <w:t>地上容积率</w:t>
            </w:r>
          </w:p>
        </w:tc>
        <w:tc>
          <w:tcPr>
            <w:tcW w:w="1165" w:type="dxa"/>
            <w:vAlign w:val="center"/>
          </w:tcPr>
          <w:p w14:paraId="6E7AD818">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估价期日的实际土地开发程度</w:t>
            </w:r>
          </w:p>
        </w:tc>
        <w:tc>
          <w:tcPr>
            <w:tcW w:w="1236" w:type="dxa"/>
            <w:vAlign w:val="center"/>
          </w:tcPr>
          <w:p w14:paraId="6F2EBA12">
            <w:pPr>
              <w:adjustRightInd/>
              <w:spacing w:line="240" w:lineRule="exact"/>
              <w:jc w:val="center"/>
              <w:rPr>
                <w:color w:val="auto"/>
              </w:rPr>
            </w:pPr>
            <w:r>
              <w:rPr>
                <w:rFonts w:ascii="Arial" w:hAnsi="Arial" w:eastAsia="仿宋_GB2312" w:cs="Arial"/>
                <w:bCs/>
                <w:color w:val="auto"/>
                <w:sz w:val="18"/>
                <w:szCs w:val="18"/>
              </w:rPr>
              <w:t>估价设定的土地开发程度</w:t>
            </w:r>
          </w:p>
        </w:tc>
        <w:tc>
          <w:tcPr>
            <w:tcW w:w="1032" w:type="dxa"/>
            <w:vAlign w:val="center"/>
          </w:tcPr>
          <w:p w14:paraId="5FBA3449">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土地使用权年限（年）</w:t>
            </w:r>
          </w:p>
        </w:tc>
        <w:tc>
          <w:tcPr>
            <w:tcW w:w="912" w:type="dxa"/>
            <w:vAlign w:val="center"/>
          </w:tcPr>
          <w:p w14:paraId="37F8523C">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出让建设用地面积（</w:t>
            </w:r>
            <w:r>
              <w:rPr>
                <w:rFonts w:ascii="Arial" w:hAnsi="Arial" w:cs="Arial"/>
                <w:bCs/>
                <w:color w:val="auto"/>
                <w:sz w:val="18"/>
                <w:szCs w:val="18"/>
              </w:rPr>
              <w:t>㎡</w:t>
            </w:r>
            <w:r>
              <w:rPr>
                <w:rFonts w:ascii="Arial" w:hAnsi="Arial" w:eastAsia="仿宋_GB2312" w:cs="Arial"/>
                <w:bCs/>
                <w:color w:val="auto"/>
                <w:sz w:val="18"/>
                <w:szCs w:val="18"/>
              </w:rPr>
              <w:t>）</w:t>
            </w:r>
          </w:p>
        </w:tc>
        <w:tc>
          <w:tcPr>
            <w:tcW w:w="996" w:type="dxa"/>
            <w:vAlign w:val="center"/>
          </w:tcPr>
          <w:p w14:paraId="35FA6E6C">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出让建筑规模（</w:t>
            </w:r>
            <w:r>
              <w:rPr>
                <w:rFonts w:ascii="Arial" w:hAnsi="Arial" w:cs="Arial"/>
                <w:bCs/>
                <w:color w:val="auto"/>
                <w:sz w:val="18"/>
                <w:szCs w:val="18"/>
              </w:rPr>
              <w:t>㎡</w:t>
            </w:r>
            <w:r>
              <w:rPr>
                <w:rFonts w:ascii="Arial" w:hAnsi="Arial" w:eastAsia="仿宋_GB2312" w:cs="Arial"/>
                <w:bCs/>
                <w:color w:val="auto"/>
                <w:sz w:val="18"/>
                <w:szCs w:val="18"/>
              </w:rPr>
              <w:t>）</w:t>
            </w:r>
          </w:p>
        </w:tc>
        <w:tc>
          <w:tcPr>
            <w:tcW w:w="960" w:type="dxa"/>
            <w:vAlign w:val="center"/>
          </w:tcPr>
          <w:p w14:paraId="2CBD7D8D">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熟地价</w:t>
            </w:r>
            <w:r>
              <w:rPr>
                <w:rFonts w:hint="eastAsia" w:ascii="Arial" w:hAnsi="Arial" w:eastAsia="仿宋_GB2312" w:cs="Arial"/>
                <w:bCs/>
                <w:color w:val="auto"/>
                <w:sz w:val="18"/>
                <w:szCs w:val="18"/>
              </w:rPr>
              <w:t>楼面地价</w:t>
            </w:r>
            <w:r>
              <w:rPr>
                <w:rFonts w:ascii="Arial" w:hAnsi="Arial" w:eastAsia="仿宋_GB2312" w:cs="Arial"/>
                <w:bCs/>
                <w:color w:val="auto"/>
                <w:sz w:val="18"/>
                <w:szCs w:val="18"/>
              </w:rPr>
              <w:t>（元/</w:t>
            </w:r>
            <w:r>
              <w:rPr>
                <w:rFonts w:ascii="Arial" w:hAnsi="Arial" w:cs="Arial"/>
                <w:bCs/>
                <w:color w:val="auto"/>
                <w:sz w:val="18"/>
                <w:szCs w:val="18"/>
              </w:rPr>
              <w:t>㎡</w:t>
            </w:r>
            <w:r>
              <w:rPr>
                <w:rFonts w:ascii="Arial" w:hAnsi="Arial" w:eastAsia="仿宋_GB2312" w:cs="Arial"/>
                <w:bCs/>
                <w:color w:val="auto"/>
                <w:sz w:val="18"/>
                <w:szCs w:val="18"/>
              </w:rPr>
              <w:t>）</w:t>
            </w:r>
          </w:p>
        </w:tc>
        <w:tc>
          <w:tcPr>
            <w:tcW w:w="1500" w:type="dxa"/>
            <w:vAlign w:val="center"/>
          </w:tcPr>
          <w:p w14:paraId="32F07B03">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熟地总价（万元）</w:t>
            </w:r>
          </w:p>
        </w:tc>
        <w:tc>
          <w:tcPr>
            <w:tcW w:w="1082" w:type="dxa"/>
            <w:vAlign w:val="center"/>
          </w:tcPr>
          <w:p w14:paraId="731CB9BA">
            <w:pPr>
              <w:adjustRightInd/>
              <w:spacing w:line="240" w:lineRule="exact"/>
              <w:jc w:val="center"/>
              <w:rPr>
                <w:rFonts w:ascii="Arial" w:hAnsi="Arial" w:eastAsia="仿宋_GB2312" w:cs="Arial"/>
                <w:bCs/>
                <w:color w:val="auto"/>
                <w:sz w:val="15"/>
                <w:szCs w:val="15"/>
              </w:rPr>
            </w:pPr>
            <w:r>
              <w:rPr>
                <w:rFonts w:hint="eastAsia" w:ascii="Arial" w:hAnsi="Arial" w:eastAsia="仿宋_GB2312" w:cs="Arial"/>
                <w:bCs/>
                <w:color w:val="auto"/>
                <w:sz w:val="18"/>
                <w:szCs w:val="18"/>
              </w:rPr>
              <w:t>建议出让底价</w:t>
            </w:r>
            <w:r>
              <w:rPr>
                <w:rFonts w:ascii="Arial" w:hAnsi="Arial" w:eastAsia="仿宋_GB2312" w:cs="Arial"/>
                <w:bCs/>
                <w:color w:val="auto"/>
                <w:sz w:val="18"/>
                <w:szCs w:val="18"/>
              </w:rPr>
              <w:t>（万元）</w:t>
            </w:r>
          </w:p>
        </w:tc>
      </w:tr>
      <w:tr w14:paraId="18A45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trHeight w:val="1701" w:hRule="atLeast"/>
          <w:jc w:val="center"/>
        </w:trPr>
        <w:tc>
          <w:tcPr>
            <w:tcW w:w="951" w:type="dxa"/>
            <w:vMerge w:val="restart"/>
            <w:vAlign w:val="center"/>
          </w:tcPr>
          <w:p w14:paraId="5A2B6012">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待入市用地，待入市成功确定受让人后方能签订《国有土地使用权出让合同》及办理《不动产权证书》</w:t>
            </w:r>
          </w:p>
        </w:tc>
        <w:tc>
          <w:tcPr>
            <w:tcW w:w="1268" w:type="dxa"/>
            <w:vMerge w:val="restart"/>
            <w:vAlign w:val="center"/>
          </w:tcPr>
          <w:p w14:paraId="65012956">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顺义区高丽营镇夏县营村棚户区改造土地开发项目01－008、01－016、01－026－1、01－020地块R2二类居住用地、A334托幼用地国有建设用地使用权</w:t>
            </w:r>
          </w:p>
        </w:tc>
        <w:tc>
          <w:tcPr>
            <w:tcW w:w="647" w:type="dxa"/>
            <w:vMerge w:val="restart"/>
            <w:vAlign w:val="center"/>
          </w:tcPr>
          <w:p w14:paraId="7F110331">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顺义区高丽营镇夏县营村</w:t>
            </w:r>
          </w:p>
        </w:tc>
        <w:tc>
          <w:tcPr>
            <w:tcW w:w="767" w:type="dxa"/>
            <w:vMerge w:val="restart"/>
            <w:vAlign w:val="center"/>
          </w:tcPr>
          <w:p w14:paraId="41162858">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R2二类居住用地</w:t>
            </w:r>
            <w:r>
              <w:rPr>
                <w:rFonts w:hint="eastAsia" w:ascii="Arial" w:hAnsi="Arial" w:eastAsia="仿宋_GB2312" w:cs="Arial"/>
                <w:color w:val="auto"/>
                <w:sz w:val="18"/>
                <w:szCs w:val="18"/>
              </w:rPr>
              <w:t>、A334托幼用地</w:t>
            </w:r>
          </w:p>
        </w:tc>
        <w:tc>
          <w:tcPr>
            <w:tcW w:w="767" w:type="dxa"/>
            <w:vAlign w:val="center"/>
          </w:tcPr>
          <w:p w14:paraId="70D2E494">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城镇</w:t>
            </w:r>
            <w:r>
              <w:rPr>
                <w:rFonts w:ascii="Arial" w:hAnsi="Arial" w:eastAsia="仿宋_GB2312" w:cs="Arial"/>
                <w:color w:val="auto"/>
                <w:sz w:val="18"/>
                <w:szCs w:val="18"/>
              </w:rPr>
              <w:t>住宅</w:t>
            </w:r>
            <w:r>
              <w:rPr>
                <w:rFonts w:hint="eastAsia" w:ascii="Arial" w:hAnsi="Arial" w:eastAsia="仿宋_GB2312" w:cs="Arial"/>
                <w:color w:val="auto"/>
                <w:sz w:val="18"/>
                <w:szCs w:val="18"/>
              </w:rPr>
              <w:t>用地</w:t>
            </w:r>
          </w:p>
        </w:tc>
        <w:tc>
          <w:tcPr>
            <w:tcW w:w="717" w:type="dxa"/>
            <w:vMerge w:val="restart"/>
            <w:vAlign w:val="center"/>
          </w:tcPr>
          <w:p w14:paraId="689845F4">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1.2</w:t>
            </w:r>
          </w:p>
        </w:tc>
        <w:tc>
          <w:tcPr>
            <w:tcW w:w="1165" w:type="dxa"/>
            <w:vMerge w:val="restart"/>
            <w:vAlign w:val="center"/>
          </w:tcPr>
          <w:p w14:paraId="0FA6120F">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土地开发程度红线外市政基础设施达“七通”（通路、通上水（自来水、中水）、通下水（雨水、污水）、通电（管沟、电缆）、通讯、通燃气、通热力）、宗地红线内场地平整</w:t>
            </w:r>
          </w:p>
        </w:tc>
        <w:tc>
          <w:tcPr>
            <w:tcW w:w="1236" w:type="dxa"/>
            <w:vMerge w:val="restart"/>
            <w:vAlign w:val="center"/>
          </w:tcPr>
          <w:p w14:paraId="7B811A65">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土地开发程度红线外市政基础设施达“七通”（通路、通上水（自来水、中水）、通下水（雨水、污水）、通电（管沟、电缆）、通讯、通燃气、通热力）、宗地红线内场地平整</w:t>
            </w:r>
          </w:p>
        </w:tc>
        <w:tc>
          <w:tcPr>
            <w:tcW w:w="1032" w:type="dxa"/>
            <w:vAlign w:val="center"/>
          </w:tcPr>
          <w:p w14:paraId="04FD69FE">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70</w:t>
            </w:r>
          </w:p>
        </w:tc>
        <w:tc>
          <w:tcPr>
            <w:tcW w:w="912" w:type="dxa"/>
            <w:vMerge w:val="restart"/>
            <w:vAlign w:val="center"/>
          </w:tcPr>
          <w:p w14:paraId="55EEEBBB">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56790.45</w:t>
            </w:r>
          </w:p>
        </w:tc>
        <w:tc>
          <w:tcPr>
            <w:tcW w:w="996" w:type="dxa"/>
            <w:vAlign w:val="center"/>
          </w:tcPr>
          <w:p w14:paraId="4443FA2A">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68148.54</w:t>
            </w:r>
          </w:p>
        </w:tc>
        <w:tc>
          <w:tcPr>
            <w:tcW w:w="960" w:type="dxa"/>
            <w:vAlign w:val="center"/>
          </w:tcPr>
          <w:p w14:paraId="425CFA65">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10942</w:t>
            </w:r>
          </w:p>
        </w:tc>
        <w:tc>
          <w:tcPr>
            <w:tcW w:w="1500" w:type="dxa"/>
            <w:vAlign w:val="center"/>
          </w:tcPr>
          <w:p w14:paraId="7DAA61C2">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74568.1325</w:t>
            </w:r>
            <w:r>
              <w:rPr>
                <w:rFonts w:ascii="Arial" w:hAnsi="Arial" w:eastAsia="仿宋_GB2312" w:cs="Arial"/>
                <w:color w:val="auto"/>
                <w:sz w:val="18"/>
                <w:szCs w:val="18"/>
              </w:rPr>
              <w:t xml:space="preserve"> </w:t>
            </w:r>
          </w:p>
        </w:tc>
        <w:tc>
          <w:tcPr>
            <w:tcW w:w="1082" w:type="dxa"/>
            <w:vMerge w:val="restart"/>
            <w:tcBorders>
              <w:left w:val="single" w:color="auto" w:sz="4" w:space="0"/>
            </w:tcBorders>
            <w:vAlign w:val="center"/>
          </w:tcPr>
          <w:p w14:paraId="7A7F2369">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建议该宗地入市底价为：74568.1325 万元</w:t>
            </w:r>
          </w:p>
        </w:tc>
      </w:tr>
      <w:tr w14:paraId="48BE2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trHeight w:val="1701" w:hRule="atLeast"/>
          <w:jc w:val="center"/>
        </w:trPr>
        <w:tc>
          <w:tcPr>
            <w:tcW w:w="951" w:type="dxa"/>
            <w:vMerge w:val="continue"/>
            <w:vAlign w:val="center"/>
          </w:tcPr>
          <w:p w14:paraId="47774E1D">
            <w:pPr>
              <w:adjustRightInd/>
              <w:spacing w:line="240" w:lineRule="exact"/>
              <w:jc w:val="center"/>
              <w:rPr>
                <w:rFonts w:ascii="Arial" w:hAnsi="Arial" w:eastAsia="仿宋_GB2312" w:cs="Arial"/>
                <w:color w:val="auto"/>
                <w:sz w:val="18"/>
                <w:szCs w:val="18"/>
              </w:rPr>
            </w:pPr>
          </w:p>
        </w:tc>
        <w:tc>
          <w:tcPr>
            <w:tcW w:w="1268" w:type="dxa"/>
            <w:vMerge w:val="continue"/>
            <w:vAlign w:val="center"/>
          </w:tcPr>
          <w:p w14:paraId="12C85DC5">
            <w:pPr>
              <w:adjustRightInd/>
              <w:spacing w:line="240" w:lineRule="exact"/>
              <w:jc w:val="center"/>
              <w:rPr>
                <w:rFonts w:ascii="Arial" w:hAnsi="Arial" w:eastAsia="仿宋_GB2312" w:cs="Arial"/>
                <w:color w:val="auto"/>
                <w:sz w:val="18"/>
                <w:szCs w:val="18"/>
              </w:rPr>
            </w:pPr>
          </w:p>
        </w:tc>
        <w:tc>
          <w:tcPr>
            <w:tcW w:w="647" w:type="dxa"/>
            <w:vMerge w:val="continue"/>
            <w:vAlign w:val="center"/>
          </w:tcPr>
          <w:p w14:paraId="0501AEDD">
            <w:pPr>
              <w:adjustRightInd/>
              <w:spacing w:line="240" w:lineRule="exact"/>
              <w:jc w:val="center"/>
              <w:rPr>
                <w:rFonts w:ascii="Arial" w:hAnsi="Arial" w:eastAsia="仿宋_GB2312" w:cs="Arial"/>
                <w:color w:val="auto"/>
                <w:sz w:val="18"/>
                <w:szCs w:val="18"/>
              </w:rPr>
            </w:pPr>
          </w:p>
        </w:tc>
        <w:tc>
          <w:tcPr>
            <w:tcW w:w="767" w:type="dxa"/>
            <w:vMerge w:val="continue"/>
            <w:vAlign w:val="center"/>
          </w:tcPr>
          <w:p w14:paraId="16B887F2">
            <w:pPr>
              <w:adjustRightInd/>
              <w:spacing w:line="240" w:lineRule="exact"/>
              <w:jc w:val="center"/>
              <w:rPr>
                <w:rFonts w:ascii="Arial" w:hAnsi="Arial" w:eastAsia="仿宋_GB2312" w:cs="Arial"/>
                <w:color w:val="auto"/>
                <w:sz w:val="18"/>
                <w:szCs w:val="18"/>
              </w:rPr>
            </w:pPr>
          </w:p>
        </w:tc>
        <w:tc>
          <w:tcPr>
            <w:tcW w:w="767" w:type="dxa"/>
            <w:vAlign w:val="center"/>
          </w:tcPr>
          <w:p w14:paraId="1EE28FC8">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其他商业服务业用地</w:t>
            </w:r>
          </w:p>
        </w:tc>
        <w:tc>
          <w:tcPr>
            <w:tcW w:w="717" w:type="dxa"/>
            <w:vMerge w:val="continue"/>
            <w:vAlign w:val="center"/>
          </w:tcPr>
          <w:p w14:paraId="6DB33B93">
            <w:pPr>
              <w:adjustRightInd/>
              <w:spacing w:line="240" w:lineRule="exact"/>
              <w:jc w:val="center"/>
              <w:rPr>
                <w:rFonts w:ascii="Arial" w:hAnsi="Arial" w:eastAsia="仿宋_GB2312" w:cs="Arial"/>
                <w:color w:val="auto"/>
                <w:sz w:val="18"/>
                <w:szCs w:val="18"/>
              </w:rPr>
            </w:pPr>
          </w:p>
        </w:tc>
        <w:tc>
          <w:tcPr>
            <w:tcW w:w="1165" w:type="dxa"/>
            <w:vMerge w:val="continue"/>
            <w:vAlign w:val="center"/>
          </w:tcPr>
          <w:p w14:paraId="3F2CD42C">
            <w:pPr>
              <w:adjustRightInd/>
              <w:spacing w:line="240" w:lineRule="exact"/>
              <w:jc w:val="center"/>
              <w:rPr>
                <w:rFonts w:ascii="Arial" w:hAnsi="Arial" w:eastAsia="仿宋_GB2312" w:cs="Arial"/>
                <w:color w:val="auto"/>
                <w:sz w:val="18"/>
                <w:szCs w:val="18"/>
              </w:rPr>
            </w:pPr>
          </w:p>
        </w:tc>
        <w:tc>
          <w:tcPr>
            <w:tcW w:w="1236" w:type="dxa"/>
            <w:vMerge w:val="continue"/>
            <w:vAlign w:val="center"/>
          </w:tcPr>
          <w:p w14:paraId="50916D3D">
            <w:pPr>
              <w:adjustRightInd/>
              <w:spacing w:line="240" w:lineRule="exact"/>
              <w:jc w:val="center"/>
              <w:rPr>
                <w:rFonts w:ascii="Arial" w:hAnsi="Arial" w:eastAsia="仿宋_GB2312" w:cs="Arial"/>
                <w:color w:val="auto"/>
                <w:sz w:val="18"/>
                <w:szCs w:val="18"/>
              </w:rPr>
            </w:pPr>
          </w:p>
        </w:tc>
        <w:tc>
          <w:tcPr>
            <w:tcW w:w="1032" w:type="dxa"/>
            <w:vAlign w:val="center"/>
          </w:tcPr>
          <w:p w14:paraId="156F78DA">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40</w:t>
            </w:r>
          </w:p>
        </w:tc>
        <w:tc>
          <w:tcPr>
            <w:tcW w:w="912" w:type="dxa"/>
            <w:vMerge w:val="continue"/>
            <w:vAlign w:val="center"/>
          </w:tcPr>
          <w:p w14:paraId="62618B55">
            <w:pPr>
              <w:adjustRightInd/>
              <w:spacing w:line="240" w:lineRule="exact"/>
              <w:jc w:val="center"/>
              <w:rPr>
                <w:rFonts w:ascii="Arial" w:hAnsi="Arial" w:eastAsia="仿宋_GB2312" w:cs="Arial"/>
                <w:color w:val="auto"/>
                <w:sz w:val="18"/>
                <w:szCs w:val="18"/>
              </w:rPr>
            </w:pPr>
          </w:p>
        </w:tc>
        <w:tc>
          <w:tcPr>
            <w:tcW w:w="996" w:type="dxa"/>
            <w:vAlign w:val="center"/>
          </w:tcPr>
          <w:p w14:paraId="3C836CD3">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960" w:type="dxa"/>
            <w:vAlign w:val="center"/>
          </w:tcPr>
          <w:p w14:paraId="0675E743">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5295</w:t>
            </w:r>
          </w:p>
        </w:tc>
        <w:tc>
          <w:tcPr>
            <w:tcW w:w="1500" w:type="dxa"/>
            <w:vAlign w:val="center"/>
          </w:tcPr>
          <w:p w14:paraId="3246DBAB">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082" w:type="dxa"/>
            <w:vMerge w:val="continue"/>
            <w:tcBorders>
              <w:left w:val="single" w:color="auto" w:sz="4" w:space="0"/>
            </w:tcBorders>
            <w:vAlign w:val="center"/>
          </w:tcPr>
          <w:p w14:paraId="6E906414">
            <w:pPr>
              <w:adjustRightInd/>
              <w:spacing w:line="240" w:lineRule="exact"/>
              <w:jc w:val="center"/>
              <w:rPr>
                <w:rFonts w:ascii="Arial" w:hAnsi="Arial" w:eastAsia="仿宋_GB2312" w:cs="Arial"/>
                <w:color w:val="auto"/>
                <w:sz w:val="18"/>
                <w:szCs w:val="18"/>
              </w:rPr>
            </w:pPr>
          </w:p>
        </w:tc>
      </w:tr>
      <w:tr w14:paraId="18188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trHeight w:val="1701" w:hRule="atLeast"/>
          <w:jc w:val="center"/>
        </w:trPr>
        <w:tc>
          <w:tcPr>
            <w:tcW w:w="951" w:type="dxa"/>
            <w:vMerge w:val="continue"/>
            <w:vAlign w:val="center"/>
          </w:tcPr>
          <w:p w14:paraId="2F8D01B1">
            <w:pPr>
              <w:adjustRightInd/>
              <w:spacing w:line="240" w:lineRule="exact"/>
              <w:jc w:val="center"/>
              <w:rPr>
                <w:rFonts w:ascii="Arial" w:hAnsi="Arial" w:eastAsia="仿宋_GB2312" w:cs="Arial"/>
                <w:color w:val="auto"/>
                <w:sz w:val="18"/>
                <w:szCs w:val="18"/>
              </w:rPr>
            </w:pPr>
          </w:p>
        </w:tc>
        <w:tc>
          <w:tcPr>
            <w:tcW w:w="1268" w:type="dxa"/>
            <w:vMerge w:val="continue"/>
            <w:vAlign w:val="center"/>
          </w:tcPr>
          <w:p w14:paraId="141EF0DB">
            <w:pPr>
              <w:adjustRightInd/>
              <w:spacing w:line="240" w:lineRule="exact"/>
              <w:jc w:val="center"/>
              <w:rPr>
                <w:rFonts w:ascii="Arial" w:hAnsi="Arial" w:eastAsia="仿宋_GB2312" w:cs="Arial"/>
                <w:color w:val="auto"/>
                <w:sz w:val="18"/>
                <w:szCs w:val="18"/>
              </w:rPr>
            </w:pPr>
          </w:p>
        </w:tc>
        <w:tc>
          <w:tcPr>
            <w:tcW w:w="647" w:type="dxa"/>
            <w:vMerge w:val="continue"/>
            <w:vAlign w:val="center"/>
          </w:tcPr>
          <w:p w14:paraId="4CBC2A43">
            <w:pPr>
              <w:adjustRightInd/>
              <w:spacing w:line="240" w:lineRule="exact"/>
              <w:jc w:val="center"/>
              <w:rPr>
                <w:rFonts w:ascii="Arial" w:hAnsi="Arial" w:eastAsia="仿宋_GB2312" w:cs="Arial"/>
                <w:color w:val="auto"/>
                <w:sz w:val="18"/>
                <w:szCs w:val="18"/>
              </w:rPr>
            </w:pPr>
          </w:p>
        </w:tc>
        <w:tc>
          <w:tcPr>
            <w:tcW w:w="767" w:type="dxa"/>
            <w:vMerge w:val="continue"/>
            <w:vAlign w:val="center"/>
          </w:tcPr>
          <w:p w14:paraId="463C23A5">
            <w:pPr>
              <w:adjustRightInd/>
              <w:spacing w:line="240" w:lineRule="exact"/>
              <w:jc w:val="center"/>
              <w:rPr>
                <w:rFonts w:ascii="Arial" w:hAnsi="Arial" w:eastAsia="仿宋_GB2312" w:cs="Arial"/>
                <w:color w:val="auto"/>
                <w:sz w:val="18"/>
                <w:szCs w:val="18"/>
              </w:rPr>
            </w:pPr>
          </w:p>
        </w:tc>
        <w:tc>
          <w:tcPr>
            <w:tcW w:w="767" w:type="dxa"/>
            <w:vAlign w:val="center"/>
          </w:tcPr>
          <w:p w14:paraId="0D0A0A02">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公共管理与公共</w:t>
            </w:r>
            <w:r>
              <w:rPr>
                <w:rFonts w:ascii="Arial" w:hAnsi="Arial" w:eastAsia="仿宋_GB2312" w:cs="Arial"/>
                <w:color w:val="auto"/>
                <w:sz w:val="18"/>
                <w:szCs w:val="18"/>
              </w:rPr>
              <w:t>服务</w:t>
            </w:r>
            <w:r>
              <w:rPr>
                <w:rFonts w:hint="eastAsia" w:ascii="Arial" w:hAnsi="Arial" w:eastAsia="仿宋_GB2312" w:cs="Arial"/>
                <w:color w:val="auto"/>
                <w:sz w:val="18"/>
                <w:szCs w:val="18"/>
              </w:rPr>
              <w:t>用地</w:t>
            </w:r>
          </w:p>
        </w:tc>
        <w:tc>
          <w:tcPr>
            <w:tcW w:w="717" w:type="dxa"/>
            <w:vMerge w:val="continue"/>
            <w:vAlign w:val="center"/>
          </w:tcPr>
          <w:p w14:paraId="19FDA10D">
            <w:pPr>
              <w:adjustRightInd/>
              <w:spacing w:line="240" w:lineRule="exact"/>
              <w:jc w:val="center"/>
              <w:rPr>
                <w:rFonts w:ascii="Arial" w:hAnsi="Arial" w:eastAsia="仿宋_GB2312" w:cs="Arial"/>
                <w:color w:val="auto"/>
                <w:sz w:val="18"/>
                <w:szCs w:val="18"/>
              </w:rPr>
            </w:pPr>
          </w:p>
        </w:tc>
        <w:tc>
          <w:tcPr>
            <w:tcW w:w="1165" w:type="dxa"/>
            <w:vMerge w:val="continue"/>
            <w:vAlign w:val="center"/>
          </w:tcPr>
          <w:p w14:paraId="535930BE">
            <w:pPr>
              <w:adjustRightInd/>
              <w:spacing w:line="240" w:lineRule="exact"/>
              <w:jc w:val="center"/>
              <w:rPr>
                <w:rFonts w:ascii="Arial" w:hAnsi="Arial" w:eastAsia="仿宋_GB2312" w:cs="Arial"/>
                <w:color w:val="auto"/>
                <w:sz w:val="18"/>
                <w:szCs w:val="18"/>
              </w:rPr>
            </w:pPr>
          </w:p>
        </w:tc>
        <w:tc>
          <w:tcPr>
            <w:tcW w:w="1236" w:type="dxa"/>
            <w:vMerge w:val="continue"/>
            <w:vAlign w:val="center"/>
          </w:tcPr>
          <w:p w14:paraId="005A83C4">
            <w:pPr>
              <w:adjustRightInd/>
              <w:spacing w:line="240" w:lineRule="exact"/>
              <w:jc w:val="center"/>
              <w:rPr>
                <w:rFonts w:ascii="Arial" w:hAnsi="Arial" w:eastAsia="仿宋_GB2312" w:cs="Arial"/>
                <w:color w:val="auto"/>
                <w:sz w:val="18"/>
                <w:szCs w:val="18"/>
              </w:rPr>
            </w:pPr>
          </w:p>
        </w:tc>
        <w:tc>
          <w:tcPr>
            <w:tcW w:w="1032" w:type="dxa"/>
            <w:vAlign w:val="center"/>
          </w:tcPr>
          <w:p w14:paraId="0F8788C2">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50</w:t>
            </w:r>
          </w:p>
        </w:tc>
        <w:tc>
          <w:tcPr>
            <w:tcW w:w="912" w:type="dxa"/>
            <w:vMerge w:val="continue"/>
            <w:vAlign w:val="center"/>
          </w:tcPr>
          <w:p w14:paraId="45A5D2BC">
            <w:pPr>
              <w:adjustRightInd/>
              <w:spacing w:line="240" w:lineRule="exact"/>
              <w:jc w:val="center"/>
              <w:rPr>
                <w:rFonts w:ascii="Arial" w:hAnsi="Arial" w:eastAsia="仿宋_GB2312" w:cs="Arial"/>
                <w:color w:val="auto"/>
                <w:sz w:val="18"/>
                <w:szCs w:val="18"/>
              </w:rPr>
            </w:pPr>
          </w:p>
        </w:tc>
        <w:tc>
          <w:tcPr>
            <w:tcW w:w="996" w:type="dxa"/>
            <w:vAlign w:val="center"/>
          </w:tcPr>
          <w:p w14:paraId="14CE3ABF">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960" w:type="dxa"/>
            <w:vAlign w:val="center"/>
          </w:tcPr>
          <w:p w14:paraId="6603EE73">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3249</w:t>
            </w:r>
          </w:p>
        </w:tc>
        <w:tc>
          <w:tcPr>
            <w:tcW w:w="1500" w:type="dxa"/>
            <w:vAlign w:val="center"/>
          </w:tcPr>
          <w:p w14:paraId="022197D7">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082" w:type="dxa"/>
            <w:vMerge w:val="continue"/>
            <w:tcBorders>
              <w:left w:val="single" w:color="auto" w:sz="4" w:space="0"/>
            </w:tcBorders>
            <w:vAlign w:val="center"/>
          </w:tcPr>
          <w:p w14:paraId="5C840899">
            <w:pPr>
              <w:adjustRightInd/>
              <w:spacing w:line="240" w:lineRule="exact"/>
              <w:jc w:val="center"/>
              <w:rPr>
                <w:rFonts w:ascii="Arial" w:hAnsi="Arial" w:eastAsia="仿宋_GB2312" w:cs="Arial"/>
                <w:color w:val="auto"/>
                <w:sz w:val="18"/>
                <w:szCs w:val="18"/>
              </w:rPr>
            </w:pPr>
          </w:p>
        </w:tc>
      </w:tr>
      <w:tr w14:paraId="7BE42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951" w:type="dxa"/>
            <w:vAlign w:val="center"/>
          </w:tcPr>
          <w:p w14:paraId="1D40986C">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合计</w:t>
            </w:r>
          </w:p>
        </w:tc>
        <w:tc>
          <w:tcPr>
            <w:tcW w:w="1268" w:type="dxa"/>
            <w:vAlign w:val="center"/>
          </w:tcPr>
          <w:p w14:paraId="5C0EC688">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647" w:type="dxa"/>
            <w:vAlign w:val="center"/>
          </w:tcPr>
          <w:p w14:paraId="5011DEA0">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767" w:type="dxa"/>
            <w:vAlign w:val="center"/>
          </w:tcPr>
          <w:p w14:paraId="227E4D1A">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767" w:type="dxa"/>
            <w:vAlign w:val="center"/>
          </w:tcPr>
          <w:p w14:paraId="6FDE67FB">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717" w:type="dxa"/>
            <w:vAlign w:val="center"/>
          </w:tcPr>
          <w:p w14:paraId="375585B7">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165" w:type="dxa"/>
            <w:vAlign w:val="center"/>
          </w:tcPr>
          <w:p w14:paraId="704EC264">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236" w:type="dxa"/>
            <w:vAlign w:val="center"/>
          </w:tcPr>
          <w:p w14:paraId="3CFD67B3">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032" w:type="dxa"/>
            <w:vAlign w:val="center"/>
          </w:tcPr>
          <w:p w14:paraId="0657DC9D">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912" w:type="dxa"/>
            <w:vAlign w:val="center"/>
          </w:tcPr>
          <w:p w14:paraId="1FAD5730">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56790.45</w:t>
            </w:r>
          </w:p>
        </w:tc>
        <w:tc>
          <w:tcPr>
            <w:tcW w:w="996" w:type="dxa"/>
            <w:vAlign w:val="center"/>
          </w:tcPr>
          <w:p w14:paraId="6A8A1B9D">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68148.54</w:t>
            </w:r>
          </w:p>
        </w:tc>
        <w:tc>
          <w:tcPr>
            <w:tcW w:w="960" w:type="dxa"/>
            <w:vAlign w:val="center"/>
          </w:tcPr>
          <w:p w14:paraId="267C4236">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500" w:type="dxa"/>
            <w:vAlign w:val="center"/>
          </w:tcPr>
          <w:p w14:paraId="5C7AFC82">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74568.1325</w:t>
            </w:r>
            <w:r>
              <w:rPr>
                <w:rFonts w:ascii="Arial" w:hAnsi="Arial" w:eastAsia="仿宋_GB2312" w:cs="Arial"/>
                <w:color w:val="auto"/>
                <w:sz w:val="18"/>
                <w:szCs w:val="18"/>
              </w:rPr>
              <w:t xml:space="preserve">  </w:t>
            </w:r>
          </w:p>
        </w:tc>
        <w:tc>
          <w:tcPr>
            <w:tcW w:w="1082" w:type="dxa"/>
            <w:vMerge w:val="continue"/>
            <w:tcBorders>
              <w:left w:val="single" w:color="auto" w:sz="4" w:space="0"/>
            </w:tcBorders>
            <w:vAlign w:val="center"/>
          </w:tcPr>
          <w:p w14:paraId="23C07DF8">
            <w:pPr>
              <w:adjustRightInd/>
              <w:spacing w:line="240" w:lineRule="exact"/>
              <w:jc w:val="center"/>
              <w:rPr>
                <w:rFonts w:ascii="Arial" w:hAnsi="Arial" w:eastAsia="仿宋_GB2312" w:cs="Arial"/>
                <w:color w:val="auto"/>
                <w:sz w:val="18"/>
                <w:szCs w:val="18"/>
              </w:rPr>
            </w:pPr>
          </w:p>
        </w:tc>
      </w:tr>
    </w:tbl>
    <w:p w14:paraId="716B3F3D">
      <w:pPr>
        <w:adjustRightInd/>
        <w:spacing w:line="240" w:lineRule="exact"/>
        <w:jc w:val="right"/>
        <w:rPr>
          <w:rFonts w:ascii="Arial" w:hAnsi="Arial" w:eastAsia="仿宋_GB2312" w:cs="Arial"/>
          <w:color w:val="auto"/>
          <w:sz w:val="18"/>
          <w:szCs w:val="18"/>
        </w:rPr>
      </w:pPr>
      <w:r>
        <w:rPr>
          <w:rFonts w:hint="eastAsia" w:ascii="Arial" w:hAnsi="Arial" w:eastAsia="仿宋_GB2312" w:cs="Arial"/>
          <w:color w:val="auto"/>
          <w:sz w:val="18"/>
          <w:szCs w:val="18"/>
        </w:rPr>
        <w:t xml:space="preserve">                 </w:t>
      </w:r>
      <w:r>
        <w:rPr>
          <w:rFonts w:ascii="Arial" w:hAnsi="Arial" w:eastAsia="仿宋_GB2312" w:cs="Arial"/>
          <w:color w:val="auto"/>
          <w:sz w:val="18"/>
          <w:szCs w:val="18"/>
        </w:rPr>
        <w:t>币种：人民币</w:t>
      </w:r>
    </w:p>
    <w:p w14:paraId="19D537E6">
      <w:pPr>
        <w:pStyle w:val="91"/>
        <w:spacing w:line="300" w:lineRule="auto"/>
        <w:ind w:right="-408" w:rightChars="-170" w:firstLine="420"/>
        <w:rPr>
          <w:rFonts w:ascii="Arial" w:hAnsi="Arial" w:cs="Arial"/>
          <w:bCs/>
          <w:color w:val="auto"/>
          <w:sz w:val="21"/>
          <w:szCs w:val="21"/>
        </w:rPr>
        <w:sectPr>
          <w:headerReference r:id="rId18" w:type="first"/>
          <w:headerReference r:id="rId17" w:type="default"/>
          <w:footerReference r:id="rId19" w:type="default"/>
          <w:pgSz w:w="16840" w:h="11907" w:orient="landscape"/>
          <w:pgMar w:top="1418" w:right="1418" w:bottom="1134" w:left="1418" w:header="794" w:footer="907" w:gutter="0"/>
          <w:cols w:space="720" w:num="1"/>
          <w:titlePg/>
          <w:docGrid w:linePitch="326" w:charSpace="0"/>
        </w:sectPr>
      </w:pPr>
    </w:p>
    <w:p w14:paraId="3259C356">
      <w:pPr>
        <w:spacing w:line="300" w:lineRule="auto"/>
        <w:ind w:left="1"/>
        <w:jc w:val="both"/>
        <w:rPr>
          <w:rFonts w:ascii="Arial" w:hAnsi="Arial" w:eastAsia="仿宋_GB2312" w:cs="Arial"/>
          <w:b/>
          <w:color w:val="auto"/>
        </w:rPr>
      </w:pPr>
      <w:r>
        <w:rPr>
          <w:rFonts w:ascii="Arial" w:hAnsi="Arial" w:eastAsia="仿宋_GB2312" w:cs="Arial"/>
          <w:b/>
          <w:color w:val="auto"/>
        </w:rPr>
        <w:t>一、上述估价结果的限定条件</w:t>
      </w:r>
    </w:p>
    <w:p w14:paraId="006686D8">
      <w:pPr>
        <w:adjustRightInd/>
        <w:spacing w:line="300" w:lineRule="auto"/>
        <w:jc w:val="both"/>
        <w:rPr>
          <w:rFonts w:ascii="Arial" w:hAnsi="Arial" w:eastAsia="仿宋_GB2312" w:cs="Arial"/>
          <w:bCs/>
          <w:color w:val="auto"/>
        </w:rPr>
      </w:pPr>
      <w:r>
        <w:rPr>
          <w:rFonts w:ascii="Arial" w:hAnsi="Arial" w:eastAsia="仿宋_GB2312" w:cs="Arial"/>
          <w:bCs/>
          <w:color w:val="auto"/>
        </w:rPr>
        <w:t>（一）土地权利限制：至估价期日，估价对象无他项权利；</w:t>
      </w:r>
    </w:p>
    <w:p w14:paraId="3BF547F5">
      <w:pPr>
        <w:adjustRightInd/>
        <w:spacing w:line="300" w:lineRule="auto"/>
        <w:jc w:val="both"/>
        <w:rPr>
          <w:rFonts w:ascii="仿宋_GB2312" w:hAnsi="Arial" w:eastAsia="仿宋_GB2312"/>
          <w:bCs/>
          <w:color w:val="auto"/>
        </w:rPr>
      </w:pPr>
      <w:r>
        <w:rPr>
          <w:rFonts w:ascii="Arial" w:hAnsi="Arial" w:eastAsia="仿宋_GB2312" w:cs="Arial"/>
          <w:bCs/>
          <w:color w:val="auto"/>
        </w:rPr>
        <w:t>（二）基础设施条件：</w:t>
      </w:r>
      <w:r>
        <w:rPr>
          <w:rFonts w:hint="eastAsia" w:ascii="仿宋_GB2312" w:hAnsi="Arial" w:eastAsia="仿宋_GB2312"/>
          <w:bCs/>
          <w:color w:val="auto"/>
        </w:rPr>
        <w:t>估价对象实际开发程度为宗地外“七通”（通路、通上水（自来水、中水）、通下水（雨水、污水）、通电（管沟、电缆）、通讯、通燃气、通热力），宗地红线内场地平整；本次评估设定开发程度为土地开发程度红线外市政基础设施达宗地外“七通”（通路、通上水（自来水、中水）、通下水（雨水、污水）、通电、通讯、通燃气、通热力），宗地红线内场地平整</w:t>
      </w:r>
      <w:r>
        <w:rPr>
          <w:rFonts w:ascii="仿宋_GB2312" w:hAnsi="Arial" w:eastAsia="仿宋_GB2312"/>
          <w:bCs/>
          <w:color w:val="auto"/>
        </w:rPr>
        <w:t>；</w:t>
      </w:r>
    </w:p>
    <w:p w14:paraId="263C7E50">
      <w:pPr>
        <w:adjustRightInd/>
        <w:spacing w:line="300" w:lineRule="auto"/>
        <w:jc w:val="both"/>
        <w:rPr>
          <w:rFonts w:ascii="Arial" w:hAnsi="Arial" w:eastAsia="仿宋_GB2312" w:cs="Arial"/>
          <w:bCs/>
          <w:color w:val="auto"/>
        </w:rPr>
      </w:pPr>
      <w:r>
        <w:rPr>
          <w:rFonts w:ascii="Arial" w:hAnsi="Arial" w:eastAsia="仿宋_GB2312" w:cs="Arial"/>
          <w:bCs/>
          <w:color w:val="auto"/>
        </w:rPr>
        <w:t>（三）规划限制条件：依据</w:t>
      </w:r>
      <w:r>
        <w:rPr>
          <w:rFonts w:hint="eastAsia" w:ascii="Arial" w:hAnsi="Arial" w:eastAsia="仿宋_GB2312" w:cs="Arial"/>
          <w:bCs/>
          <w:color w:val="auto"/>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hint="eastAsia" w:ascii="Arial" w:hAnsi="Arial" w:eastAsia="仿宋_GB2312" w:cs="Arial"/>
          <w:bCs/>
          <w:color w:val="auto"/>
          <w:lang w:val="en-US" w:eastAsia="zh-CN"/>
        </w:rPr>
        <w:t>确定</w:t>
      </w:r>
      <w:r>
        <w:rPr>
          <w:rFonts w:ascii="Arial" w:hAnsi="Arial" w:eastAsia="仿宋_GB2312" w:cs="Arial"/>
          <w:bCs/>
          <w:color w:val="auto"/>
        </w:rPr>
        <w:t>；</w:t>
      </w:r>
    </w:p>
    <w:p w14:paraId="6F707F58">
      <w:pPr>
        <w:adjustRightInd/>
        <w:spacing w:line="300" w:lineRule="auto"/>
        <w:jc w:val="both"/>
        <w:rPr>
          <w:rFonts w:ascii="Arial" w:hAnsi="Arial" w:eastAsia="仿宋_GB2312" w:cs="Arial"/>
          <w:bCs/>
          <w:color w:val="auto"/>
        </w:rPr>
      </w:pPr>
      <w:r>
        <w:rPr>
          <w:rFonts w:ascii="Arial" w:hAnsi="Arial" w:eastAsia="仿宋_GB2312" w:cs="Arial"/>
          <w:bCs/>
          <w:color w:val="auto"/>
        </w:rPr>
        <w:t>（四）影响土地价格的其他限定条件：无。</w:t>
      </w:r>
    </w:p>
    <w:p w14:paraId="4F824B29">
      <w:pPr>
        <w:spacing w:line="300" w:lineRule="auto"/>
        <w:jc w:val="both"/>
        <w:rPr>
          <w:rFonts w:ascii="Arial" w:hAnsi="Arial" w:eastAsia="仿宋_GB2312" w:cs="Arial"/>
          <w:bCs/>
          <w:color w:val="auto"/>
        </w:rPr>
      </w:pPr>
      <w:r>
        <w:rPr>
          <w:rFonts w:ascii="Arial" w:hAnsi="Arial" w:eastAsia="仿宋_GB2312" w:cs="Arial"/>
          <w:b/>
          <w:color w:val="auto"/>
        </w:rPr>
        <w:t>二、其他需要说明的事项</w:t>
      </w:r>
      <w:r>
        <w:rPr>
          <w:rFonts w:ascii="Arial" w:hAnsi="Arial" w:eastAsia="仿宋_GB2312" w:cs="Arial"/>
          <w:bCs/>
          <w:color w:val="auto"/>
        </w:rPr>
        <w:t>：</w:t>
      </w:r>
    </w:p>
    <w:p w14:paraId="6801CF4D">
      <w:pPr>
        <w:adjustRightInd/>
        <w:spacing w:line="300" w:lineRule="auto"/>
        <w:jc w:val="both"/>
        <w:rPr>
          <w:rFonts w:ascii="Arial" w:hAnsi="Arial" w:eastAsia="仿宋_GB2312" w:cs="Arial"/>
          <w:bCs/>
          <w:color w:val="auto"/>
        </w:rPr>
      </w:pPr>
      <w:r>
        <w:rPr>
          <w:rFonts w:hint="eastAsia" w:ascii="Arial" w:hAnsi="Arial" w:eastAsia="仿宋_GB2312" w:cs="Arial"/>
          <w:bCs/>
          <w:color w:val="auto"/>
        </w:rPr>
        <w:t>（一）本报告结果是在满足地价定义中全部假设与限制条件下的地价，若估价对象的土地权利状况，利用方式、估价期日、土地开发状况，土地使用年期、容积率等影响地价的因素发生了变化，该评估价格应作相应的调整，不能直接使用本次估价结论。</w:t>
      </w:r>
    </w:p>
    <w:p w14:paraId="2970A4EE">
      <w:pPr>
        <w:adjustRightInd/>
        <w:spacing w:line="300" w:lineRule="auto"/>
        <w:jc w:val="both"/>
        <w:rPr>
          <w:rFonts w:ascii="Arial" w:hAnsi="Arial" w:eastAsia="仿宋_GB2312" w:cs="Arial"/>
          <w:bCs/>
          <w:color w:val="auto"/>
        </w:rPr>
      </w:pPr>
      <w:r>
        <w:rPr>
          <w:rFonts w:hint="eastAsia" w:ascii="Arial" w:hAnsi="Arial" w:eastAsia="仿宋_GB2312" w:cs="Arial"/>
          <w:bCs/>
          <w:color w:val="auto"/>
        </w:rPr>
        <w:t>（二）土地权属、利用状况等咨料均由委托方提供，估价师结合执业经验，对上述相关评估资料的真实性、合法性、有效性、适用性进行了尽职核实和专业判断，但资料的真实性最终由委托方负责，如有虚假，评估机构不承担相应责任；房地产市场交易、区位条件等资料由土地估价专业评估师通过住建委、规自委等官网或现场勘查而得，评估机构对所收集资料的真实性、准确性负责。</w:t>
      </w:r>
    </w:p>
    <w:p w14:paraId="54549357">
      <w:pPr>
        <w:adjustRightInd/>
        <w:spacing w:line="300" w:lineRule="auto"/>
        <w:jc w:val="both"/>
        <w:rPr>
          <w:rFonts w:ascii="Arial" w:hAnsi="Arial" w:eastAsia="仿宋_GB2312" w:cs="Arial"/>
          <w:bCs/>
          <w:color w:val="auto"/>
        </w:rPr>
      </w:pPr>
      <w:r>
        <w:rPr>
          <w:rFonts w:hint="eastAsia" w:ascii="Arial" w:hAnsi="Arial" w:eastAsia="仿宋_GB2312" w:cs="Arial"/>
          <w:bCs/>
          <w:color w:val="auto"/>
        </w:rPr>
        <w:t>（三）本报告仅为出让方通过集体决策确定估价对象土地出让底价提供参考依据</w:t>
      </w:r>
      <w:r>
        <w:rPr>
          <w:rFonts w:ascii="Arial" w:hAnsi="Arial" w:eastAsia="仿宋_GB2312" w:cs="Arial"/>
          <w:bCs/>
          <w:color w:val="auto"/>
        </w:rPr>
        <w:t>。</w:t>
      </w:r>
    </w:p>
    <w:p w14:paraId="5FCE5A46">
      <w:pPr>
        <w:spacing w:line="300" w:lineRule="auto"/>
        <w:rPr>
          <w:rFonts w:ascii="Arial" w:hAnsi="Arial" w:eastAsia="仿宋_GB2312" w:cs="Arial"/>
          <w:bCs/>
          <w:color w:val="auto"/>
        </w:rPr>
      </w:pPr>
      <w:r>
        <w:rPr>
          <w:rFonts w:ascii="Arial" w:hAnsi="Arial" w:eastAsia="仿宋_GB2312" w:cs="Arial"/>
          <w:bCs/>
          <w:color w:val="auto"/>
        </w:rPr>
        <w:t xml:space="preserve"> </w:t>
      </w:r>
    </w:p>
    <w:p w14:paraId="04FBCB7F">
      <w:pPr>
        <w:spacing w:line="300" w:lineRule="auto"/>
        <w:ind w:firstLine="7500"/>
        <w:jc w:val="right"/>
        <w:rPr>
          <w:rFonts w:ascii="Arial" w:hAnsi="Arial" w:eastAsia="仿宋_GB2312" w:cs="Arial"/>
          <w:bCs/>
          <w:color w:val="auto"/>
        </w:rPr>
      </w:pPr>
    </w:p>
    <w:p w14:paraId="1CA70F60">
      <w:pPr>
        <w:spacing w:line="300" w:lineRule="auto"/>
        <w:ind w:firstLine="3828"/>
        <w:jc w:val="right"/>
        <w:rPr>
          <w:rFonts w:ascii="Arial" w:hAnsi="Arial" w:eastAsia="仿宋_GB2312" w:cs="Arial"/>
          <w:bCs/>
          <w:color w:val="auto"/>
        </w:rPr>
      </w:pPr>
      <w:r>
        <w:rPr>
          <w:rFonts w:ascii="Arial" w:hAnsi="Arial" w:eastAsia="仿宋_GB2312" w:cs="Arial"/>
          <w:bCs/>
          <w:color w:val="auto"/>
        </w:rPr>
        <w:t xml:space="preserve">估价机构：北京康正宏基房地产评估有限公司  </w:t>
      </w:r>
    </w:p>
    <w:p w14:paraId="2C9E43FA">
      <w:pPr>
        <w:spacing w:line="300" w:lineRule="auto"/>
        <w:ind w:firstLine="3828"/>
        <w:jc w:val="right"/>
        <w:rPr>
          <w:rFonts w:ascii="Arial" w:hAnsi="Arial" w:eastAsia="仿宋_GB2312" w:cs="Arial"/>
          <w:bCs/>
          <w:color w:val="auto"/>
        </w:rPr>
      </w:pPr>
    </w:p>
    <w:p w14:paraId="1BC3F9C0">
      <w:pPr>
        <w:spacing w:line="300" w:lineRule="auto"/>
        <w:ind w:firstLine="3828"/>
        <w:jc w:val="right"/>
        <w:rPr>
          <w:rFonts w:ascii="Arial" w:hAnsi="Arial" w:eastAsia="仿宋_GB2312" w:cs="Arial"/>
          <w:color w:val="auto"/>
          <w:sz w:val="28"/>
        </w:rPr>
      </w:pPr>
      <w:r>
        <w:rPr>
          <w:rFonts w:ascii="Arial" w:hAnsi="Arial" w:eastAsia="仿宋_GB2312" w:cs="Arial"/>
          <w:bCs/>
          <w:color w:val="auto"/>
        </w:rPr>
        <w:t xml:space="preserve">              202</w:t>
      </w:r>
      <w:r>
        <w:rPr>
          <w:rFonts w:hint="eastAsia" w:ascii="Arial" w:hAnsi="Arial" w:eastAsia="仿宋_GB2312" w:cs="Arial"/>
          <w:bCs/>
          <w:color w:val="auto"/>
        </w:rPr>
        <w:t>6</w:t>
      </w:r>
      <w:r>
        <w:rPr>
          <w:rFonts w:ascii="Arial" w:hAnsi="Arial" w:eastAsia="仿宋_GB2312" w:cs="Arial"/>
          <w:bCs/>
          <w:color w:val="auto"/>
        </w:rPr>
        <w:t>年</w:t>
      </w:r>
      <w:r>
        <w:rPr>
          <w:rFonts w:hint="eastAsia" w:ascii="Arial" w:hAnsi="Arial" w:eastAsia="仿宋_GB2312" w:cs="Arial"/>
          <w:bCs/>
          <w:color w:val="auto"/>
        </w:rPr>
        <w:t>4</w:t>
      </w:r>
      <w:r>
        <w:rPr>
          <w:rFonts w:ascii="Arial" w:hAnsi="Arial" w:eastAsia="仿宋_GB2312" w:cs="Arial"/>
          <w:bCs/>
          <w:color w:val="auto"/>
        </w:rPr>
        <w:t>月</w:t>
      </w:r>
      <w:r>
        <w:rPr>
          <w:rFonts w:hint="eastAsia" w:ascii="Arial" w:hAnsi="Arial" w:eastAsia="仿宋_GB2312" w:cs="Arial"/>
          <w:bCs/>
          <w:color w:val="auto"/>
          <w:lang w:val="en-US" w:eastAsia="zh-CN"/>
        </w:rPr>
        <w:t>21</w:t>
      </w:r>
      <w:r>
        <w:rPr>
          <w:rFonts w:ascii="Arial" w:hAnsi="Arial" w:eastAsia="仿宋_GB2312" w:cs="Arial"/>
          <w:bCs/>
          <w:color w:val="auto"/>
        </w:rPr>
        <w:t>日</w:t>
      </w:r>
    </w:p>
    <w:p w14:paraId="658E5EBA">
      <w:pPr>
        <w:spacing w:line="300" w:lineRule="auto"/>
        <w:ind w:firstLine="4480" w:firstLineChars="1600"/>
        <w:rPr>
          <w:rFonts w:ascii="Arial" w:hAnsi="Arial" w:eastAsia="仿宋_GB2312" w:cs="Arial"/>
          <w:color w:val="auto"/>
          <w:sz w:val="28"/>
        </w:rPr>
        <w:sectPr>
          <w:headerReference r:id="rId20" w:type="first"/>
          <w:pgSz w:w="11907" w:h="16840"/>
          <w:pgMar w:top="1418" w:right="1418" w:bottom="1134" w:left="1418" w:header="794" w:footer="907" w:gutter="0"/>
          <w:cols w:space="720" w:num="1"/>
          <w:titlePg/>
          <w:docGrid w:linePitch="326" w:charSpace="0"/>
        </w:sectPr>
      </w:pPr>
    </w:p>
    <w:p w14:paraId="3496ECD4">
      <w:pPr>
        <w:spacing w:line="300" w:lineRule="auto"/>
        <w:jc w:val="center"/>
        <w:outlineLvl w:val="0"/>
        <w:rPr>
          <w:rFonts w:ascii="Arial" w:hAnsi="Arial" w:cs="Arial"/>
          <w:b/>
          <w:color w:val="auto"/>
          <w:sz w:val="32"/>
        </w:rPr>
      </w:pPr>
      <w:bookmarkStart w:id="84" w:name="_Toc132016730"/>
      <w:bookmarkStart w:id="85" w:name="_Toc515458366"/>
      <w:bookmarkStart w:id="86" w:name="_Toc531701560"/>
      <w:bookmarkStart w:id="87" w:name="_Toc138063000"/>
      <w:bookmarkStart w:id="88" w:name="_Toc469066311"/>
      <w:bookmarkStart w:id="89" w:name="_Toc416783528"/>
      <w:bookmarkStart w:id="90" w:name="_Toc520261134"/>
      <w:bookmarkStart w:id="91" w:name="_Toc418750891"/>
      <w:bookmarkStart w:id="92" w:name="_Toc425250313"/>
      <w:r>
        <w:rPr>
          <w:rFonts w:ascii="Arial" w:hAnsi="Arial" w:cs="Arial"/>
          <w:b/>
          <w:color w:val="auto"/>
          <w:sz w:val="32"/>
        </w:rPr>
        <w:t>第二部分</w:t>
      </w:r>
      <w:r>
        <w:rPr>
          <w:rFonts w:ascii="Arial" w:hAnsi="Arial" w:eastAsia="仿宋_GB2312" w:cs="Arial"/>
          <w:b/>
          <w:color w:val="auto"/>
          <w:sz w:val="32"/>
        </w:rPr>
        <w:t xml:space="preserve">  </w:t>
      </w:r>
      <w:r>
        <w:rPr>
          <w:rFonts w:ascii="Arial" w:hAnsi="Arial" w:cs="Arial"/>
          <w:b/>
          <w:color w:val="auto"/>
          <w:sz w:val="32"/>
        </w:rPr>
        <w:t>估价对象界定</w:t>
      </w:r>
      <w:bookmarkEnd w:id="84"/>
      <w:bookmarkEnd w:id="85"/>
      <w:bookmarkEnd w:id="86"/>
      <w:bookmarkEnd w:id="87"/>
      <w:bookmarkEnd w:id="88"/>
      <w:bookmarkEnd w:id="89"/>
      <w:bookmarkEnd w:id="90"/>
      <w:bookmarkEnd w:id="91"/>
      <w:bookmarkEnd w:id="92"/>
    </w:p>
    <w:p w14:paraId="600469A8">
      <w:pPr>
        <w:spacing w:line="300" w:lineRule="auto"/>
        <w:rPr>
          <w:rFonts w:ascii="Arial" w:hAnsi="Arial" w:eastAsia="仿宋_GB2312" w:cs="Arial"/>
          <w:color w:val="auto"/>
          <w:sz w:val="28"/>
        </w:rPr>
      </w:pPr>
    </w:p>
    <w:p w14:paraId="37017120">
      <w:pPr>
        <w:spacing w:line="300" w:lineRule="auto"/>
        <w:outlineLvl w:val="1"/>
        <w:rPr>
          <w:rFonts w:ascii="Arial" w:hAnsi="Arial" w:eastAsia="仿宋_GB2312" w:cs="Arial"/>
          <w:b/>
          <w:color w:val="auto"/>
          <w:sz w:val="28"/>
        </w:rPr>
      </w:pPr>
      <w:bookmarkStart w:id="93" w:name="_Toc138063001"/>
      <w:bookmarkStart w:id="94" w:name="_Toc425250314"/>
      <w:bookmarkStart w:id="95" w:name="_Toc416783529"/>
      <w:bookmarkStart w:id="96" w:name="_Toc132016731"/>
      <w:bookmarkStart w:id="97" w:name="_Toc515458367"/>
      <w:bookmarkStart w:id="98" w:name="_Toc515261594"/>
      <w:bookmarkStart w:id="99" w:name="_Toc469066312"/>
      <w:bookmarkStart w:id="100" w:name="_Toc520261135"/>
      <w:bookmarkStart w:id="101" w:name="_Toc531701561"/>
      <w:bookmarkStart w:id="102" w:name="_Toc418750892"/>
      <w:bookmarkStart w:id="103" w:name="_Toc416783532"/>
      <w:bookmarkStart w:id="104" w:name="_Toc418750895"/>
      <w:bookmarkStart w:id="105" w:name="_Toc425250317"/>
      <w:bookmarkStart w:id="106" w:name="_Toc469066315"/>
      <w:r>
        <w:rPr>
          <w:rFonts w:ascii="Arial" w:hAnsi="Arial" w:eastAsia="仿宋_GB2312" w:cs="Arial"/>
          <w:b/>
          <w:color w:val="auto"/>
          <w:sz w:val="28"/>
        </w:rPr>
        <w:t>一、委托估价方</w:t>
      </w:r>
      <w:bookmarkEnd w:id="93"/>
      <w:bookmarkEnd w:id="94"/>
      <w:bookmarkEnd w:id="95"/>
      <w:bookmarkEnd w:id="96"/>
      <w:bookmarkEnd w:id="97"/>
      <w:bookmarkEnd w:id="98"/>
      <w:bookmarkEnd w:id="99"/>
      <w:bookmarkEnd w:id="100"/>
      <w:bookmarkEnd w:id="101"/>
      <w:bookmarkEnd w:id="102"/>
    </w:p>
    <w:p w14:paraId="7DD4446F">
      <w:pPr>
        <w:spacing w:line="300" w:lineRule="auto"/>
        <w:ind w:firstLine="570"/>
        <w:jc w:val="both"/>
        <w:rPr>
          <w:rFonts w:ascii="Arial" w:hAnsi="Arial" w:eastAsia="仿宋_GB2312" w:cs="Arial"/>
          <w:color w:val="auto"/>
          <w:sz w:val="28"/>
        </w:rPr>
      </w:pPr>
      <w:r>
        <w:rPr>
          <w:rFonts w:ascii="Arial" w:hAnsi="Arial" w:eastAsia="仿宋_GB2312" w:cs="Arial"/>
          <w:color w:val="auto"/>
          <w:sz w:val="28"/>
        </w:rPr>
        <w:t>本次评估委托估价方为</w:t>
      </w:r>
      <w:r>
        <w:rPr>
          <w:rFonts w:hint="eastAsia" w:ascii="Arial" w:hAnsi="Arial" w:eastAsia="仿宋" w:cs="Arial"/>
          <w:bCs/>
          <w:color w:val="auto"/>
          <w:sz w:val="28"/>
          <w:szCs w:val="28"/>
        </w:rPr>
        <w:t>北京市规划和自然资源委员会</w:t>
      </w:r>
      <w:r>
        <w:rPr>
          <w:rFonts w:ascii="Arial" w:hAnsi="Arial" w:eastAsia="仿宋_GB2312" w:cs="Arial"/>
          <w:color w:val="auto"/>
          <w:sz w:val="28"/>
        </w:rPr>
        <w:t>。</w:t>
      </w:r>
    </w:p>
    <w:p w14:paraId="720EA315">
      <w:pPr>
        <w:snapToGrid w:val="0"/>
        <w:spacing w:line="300" w:lineRule="auto"/>
        <w:ind w:firstLine="556"/>
        <w:rPr>
          <w:rFonts w:ascii="Arial" w:hAnsi="Arial" w:eastAsia="仿宋" w:cs="Arial"/>
          <w:color w:val="auto"/>
          <w:sz w:val="28"/>
          <w:szCs w:val="28"/>
        </w:rPr>
      </w:pPr>
      <w:r>
        <w:rPr>
          <w:rFonts w:ascii="Arial" w:hAnsi="Arial" w:eastAsia="仿宋" w:cs="Arial"/>
          <w:color w:val="auto"/>
          <w:sz w:val="28"/>
          <w:szCs w:val="28"/>
        </w:rPr>
        <w:t>单位地址：</w:t>
      </w:r>
      <w:r>
        <w:rPr>
          <w:rFonts w:hint="eastAsia" w:ascii="Arial" w:hAnsi="Arial" w:eastAsia="仿宋" w:cs="Arial"/>
          <w:bCs/>
          <w:color w:val="auto"/>
          <w:sz w:val="28"/>
          <w:szCs w:val="28"/>
        </w:rPr>
        <w:t>北京市通州区承安街1号院</w:t>
      </w:r>
    </w:p>
    <w:p w14:paraId="04FD2DF6">
      <w:pPr>
        <w:tabs>
          <w:tab w:val="left" w:pos="3125"/>
        </w:tabs>
        <w:spacing w:line="300" w:lineRule="auto"/>
        <w:ind w:firstLine="560" w:firstLineChars="200"/>
        <w:jc w:val="both"/>
        <w:rPr>
          <w:rFonts w:ascii="Arial" w:hAnsi="Arial" w:eastAsia="仿宋" w:cs="Arial"/>
          <w:bCs/>
          <w:color w:val="auto"/>
          <w:sz w:val="28"/>
          <w:szCs w:val="28"/>
        </w:rPr>
      </w:pPr>
      <w:r>
        <w:rPr>
          <w:rFonts w:ascii="Arial" w:hAnsi="Arial" w:eastAsia="仿宋" w:cs="Arial"/>
          <w:color w:val="auto"/>
          <w:sz w:val="28"/>
          <w:szCs w:val="28"/>
        </w:rPr>
        <w:t>联系人：</w:t>
      </w:r>
      <w:r>
        <w:rPr>
          <w:rFonts w:hint="eastAsia" w:ascii="Arial" w:hAnsi="Arial" w:eastAsia="仿宋" w:cs="Arial"/>
          <w:bCs/>
          <w:color w:val="auto"/>
          <w:sz w:val="28"/>
          <w:szCs w:val="28"/>
        </w:rPr>
        <w:t>李德润</w:t>
      </w:r>
    </w:p>
    <w:p w14:paraId="5746A4FE">
      <w:pPr>
        <w:tabs>
          <w:tab w:val="left" w:pos="3125"/>
        </w:tabs>
        <w:spacing w:line="300" w:lineRule="auto"/>
        <w:ind w:firstLine="560" w:firstLineChars="200"/>
        <w:jc w:val="both"/>
        <w:rPr>
          <w:rFonts w:ascii="Arial" w:hAnsi="Arial" w:eastAsia="仿宋_GB2312" w:cs="Arial"/>
          <w:color w:val="auto"/>
          <w:sz w:val="28"/>
        </w:rPr>
      </w:pPr>
      <w:r>
        <w:rPr>
          <w:rFonts w:hint="eastAsia" w:ascii="Arial" w:hAnsi="Arial" w:eastAsia="仿宋" w:cs="Arial"/>
          <w:bCs/>
          <w:color w:val="auto"/>
          <w:sz w:val="28"/>
          <w:szCs w:val="28"/>
        </w:rPr>
        <w:t>联系电话：010－55595171</w:t>
      </w:r>
      <w:r>
        <w:rPr>
          <w:rFonts w:ascii="Arial" w:hAnsi="Arial" w:eastAsia="仿宋_GB2312" w:cs="Arial"/>
          <w:color w:val="auto"/>
          <w:sz w:val="28"/>
        </w:rPr>
        <w:tab/>
      </w:r>
    </w:p>
    <w:p w14:paraId="152F1E60">
      <w:pPr>
        <w:adjustRightInd/>
        <w:spacing w:line="300" w:lineRule="auto"/>
        <w:ind w:firstLine="560" w:firstLineChars="200"/>
        <w:jc w:val="both"/>
        <w:rPr>
          <w:rFonts w:ascii="Arial" w:hAnsi="Arial" w:eastAsia="仿宋_GB2312" w:cs="Arial"/>
          <w:color w:val="auto"/>
          <w:sz w:val="28"/>
        </w:rPr>
      </w:pPr>
    </w:p>
    <w:p w14:paraId="7C095B43">
      <w:pPr>
        <w:spacing w:line="300" w:lineRule="auto"/>
        <w:outlineLvl w:val="1"/>
        <w:rPr>
          <w:rFonts w:ascii="Arial" w:hAnsi="Arial" w:eastAsia="仿宋_GB2312" w:cs="Arial"/>
          <w:b/>
          <w:color w:val="auto"/>
          <w:sz w:val="28"/>
        </w:rPr>
      </w:pPr>
      <w:bookmarkStart w:id="107" w:name="_Toc425250315"/>
      <w:bookmarkStart w:id="108" w:name="_Toc416783530"/>
      <w:bookmarkStart w:id="109" w:name="_Toc418750893"/>
      <w:bookmarkStart w:id="110" w:name="_Toc515261595"/>
      <w:bookmarkStart w:id="111" w:name="_Toc132016732"/>
      <w:bookmarkStart w:id="112" w:name="_Toc138063002"/>
      <w:bookmarkStart w:id="113" w:name="_Toc515458368"/>
      <w:bookmarkStart w:id="114" w:name="_Toc520261136"/>
      <w:bookmarkStart w:id="115" w:name="_Toc531701562"/>
      <w:bookmarkStart w:id="116" w:name="_Toc469066313"/>
      <w:r>
        <w:rPr>
          <w:rFonts w:ascii="Arial" w:hAnsi="Arial" w:eastAsia="仿宋_GB2312" w:cs="Arial"/>
          <w:b/>
          <w:color w:val="auto"/>
          <w:sz w:val="28"/>
        </w:rPr>
        <w:t>二、估价对象</w:t>
      </w:r>
      <w:bookmarkEnd w:id="107"/>
      <w:bookmarkEnd w:id="108"/>
      <w:bookmarkEnd w:id="109"/>
      <w:bookmarkEnd w:id="110"/>
      <w:bookmarkEnd w:id="111"/>
      <w:bookmarkEnd w:id="112"/>
      <w:bookmarkEnd w:id="113"/>
      <w:bookmarkEnd w:id="114"/>
      <w:bookmarkEnd w:id="115"/>
      <w:bookmarkEnd w:id="116"/>
    </w:p>
    <w:p w14:paraId="49D5BBF2">
      <w:pPr>
        <w:tabs>
          <w:tab w:val="left" w:pos="9027"/>
        </w:tabs>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估价对象</w:t>
      </w:r>
      <w:r>
        <w:rPr>
          <w:rFonts w:ascii="Arial" w:hAnsi="Arial" w:eastAsia="仿宋" w:cs="Arial"/>
          <w:color w:val="auto"/>
          <w:sz w:val="28"/>
        </w:rPr>
        <w:t>北京市顺义区高丽营镇夏县营村01</w:t>
      </w:r>
      <w:r>
        <w:rPr>
          <w:rFonts w:hint="eastAsia" w:ascii="Arial" w:hAnsi="Arial" w:eastAsia="仿宋" w:cs="Arial"/>
          <w:color w:val="auto"/>
          <w:sz w:val="28"/>
        </w:rPr>
        <w:t>－</w:t>
      </w:r>
      <w:r>
        <w:rPr>
          <w:rFonts w:ascii="Arial" w:hAnsi="Arial" w:eastAsia="仿宋" w:cs="Arial"/>
          <w:color w:val="auto"/>
          <w:sz w:val="28"/>
        </w:rPr>
        <w:t>008等</w:t>
      </w:r>
      <w:r>
        <w:rPr>
          <w:rFonts w:ascii="Arial" w:hAnsi="Arial" w:eastAsia="仿宋" w:cs="Arial"/>
          <w:color w:val="auto"/>
          <w:sz w:val="28"/>
          <w:szCs w:val="28"/>
        </w:rPr>
        <w:t>地块</w:t>
      </w:r>
      <w:r>
        <w:rPr>
          <w:rFonts w:hint="eastAsia" w:ascii="Arial" w:hAnsi="Arial" w:eastAsia="仿宋" w:cs="Arial"/>
          <w:color w:val="auto"/>
          <w:sz w:val="28"/>
          <w:szCs w:val="28"/>
        </w:rPr>
        <w:t>，</w:t>
      </w:r>
      <w:r>
        <w:rPr>
          <w:rFonts w:ascii="Arial" w:hAnsi="Arial" w:eastAsia="仿宋" w:cs="Arial"/>
          <w:color w:val="auto"/>
          <w:sz w:val="28"/>
          <w:szCs w:val="28"/>
        </w:rPr>
        <w:t>位于</w:t>
      </w:r>
      <w:r>
        <w:rPr>
          <w:rFonts w:ascii="Arial" w:hAnsi="Arial" w:eastAsia="仿宋" w:cs="Arial"/>
          <w:color w:val="auto"/>
          <w:sz w:val="28"/>
        </w:rPr>
        <w:t>顺义</w:t>
      </w:r>
      <w:r>
        <w:rPr>
          <w:rFonts w:ascii="Arial" w:hAnsi="Arial" w:eastAsia="仿宋" w:cs="Arial"/>
          <w:color w:val="auto"/>
          <w:sz w:val="28"/>
          <w:szCs w:val="28"/>
        </w:rPr>
        <w:t>区</w:t>
      </w:r>
      <w:r>
        <w:rPr>
          <w:rFonts w:ascii="Arial" w:hAnsi="Arial" w:eastAsia="仿宋" w:cs="Arial"/>
          <w:color w:val="auto"/>
          <w:sz w:val="28"/>
        </w:rPr>
        <w:t>高丽营</w:t>
      </w:r>
      <w:r>
        <w:rPr>
          <w:rFonts w:ascii="Arial" w:hAnsi="Arial" w:eastAsia="仿宋" w:cs="Arial"/>
          <w:color w:val="auto"/>
          <w:sz w:val="28"/>
          <w:szCs w:val="28"/>
        </w:rPr>
        <w:t>镇夏县营村，</w:t>
      </w:r>
      <w:r>
        <w:rPr>
          <w:rFonts w:hint="eastAsia" w:ascii="Arial" w:hAnsi="Arial" w:eastAsia="仿宋" w:cs="Arial"/>
          <w:color w:val="auto"/>
          <w:sz w:val="28"/>
          <w:szCs w:val="28"/>
        </w:rPr>
        <w:t>东至火寺路，西至喜行路，南至丽喜花园，北至鑫鼎街</w:t>
      </w:r>
      <w:r>
        <w:rPr>
          <w:rFonts w:ascii="Arial" w:hAnsi="Arial" w:eastAsia="仿宋" w:cs="Arial"/>
          <w:color w:val="auto"/>
          <w:sz w:val="28"/>
          <w:szCs w:val="28"/>
        </w:rPr>
        <w:t>。该宗地已取得</w:t>
      </w:r>
      <w:r>
        <w:rPr>
          <w:rFonts w:ascii="Arial" w:hAnsi="Arial" w:eastAsia="仿宋" w:cs="Arial"/>
          <w:color w:val="auto"/>
          <w:sz w:val="28"/>
        </w:rPr>
        <w:t>《北京市人民政府关于顺义区二〇二〇年度批次建设用地的批复》（京政地字【2020】121号）</w:t>
      </w:r>
      <w:r>
        <w:rPr>
          <w:rFonts w:ascii="Arial" w:hAnsi="Arial" w:eastAsia="仿宋" w:cs="Arial"/>
          <w:color w:val="auto"/>
          <w:sz w:val="28"/>
          <w:szCs w:val="28"/>
        </w:rPr>
        <w:t>，同意</w:t>
      </w:r>
      <w:r>
        <w:rPr>
          <w:rFonts w:ascii="Arial" w:hAnsi="Arial" w:eastAsia="仿宋" w:cs="Arial"/>
          <w:color w:val="auto"/>
          <w:sz w:val="28"/>
        </w:rPr>
        <w:t>北京中交城市开发有限公司</w:t>
      </w:r>
      <w:r>
        <w:rPr>
          <w:rFonts w:ascii="Arial" w:hAnsi="Arial" w:eastAsia="仿宋" w:cs="Arial"/>
          <w:color w:val="auto"/>
          <w:sz w:val="28"/>
          <w:szCs w:val="28"/>
        </w:rPr>
        <w:t>实施</w:t>
      </w:r>
      <w:r>
        <w:rPr>
          <w:rFonts w:ascii="Arial" w:hAnsi="Arial" w:eastAsia="仿宋" w:cs="Arial"/>
          <w:color w:val="auto"/>
          <w:sz w:val="28"/>
        </w:rPr>
        <w:t>顺义</w:t>
      </w:r>
      <w:r>
        <w:rPr>
          <w:rFonts w:ascii="Arial" w:hAnsi="Arial" w:eastAsia="仿宋" w:cs="Arial"/>
          <w:color w:val="auto"/>
          <w:sz w:val="28"/>
          <w:szCs w:val="28"/>
        </w:rPr>
        <w:t>区高丽营镇夏县营村棚户区</w:t>
      </w:r>
      <w:r>
        <w:rPr>
          <w:rFonts w:ascii="Arial" w:hAnsi="Arial" w:eastAsia="仿宋" w:cs="Arial"/>
          <w:color w:val="auto"/>
          <w:sz w:val="28"/>
        </w:rPr>
        <w:t>，</w:t>
      </w:r>
      <w:r>
        <w:rPr>
          <w:rFonts w:ascii="Arial" w:hAnsi="Arial" w:eastAsia="仿宋" w:cs="Arial"/>
          <w:color w:val="auto"/>
          <w:sz w:val="28"/>
          <w:szCs w:val="28"/>
        </w:rPr>
        <w:t>其中经营性建设用地入市公开交易。根据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,估价对象规划建设用地性质为</w:t>
      </w:r>
      <w:r>
        <w:rPr>
          <w:rFonts w:ascii="Arial" w:hAnsi="Arial" w:eastAsia="仿宋" w:cs="Arial"/>
          <w:color w:val="auto"/>
          <w:sz w:val="28"/>
        </w:rPr>
        <w:t>R2二类居住用地及A334托幼</w:t>
      </w:r>
      <w:r>
        <w:rPr>
          <w:rFonts w:ascii="Arial" w:hAnsi="Arial" w:eastAsia="仿宋" w:cs="Arial"/>
          <w:color w:val="auto"/>
          <w:sz w:val="28"/>
          <w:szCs w:val="28"/>
        </w:rPr>
        <w:t>用地，</w:t>
      </w:r>
      <w:r>
        <w:rPr>
          <w:rFonts w:hint="eastAsia" w:ascii="Arial" w:hAnsi="Arial" w:eastAsia="仿宋" w:cs="Arial"/>
          <w:bCs/>
          <w:color w:val="auto"/>
          <w:sz w:val="28"/>
          <w:szCs w:val="28"/>
        </w:rPr>
        <w:t>北京市规划和自然资源委员会</w:t>
      </w:r>
      <w:r>
        <w:rPr>
          <w:rFonts w:ascii="Arial" w:hAnsi="Arial" w:eastAsia="仿宋" w:cs="Arial"/>
          <w:color w:val="auto"/>
          <w:sz w:val="28"/>
          <w:szCs w:val="28"/>
        </w:rPr>
        <w:t>拟按照规划用途对估价对象实施挂牌供应。</w:t>
      </w:r>
    </w:p>
    <w:p w14:paraId="1EB7A410">
      <w:pPr>
        <w:tabs>
          <w:tab w:val="left" w:pos="9027"/>
        </w:tabs>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w:t>
      </w:r>
      <w:r>
        <w:rPr>
          <w:rFonts w:hint="eastAsia" w:ascii="Arial" w:hAnsi="Arial" w:eastAsia="仿宋"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，本次估价对象01</w:t>
      </w:r>
      <w:r>
        <w:rPr>
          <w:rFonts w:hint="eastAsia" w:ascii="Arial" w:hAnsi="Arial" w:eastAsia="仿宋" w:cs="Arial"/>
          <w:color w:val="auto"/>
          <w:sz w:val="28"/>
        </w:rPr>
        <w:t>－</w:t>
      </w:r>
      <w:r>
        <w:rPr>
          <w:rFonts w:ascii="Arial" w:hAnsi="Arial" w:eastAsia="仿宋" w:cs="Arial"/>
          <w:color w:val="auto"/>
          <w:sz w:val="28"/>
        </w:rPr>
        <w:t>008等地块共4宗地，用地规模合计为60990.43平方米，全部为建设用地，建筑规模合计为71508.52平方米。</w:t>
      </w:r>
      <w:r>
        <w:rPr>
          <w:rFonts w:ascii="Arial" w:hAnsi="Arial" w:eastAsia="仿宋" w:cs="Arial"/>
          <w:color w:val="auto"/>
          <w:sz w:val="28"/>
          <w:szCs w:val="28"/>
        </w:rPr>
        <w:t>其中，估价对象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008地块（R2二类居住用地）建设用地规模为24804.85平方米，地上建筑规模为29765.82平方米，容积率为1.2；</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016地块（R2二类居住用地）建设用地规模为23103.85平方米，地上建筑规模为27724.62平方米，容积率为1.2；</w:t>
      </w:r>
      <w:r>
        <w:rPr>
          <w:rFonts w:ascii="Arial" w:hAnsi="Arial" w:eastAsia="仿宋" w:cs="Arial"/>
          <w:color w:val="auto"/>
          <w:sz w:val="28"/>
          <w:szCs w:val="28"/>
        </w:rPr>
        <w:t>估价对象01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w:t>
      </w:r>
      <w:r>
        <w:rPr>
          <w:rFonts w:ascii="Arial" w:hAnsi="Arial" w:eastAsia="仿宋" w:cs="Arial"/>
          <w:color w:val="auto"/>
          <w:sz w:val="28"/>
        </w:rPr>
        <w:t>地块（R2二类居住用地）建设用地规模为8881.75平方米，地上建筑规模为10658.10平方米，容积率为1.2； 另有</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020地块（A334托幼用地，不出让）建设用地规模为4199.98平方米，地上建筑规模为3359.98平方米，容积率为0.8。</w:t>
      </w:r>
      <w:r>
        <w:rPr>
          <w:rFonts w:hint="eastAsia" w:ascii="Arial" w:hAnsi="Arial" w:eastAsia="仿宋" w:cs="Arial"/>
          <w:color w:val="auto"/>
          <w:sz w:val="28"/>
        </w:rPr>
        <w:t>根据《北京市国有建设用地使用权出让地价评估技术导则》（2026年2月10日实施）中的相关规定，本次评估01－008、01－016、01－026－1地块（R2二类居住用地）容积率为1.2</w:t>
      </w:r>
      <w:r>
        <w:rPr>
          <w:rFonts w:ascii="Arial" w:hAnsi="Arial" w:eastAsia="仿宋" w:cs="Arial"/>
          <w:color w:val="auto"/>
          <w:sz w:val="28"/>
        </w:rPr>
        <w:t>；具体详见下表：</w:t>
      </w:r>
    </w:p>
    <w:p w14:paraId="3BC01ECE">
      <w:pPr>
        <w:tabs>
          <w:tab w:val="left" w:pos="9027"/>
        </w:tabs>
        <w:spacing w:line="300" w:lineRule="auto"/>
        <w:jc w:val="center"/>
        <w:rPr>
          <w:rFonts w:ascii="Arial" w:hAnsi="Arial" w:eastAsia="仿宋_GB2312" w:cs="Arial"/>
          <w:b/>
          <w:color w:val="auto"/>
          <w:sz w:val="28"/>
          <w:szCs w:val="28"/>
        </w:rPr>
      </w:pPr>
      <w:r>
        <w:rPr>
          <w:rFonts w:ascii="Arial" w:hAnsi="Arial" w:eastAsia="仿宋_GB2312" w:cs="Arial"/>
          <w:b/>
          <w:color w:val="auto"/>
          <w:sz w:val="28"/>
          <w:szCs w:val="28"/>
        </w:rPr>
        <w:t>土地用途及建筑规模表</w:t>
      </w:r>
    </w:p>
    <w:tbl>
      <w:tblPr>
        <w:tblStyle w:val="34"/>
        <w:tblW w:w="92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1600"/>
        <w:gridCol w:w="2180"/>
        <w:gridCol w:w="1599"/>
        <w:gridCol w:w="1160"/>
        <w:gridCol w:w="1744"/>
        <w:gridCol w:w="1015"/>
      </w:tblGrid>
      <w:tr w14:paraId="5438C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860" w:type="pct"/>
            <w:vAlign w:val="center"/>
          </w:tcPr>
          <w:p w14:paraId="768B98AA">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规划地块编号</w:t>
            </w:r>
          </w:p>
        </w:tc>
        <w:tc>
          <w:tcPr>
            <w:tcW w:w="1172" w:type="pct"/>
            <w:vAlign w:val="center"/>
          </w:tcPr>
          <w:p w14:paraId="4091BBE9">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用地性质</w:t>
            </w:r>
          </w:p>
        </w:tc>
        <w:tc>
          <w:tcPr>
            <w:tcW w:w="860" w:type="pct"/>
            <w:vAlign w:val="center"/>
          </w:tcPr>
          <w:p w14:paraId="7B67C4DE">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建设用地规模</w:t>
            </w:r>
          </w:p>
          <w:p w14:paraId="372A4952">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（平方米）</w:t>
            </w:r>
          </w:p>
        </w:tc>
        <w:tc>
          <w:tcPr>
            <w:tcW w:w="624" w:type="pct"/>
            <w:vAlign w:val="center"/>
          </w:tcPr>
          <w:p w14:paraId="610369C9">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容积率</w:t>
            </w:r>
          </w:p>
        </w:tc>
        <w:tc>
          <w:tcPr>
            <w:tcW w:w="938" w:type="pct"/>
            <w:vAlign w:val="center"/>
          </w:tcPr>
          <w:p w14:paraId="72F263E2">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地上建筑规模</w:t>
            </w:r>
          </w:p>
          <w:p w14:paraId="73F194A0">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（平方米）</w:t>
            </w:r>
          </w:p>
        </w:tc>
        <w:tc>
          <w:tcPr>
            <w:tcW w:w="546" w:type="pct"/>
            <w:vAlign w:val="center"/>
          </w:tcPr>
          <w:p w14:paraId="2A2236A9">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备注</w:t>
            </w:r>
          </w:p>
        </w:tc>
      </w:tr>
      <w:tr w14:paraId="62802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860" w:type="pct"/>
            <w:vAlign w:val="center"/>
          </w:tcPr>
          <w:p w14:paraId="04A68FFD">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008</w:t>
            </w:r>
          </w:p>
        </w:tc>
        <w:tc>
          <w:tcPr>
            <w:tcW w:w="1172" w:type="pct"/>
            <w:vMerge w:val="restart"/>
            <w:vAlign w:val="center"/>
          </w:tcPr>
          <w:p w14:paraId="5D1C0E94">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R2二类居住用地</w:t>
            </w:r>
          </w:p>
        </w:tc>
        <w:tc>
          <w:tcPr>
            <w:tcW w:w="860" w:type="pct"/>
            <w:vAlign w:val="center"/>
          </w:tcPr>
          <w:p w14:paraId="0BC02180">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24804.85</w:t>
            </w:r>
          </w:p>
        </w:tc>
        <w:tc>
          <w:tcPr>
            <w:tcW w:w="624" w:type="pct"/>
            <w:vMerge w:val="restart"/>
            <w:vAlign w:val="center"/>
          </w:tcPr>
          <w:p w14:paraId="28F8EFF2">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1.2</w:t>
            </w:r>
          </w:p>
        </w:tc>
        <w:tc>
          <w:tcPr>
            <w:tcW w:w="938" w:type="pct"/>
            <w:vAlign w:val="center"/>
          </w:tcPr>
          <w:p w14:paraId="2C40C92F">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29765.82</w:t>
            </w:r>
          </w:p>
        </w:tc>
        <w:tc>
          <w:tcPr>
            <w:tcW w:w="546" w:type="pct"/>
            <w:vAlign w:val="center"/>
          </w:tcPr>
          <w:p w14:paraId="20F5E4DC">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r w14:paraId="6DF47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860" w:type="pct"/>
            <w:vAlign w:val="center"/>
          </w:tcPr>
          <w:p w14:paraId="1B08401E">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016</w:t>
            </w:r>
          </w:p>
        </w:tc>
        <w:tc>
          <w:tcPr>
            <w:tcW w:w="1172" w:type="pct"/>
            <w:vMerge w:val="continue"/>
            <w:vAlign w:val="center"/>
          </w:tcPr>
          <w:p w14:paraId="2F7C8040">
            <w:pPr>
              <w:snapToGrid w:val="0"/>
              <w:spacing w:line="240" w:lineRule="exact"/>
              <w:jc w:val="center"/>
              <w:rPr>
                <w:rFonts w:ascii="Arial" w:hAnsi="Arial" w:eastAsia="仿宋" w:cs="Arial"/>
                <w:color w:val="auto"/>
                <w:sz w:val="18"/>
                <w:szCs w:val="18"/>
              </w:rPr>
            </w:pPr>
          </w:p>
        </w:tc>
        <w:tc>
          <w:tcPr>
            <w:tcW w:w="860" w:type="pct"/>
            <w:vAlign w:val="center"/>
          </w:tcPr>
          <w:p w14:paraId="0CEE5D59">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23103.85</w:t>
            </w:r>
          </w:p>
        </w:tc>
        <w:tc>
          <w:tcPr>
            <w:tcW w:w="624" w:type="pct"/>
            <w:vMerge w:val="continue"/>
            <w:vAlign w:val="center"/>
          </w:tcPr>
          <w:p w14:paraId="7A40F525">
            <w:pPr>
              <w:snapToGrid w:val="0"/>
              <w:spacing w:line="240" w:lineRule="exact"/>
              <w:jc w:val="center"/>
              <w:rPr>
                <w:rFonts w:ascii="Arial" w:hAnsi="Arial" w:eastAsia="仿宋" w:cs="Arial"/>
                <w:color w:val="auto"/>
                <w:sz w:val="18"/>
                <w:szCs w:val="18"/>
              </w:rPr>
            </w:pPr>
          </w:p>
        </w:tc>
        <w:tc>
          <w:tcPr>
            <w:tcW w:w="938" w:type="pct"/>
            <w:vAlign w:val="center"/>
          </w:tcPr>
          <w:p w14:paraId="3F6C654F">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27724.62</w:t>
            </w:r>
          </w:p>
        </w:tc>
        <w:tc>
          <w:tcPr>
            <w:tcW w:w="546" w:type="pct"/>
            <w:vAlign w:val="center"/>
          </w:tcPr>
          <w:p w14:paraId="5CC6CDED">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r w14:paraId="2DF5B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860" w:type="pct"/>
            <w:vAlign w:val="center"/>
          </w:tcPr>
          <w:p w14:paraId="4A4C047F">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026</w:t>
            </w:r>
            <w:r>
              <w:rPr>
                <w:rFonts w:hint="eastAsia" w:ascii="Arial" w:hAnsi="Arial" w:eastAsia="仿宋" w:cs="Arial"/>
                <w:color w:val="auto"/>
                <w:sz w:val="18"/>
                <w:szCs w:val="18"/>
              </w:rPr>
              <w:t>－</w:t>
            </w:r>
            <w:r>
              <w:rPr>
                <w:rFonts w:ascii="Arial" w:hAnsi="Arial" w:eastAsia="仿宋" w:cs="Arial"/>
                <w:color w:val="auto"/>
                <w:sz w:val="18"/>
                <w:szCs w:val="18"/>
              </w:rPr>
              <w:t>1</w:t>
            </w:r>
          </w:p>
        </w:tc>
        <w:tc>
          <w:tcPr>
            <w:tcW w:w="1172" w:type="pct"/>
            <w:vMerge w:val="continue"/>
            <w:vAlign w:val="center"/>
          </w:tcPr>
          <w:p w14:paraId="08098B36">
            <w:pPr>
              <w:snapToGrid w:val="0"/>
              <w:spacing w:line="240" w:lineRule="exact"/>
              <w:jc w:val="center"/>
              <w:rPr>
                <w:rFonts w:ascii="Arial" w:hAnsi="Arial" w:eastAsia="仿宋" w:cs="Arial"/>
                <w:color w:val="auto"/>
                <w:sz w:val="18"/>
                <w:szCs w:val="18"/>
              </w:rPr>
            </w:pPr>
          </w:p>
        </w:tc>
        <w:tc>
          <w:tcPr>
            <w:tcW w:w="860" w:type="pct"/>
            <w:vAlign w:val="center"/>
          </w:tcPr>
          <w:p w14:paraId="0340D081">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8881.75</w:t>
            </w:r>
          </w:p>
        </w:tc>
        <w:tc>
          <w:tcPr>
            <w:tcW w:w="624" w:type="pct"/>
            <w:vMerge w:val="continue"/>
            <w:vAlign w:val="center"/>
          </w:tcPr>
          <w:p w14:paraId="0CD4ADFE">
            <w:pPr>
              <w:snapToGrid w:val="0"/>
              <w:spacing w:line="240" w:lineRule="exact"/>
              <w:jc w:val="center"/>
              <w:rPr>
                <w:rFonts w:ascii="Arial" w:hAnsi="Arial" w:eastAsia="仿宋" w:cs="Arial"/>
                <w:color w:val="auto"/>
                <w:sz w:val="18"/>
                <w:szCs w:val="18"/>
              </w:rPr>
            </w:pPr>
          </w:p>
        </w:tc>
        <w:tc>
          <w:tcPr>
            <w:tcW w:w="938" w:type="pct"/>
            <w:vAlign w:val="center"/>
          </w:tcPr>
          <w:p w14:paraId="13D9988B">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10658.10</w:t>
            </w:r>
          </w:p>
        </w:tc>
        <w:tc>
          <w:tcPr>
            <w:tcW w:w="546" w:type="pct"/>
            <w:vAlign w:val="center"/>
          </w:tcPr>
          <w:p w14:paraId="24F52821">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r w14:paraId="65AF3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2032" w:type="pct"/>
            <w:gridSpan w:val="2"/>
            <w:vAlign w:val="center"/>
          </w:tcPr>
          <w:p w14:paraId="6350912C">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小计</w:t>
            </w:r>
          </w:p>
        </w:tc>
        <w:tc>
          <w:tcPr>
            <w:tcW w:w="860" w:type="pct"/>
            <w:vAlign w:val="center"/>
          </w:tcPr>
          <w:p w14:paraId="421E65FE">
            <w:pPr>
              <w:snapToGrid w:val="0"/>
              <w:spacing w:line="240" w:lineRule="exact"/>
              <w:jc w:val="center"/>
              <w:rPr>
                <w:rFonts w:ascii="Arial" w:hAnsi="Arial" w:eastAsia="仿宋" w:cs="Arial"/>
                <w:color w:val="auto"/>
                <w:sz w:val="18"/>
                <w:szCs w:val="18"/>
              </w:rPr>
            </w:pPr>
            <w:r>
              <w:rPr>
                <w:rFonts w:hint="eastAsia" w:ascii="Arial" w:hAnsi="Arial" w:eastAsia="仿宋" w:cs="Arial"/>
                <w:color w:val="auto"/>
                <w:sz w:val="18"/>
                <w:szCs w:val="18"/>
              </w:rPr>
              <w:t>56790.45</w:t>
            </w:r>
          </w:p>
        </w:tc>
        <w:tc>
          <w:tcPr>
            <w:tcW w:w="624" w:type="pct"/>
            <w:vAlign w:val="center"/>
          </w:tcPr>
          <w:p w14:paraId="12A07552">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1.2</w:t>
            </w:r>
          </w:p>
        </w:tc>
        <w:tc>
          <w:tcPr>
            <w:tcW w:w="938" w:type="pct"/>
            <w:vAlign w:val="center"/>
          </w:tcPr>
          <w:p w14:paraId="2A338603">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68148.54</w:t>
            </w:r>
          </w:p>
        </w:tc>
        <w:tc>
          <w:tcPr>
            <w:tcW w:w="546" w:type="pct"/>
            <w:vAlign w:val="center"/>
          </w:tcPr>
          <w:p w14:paraId="16395B4B">
            <w:pPr>
              <w:snapToGrid w:val="0"/>
              <w:spacing w:line="240" w:lineRule="exact"/>
              <w:jc w:val="center"/>
              <w:rPr>
                <w:rFonts w:ascii="Arial" w:hAnsi="Arial" w:eastAsia="仿宋" w:cs="Arial"/>
                <w:color w:val="auto"/>
                <w:sz w:val="18"/>
                <w:szCs w:val="18"/>
              </w:rPr>
            </w:pPr>
          </w:p>
        </w:tc>
      </w:tr>
      <w:tr w14:paraId="5E559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860" w:type="pct"/>
            <w:vAlign w:val="center"/>
          </w:tcPr>
          <w:p w14:paraId="19DC825E">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020</w:t>
            </w:r>
          </w:p>
        </w:tc>
        <w:tc>
          <w:tcPr>
            <w:tcW w:w="1172" w:type="pct"/>
            <w:vAlign w:val="center"/>
          </w:tcPr>
          <w:p w14:paraId="36DD1036">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A334托幼用地</w:t>
            </w:r>
          </w:p>
        </w:tc>
        <w:tc>
          <w:tcPr>
            <w:tcW w:w="860" w:type="pct"/>
            <w:vAlign w:val="center"/>
          </w:tcPr>
          <w:p w14:paraId="36B95059">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4199.98</w:t>
            </w:r>
          </w:p>
        </w:tc>
        <w:tc>
          <w:tcPr>
            <w:tcW w:w="624" w:type="pct"/>
            <w:vAlign w:val="center"/>
          </w:tcPr>
          <w:p w14:paraId="1F6B1596">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0.8</w:t>
            </w:r>
          </w:p>
        </w:tc>
        <w:tc>
          <w:tcPr>
            <w:tcW w:w="938" w:type="pct"/>
            <w:vAlign w:val="center"/>
          </w:tcPr>
          <w:p w14:paraId="5979BA5C">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3359.98</w:t>
            </w:r>
          </w:p>
        </w:tc>
        <w:tc>
          <w:tcPr>
            <w:tcW w:w="546" w:type="pct"/>
            <w:vAlign w:val="center"/>
          </w:tcPr>
          <w:p w14:paraId="275337D3">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不出让</w:t>
            </w:r>
          </w:p>
        </w:tc>
      </w:tr>
      <w:tr w14:paraId="6C779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2032" w:type="pct"/>
            <w:gridSpan w:val="2"/>
            <w:vAlign w:val="center"/>
          </w:tcPr>
          <w:p w14:paraId="698F2F5C">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小计</w:t>
            </w:r>
          </w:p>
        </w:tc>
        <w:tc>
          <w:tcPr>
            <w:tcW w:w="860" w:type="pct"/>
            <w:vAlign w:val="center"/>
          </w:tcPr>
          <w:p w14:paraId="284B0619">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4199.98</w:t>
            </w:r>
          </w:p>
        </w:tc>
        <w:tc>
          <w:tcPr>
            <w:tcW w:w="624" w:type="pct"/>
            <w:vAlign w:val="center"/>
          </w:tcPr>
          <w:p w14:paraId="7F007909">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0.8</w:t>
            </w:r>
          </w:p>
        </w:tc>
        <w:tc>
          <w:tcPr>
            <w:tcW w:w="938" w:type="pct"/>
            <w:vAlign w:val="center"/>
          </w:tcPr>
          <w:p w14:paraId="652EC89A">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3359.98</w:t>
            </w:r>
          </w:p>
        </w:tc>
        <w:tc>
          <w:tcPr>
            <w:tcW w:w="546" w:type="pct"/>
            <w:vAlign w:val="center"/>
          </w:tcPr>
          <w:p w14:paraId="4E6A008D">
            <w:pPr>
              <w:snapToGrid w:val="0"/>
              <w:spacing w:line="240" w:lineRule="exact"/>
              <w:jc w:val="center"/>
              <w:rPr>
                <w:rFonts w:ascii="Arial" w:hAnsi="Arial" w:eastAsia="仿宋" w:cs="Arial"/>
                <w:color w:val="auto"/>
                <w:sz w:val="18"/>
                <w:szCs w:val="18"/>
              </w:rPr>
            </w:pPr>
          </w:p>
        </w:tc>
      </w:tr>
      <w:tr w14:paraId="0AB54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2032" w:type="pct"/>
            <w:gridSpan w:val="2"/>
            <w:vAlign w:val="center"/>
          </w:tcPr>
          <w:p w14:paraId="7039D7C1">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合计</w:t>
            </w:r>
          </w:p>
        </w:tc>
        <w:tc>
          <w:tcPr>
            <w:tcW w:w="860" w:type="pct"/>
            <w:vAlign w:val="center"/>
          </w:tcPr>
          <w:p w14:paraId="6D51C17D">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60990.43</w:t>
            </w:r>
          </w:p>
        </w:tc>
        <w:tc>
          <w:tcPr>
            <w:tcW w:w="624" w:type="pct"/>
            <w:vAlign w:val="center"/>
          </w:tcPr>
          <w:p w14:paraId="2D173B04">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c>
          <w:tcPr>
            <w:tcW w:w="938" w:type="pct"/>
            <w:vAlign w:val="center"/>
          </w:tcPr>
          <w:p w14:paraId="2A2BA180">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71508.52</w:t>
            </w:r>
          </w:p>
        </w:tc>
        <w:tc>
          <w:tcPr>
            <w:tcW w:w="546" w:type="pct"/>
            <w:vAlign w:val="center"/>
          </w:tcPr>
          <w:p w14:paraId="17D8BAC5">
            <w:pPr>
              <w:snapToGrid w:val="0"/>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bl>
    <w:p w14:paraId="04CB4472">
      <w:pPr>
        <w:tabs>
          <w:tab w:val="left" w:pos="1418"/>
        </w:tabs>
        <w:adjustRightInd/>
        <w:spacing w:line="240" w:lineRule="exact"/>
        <w:ind w:firstLine="578"/>
        <w:jc w:val="both"/>
        <w:rPr>
          <w:rFonts w:ascii="Arial" w:hAnsi="Arial" w:eastAsia="仿宋_GB2312" w:cs="Arial"/>
          <w:color w:val="auto"/>
          <w:sz w:val="28"/>
        </w:rPr>
      </w:pPr>
    </w:p>
    <w:p w14:paraId="7D1E31BD">
      <w:pPr>
        <w:tabs>
          <w:tab w:val="left" w:pos="1418"/>
        </w:tabs>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估价对象规划用途为R2二类居住用地及A334托幼用地</w:t>
      </w:r>
      <w:r>
        <w:rPr>
          <w:rFonts w:ascii="Arial" w:hAnsi="Arial" w:eastAsia="仿宋" w:cs="Arial"/>
          <w:color w:val="auto"/>
          <w:sz w:val="28"/>
          <w:szCs w:val="28"/>
        </w:rPr>
        <w:t>，</w:t>
      </w:r>
      <w:r>
        <w:rPr>
          <w:rFonts w:ascii="Arial" w:hAnsi="Arial" w:eastAsia="仿宋" w:cs="Arial"/>
          <w:color w:val="auto"/>
          <w:sz w:val="28"/>
        </w:rPr>
        <w:t>根据《北京市人民政府关于更新出让国有建设用地使用权基准地价的通知》（京政发（2022）12号），评估设定用途为</w:t>
      </w:r>
      <w:r>
        <w:rPr>
          <w:rFonts w:hint="eastAsia" w:ascii="Arial" w:hAnsi="Arial" w:eastAsia="仿宋" w:cs="Arial"/>
          <w:color w:val="auto"/>
          <w:sz w:val="28"/>
        </w:rPr>
        <w:t>城镇住宅用地、其他商业服务业用地及公共管理与公共服务用地</w:t>
      </w:r>
      <w:r>
        <w:rPr>
          <w:rFonts w:ascii="Arial" w:hAnsi="Arial" w:eastAsia="仿宋" w:cs="Arial"/>
          <w:color w:val="auto"/>
          <w:sz w:val="28"/>
        </w:rPr>
        <w:t>，</w:t>
      </w:r>
      <w:r>
        <w:rPr>
          <w:rFonts w:ascii="Arial" w:hAnsi="Arial" w:eastAsia="仿宋" w:cs="Arial"/>
          <w:color w:val="auto"/>
          <w:sz w:val="28"/>
          <w:szCs w:val="28"/>
        </w:rPr>
        <w:t>本次评估设定土地使用年限为法定最高使用年限</w:t>
      </w:r>
      <w:r>
        <w:rPr>
          <w:rFonts w:hint="eastAsia" w:ascii="Arial" w:hAnsi="Arial" w:eastAsia="仿宋" w:cs="Arial"/>
          <w:color w:val="auto"/>
          <w:sz w:val="28"/>
          <w:szCs w:val="28"/>
        </w:rPr>
        <w:t>，即城镇住宅用地70年、其他商业服务业用地40年、</w:t>
      </w:r>
      <w:r>
        <w:rPr>
          <w:rFonts w:ascii="Arial" w:hAnsi="Arial" w:eastAsia="仿宋" w:cs="Arial"/>
          <w:color w:val="auto"/>
          <w:sz w:val="28"/>
        </w:rPr>
        <w:t>公共</w:t>
      </w:r>
      <w:r>
        <w:rPr>
          <w:rFonts w:hint="eastAsia" w:ascii="Arial" w:hAnsi="Arial" w:eastAsia="仿宋" w:cs="Arial"/>
          <w:color w:val="auto"/>
          <w:sz w:val="28"/>
        </w:rPr>
        <w:t>管理与公共</w:t>
      </w:r>
      <w:r>
        <w:rPr>
          <w:rFonts w:ascii="Arial" w:hAnsi="Arial" w:eastAsia="仿宋" w:cs="Arial"/>
          <w:color w:val="auto"/>
          <w:sz w:val="28"/>
        </w:rPr>
        <w:t>服务</w:t>
      </w:r>
      <w:r>
        <w:rPr>
          <w:rFonts w:hint="eastAsia" w:ascii="Arial" w:hAnsi="Arial" w:eastAsia="仿宋" w:cs="Arial"/>
          <w:color w:val="auto"/>
          <w:sz w:val="28"/>
        </w:rPr>
        <w:t>用地</w:t>
      </w:r>
      <w:r>
        <w:rPr>
          <w:rFonts w:ascii="Arial" w:hAnsi="Arial" w:eastAsia="仿宋" w:cs="Arial"/>
          <w:color w:val="auto"/>
          <w:sz w:val="28"/>
          <w:szCs w:val="28"/>
        </w:rPr>
        <w:t>50年。</w:t>
      </w:r>
    </w:p>
    <w:p w14:paraId="1801BDE8">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rPr>
        <w:t>根据《北京市人民政府关于更新出让国有建设用地使用权基准地价的通知》（京政发（2022）12号），估价对象属北京市基准地价住宅类九级IX</w:t>
      </w:r>
      <w:r>
        <w:rPr>
          <w:rFonts w:hint="eastAsia" w:ascii="Arial" w:hAnsi="Arial" w:eastAsia="仿宋" w:cs="Arial"/>
          <w:color w:val="auto"/>
          <w:sz w:val="28"/>
        </w:rPr>
        <w:t>－</w:t>
      </w:r>
      <w:r>
        <w:rPr>
          <w:rFonts w:ascii="Arial" w:hAnsi="Arial" w:eastAsia="仿宋" w:cs="Arial"/>
          <w:color w:val="auto"/>
          <w:sz w:val="28"/>
        </w:rPr>
        <w:t>顺5区片、商服类九级IX</w:t>
      </w:r>
      <w:r>
        <w:rPr>
          <w:rFonts w:hint="eastAsia" w:ascii="Arial" w:hAnsi="Arial" w:eastAsia="仿宋" w:cs="Arial"/>
          <w:color w:val="auto"/>
          <w:sz w:val="28"/>
        </w:rPr>
        <w:t>－</w:t>
      </w:r>
      <w:r>
        <w:rPr>
          <w:rFonts w:ascii="Arial" w:hAnsi="Arial" w:eastAsia="仿宋" w:cs="Arial"/>
          <w:color w:val="auto"/>
          <w:sz w:val="28"/>
        </w:rPr>
        <w:t>顺5区片、公共服务类九级IX</w:t>
      </w:r>
      <w:r>
        <w:rPr>
          <w:rFonts w:hint="eastAsia" w:ascii="Arial" w:hAnsi="Arial" w:eastAsia="仿宋" w:cs="Arial"/>
          <w:color w:val="auto"/>
          <w:sz w:val="28"/>
        </w:rPr>
        <w:t>－</w:t>
      </w:r>
      <w:r>
        <w:rPr>
          <w:rFonts w:ascii="Arial" w:hAnsi="Arial" w:eastAsia="仿宋" w:cs="Arial"/>
          <w:color w:val="auto"/>
          <w:sz w:val="28"/>
        </w:rPr>
        <w:t>顺5区片。于估价期日，估价对象所在宗地实际开发程度为</w:t>
      </w:r>
      <w:r>
        <w:rPr>
          <w:rFonts w:hint="eastAsia" w:ascii="Arial" w:hAnsi="Arial" w:eastAsia="仿宋" w:cs="Arial"/>
          <w:color w:val="auto"/>
          <w:sz w:val="28"/>
        </w:rPr>
        <w:t>“七通”（通路、通上水（自来水、中水）、通下水（雨水、污水）、通电（管沟、电缆）、通讯、通燃气、通热力）</w:t>
      </w:r>
      <w:r>
        <w:rPr>
          <w:rFonts w:ascii="Arial" w:hAnsi="Arial" w:eastAsia="仿宋" w:cs="Arial"/>
          <w:color w:val="auto"/>
          <w:sz w:val="28"/>
        </w:rPr>
        <w:t>；评估设定土地开发程度为</w:t>
      </w:r>
      <w:r>
        <w:rPr>
          <w:rFonts w:hint="eastAsia" w:ascii="Arial" w:hAnsi="Arial" w:eastAsia="仿宋" w:cs="Arial"/>
          <w:color w:val="auto"/>
          <w:sz w:val="28"/>
        </w:rPr>
        <w:t>“七通”（通路、通上水（自来水、中水）、通下水（雨水、污水）、通电、通讯、通燃气、通热力）</w:t>
      </w:r>
      <w:r>
        <w:rPr>
          <w:rFonts w:ascii="Arial" w:hAnsi="Arial" w:eastAsia="仿宋" w:cs="Arial"/>
          <w:color w:val="auto"/>
          <w:sz w:val="28"/>
          <w:szCs w:val="28"/>
        </w:rPr>
        <w:t>。</w:t>
      </w:r>
    </w:p>
    <w:p w14:paraId="2509D4A7">
      <w:pPr>
        <w:spacing w:line="300" w:lineRule="auto"/>
        <w:ind w:firstLine="562" w:firstLineChars="200"/>
        <w:jc w:val="both"/>
        <w:rPr>
          <w:rFonts w:ascii="Arial" w:hAnsi="Arial" w:eastAsia="仿宋_GB2312" w:cs="Arial"/>
          <w:b/>
          <w:bCs/>
          <w:color w:val="auto"/>
          <w:sz w:val="28"/>
          <w:szCs w:val="28"/>
        </w:rPr>
      </w:pPr>
    </w:p>
    <w:bookmarkEnd w:id="103"/>
    <w:bookmarkEnd w:id="104"/>
    <w:bookmarkEnd w:id="105"/>
    <w:bookmarkEnd w:id="106"/>
    <w:p w14:paraId="7E8480CB">
      <w:pPr>
        <w:rPr>
          <w:rFonts w:ascii="Arial" w:hAnsi="Arial" w:eastAsia="仿宋_GB2312" w:cs="Arial"/>
          <w:b/>
          <w:bCs/>
          <w:color w:val="auto"/>
          <w:sz w:val="28"/>
        </w:rPr>
      </w:pPr>
      <w:bookmarkStart w:id="117" w:name="_Toc531701563"/>
      <w:bookmarkStart w:id="118" w:name="_Toc416783531"/>
      <w:bookmarkStart w:id="119" w:name="_Toc515458369"/>
      <w:bookmarkStart w:id="120" w:name="_Toc132016733"/>
      <w:bookmarkStart w:id="121" w:name="_Toc138063003"/>
      <w:bookmarkStart w:id="122" w:name="_Toc515261596"/>
      <w:bookmarkStart w:id="123" w:name="_Toc425250316"/>
      <w:bookmarkStart w:id="124" w:name="_Toc520261137"/>
      <w:bookmarkStart w:id="125" w:name="_Toc418750894"/>
      <w:bookmarkStart w:id="126" w:name="_Toc469066314"/>
      <w:bookmarkStart w:id="127" w:name="_Toc515261597"/>
      <w:bookmarkStart w:id="128" w:name="_Toc515458370"/>
      <w:bookmarkStart w:id="129" w:name="_Toc520261138"/>
      <w:r>
        <w:rPr>
          <w:rFonts w:ascii="Arial" w:hAnsi="Arial" w:eastAsia="仿宋_GB2312" w:cs="Arial"/>
          <w:b/>
          <w:bCs/>
          <w:color w:val="auto"/>
          <w:sz w:val="28"/>
        </w:rPr>
        <w:br w:type="page"/>
      </w:r>
    </w:p>
    <w:p w14:paraId="3D5F8ABC">
      <w:pPr>
        <w:adjustRightInd/>
        <w:spacing w:line="300" w:lineRule="auto"/>
        <w:outlineLvl w:val="1"/>
        <w:rPr>
          <w:rFonts w:ascii="Arial" w:hAnsi="Arial" w:eastAsia="仿宋_GB2312" w:cs="Arial"/>
          <w:b/>
          <w:color w:val="auto"/>
          <w:sz w:val="28"/>
        </w:rPr>
      </w:pPr>
      <w:r>
        <w:rPr>
          <w:rFonts w:ascii="Arial" w:hAnsi="Arial" w:eastAsia="仿宋_GB2312" w:cs="Arial"/>
          <w:b/>
          <w:bCs/>
          <w:color w:val="auto"/>
          <w:sz w:val="28"/>
        </w:rPr>
        <w:t>三</w:t>
      </w:r>
      <w:r>
        <w:rPr>
          <w:rFonts w:ascii="Arial" w:hAnsi="Arial" w:eastAsia="仿宋_GB2312" w:cs="Arial"/>
          <w:b/>
          <w:color w:val="auto"/>
          <w:sz w:val="28"/>
        </w:rPr>
        <w:t>、估价对象概况</w:t>
      </w:r>
      <w:bookmarkEnd w:id="117"/>
      <w:bookmarkEnd w:id="118"/>
      <w:bookmarkEnd w:id="119"/>
      <w:bookmarkEnd w:id="120"/>
      <w:bookmarkEnd w:id="121"/>
      <w:bookmarkEnd w:id="122"/>
      <w:bookmarkEnd w:id="123"/>
      <w:bookmarkEnd w:id="124"/>
      <w:bookmarkEnd w:id="125"/>
      <w:bookmarkEnd w:id="126"/>
    </w:p>
    <w:p w14:paraId="20BEDE55">
      <w:pPr>
        <w:adjustRightInd/>
        <w:spacing w:line="300"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（一）土地登记状况</w:t>
      </w:r>
    </w:p>
    <w:p w14:paraId="477F9F98">
      <w:pPr>
        <w:adjustRightInd/>
        <w:spacing w:line="300" w:lineRule="auto"/>
        <w:ind w:firstLine="562" w:firstLineChars="200"/>
        <w:jc w:val="both"/>
        <w:rPr>
          <w:rFonts w:ascii="Arial" w:hAnsi="Arial" w:eastAsia="仿宋" w:cs="Arial"/>
          <w:b/>
          <w:color w:val="auto"/>
          <w:sz w:val="28"/>
        </w:rPr>
      </w:pPr>
      <w:r>
        <w:rPr>
          <w:rFonts w:hint="eastAsia" w:ascii="Arial" w:hAnsi="Arial" w:eastAsia="仿宋" w:cs="Arial"/>
          <w:b/>
          <w:color w:val="auto"/>
          <w:sz w:val="28"/>
        </w:rPr>
        <w:t>1.估价对象的</w:t>
      </w:r>
      <w:r>
        <w:rPr>
          <w:rFonts w:ascii="Arial" w:hAnsi="Arial" w:eastAsia="仿宋" w:cs="Arial"/>
          <w:b/>
          <w:color w:val="auto"/>
          <w:sz w:val="28"/>
        </w:rPr>
        <w:t>来源</w:t>
      </w:r>
      <w:r>
        <w:rPr>
          <w:rFonts w:hint="eastAsia" w:ascii="Arial" w:hAnsi="Arial" w:eastAsia="仿宋" w:cs="Arial"/>
          <w:b/>
          <w:color w:val="auto"/>
          <w:sz w:val="28"/>
        </w:rPr>
        <w:t>及历史沿革</w:t>
      </w:r>
    </w:p>
    <w:p w14:paraId="4572C346">
      <w:pPr>
        <w:adjustRightInd/>
        <w:spacing w:line="300" w:lineRule="auto"/>
        <w:ind w:firstLine="560" w:firstLineChars="200"/>
        <w:jc w:val="both"/>
        <w:rPr>
          <w:rFonts w:ascii="Arial" w:hAnsi="Arial" w:eastAsia="仿宋" w:cs="Arial"/>
          <w:color w:val="auto"/>
          <w:spacing w:val="-6"/>
          <w:sz w:val="28"/>
        </w:rPr>
      </w:pPr>
      <w:r>
        <w:rPr>
          <w:rFonts w:ascii="Arial" w:hAnsi="Arial" w:eastAsia="仿宋" w:cs="Arial"/>
          <w:color w:val="auto"/>
          <w:sz w:val="28"/>
          <w:szCs w:val="28"/>
        </w:rPr>
        <w:t>2020</w:t>
      </w:r>
      <w:r>
        <w:rPr>
          <w:rFonts w:ascii="Arial" w:hAnsi="Arial" w:eastAsia="仿宋" w:cs="Arial"/>
          <w:color w:val="auto"/>
          <w:spacing w:val="-6"/>
          <w:sz w:val="28"/>
        </w:rPr>
        <w:t>年</w:t>
      </w:r>
      <w:r>
        <w:rPr>
          <w:rFonts w:ascii="Arial" w:hAnsi="Arial" w:eastAsia="仿宋" w:cs="Arial"/>
          <w:color w:val="auto"/>
          <w:sz w:val="28"/>
          <w:szCs w:val="28"/>
        </w:rPr>
        <w:t>12</w:t>
      </w:r>
      <w:r>
        <w:rPr>
          <w:rFonts w:ascii="Arial" w:hAnsi="Arial" w:eastAsia="仿宋" w:cs="Arial"/>
          <w:color w:val="auto"/>
          <w:spacing w:val="-6"/>
          <w:sz w:val="28"/>
        </w:rPr>
        <w:t>月</w:t>
      </w:r>
      <w:r>
        <w:rPr>
          <w:rFonts w:ascii="Arial" w:hAnsi="Arial" w:eastAsia="仿宋" w:cs="Arial"/>
          <w:color w:val="auto"/>
          <w:sz w:val="28"/>
          <w:szCs w:val="28"/>
        </w:rPr>
        <w:t>29</w:t>
      </w:r>
      <w:r>
        <w:rPr>
          <w:rFonts w:ascii="Arial" w:hAnsi="Arial" w:eastAsia="仿宋" w:cs="Arial"/>
          <w:color w:val="auto"/>
          <w:spacing w:val="-6"/>
          <w:sz w:val="28"/>
        </w:rPr>
        <w:t>日</w:t>
      </w:r>
      <w:r>
        <w:rPr>
          <w:rFonts w:hint="eastAsia" w:ascii="Arial" w:hAnsi="Arial" w:eastAsia="仿宋" w:cs="Arial"/>
          <w:color w:val="auto"/>
          <w:spacing w:val="-6"/>
          <w:sz w:val="28"/>
        </w:rPr>
        <w:t>，</w:t>
      </w:r>
      <w:r>
        <w:rPr>
          <w:rFonts w:ascii="Arial" w:hAnsi="Arial" w:eastAsia="仿宋" w:cs="Arial"/>
          <w:color w:val="auto"/>
          <w:spacing w:val="-6"/>
          <w:sz w:val="28"/>
        </w:rPr>
        <w:t>取得《北京市人民政府关于顺义区二〇二〇年度批次建设用地的批复》（京政地字【2020】121号），由农用地转为建设用地；</w:t>
      </w:r>
    </w:p>
    <w:p w14:paraId="2C8DF6A4">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2023年5月26日，取得《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，明确了用地性质、建设用地规模及相关建筑技术指标</w:t>
      </w:r>
      <w:r>
        <w:rPr>
          <w:rFonts w:hint="eastAsia" w:ascii="Arial" w:hAnsi="Arial" w:eastAsia="仿宋" w:cs="Arial"/>
          <w:color w:val="auto"/>
          <w:sz w:val="28"/>
        </w:rPr>
        <w:t>；</w:t>
      </w:r>
    </w:p>
    <w:p w14:paraId="70950199">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2</w:t>
      </w:r>
      <w:r>
        <w:rPr>
          <w:rFonts w:ascii="Arial" w:hAnsi="Arial" w:eastAsia="仿宋" w:cs="Arial"/>
          <w:color w:val="auto"/>
          <w:sz w:val="28"/>
        </w:rPr>
        <w:t>023</w:t>
      </w:r>
      <w:r>
        <w:rPr>
          <w:rFonts w:hint="eastAsia" w:ascii="Arial" w:hAnsi="Arial" w:eastAsia="仿宋" w:cs="Arial"/>
          <w:color w:val="auto"/>
          <w:sz w:val="28"/>
        </w:rPr>
        <w:t>年6月2</w:t>
      </w:r>
      <w:r>
        <w:rPr>
          <w:rFonts w:ascii="Arial" w:hAnsi="Arial" w:eastAsia="仿宋" w:cs="Arial"/>
          <w:color w:val="auto"/>
          <w:sz w:val="28"/>
        </w:rPr>
        <w:t>5</w:t>
      </w:r>
      <w:r>
        <w:rPr>
          <w:rFonts w:hint="eastAsia" w:ascii="Arial" w:hAnsi="Arial" w:eastAsia="仿宋" w:cs="Arial"/>
          <w:color w:val="auto"/>
          <w:sz w:val="28"/>
        </w:rPr>
        <w:t>日，取得</w:t>
      </w:r>
      <w:r>
        <w:rPr>
          <w:rFonts w:ascii="Arial" w:hAnsi="Arial" w:eastAsia="仿宋" w:cs="Arial"/>
          <w:color w:val="auto"/>
          <w:sz w:val="28"/>
          <w:szCs w:val="28"/>
        </w:rPr>
        <w:t>《北京市顺义区人民政府关于顺义区高丽营镇夏县营村棚户区改造土地开发项目01</w:t>
      </w:r>
      <w:r>
        <w:rPr>
          <w:rFonts w:hint="eastAsia" w:ascii="Arial" w:hAnsi="Arial" w:eastAsia="仿宋" w:cs="Arial"/>
          <w:color w:val="auto"/>
          <w:sz w:val="28"/>
          <w:szCs w:val="28"/>
        </w:rPr>
        <w:t>－</w:t>
      </w:r>
      <w:r>
        <w:rPr>
          <w:rFonts w:ascii="Arial" w:hAnsi="Arial" w:eastAsia="仿宋" w:cs="Arial"/>
          <w:color w:val="auto"/>
          <w:sz w:val="28"/>
          <w:szCs w:val="28"/>
        </w:rPr>
        <w:t>008、01</w:t>
      </w:r>
      <w:r>
        <w:rPr>
          <w:rFonts w:hint="eastAsia" w:ascii="Arial" w:hAnsi="Arial" w:eastAsia="仿宋" w:cs="Arial"/>
          <w:color w:val="auto"/>
          <w:sz w:val="28"/>
          <w:szCs w:val="28"/>
        </w:rPr>
        <w:t>－</w:t>
      </w:r>
      <w:r>
        <w:rPr>
          <w:rFonts w:ascii="Arial" w:hAnsi="Arial" w:eastAsia="仿宋" w:cs="Arial"/>
          <w:color w:val="auto"/>
          <w:sz w:val="28"/>
          <w:szCs w:val="28"/>
        </w:rPr>
        <w:t>016、01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1、01</w:t>
      </w:r>
      <w:r>
        <w:rPr>
          <w:rFonts w:hint="eastAsia" w:ascii="Arial" w:hAnsi="Arial" w:eastAsia="仿宋" w:cs="Arial"/>
          <w:color w:val="auto"/>
          <w:sz w:val="28"/>
          <w:szCs w:val="28"/>
        </w:rPr>
        <w:t>－</w:t>
      </w:r>
      <w:r>
        <w:rPr>
          <w:rFonts w:ascii="Arial" w:hAnsi="Arial" w:eastAsia="仿宋" w:cs="Arial"/>
          <w:color w:val="auto"/>
          <w:sz w:val="28"/>
          <w:szCs w:val="28"/>
        </w:rPr>
        <w:t>020地块提请地价审核有关事宜的函》（顺政函【2023】151号）</w:t>
      </w:r>
      <w:r>
        <w:rPr>
          <w:rFonts w:hint="eastAsia" w:ascii="Arial" w:hAnsi="Arial" w:eastAsia="仿宋" w:cs="Arial"/>
          <w:color w:val="auto"/>
          <w:sz w:val="28"/>
          <w:szCs w:val="28"/>
        </w:rPr>
        <w:t>，该项目开发主体为北京中交城市开发有限公司，实施主体为北京中交城市开发有限公司。</w:t>
      </w:r>
      <w:r>
        <w:rPr>
          <w:rFonts w:ascii="Arial" w:hAnsi="Arial" w:eastAsia="仿宋" w:cs="Arial"/>
          <w:color w:val="auto"/>
          <w:sz w:val="28"/>
        </w:rPr>
        <w:t>估价对象为拟出让用地，截至估价期日，估价对象尚未办理登记手续。</w:t>
      </w:r>
    </w:p>
    <w:p w14:paraId="0BAC0698">
      <w:pPr>
        <w:adjustRightInd/>
        <w:spacing w:line="300" w:lineRule="auto"/>
        <w:ind w:firstLine="562" w:firstLineChars="200"/>
        <w:jc w:val="both"/>
        <w:rPr>
          <w:rFonts w:ascii="Arial" w:hAnsi="Arial" w:eastAsia="仿宋" w:cs="Arial"/>
          <w:b/>
          <w:color w:val="auto"/>
          <w:sz w:val="28"/>
        </w:rPr>
      </w:pPr>
      <w:r>
        <w:rPr>
          <w:rFonts w:hint="eastAsia" w:ascii="Arial" w:hAnsi="Arial" w:eastAsia="仿宋" w:cs="Arial"/>
          <w:b/>
          <w:color w:val="auto"/>
          <w:sz w:val="28"/>
        </w:rPr>
        <w:t>2.登记状况</w:t>
      </w:r>
    </w:p>
    <w:p w14:paraId="0BC81CE1">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估价对象为拟入市公开交易地块，尚未办理土地出让手续，未办理不 动产权利登记。</w:t>
      </w:r>
    </w:p>
    <w:p w14:paraId="6C07D6D7">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根据委托估价方提供的</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等资料，估价对象相关权属状况如下：</w:t>
      </w:r>
    </w:p>
    <w:p w14:paraId="5BBDDC54">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项目</w:t>
      </w:r>
      <w:r>
        <w:rPr>
          <w:rFonts w:hint="eastAsia" w:ascii="Arial" w:hAnsi="Arial" w:eastAsia="仿宋" w:cs="Arial"/>
          <w:color w:val="auto"/>
          <w:sz w:val="28"/>
          <w:szCs w:val="28"/>
        </w:rPr>
        <w:t>开发主体：北京中交城市开发有限公司；</w:t>
      </w:r>
    </w:p>
    <w:p w14:paraId="3E4E4D9E">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项目实施主体：</w:t>
      </w:r>
      <w:r>
        <w:rPr>
          <w:rFonts w:hint="eastAsia" w:ascii="Arial" w:hAnsi="Arial" w:eastAsia="仿宋" w:cs="Arial"/>
          <w:color w:val="auto"/>
          <w:sz w:val="28"/>
          <w:szCs w:val="28"/>
        </w:rPr>
        <w:t>北京中交城市开发有限公司</w:t>
      </w:r>
      <w:r>
        <w:rPr>
          <w:rFonts w:ascii="Arial" w:hAnsi="Arial" w:eastAsia="仿宋" w:cs="Arial"/>
          <w:color w:val="auto"/>
          <w:sz w:val="28"/>
        </w:rPr>
        <w:t xml:space="preserve">； </w:t>
      </w:r>
    </w:p>
    <w:p w14:paraId="4D2AD573">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地理位置：</w:t>
      </w:r>
      <w:r>
        <w:rPr>
          <w:rFonts w:hint="eastAsia" w:ascii="Arial" w:hAnsi="Arial" w:eastAsia="仿宋" w:cs="Arial"/>
          <w:color w:val="auto"/>
          <w:sz w:val="28"/>
          <w:szCs w:val="28"/>
        </w:rPr>
        <w:t>顺义区高丽营镇</w:t>
      </w:r>
      <w:r>
        <w:rPr>
          <w:rFonts w:ascii="Arial" w:hAnsi="Arial" w:eastAsia="仿宋" w:cs="Arial"/>
          <w:color w:val="auto"/>
          <w:sz w:val="28"/>
        </w:rPr>
        <w:t xml:space="preserve">； </w:t>
      </w:r>
    </w:p>
    <w:p w14:paraId="152B4B5F">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规划总建设用地面积：</w:t>
      </w:r>
      <w:r>
        <w:rPr>
          <w:rFonts w:hint="eastAsia" w:ascii="Arial" w:hAnsi="Arial" w:eastAsia="仿宋" w:cs="Arial"/>
          <w:color w:val="auto"/>
          <w:sz w:val="28"/>
        </w:rPr>
        <w:t>60990.43</w:t>
      </w:r>
      <w:r>
        <w:rPr>
          <w:rFonts w:ascii="Arial" w:hAnsi="Arial" w:eastAsia="仿宋" w:cs="Arial"/>
          <w:color w:val="auto"/>
          <w:sz w:val="28"/>
        </w:rPr>
        <w:t xml:space="preserve">平方米； </w:t>
      </w:r>
    </w:p>
    <w:p w14:paraId="043E9F7E">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土地级别：根据《北京市人民政府关于更新出让国有建设用地使用权基准地价的通知》（京政发（2022）12号）的规定，估价对象属北京市基准地价住宅类九级IX</w:t>
      </w:r>
      <w:r>
        <w:rPr>
          <w:rFonts w:hint="eastAsia" w:ascii="Arial" w:hAnsi="Arial" w:eastAsia="仿宋" w:cs="Arial"/>
          <w:color w:val="auto"/>
          <w:sz w:val="28"/>
        </w:rPr>
        <w:t>－</w:t>
      </w:r>
      <w:r>
        <w:rPr>
          <w:rFonts w:ascii="Arial" w:hAnsi="Arial" w:eastAsia="仿宋" w:cs="Arial"/>
          <w:color w:val="auto"/>
          <w:sz w:val="28"/>
        </w:rPr>
        <w:t>顺5区片、商服类九级IX</w:t>
      </w:r>
      <w:r>
        <w:rPr>
          <w:rFonts w:hint="eastAsia" w:ascii="Arial" w:hAnsi="Arial" w:eastAsia="仿宋" w:cs="Arial"/>
          <w:color w:val="auto"/>
          <w:sz w:val="28"/>
        </w:rPr>
        <w:t>－</w:t>
      </w:r>
      <w:r>
        <w:rPr>
          <w:rFonts w:ascii="Arial" w:hAnsi="Arial" w:eastAsia="仿宋" w:cs="Arial"/>
          <w:color w:val="auto"/>
          <w:sz w:val="28"/>
        </w:rPr>
        <w:t>顺5区片、公共服务类九级IX</w:t>
      </w:r>
      <w:r>
        <w:rPr>
          <w:rFonts w:hint="eastAsia" w:ascii="Arial" w:hAnsi="Arial" w:eastAsia="仿宋" w:cs="Arial"/>
          <w:color w:val="auto"/>
          <w:sz w:val="28"/>
        </w:rPr>
        <w:t>－</w:t>
      </w:r>
      <w:r>
        <w:rPr>
          <w:rFonts w:ascii="Arial" w:hAnsi="Arial" w:eastAsia="仿宋" w:cs="Arial"/>
          <w:color w:val="auto"/>
          <w:sz w:val="28"/>
        </w:rPr>
        <w:t xml:space="preserve">顺5区片； </w:t>
      </w:r>
    </w:p>
    <w:p w14:paraId="7FA81EA2">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 xml:space="preserve">土地权属性质及权属变更：国有储备地块拟出让； </w:t>
      </w:r>
    </w:p>
    <w:p w14:paraId="4D4F80D1">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四至范围：</w:t>
      </w:r>
      <w:r>
        <w:rPr>
          <w:rFonts w:hint="eastAsia" w:ascii="Arial" w:hAnsi="Arial" w:eastAsia="仿宋" w:cs="Arial"/>
          <w:color w:val="auto"/>
          <w:sz w:val="28"/>
        </w:rPr>
        <w:t>东至火寺路，西至喜行路，南至丽喜花园，北至鑫鼎街</w:t>
      </w:r>
      <w:r>
        <w:rPr>
          <w:rFonts w:ascii="Arial" w:hAnsi="Arial" w:eastAsia="仿宋" w:cs="Arial"/>
          <w:color w:val="auto"/>
          <w:sz w:val="28"/>
        </w:rPr>
        <w:t>。</w:t>
      </w:r>
    </w:p>
    <w:p w14:paraId="16798BE9">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（二）土地权利状况</w:t>
      </w:r>
    </w:p>
    <w:p w14:paraId="44B709B6">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 xml:space="preserve">1.土地所有权：估价对象的土地所有权属于国家。 </w:t>
      </w:r>
    </w:p>
    <w:p w14:paraId="0C4637C9">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 xml:space="preserve">2.土地使用权：估价对象于估价期日为拟进行公开招拍挂出让入市交易宗地，待土地出让后，由受让方办理不动产权登记。本次评估设定土地使用权类型为出让。 </w:t>
      </w:r>
    </w:p>
    <w:p w14:paraId="28D22DEC">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3.</w:t>
      </w:r>
      <w:r>
        <w:rPr>
          <w:rFonts w:ascii="Arial" w:hAnsi="Arial" w:eastAsia="仿宋" w:cs="Arial"/>
          <w:color w:val="auto"/>
          <w:sz w:val="28"/>
          <w:szCs w:val="28"/>
        </w:rPr>
        <w:t>土地使用权年限</w:t>
      </w:r>
      <w:r>
        <w:rPr>
          <w:rFonts w:hint="eastAsia" w:ascii="Arial" w:hAnsi="Arial" w:eastAsia="仿宋" w:cs="Arial"/>
          <w:color w:val="auto"/>
          <w:sz w:val="28"/>
          <w:szCs w:val="28"/>
        </w:rPr>
        <w:t>：</w:t>
      </w: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估价对象规划用途为R2二类居住用地及A334托幼用地，其中A334托幼用地不出让。</w:t>
      </w:r>
      <w:r>
        <w:rPr>
          <w:rFonts w:ascii="Arial" w:hAnsi="Arial" w:eastAsia="仿宋" w:cs="Arial"/>
          <w:color w:val="auto"/>
          <w:sz w:val="28"/>
          <w:szCs w:val="28"/>
        </w:rPr>
        <w:t>估价对象于估价期日为拟出让国有建设用地使用权。考虑到本次估价目的，根据《中华人民共和国城镇国有土地使用权出让和转让暂行条例》（国务院令第55号）、</w:t>
      </w:r>
      <w:r>
        <w:rPr>
          <w:rFonts w:ascii="Arial" w:hAnsi="Arial" w:eastAsia="仿宋" w:cs="Arial"/>
          <w:color w:val="auto"/>
          <w:sz w:val="28"/>
        </w:rPr>
        <w:t>《北京市人民政府关于更新出让国有建设用地使用权基准地价的通知》（京政发（2022）12号）</w:t>
      </w:r>
      <w:r>
        <w:rPr>
          <w:rFonts w:hint="eastAsia" w:ascii="Arial" w:hAnsi="Arial" w:eastAsia="仿宋" w:cs="Arial"/>
          <w:color w:val="auto"/>
          <w:sz w:val="28"/>
          <w:szCs w:val="28"/>
        </w:rPr>
        <w:t>、《北京市国有建设用地使用权出让地价评估技术导则》（2026年2月10日实施）相关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 w:cs="Arial"/>
          <w:color w:val="auto"/>
          <w:sz w:val="28"/>
        </w:rPr>
        <w:t>”</w:t>
      </w:r>
      <w:r>
        <w:rPr>
          <w:rFonts w:ascii="Arial" w:hAnsi="Arial" w:eastAsia="仿宋" w:cs="Arial"/>
          <w:color w:val="auto"/>
          <w:sz w:val="28"/>
          <w:szCs w:val="28"/>
        </w:rPr>
        <w:t>本次评估设定土地使用年限为法定最高使用年限</w:t>
      </w:r>
      <w:r>
        <w:rPr>
          <w:rFonts w:hint="eastAsia" w:ascii="Arial" w:hAnsi="Arial" w:eastAsia="仿宋" w:cs="Arial"/>
          <w:color w:val="auto"/>
          <w:sz w:val="28"/>
          <w:szCs w:val="28"/>
        </w:rPr>
        <w:t>，即城镇住宅用地70年、其他商业服务业用地40年、</w:t>
      </w:r>
      <w:r>
        <w:rPr>
          <w:rFonts w:ascii="Arial" w:hAnsi="Arial" w:eastAsia="仿宋" w:cs="Arial"/>
          <w:color w:val="auto"/>
          <w:sz w:val="28"/>
        </w:rPr>
        <w:t>公共</w:t>
      </w:r>
      <w:r>
        <w:rPr>
          <w:rFonts w:hint="eastAsia" w:ascii="Arial" w:hAnsi="Arial" w:eastAsia="仿宋" w:cs="Arial"/>
          <w:color w:val="auto"/>
          <w:sz w:val="28"/>
        </w:rPr>
        <w:t>管理与公共</w:t>
      </w:r>
      <w:r>
        <w:rPr>
          <w:rFonts w:ascii="Arial" w:hAnsi="Arial" w:eastAsia="仿宋" w:cs="Arial"/>
          <w:color w:val="auto"/>
          <w:sz w:val="28"/>
        </w:rPr>
        <w:t>服务</w:t>
      </w:r>
      <w:r>
        <w:rPr>
          <w:rFonts w:hint="eastAsia" w:ascii="Arial" w:hAnsi="Arial" w:eastAsia="仿宋" w:cs="Arial"/>
          <w:color w:val="auto"/>
          <w:sz w:val="28"/>
        </w:rPr>
        <w:t>用地</w:t>
      </w:r>
      <w:r>
        <w:rPr>
          <w:rFonts w:ascii="Arial" w:hAnsi="Arial" w:eastAsia="仿宋" w:cs="Arial"/>
          <w:color w:val="auto"/>
          <w:sz w:val="28"/>
          <w:szCs w:val="28"/>
        </w:rPr>
        <w:t>50年。</w:t>
      </w:r>
    </w:p>
    <w:p w14:paraId="6E1331C6">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4.他项权利状况：根据委托估价方提供的《国有建设用地使用权出让地价评估委托书》，估价对象为拟入市公开交易地块，尚未办理不动产登记手续，故本次估价以估价对象不存在抵押、担保、典当、租赁等他项权利为假设前提，并假定估价对象没有影响估价对象价值的其他他项权利存在。</w:t>
      </w:r>
    </w:p>
    <w:p w14:paraId="34947892">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5.相邻关系权利：相互毗邻的不动产使用人提供便利的同时，能确保双方正常经营及利用。经调查，此次估价对象宗地属合理行使相邻关系权利范围。</w:t>
      </w:r>
    </w:p>
    <w:p w14:paraId="473415B3">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（三）土地利用状况</w:t>
      </w:r>
    </w:p>
    <w:p w14:paraId="20DEBDF2">
      <w:pPr>
        <w:spacing w:line="300" w:lineRule="auto"/>
        <w:jc w:val="both"/>
        <w:rPr>
          <w:rFonts w:ascii="Arial" w:hAnsi="Arial" w:eastAsia="仿宋_GB2312" w:cs="Arial"/>
          <w:color w:val="auto"/>
          <w:sz w:val="28"/>
        </w:rPr>
      </w:pPr>
      <w:r>
        <w:rPr>
          <w:color w:val="auto"/>
        </w:rPr>
        <mc:AlternateContent>
          <mc:Choice Requires="wps">
            <w:drawing>
              <wp:anchor distT="0" distB="0" distL="114300" distR="114300" simplePos="0" relativeHeight="251666432" behindDoc="0" locked="0" layoutInCell="1" allowOverlap="1">
                <wp:simplePos x="0" y="0"/>
                <wp:positionH relativeFrom="column">
                  <wp:posOffset>2961640</wp:posOffset>
                </wp:positionH>
                <wp:positionV relativeFrom="paragraph">
                  <wp:posOffset>12700</wp:posOffset>
                </wp:positionV>
                <wp:extent cx="2436495" cy="1728470"/>
                <wp:effectExtent l="5080" t="4445" r="15875" b="19685"/>
                <wp:wrapNone/>
                <wp:docPr id="3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436495" cy="1728470"/>
                        </a:xfrm>
                        <a:prstGeom prst="rect">
                          <a:avLst/>
                        </a:prstGeom>
                        <a:solidFill>
                          <a:srgbClr val="FFFFFF"/>
                        </a:solidFill>
                        <a:ln w="9525">
                          <a:solidFill>
                            <a:srgbClr val="000000"/>
                          </a:solidFill>
                          <a:miter lim="800000"/>
                        </a:ln>
                      </wps:spPr>
                      <wps:txbx>
                        <w:txbxContent>
                          <w:p w14:paraId="69A7DA0B">
                            <w:r>
                              <w:rPr>
                                <w:rFonts w:hint="eastAsia"/>
                              </w:rPr>
                              <w:drawing>
                                <wp:inline distT="0" distB="0" distL="114300" distR="114300">
                                  <wp:extent cx="2132965" cy="1599565"/>
                                  <wp:effectExtent l="0" t="0" r="635" b="635"/>
                                  <wp:docPr id="35" name="图片 35" descr="0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01-008"/>
                                          <pic:cNvPicPr>
                                            <a:picLocks noChangeAspect="1"/>
                                          </pic:cNvPicPr>
                                        </pic:nvPicPr>
                                        <pic:blipFill>
                                          <a:blip r:embed="rId38"/>
                                          <a:stretch>
                                            <a:fillRect/>
                                          </a:stretch>
                                        </pic:blipFill>
                                        <pic:spPr>
                                          <a:xfrm>
                                            <a:off x="0" y="0"/>
                                            <a:ext cx="2132965" cy="1599565"/>
                                          </a:xfrm>
                                          <a:prstGeom prst="rect">
                                            <a:avLst/>
                                          </a:prstGeom>
                                        </pic:spPr>
                                      </pic:pic>
                                    </a:graphicData>
                                  </a:graphic>
                                </wp:inline>
                              </w:drawing>
                            </w:r>
                          </w:p>
                        </w:txbxContent>
                      </wps:txbx>
                      <wps:bodyPr rot="0" vert="horz" wrap="none" lIns="91440" tIns="45720" rIns="91440" bIns="45720" anchor="t" anchorCtr="0" upright="1">
                        <a:noAutofit/>
                      </wps:bodyPr>
                    </wps:wsp>
                  </a:graphicData>
                </a:graphic>
              </wp:anchor>
            </w:drawing>
          </mc:Choice>
          <mc:Fallback>
            <w:pict>
              <v:shape id="文本框 2" o:spid="_x0000_s1026" o:spt="202" type="#_x0000_t202" style="position:absolute;left:0pt;margin-left:233.2pt;margin-top:1pt;height:136.1pt;width:191.85pt;mso-wrap-style:none;z-index:251666432;mso-width-relative:page;mso-height-relative:page;" fillcolor="#FFFFFF" filled="t" stroked="t" coordsize="21600,21600" o:gfxdata="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OqW622AAAAAkBAAAPAAAAAAAAAAEAIAAAACIA&#10;AABkcnMvZG93bnJldi54bWxQSwECFAAUAAAACACHTuJAc3aNVkICAACHBAAADgAAAAAAAAABACAA&#10;AAAnAQAAZHJzL2Uyb0RvYy54bWxQSwUGAAAAAAYABgBZAQAA2wUAAAAA&#10;">
                <v:fill on="t" focussize="0,0"/>
                <v:stroke color="#000000" miterlimit="8" joinstyle="miter"/>
                <v:imagedata o:title=""/>
                <o:lock v:ext="edit" aspectratio="f"/>
                <v:textbox>
                  <w:txbxContent>
                    <w:p w14:paraId="69A7DA0B">
                      <w:r>
                        <w:rPr>
                          <w:rFonts w:hint="eastAsia"/>
                        </w:rPr>
                        <w:drawing>
                          <wp:inline distT="0" distB="0" distL="114300" distR="114300">
                            <wp:extent cx="2132965" cy="1599565"/>
                            <wp:effectExtent l="0" t="0" r="635" b="635"/>
                            <wp:docPr id="35" name="图片 35" descr="0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01-008"/>
                                    <pic:cNvPicPr>
                                      <a:picLocks noChangeAspect="1"/>
                                    </pic:cNvPicPr>
                                  </pic:nvPicPr>
                                  <pic:blipFill>
                                    <a:blip r:embed="rId38"/>
                                    <a:stretch>
                                      <a:fillRect/>
                                    </a:stretch>
                                  </pic:blipFill>
                                  <pic:spPr>
                                    <a:xfrm>
                                      <a:off x="0" y="0"/>
                                      <a:ext cx="2132965" cy="1599565"/>
                                    </a:xfrm>
                                    <a:prstGeom prst="rect">
                                      <a:avLst/>
                                    </a:prstGeom>
                                  </pic:spPr>
                                </pic:pic>
                              </a:graphicData>
                            </a:graphic>
                          </wp:inline>
                        </w:drawing>
                      </w:r>
                    </w:p>
                  </w:txbxContent>
                </v:textbox>
              </v:shape>
            </w:pict>
          </mc:Fallback>
        </mc:AlternateContent>
      </w:r>
      <w:r>
        <w:rPr>
          <w:color w:val="auto"/>
        </w:rPr>
        <mc:AlternateContent>
          <mc:Choice Requires="wps">
            <w:drawing>
              <wp:anchor distT="0" distB="0" distL="114300" distR="114300" simplePos="0" relativeHeight="251664384" behindDoc="0" locked="0" layoutInCell="1" allowOverlap="1">
                <wp:simplePos x="0" y="0"/>
                <wp:positionH relativeFrom="column">
                  <wp:posOffset>299085</wp:posOffset>
                </wp:positionH>
                <wp:positionV relativeFrom="paragraph">
                  <wp:posOffset>11430</wp:posOffset>
                </wp:positionV>
                <wp:extent cx="2352040" cy="1727835"/>
                <wp:effectExtent l="0" t="0" r="8890" b="17145"/>
                <wp:wrapNone/>
                <wp:docPr id="3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352040" cy="1727835"/>
                        </a:xfrm>
                        <a:prstGeom prst="rect">
                          <a:avLst/>
                        </a:prstGeom>
                        <a:solidFill>
                          <a:srgbClr val="FFFFFF"/>
                        </a:solidFill>
                        <a:ln w="9525">
                          <a:solidFill>
                            <a:srgbClr val="000000"/>
                          </a:solidFill>
                          <a:miter lim="800000"/>
                        </a:ln>
                      </wps:spPr>
                      <wps:txbx>
                        <w:txbxContent>
                          <w:p w14:paraId="0F1EE160">
                            <w:r>
                              <w:rPr>
                                <w:rFonts w:hint="eastAsia"/>
                              </w:rPr>
                              <w:drawing>
                                <wp:inline distT="0" distB="0" distL="114300" distR="114300">
                                  <wp:extent cx="2205990" cy="1609090"/>
                                  <wp:effectExtent l="0" t="0" r="3810" b="6350"/>
                                  <wp:docPr id="36" name="图片 36" descr="01-020、026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01-020、026 (7)"/>
                                          <pic:cNvPicPr>
                                            <a:picLocks noChangeAspect="1"/>
                                          </pic:cNvPicPr>
                                        </pic:nvPicPr>
                                        <pic:blipFill>
                                          <a:blip r:embed="rId39"/>
                                          <a:stretch>
                                            <a:fillRect/>
                                          </a:stretch>
                                        </pic:blipFill>
                                        <pic:spPr>
                                          <a:xfrm>
                                            <a:off x="0" y="0"/>
                                            <a:ext cx="2205990" cy="1609090"/>
                                          </a:xfrm>
                                          <a:prstGeom prst="rect">
                                            <a:avLst/>
                                          </a:prstGeom>
                                        </pic:spPr>
                                      </pic:pic>
                                    </a:graphicData>
                                  </a:graphic>
                                </wp:inline>
                              </w:drawing>
                            </w:r>
                          </w:p>
                        </w:txbxContent>
                      </wps:txbx>
                      <wps:bodyPr rot="0" vert="horz" wrap="none" lIns="91440" tIns="45720" rIns="91440" bIns="45720" anchor="t" anchorCtr="0" upright="1">
                        <a:spAutoFit/>
                      </wps:bodyPr>
                    </wps:wsp>
                  </a:graphicData>
                </a:graphic>
              </wp:anchor>
            </w:drawing>
          </mc:Choice>
          <mc:Fallback>
            <w:pict>
              <v:shape id="文本框 2" o:spid="_x0000_s1026" o:spt="202" type="#_x0000_t202" style="position:absolute;left:0pt;margin-left:23.55pt;margin-top:0.9pt;height:136.05pt;width:185.2pt;mso-wrap-style:none;z-index:251664384;mso-width-relative:page;mso-height-relative:page;" fillcolor="#FFFFFF" filled="t" stroked="t" coordsize="21600,21600" o:gfxdata="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2fj9bNkAAAAIAQAADwAAAAAAAAABACAAAAAiAAAA&#10;ZHJzL2Rvd25yZXYueG1sUEsBAhQAFAAAAAgAh07iQABYbZ8/AgAAhwQAAA4AAAAAAAAAAQAgAAAA&#10;KAEAAGRycy9lMm9Eb2MueG1sUEsFBgAAAAAGAAYAWQEAANkFAAAAAA==&#10;">
                <v:fill on="t" focussize="0,0"/>
                <v:stroke color="#000000" miterlimit="8" joinstyle="miter"/>
                <v:imagedata o:title=""/>
                <o:lock v:ext="edit" aspectratio="f"/>
                <v:textbox style="mso-fit-shape-to-text:t;">
                  <w:txbxContent>
                    <w:p w14:paraId="0F1EE160">
                      <w:r>
                        <w:rPr>
                          <w:rFonts w:hint="eastAsia"/>
                        </w:rPr>
                        <w:drawing>
                          <wp:inline distT="0" distB="0" distL="114300" distR="114300">
                            <wp:extent cx="2205990" cy="1609090"/>
                            <wp:effectExtent l="0" t="0" r="3810" b="6350"/>
                            <wp:docPr id="36" name="图片 36" descr="01-020、026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01-020、026 (7)"/>
                                    <pic:cNvPicPr>
                                      <a:picLocks noChangeAspect="1"/>
                                    </pic:cNvPicPr>
                                  </pic:nvPicPr>
                                  <pic:blipFill>
                                    <a:blip r:embed="rId39"/>
                                    <a:stretch>
                                      <a:fillRect/>
                                    </a:stretch>
                                  </pic:blipFill>
                                  <pic:spPr>
                                    <a:xfrm>
                                      <a:off x="0" y="0"/>
                                      <a:ext cx="2205990" cy="1609090"/>
                                    </a:xfrm>
                                    <a:prstGeom prst="rect">
                                      <a:avLst/>
                                    </a:prstGeom>
                                  </pic:spPr>
                                </pic:pic>
                              </a:graphicData>
                            </a:graphic>
                          </wp:inline>
                        </w:drawing>
                      </w:r>
                    </w:p>
                  </w:txbxContent>
                </v:textbox>
              </v:shape>
            </w:pict>
          </mc:Fallback>
        </mc:AlternateContent>
      </w:r>
      <w:r>
        <w:rPr>
          <w:rFonts w:hint="eastAsia" w:ascii="Arial" w:hAnsi="Arial" w:eastAsia="仿宋_GB2312" w:cs="Arial"/>
          <w:color w:val="auto"/>
          <w:sz w:val="28"/>
        </w:rPr>
        <w:t xml:space="preserve">     </w:t>
      </w:r>
    </w:p>
    <w:p w14:paraId="59DB1F2E">
      <w:pPr>
        <w:rPr>
          <w:color w:val="auto"/>
          <w:szCs w:val="21"/>
        </w:rPr>
      </w:pPr>
    </w:p>
    <w:p w14:paraId="362085B2">
      <w:pPr>
        <w:spacing w:line="300" w:lineRule="auto"/>
        <w:jc w:val="both"/>
        <w:rPr>
          <w:rFonts w:ascii="Arial" w:hAnsi="Arial" w:eastAsia="仿宋_GB2312" w:cs="Arial"/>
          <w:color w:val="auto"/>
          <w:sz w:val="28"/>
        </w:rPr>
      </w:pPr>
    </w:p>
    <w:p w14:paraId="1D771BFF">
      <w:pPr>
        <w:spacing w:line="300" w:lineRule="auto"/>
        <w:jc w:val="both"/>
        <w:rPr>
          <w:rFonts w:ascii="Arial" w:hAnsi="Arial" w:eastAsia="仿宋_GB2312" w:cs="Arial"/>
          <w:color w:val="auto"/>
          <w:sz w:val="28"/>
        </w:rPr>
      </w:pPr>
    </w:p>
    <w:p w14:paraId="6E6BB1B2">
      <w:pPr>
        <w:spacing w:line="300" w:lineRule="auto"/>
        <w:jc w:val="both"/>
        <w:rPr>
          <w:rFonts w:ascii="Arial" w:hAnsi="Arial" w:eastAsia="仿宋_GB2312" w:cs="Arial"/>
          <w:color w:val="auto"/>
          <w:sz w:val="28"/>
        </w:rPr>
      </w:pPr>
    </w:p>
    <w:p w14:paraId="062185E1">
      <w:pPr>
        <w:spacing w:line="300" w:lineRule="auto"/>
        <w:jc w:val="both"/>
        <w:rPr>
          <w:rFonts w:ascii="Arial" w:hAnsi="Arial" w:eastAsia="仿宋_GB2312" w:cs="Arial"/>
          <w:color w:val="auto"/>
          <w:sz w:val="28"/>
        </w:rPr>
      </w:pPr>
    </w:p>
    <w:p w14:paraId="0C6C2A26">
      <w:pPr>
        <w:spacing w:line="300" w:lineRule="auto"/>
        <w:jc w:val="both"/>
        <w:rPr>
          <w:rFonts w:ascii="Arial" w:hAnsi="Arial" w:eastAsia="仿宋_GB2312" w:cs="Arial"/>
          <w:color w:val="auto"/>
          <w:sz w:val="28"/>
        </w:rPr>
      </w:pPr>
    </w:p>
    <w:p w14:paraId="3A7EA0AE">
      <w:pPr>
        <w:adjustRightInd/>
        <w:spacing w:before="240" w:beforeLines="100" w:line="300" w:lineRule="auto"/>
        <w:ind w:firstLine="556"/>
        <w:jc w:val="both"/>
        <w:rPr>
          <w:rFonts w:ascii="Arial" w:hAnsi="Arial" w:eastAsia="仿宋" w:cs="Arial"/>
          <w:color w:val="auto"/>
          <w:sz w:val="28"/>
        </w:rPr>
      </w:pPr>
      <w:r>
        <w:rPr>
          <w:rFonts w:ascii="Arial" w:hAnsi="Arial" w:eastAsia="仿宋" w:cs="Arial"/>
          <w:color w:val="auto"/>
          <w:sz w:val="28"/>
          <w:szCs w:val="28"/>
        </w:rPr>
        <w:t>估价对象位</w:t>
      </w:r>
      <w:r>
        <w:rPr>
          <w:rFonts w:hint="eastAsia" w:ascii="Arial" w:hAnsi="Arial" w:eastAsia="仿宋" w:cs="Arial"/>
          <w:color w:val="auto"/>
          <w:sz w:val="28"/>
          <w:szCs w:val="28"/>
        </w:rPr>
        <w:t>于</w:t>
      </w:r>
      <w:r>
        <w:rPr>
          <w:rFonts w:ascii="Arial" w:hAnsi="Arial" w:eastAsia="仿宋" w:cs="Arial"/>
          <w:color w:val="auto"/>
          <w:sz w:val="28"/>
        </w:rPr>
        <w:t>北京市顺义区高丽营镇夏县营村。</w:t>
      </w: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，本次估价对象01</w:t>
      </w:r>
      <w:r>
        <w:rPr>
          <w:rFonts w:hint="eastAsia" w:ascii="Arial" w:hAnsi="Arial" w:eastAsia="仿宋" w:cs="Arial"/>
          <w:color w:val="auto"/>
          <w:sz w:val="28"/>
        </w:rPr>
        <w:t>－</w:t>
      </w:r>
      <w:r>
        <w:rPr>
          <w:rFonts w:ascii="Arial" w:hAnsi="Arial" w:eastAsia="仿宋" w:cs="Arial"/>
          <w:color w:val="auto"/>
          <w:sz w:val="28"/>
        </w:rPr>
        <w:t>008等地块共4宗地，用地规模合计为60990.43平方米，全部为建设用地，建筑规模合计为71508.52平方米。</w:t>
      </w:r>
      <w:r>
        <w:rPr>
          <w:rFonts w:ascii="Arial" w:hAnsi="Arial" w:eastAsia="仿宋" w:cs="Arial"/>
          <w:color w:val="auto"/>
          <w:sz w:val="28"/>
          <w:szCs w:val="28"/>
        </w:rPr>
        <w:t>其中，估价对象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008地块（R2二类居住用地）建设用地规模为24804.85平方米，地上建筑规模为29765.82平方米，容积率为1.2；</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016地块（R2二类居住用地）建设用地规模为23103.85平方米，地上建筑规模为27724.62平方米，容积率为1.2；</w:t>
      </w:r>
      <w:r>
        <w:rPr>
          <w:rFonts w:ascii="Arial" w:hAnsi="Arial" w:eastAsia="仿宋" w:cs="Arial"/>
          <w:color w:val="auto"/>
          <w:sz w:val="28"/>
          <w:szCs w:val="28"/>
        </w:rPr>
        <w:t xml:space="preserve"> 估价对象01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w:t>
      </w:r>
      <w:r>
        <w:rPr>
          <w:rFonts w:ascii="Arial" w:hAnsi="Arial" w:eastAsia="仿宋" w:cs="Arial"/>
          <w:color w:val="auto"/>
          <w:sz w:val="28"/>
        </w:rPr>
        <w:t>地块（R2二类居住用地）建设用地规模为8881.75平方米，地上建筑规模为10658.10平方米，容积率为1.2；另有</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020地块（A334托幼用地，不出让）建设用地规模为4199.98平方米，地上建筑规模为3359.98平方米，容积率为0.8。</w:t>
      </w:r>
      <w:r>
        <w:rPr>
          <w:rFonts w:hint="eastAsia" w:ascii="Arial" w:hAnsi="Arial" w:eastAsia="仿宋" w:cs="Arial"/>
          <w:color w:val="auto"/>
          <w:sz w:val="28"/>
        </w:rPr>
        <w:t>根据《北京市国有建设用地使用权出让地价评估技术导则》（2026年2月10日实施）中的相关规定，本次评估01－008、01－016、01－026－1地块（R2二类居住用地）容积率为1.2</w:t>
      </w:r>
      <w:r>
        <w:rPr>
          <w:rFonts w:ascii="Arial" w:hAnsi="Arial" w:eastAsia="仿宋" w:cs="Arial"/>
          <w:color w:val="auto"/>
          <w:sz w:val="28"/>
        </w:rPr>
        <w:t>。</w:t>
      </w:r>
    </w:p>
    <w:p w14:paraId="199EF272">
      <w:pPr>
        <w:rPr>
          <w:rFonts w:ascii="Arial" w:hAnsi="Arial" w:eastAsia="仿宋" w:cs="Arial"/>
          <w:color w:val="auto"/>
          <w:sz w:val="28"/>
        </w:rPr>
      </w:pPr>
      <w:r>
        <w:rPr>
          <w:rFonts w:ascii="Arial" w:hAnsi="Arial" w:eastAsia="仿宋" w:cs="Arial"/>
          <w:color w:val="auto"/>
          <w:sz w:val="28"/>
        </w:rPr>
        <w:br w:type="page"/>
      </w:r>
    </w:p>
    <w:p w14:paraId="60702335">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本次拟出让建设用地规模为</w:t>
      </w:r>
      <w:r>
        <w:rPr>
          <w:rFonts w:hint="eastAsia" w:ascii="Arial" w:hAnsi="Arial" w:eastAsia="仿宋" w:cs="Arial"/>
          <w:color w:val="auto"/>
          <w:sz w:val="28"/>
        </w:rPr>
        <w:t>56790.45</w:t>
      </w:r>
      <w:r>
        <w:rPr>
          <w:rFonts w:ascii="Arial" w:hAnsi="Arial" w:eastAsia="仿宋" w:cs="Arial"/>
          <w:color w:val="auto"/>
          <w:sz w:val="28"/>
        </w:rPr>
        <w:t>平方米，具体规划主要技术经济指标详见下表：</w:t>
      </w:r>
    </w:p>
    <w:tbl>
      <w:tblPr>
        <w:tblStyle w:val="34"/>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443"/>
        <w:gridCol w:w="1119"/>
        <w:gridCol w:w="1248"/>
        <w:gridCol w:w="1586"/>
        <w:gridCol w:w="862"/>
        <w:gridCol w:w="1671"/>
        <w:gridCol w:w="1294"/>
        <w:gridCol w:w="849"/>
      </w:tblGrid>
      <w:tr w14:paraId="17A61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333AA415">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序号</w:t>
            </w:r>
          </w:p>
        </w:tc>
        <w:tc>
          <w:tcPr>
            <w:tcW w:w="617" w:type="pct"/>
            <w:vAlign w:val="center"/>
          </w:tcPr>
          <w:p w14:paraId="588833F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规划地块编号</w:t>
            </w:r>
          </w:p>
        </w:tc>
        <w:tc>
          <w:tcPr>
            <w:tcW w:w="688" w:type="pct"/>
            <w:vAlign w:val="center"/>
          </w:tcPr>
          <w:p w14:paraId="31A322E7">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用地性质</w:t>
            </w:r>
          </w:p>
        </w:tc>
        <w:tc>
          <w:tcPr>
            <w:tcW w:w="874" w:type="pct"/>
            <w:vAlign w:val="center"/>
          </w:tcPr>
          <w:p w14:paraId="26195684">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建设用地规模</w:t>
            </w:r>
          </w:p>
          <w:p w14:paraId="5666CC96">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（平方米）</w:t>
            </w:r>
          </w:p>
        </w:tc>
        <w:tc>
          <w:tcPr>
            <w:tcW w:w="475" w:type="pct"/>
            <w:vAlign w:val="center"/>
          </w:tcPr>
          <w:p w14:paraId="5D36944B">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容积率</w:t>
            </w:r>
          </w:p>
        </w:tc>
        <w:tc>
          <w:tcPr>
            <w:tcW w:w="921" w:type="pct"/>
            <w:vAlign w:val="center"/>
          </w:tcPr>
          <w:p w14:paraId="6C683192">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地上建筑规模</w:t>
            </w:r>
          </w:p>
          <w:p w14:paraId="6BDECE56">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（平方米）</w:t>
            </w:r>
          </w:p>
        </w:tc>
        <w:tc>
          <w:tcPr>
            <w:tcW w:w="713" w:type="pct"/>
            <w:vAlign w:val="center"/>
          </w:tcPr>
          <w:p w14:paraId="7822823A">
            <w:pPr>
              <w:widowControl/>
              <w:adjustRightInd/>
              <w:spacing w:line="240" w:lineRule="exact"/>
              <w:jc w:val="center"/>
              <w:textAlignment w:val="auto"/>
              <w:rPr>
                <w:rFonts w:ascii="Arial" w:hAnsi="Arial" w:eastAsia="仿宋" w:cs="Arial"/>
                <w:color w:val="auto"/>
                <w:sz w:val="18"/>
                <w:szCs w:val="18"/>
              </w:rPr>
            </w:pPr>
            <w:r>
              <w:rPr>
                <w:rFonts w:ascii="Arial" w:hAnsi="Arial" w:eastAsia="仿宋" w:cs="Arial"/>
                <w:color w:val="auto"/>
                <w:sz w:val="18"/>
                <w:szCs w:val="18"/>
              </w:rPr>
              <w:t>控制高度（m）</w:t>
            </w:r>
          </w:p>
        </w:tc>
        <w:tc>
          <w:tcPr>
            <w:tcW w:w="468" w:type="pct"/>
            <w:vAlign w:val="center"/>
          </w:tcPr>
          <w:p w14:paraId="215AD8AC">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是否出让</w:t>
            </w:r>
          </w:p>
        </w:tc>
      </w:tr>
      <w:tr w14:paraId="5A836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19AD5085">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w:t>
            </w:r>
          </w:p>
        </w:tc>
        <w:tc>
          <w:tcPr>
            <w:tcW w:w="617" w:type="pct"/>
            <w:vAlign w:val="center"/>
          </w:tcPr>
          <w:p w14:paraId="01FB0787">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008</w:t>
            </w:r>
          </w:p>
        </w:tc>
        <w:tc>
          <w:tcPr>
            <w:tcW w:w="688" w:type="pct"/>
            <w:vMerge w:val="restart"/>
            <w:vAlign w:val="center"/>
          </w:tcPr>
          <w:p w14:paraId="057AE2E3">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R2二类居住用地</w:t>
            </w:r>
          </w:p>
        </w:tc>
        <w:tc>
          <w:tcPr>
            <w:tcW w:w="874" w:type="pct"/>
            <w:vAlign w:val="center"/>
          </w:tcPr>
          <w:p w14:paraId="029183D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24804.85</w:t>
            </w:r>
          </w:p>
        </w:tc>
        <w:tc>
          <w:tcPr>
            <w:tcW w:w="475" w:type="pct"/>
            <w:vMerge w:val="restart"/>
            <w:vAlign w:val="center"/>
          </w:tcPr>
          <w:p w14:paraId="74035A48">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1.2</w:t>
            </w:r>
          </w:p>
        </w:tc>
        <w:tc>
          <w:tcPr>
            <w:tcW w:w="921" w:type="pct"/>
            <w:vAlign w:val="center"/>
          </w:tcPr>
          <w:p w14:paraId="39CFBB20">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29765.82</w:t>
            </w:r>
          </w:p>
        </w:tc>
        <w:tc>
          <w:tcPr>
            <w:tcW w:w="713" w:type="pct"/>
            <w:vMerge w:val="restart"/>
            <w:vAlign w:val="center"/>
          </w:tcPr>
          <w:p w14:paraId="01B4F60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30</w:t>
            </w:r>
          </w:p>
        </w:tc>
        <w:tc>
          <w:tcPr>
            <w:tcW w:w="468" w:type="pct"/>
            <w:vMerge w:val="restart"/>
            <w:vAlign w:val="center"/>
          </w:tcPr>
          <w:p w14:paraId="3E9FC701">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出让</w:t>
            </w:r>
          </w:p>
        </w:tc>
      </w:tr>
      <w:tr w14:paraId="5F940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58FDE19B">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w:t>
            </w:r>
          </w:p>
        </w:tc>
        <w:tc>
          <w:tcPr>
            <w:tcW w:w="617" w:type="pct"/>
            <w:vAlign w:val="center"/>
          </w:tcPr>
          <w:p w14:paraId="16123BD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016</w:t>
            </w:r>
          </w:p>
        </w:tc>
        <w:tc>
          <w:tcPr>
            <w:tcW w:w="688" w:type="pct"/>
            <w:vMerge w:val="continue"/>
            <w:vAlign w:val="center"/>
          </w:tcPr>
          <w:p w14:paraId="326257FE">
            <w:pPr>
              <w:adjustRightInd/>
              <w:spacing w:line="240" w:lineRule="exact"/>
              <w:jc w:val="center"/>
              <w:rPr>
                <w:rFonts w:ascii="Arial" w:hAnsi="Arial" w:eastAsia="仿宋" w:cs="Arial"/>
                <w:color w:val="auto"/>
                <w:sz w:val="18"/>
                <w:szCs w:val="18"/>
              </w:rPr>
            </w:pPr>
          </w:p>
        </w:tc>
        <w:tc>
          <w:tcPr>
            <w:tcW w:w="874" w:type="pct"/>
            <w:vAlign w:val="center"/>
          </w:tcPr>
          <w:p w14:paraId="3CDA5D73">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23103.85</w:t>
            </w:r>
          </w:p>
        </w:tc>
        <w:tc>
          <w:tcPr>
            <w:tcW w:w="475" w:type="pct"/>
            <w:vMerge w:val="continue"/>
            <w:vAlign w:val="center"/>
          </w:tcPr>
          <w:p w14:paraId="0CB9ECC0">
            <w:pPr>
              <w:adjustRightInd/>
              <w:spacing w:line="240" w:lineRule="exact"/>
              <w:jc w:val="center"/>
              <w:rPr>
                <w:rFonts w:ascii="Arial" w:hAnsi="Arial" w:eastAsia="仿宋" w:cs="Arial"/>
                <w:color w:val="auto"/>
                <w:sz w:val="18"/>
                <w:szCs w:val="18"/>
              </w:rPr>
            </w:pPr>
          </w:p>
        </w:tc>
        <w:tc>
          <w:tcPr>
            <w:tcW w:w="921" w:type="pct"/>
            <w:vAlign w:val="center"/>
          </w:tcPr>
          <w:p w14:paraId="48FA6F14">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27724.62</w:t>
            </w:r>
          </w:p>
        </w:tc>
        <w:tc>
          <w:tcPr>
            <w:tcW w:w="713" w:type="pct"/>
            <w:vMerge w:val="continue"/>
            <w:vAlign w:val="center"/>
          </w:tcPr>
          <w:p w14:paraId="31A83960">
            <w:pPr>
              <w:adjustRightInd/>
              <w:spacing w:line="240" w:lineRule="exact"/>
              <w:jc w:val="center"/>
              <w:rPr>
                <w:rFonts w:ascii="Arial" w:hAnsi="Arial" w:eastAsia="仿宋" w:cs="Arial"/>
                <w:color w:val="auto"/>
                <w:sz w:val="18"/>
                <w:szCs w:val="18"/>
              </w:rPr>
            </w:pPr>
          </w:p>
        </w:tc>
        <w:tc>
          <w:tcPr>
            <w:tcW w:w="468" w:type="pct"/>
            <w:vMerge w:val="continue"/>
            <w:vAlign w:val="center"/>
          </w:tcPr>
          <w:p w14:paraId="5D77946A">
            <w:pPr>
              <w:adjustRightInd/>
              <w:spacing w:line="240" w:lineRule="exact"/>
              <w:jc w:val="center"/>
              <w:rPr>
                <w:rFonts w:ascii="Arial" w:hAnsi="Arial" w:eastAsia="仿宋" w:cs="Arial"/>
                <w:color w:val="auto"/>
                <w:sz w:val="18"/>
                <w:szCs w:val="18"/>
              </w:rPr>
            </w:pPr>
          </w:p>
        </w:tc>
      </w:tr>
      <w:tr w14:paraId="3FB79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57A6237C">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3</w:t>
            </w:r>
          </w:p>
        </w:tc>
        <w:tc>
          <w:tcPr>
            <w:tcW w:w="617" w:type="pct"/>
            <w:vAlign w:val="center"/>
          </w:tcPr>
          <w:p w14:paraId="325ADBD7">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026</w:t>
            </w:r>
            <w:r>
              <w:rPr>
                <w:rFonts w:hint="eastAsia" w:ascii="Arial" w:hAnsi="Arial" w:eastAsia="仿宋" w:cs="Arial"/>
                <w:color w:val="auto"/>
                <w:sz w:val="18"/>
                <w:szCs w:val="18"/>
              </w:rPr>
              <w:t>－</w:t>
            </w:r>
            <w:r>
              <w:rPr>
                <w:rFonts w:ascii="Arial" w:hAnsi="Arial" w:eastAsia="仿宋" w:cs="Arial"/>
                <w:color w:val="auto"/>
                <w:sz w:val="18"/>
                <w:szCs w:val="18"/>
              </w:rPr>
              <w:t>1</w:t>
            </w:r>
          </w:p>
        </w:tc>
        <w:tc>
          <w:tcPr>
            <w:tcW w:w="688" w:type="pct"/>
            <w:vMerge w:val="continue"/>
            <w:vAlign w:val="center"/>
          </w:tcPr>
          <w:p w14:paraId="4C5768FF">
            <w:pPr>
              <w:adjustRightInd/>
              <w:spacing w:line="240" w:lineRule="exact"/>
              <w:jc w:val="center"/>
              <w:rPr>
                <w:rFonts w:ascii="Arial" w:hAnsi="Arial" w:eastAsia="仿宋" w:cs="Arial"/>
                <w:color w:val="auto"/>
                <w:sz w:val="18"/>
                <w:szCs w:val="18"/>
              </w:rPr>
            </w:pPr>
          </w:p>
        </w:tc>
        <w:tc>
          <w:tcPr>
            <w:tcW w:w="874" w:type="pct"/>
            <w:vAlign w:val="center"/>
          </w:tcPr>
          <w:p w14:paraId="06E42785">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8881.75</w:t>
            </w:r>
          </w:p>
        </w:tc>
        <w:tc>
          <w:tcPr>
            <w:tcW w:w="475" w:type="pct"/>
            <w:vMerge w:val="continue"/>
            <w:vAlign w:val="center"/>
          </w:tcPr>
          <w:p w14:paraId="6D8AFB59">
            <w:pPr>
              <w:adjustRightInd/>
              <w:spacing w:line="240" w:lineRule="exact"/>
              <w:jc w:val="center"/>
              <w:rPr>
                <w:rFonts w:ascii="Arial" w:hAnsi="Arial" w:eastAsia="仿宋" w:cs="Arial"/>
                <w:color w:val="auto"/>
                <w:sz w:val="18"/>
                <w:szCs w:val="18"/>
              </w:rPr>
            </w:pPr>
          </w:p>
        </w:tc>
        <w:tc>
          <w:tcPr>
            <w:tcW w:w="921" w:type="pct"/>
            <w:vAlign w:val="center"/>
          </w:tcPr>
          <w:p w14:paraId="43AE6BE5">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10658.10</w:t>
            </w:r>
          </w:p>
        </w:tc>
        <w:tc>
          <w:tcPr>
            <w:tcW w:w="713" w:type="pct"/>
            <w:vMerge w:val="continue"/>
            <w:vAlign w:val="center"/>
          </w:tcPr>
          <w:p w14:paraId="423CAA87">
            <w:pPr>
              <w:adjustRightInd/>
              <w:spacing w:line="240" w:lineRule="exact"/>
              <w:jc w:val="center"/>
              <w:rPr>
                <w:rFonts w:ascii="Arial" w:hAnsi="Arial" w:eastAsia="仿宋" w:cs="Arial"/>
                <w:color w:val="auto"/>
                <w:sz w:val="18"/>
                <w:szCs w:val="18"/>
              </w:rPr>
            </w:pPr>
          </w:p>
        </w:tc>
        <w:tc>
          <w:tcPr>
            <w:tcW w:w="468" w:type="pct"/>
            <w:vMerge w:val="continue"/>
            <w:vAlign w:val="center"/>
          </w:tcPr>
          <w:p w14:paraId="7686581D">
            <w:pPr>
              <w:adjustRightInd/>
              <w:spacing w:line="240" w:lineRule="exact"/>
              <w:jc w:val="center"/>
              <w:rPr>
                <w:rFonts w:ascii="Arial" w:hAnsi="Arial" w:eastAsia="仿宋" w:cs="Arial"/>
                <w:color w:val="auto"/>
                <w:sz w:val="18"/>
                <w:szCs w:val="18"/>
              </w:rPr>
            </w:pPr>
          </w:p>
        </w:tc>
      </w:tr>
      <w:tr w14:paraId="3788E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549" w:type="pct"/>
            <w:gridSpan w:val="3"/>
            <w:vAlign w:val="center"/>
          </w:tcPr>
          <w:p w14:paraId="78B851C3">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合计</w:t>
            </w:r>
          </w:p>
        </w:tc>
        <w:tc>
          <w:tcPr>
            <w:tcW w:w="874" w:type="pct"/>
            <w:vAlign w:val="center"/>
          </w:tcPr>
          <w:p w14:paraId="36AE8BD1">
            <w:pPr>
              <w:adjustRightInd/>
              <w:spacing w:line="240" w:lineRule="exact"/>
              <w:jc w:val="center"/>
              <w:rPr>
                <w:rFonts w:ascii="Arial" w:hAnsi="Arial" w:eastAsia="仿宋" w:cs="Arial"/>
                <w:color w:val="auto"/>
                <w:sz w:val="18"/>
                <w:szCs w:val="18"/>
              </w:rPr>
            </w:pPr>
            <w:r>
              <w:rPr>
                <w:rFonts w:hint="eastAsia" w:ascii="Arial" w:hAnsi="Arial" w:eastAsia="仿宋" w:cs="Arial"/>
                <w:color w:val="auto"/>
                <w:sz w:val="18"/>
                <w:szCs w:val="18"/>
              </w:rPr>
              <w:t>56790.45</w:t>
            </w:r>
          </w:p>
        </w:tc>
        <w:tc>
          <w:tcPr>
            <w:tcW w:w="475" w:type="pct"/>
            <w:vAlign w:val="center"/>
          </w:tcPr>
          <w:p w14:paraId="7B139417">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1.2</w:t>
            </w:r>
          </w:p>
        </w:tc>
        <w:tc>
          <w:tcPr>
            <w:tcW w:w="921" w:type="pct"/>
            <w:vAlign w:val="center"/>
          </w:tcPr>
          <w:p w14:paraId="70DC6B49">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68148.54</w:t>
            </w:r>
          </w:p>
        </w:tc>
        <w:tc>
          <w:tcPr>
            <w:tcW w:w="1181" w:type="pct"/>
            <w:gridSpan w:val="2"/>
            <w:vAlign w:val="center"/>
          </w:tcPr>
          <w:p w14:paraId="70432168">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bl>
    <w:p w14:paraId="22B28AB6">
      <w:pPr>
        <w:adjustRightInd/>
        <w:spacing w:before="240" w:beforeLines="100"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rPr>
        <w:t>估价对象所在宗地实际开发程度为</w:t>
      </w:r>
      <w:r>
        <w:rPr>
          <w:rFonts w:hint="eastAsia" w:ascii="Arial" w:hAnsi="Arial" w:eastAsia="仿宋_GB2312" w:cs="Arial"/>
          <w:color w:val="auto"/>
          <w:sz w:val="28"/>
        </w:rPr>
        <w:t>“七通”（通路、通上水（自来水、中水）、通下水（雨水、污水）、通电（管沟、电缆）、通讯、通燃气、通热力）</w:t>
      </w:r>
      <w:r>
        <w:rPr>
          <w:rFonts w:ascii="Arial" w:hAnsi="Arial" w:eastAsia="仿宋_GB2312" w:cs="Arial"/>
          <w:color w:val="auto"/>
          <w:sz w:val="28"/>
          <w:szCs w:val="28"/>
        </w:rPr>
        <w:t>。</w:t>
      </w:r>
    </w:p>
    <w:p w14:paraId="14607416">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根据土地估价专业评估师现场勘查，估价对象周边</w:t>
      </w:r>
      <w:r>
        <w:rPr>
          <w:rFonts w:ascii="Arial" w:hAnsi="Arial" w:eastAsia="仿宋_GB2312" w:cs="Arial"/>
          <w:color w:val="auto"/>
          <w:sz w:val="28"/>
          <w:szCs w:val="28"/>
        </w:rPr>
        <w:t>4</w:t>
      </w:r>
      <w:r>
        <w:rPr>
          <w:rFonts w:hint="eastAsia" w:ascii="Arial" w:hAnsi="Arial" w:eastAsia="仿宋_GB2312" w:cs="Arial"/>
          <w:color w:val="auto"/>
          <w:sz w:val="28"/>
          <w:szCs w:val="28"/>
        </w:rPr>
        <w:t>公里范围内有富力首开·金禧璞瑅等类似物业，交房装修标准以精装修为主。因此，本次估价设定估价对象交房装修标准为精装修。</w:t>
      </w:r>
    </w:p>
    <w:p w14:paraId="1CA9E474">
      <w:pPr>
        <w:spacing w:line="300" w:lineRule="auto"/>
        <w:rPr>
          <w:rFonts w:ascii="Arial" w:hAnsi="Arial" w:eastAsia="仿宋_GB2312" w:cs="Arial"/>
          <w:b/>
          <w:color w:val="auto"/>
          <w:sz w:val="28"/>
        </w:rPr>
      </w:pPr>
      <w:bookmarkStart w:id="130" w:name="_Toc531701564"/>
    </w:p>
    <w:p w14:paraId="51AC2E07">
      <w:pPr>
        <w:rPr>
          <w:rFonts w:ascii="Arial" w:hAnsi="Arial" w:eastAsia="仿宋_GB2312" w:cs="Arial"/>
          <w:b/>
          <w:color w:val="auto"/>
          <w:sz w:val="28"/>
        </w:rPr>
      </w:pPr>
      <w:bookmarkStart w:id="131" w:name="_Toc138063004"/>
      <w:bookmarkStart w:id="132" w:name="_Toc132016734"/>
      <w:r>
        <w:rPr>
          <w:rFonts w:ascii="Arial" w:hAnsi="Arial" w:eastAsia="仿宋_GB2312" w:cs="Arial"/>
          <w:b/>
          <w:color w:val="auto"/>
          <w:sz w:val="28"/>
        </w:rPr>
        <w:br w:type="page"/>
      </w:r>
    </w:p>
    <w:p w14:paraId="16B0496F">
      <w:pPr>
        <w:adjustRightInd/>
        <w:spacing w:line="300" w:lineRule="auto"/>
        <w:jc w:val="both"/>
        <w:outlineLvl w:val="1"/>
        <w:rPr>
          <w:rFonts w:ascii="Arial" w:hAnsi="Arial" w:eastAsia="仿宋_GB2312" w:cs="Arial"/>
          <w:b/>
          <w:color w:val="auto"/>
          <w:sz w:val="28"/>
        </w:rPr>
      </w:pPr>
      <w:r>
        <w:rPr>
          <w:rFonts w:ascii="Arial" w:hAnsi="Arial" w:eastAsia="仿宋_GB2312" w:cs="Arial"/>
          <w:b/>
          <w:color w:val="auto"/>
          <w:sz w:val="28"/>
        </w:rPr>
        <w:t>四、影响地价的因素说明</w:t>
      </w:r>
      <w:bookmarkEnd w:id="127"/>
      <w:bookmarkEnd w:id="128"/>
      <w:bookmarkEnd w:id="129"/>
      <w:bookmarkEnd w:id="130"/>
      <w:bookmarkEnd w:id="131"/>
      <w:bookmarkEnd w:id="132"/>
    </w:p>
    <w:p w14:paraId="194A64A1">
      <w:pPr>
        <w:widowControl/>
        <w:adjustRightInd/>
        <w:spacing w:line="300" w:lineRule="auto"/>
        <w:rPr>
          <w:rFonts w:ascii="Arial" w:hAnsi="Arial" w:eastAsia="仿宋" w:cs="Arial"/>
          <w:color w:val="auto"/>
          <w:sz w:val="28"/>
          <w:szCs w:val="28"/>
          <w:lang w:bidi="ar"/>
        </w:rPr>
      </w:pPr>
      <w:bookmarkStart w:id="133" w:name="_Toc520261147"/>
      <w:bookmarkStart w:id="134" w:name="_Toc425250319"/>
      <w:bookmarkStart w:id="135" w:name="_Toc418750897"/>
      <w:bookmarkStart w:id="136" w:name="_Toc469066317"/>
      <w:bookmarkStart w:id="137" w:name="_Toc515458374"/>
      <w:bookmarkStart w:id="138" w:name="_Toc416783534"/>
      <w:r>
        <w:rPr>
          <w:rFonts w:hint="eastAsia" w:ascii="Arial" w:hAnsi="Arial" w:eastAsia="仿宋" w:cs="Arial"/>
          <w:color w:val="auto"/>
          <w:sz w:val="28"/>
          <w:szCs w:val="28"/>
          <w:lang w:bidi="ar"/>
        </w:rPr>
        <w:t>（一） 一般因素</w:t>
      </w:r>
    </w:p>
    <w:p w14:paraId="1541CE49">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1.城市资源状况</w:t>
      </w:r>
    </w:p>
    <w:p w14:paraId="517ACC5A">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地理位置：北京，简称“京”，是中华人民共和国的首都，是全国的政治中心、文化中心，是世界著名古都和现代化国际城市。北京位于北纬39度56分、东经116度20分，地处华北大平原的北部，东面与天津市毗连，其余均与河北省相邻。</w:t>
      </w:r>
    </w:p>
    <w:p w14:paraId="45FEF8C9">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城市人口：</w:t>
      </w:r>
      <w:bookmarkStart w:id="139" w:name="OLE_LINK34"/>
      <w:bookmarkStart w:id="140" w:name="OLE_LINK33"/>
      <w:bookmarkStart w:id="141" w:name="OLE_LINK38"/>
      <w:r>
        <w:rPr>
          <w:rFonts w:hint="eastAsia" w:ascii="Arial" w:hAnsi="Arial" w:eastAsia="仿宋" w:cs="Arial"/>
          <w:color w:val="auto"/>
          <w:sz w:val="28"/>
          <w:szCs w:val="28"/>
          <w:lang w:bidi="ar"/>
        </w:rPr>
        <w:t>截至2024年年末，北京市常住人口为2183.2万人，从年龄构成看，0－14岁常住人口261.2万人，占全市常住人口的比重为12.0%；15－59岁常住人口1408.0万人，占64.5%；60岁及以上常住人口514.0万人，占23.5%。</w:t>
      </w:r>
    </w:p>
    <w:p w14:paraId="1A3F3AC9">
      <w:pPr>
        <w:widowControl/>
        <w:adjustRightInd/>
        <w:spacing w:line="300" w:lineRule="auto"/>
        <w:ind w:firstLine="1960" w:firstLineChars="700"/>
        <w:rPr>
          <w:rFonts w:ascii="Arial" w:hAnsi="Arial" w:eastAsia="仿宋" w:cs="Arial"/>
          <w:color w:val="auto"/>
          <w:sz w:val="28"/>
          <w:szCs w:val="28"/>
          <w:lang w:bidi="ar"/>
        </w:rPr>
      </w:pPr>
      <w:r>
        <w:rPr>
          <w:rFonts w:hint="eastAsia" w:ascii="Arial" w:hAnsi="Arial" w:eastAsia="仿宋" w:cs="Arial"/>
          <w:color w:val="auto"/>
          <w:sz w:val="28"/>
          <w:szCs w:val="28"/>
          <w:lang w:bidi="ar"/>
        </w:rPr>
        <w:t>2020－2024年常住人口增量及增长速度</w:t>
      </w:r>
    </w:p>
    <w:bookmarkEnd w:id="139"/>
    <w:bookmarkEnd w:id="140"/>
    <w:bookmarkEnd w:id="141"/>
    <w:p w14:paraId="74B8F833">
      <w:pPr>
        <w:widowControl/>
        <w:adjustRightInd/>
        <w:spacing w:line="300" w:lineRule="auto"/>
        <w:rPr>
          <w:rFonts w:ascii="Arial" w:hAnsi="Arial" w:eastAsia="仿宋" w:cs="Arial"/>
          <w:color w:val="auto"/>
          <w:sz w:val="28"/>
          <w:szCs w:val="28"/>
          <w:lang w:bidi="ar"/>
        </w:rPr>
      </w:pPr>
      <w:bookmarkStart w:id="142" w:name="_Hlk195084670"/>
      <w:r>
        <w:rPr>
          <w:rFonts w:hint="eastAsia" w:ascii="Arial" w:hAnsi="Arial" w:eastAsia="仿宋" w:cs="Arial"/>
          <w:color w:val="auto"/>
          <w:sz w:val="28"/>
          <w:szCs w:val="28"/>
        </w:rPr>
        <w:drawing>
          <wp:inline distT="0" distB="0" distL="114300" distR="114300">
            <wp:extent cx="5905500" cy="2171700"/>
            <wp:effectExtent l="4445" t="4445" r="18415" b="18415"/>
            <wp:docPr id="15" name="图表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bookmarkEnd w:id="142"/>
    </w:p>
    <w:p w14:paraId="434C6984">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城市面积：北京市下辖16个区（即东城、西城、海淀、朝阳、丰台、顺义、昌平、通州、门头沟、石景山、房山、大兴、怀柔、平谷、密云、延庆），行政辖区总面积为16410平方公里。</w:t>
      </w:r>
    </w:p>
    <w:p w14:paraId="3349FFD9">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城市自然条件：北京气候属暖温带半湿润半干旱季风气候，夏季高温多雨，冬季寒冷干燥，春、秋短促。全年无霜期180～200天，西部山区较短。地势西北高、东南低。西部、北部和东北部三面环山，东南部是一片缓缓向渤海倾斜的平原。北京市天然河道自西向东贯穿五大水系：拒马河水系、永定河水系、北运河水系、潮白河水系和蓟运河水系。多由西北部山地发源，向东南蜿蜒流经平原地区，最后分别在海河汇入渤海（蓟运河除外）。北京市有水库85座，其中大型水库有密云水库、官厅水库、怀柔水库、海子水库。北京市地下水多年平均补给量约为29.21亿立方米，平均年可开采量约24~25亿立方米。一次性天然水资源年平均总量为55.21亿立方米。</w:t>
      </w:r>
    </w:p>
    <w:p w14:paraId="7B469238">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土地利用状况：2021年11月5日，北京市发布第三次全国国土调查主要数据公报。数据显示，北京市现有耕地93547.9公顷（1403218.5亩）、园地126274.55公顷（1894118.25亩）、林地967628.62公顷（14514429.3亩）、草地14460.44公顷（216906.6亩）、湿地3107.98公顷（46619.7亩）、城镇村及工矿用地313643.87公顷（4704658.05亩）、交通运输用地49281.38公顷（739220.7亩）、水域及水利设施用地61704公顷（925560亩），其余为其他土地。三调数据显示，北京市以林、园、水、草、湿地和公园绿地为主的生态用地逐年增加，城乡建设用地明显减少，初步实现减量目标。</w:t>
      </w:r>
    </w:p>
    <w:p w14:paraId="4F60EA85">
      <w:pPr>
        <w:spacing w:line="360" w:lineRule="auto"/>
        <w:jc w:val="center"/>
        <w:outlineLvl w:val="0"/>
        <w:rPr>
          <w:rFonts w:ascii="Arial" w:hAnsi="Arial" w:eastAsia="仿宋" w:cs="Arial"/>
          <w:color w:val="auto"/>
          <w:sz w:val="28"/>
          <w:szCs w:val="28"/>
        </w:rPr>
      </w:pPr>
      <w:r>
        <w:rPr>
          <w:rFonts w:ascii="Arial" w:hAnsi="Arial" w:eastAsia="仿宋" w:cs="Arial"/>
          <w:color w:val="auto"/>
          <w:sz w:val="28"/>
          <w:szCs w:val="28"/>
        </w:rPr>
        <w:drawing>
          <wp:inline distT="0" distB="0" distL="114300" distR="114300">
            <wp:extent cx="5888355" cy="3335655"/>
            <wp:effectExtent l="4445" t="4445" r="5080" b="12700"/>
            <wp:docPr id="16" name="图表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0DC201E">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2.不动产制度与不动产市场状况</w:t>
      </w:r>
    </w:p>
    <w:p w14:paraId="0DDE4D52">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 土地使用制度及土地管理政策：</w:t>
      </w:r>
    </w:p>
    <w:p w14:paraId="7F389AE9">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我国当前实行土地招拍挂制度。土地招拍挂制度是国家土地资源出让、买卖的招标、拍卖、挂牌制度的简称，具体是指国家在土地出让或者买卖程序中的“招标”“拍卖”“挂牌”交易的政策或规定。2004年，国土资源部颁布第71令，《关于继续开展经营性土地使用权招标拍卖挂牌出让情况执法监察工作的通知》，规定2004年8月31号以后所有经营性用地出让全部实行招拍挂制度。该方式作为我国经营性用地出让的指定方式，对规范土地市场、提高政府的对城市土地的管理水平、促进房地产市场的有序发展等方面都有着重要意义。</w:t>
      </w:r>
    </w:p>
    <w:p w14:paraId="2C23E4B2">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按照“十三五”时期的规划，北京市目前已基本建立全域国土空间开发保护新格局，提升绿色生态空间本底规模质量，深化耕地保护空间与政策保障，减量发展迈出实质性步伐。“十三五”确定的土地资源保护利用任务目标基本完成，土地资源治理体系逐步完善，保障和支撑了城市发展方式实现历史性变革。</w:t>
      </w:r>
    </w:p>
    <w:p w14:paraId="25C82E98">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1）在国土空间规划中统筹划定落实永久基本农田、生态保护红线、城镇开发边界三条控制线（以下简称三条控制线），确定国土空间开发保护刚性管控边界。统筹全域全类型国土空间用途管制，划定覆盖全域的11类国土空间规划分区。</w:t>
      </w:r>
    </w:p>
    <w:p w14:paraId="1A0E062D">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（2）严守耕地规模底线，划定耕地保护空间。</w:t>
      </w:r>
    </w:p>
    <w:p w14:paraId="46635D2E">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强化耕地保护，深化耕地保护空间与政策保障。完善耕地主动保护机制，出台《落实城市总体规划统筹推进耕地和永久基本农田保护工作实施方案（试行）》、《北京市耕地保护责任目标考核办法》、《北京市耕地保护补偿资金管理暂行办法》，签订《耕地保护目标管理暨永久基本农田保护责任书》，全面推行四级田长制，压实耕地保护主体责任。</w:t>
      </w:r>
    </w:p>
    <w:p w14:paraId="64ECB79D">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3）严控建设用地规模，城乡建设用地规模得到历史性控制。以疏解非首都功能为牛鼻子，深入实施疏解整治促提升专项行动，以大规模拆除腾退各类违法建设为主要抓手，以统筹集中建设区外的低效集体产业用地为重点，综合采取矿山修复、农村居民点整理等各类措施，建立多拆少建的挂钩实施机制。鼓励存量盘活，土地利用效益有所提升，为首都长远发展预留高质量发展空间。在建设用地年度供应计划中，存量建设用地供应占比由“十二五”时期的51%提升至“十三五”时期的55%以上.</w:t>
      </w:r>
    </w:p>
    <w:p w14:paraId="6FE95C18">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4）完善国土空间规划政策法规，出台一系列国土空间规划管控政策。修订《北京市城乡规划条例》《北京市历史文化名城保护条例》《北京市生态涵养区生态保护和绿色发展条例》等法规，出台《关于建立国土空间规划体系并监督实施的实施意见》《北京市生态控制线和城市开发边界管理办法》《北京市战略留白用地管理办法》《北京市“两图合一”规划编制技术指南》《北京市国土空间规划分区和用途管制规则》等一系列政策文件，初步建立首都“三级三类”国土空间规划体系，不断完善首都国土空间治理体系，着力提高国土空间治理能力现代化水平。</w:t>
      </w:r>
    </w:p>
    <w:p w14:paraId="145BF0B6">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逐步建立自然资源管理制度。制定《北京市自然资源资产产权制度改革方案》，统筹推进自然资源统一调查监测评价，建立全市统一的国土空间基础信息平台，结合分区规划编制，形成全市国土空间规划“一张底图”。建立北京市国有自然资源报告工作制度，自然资源统一调查、监测、确权、配置、评价、监督的管理制度逐步建立。</w:t>
      </w:r>
    </w:p>
    <w:p w14:paraId="32FCEAC4">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加强推进农村土地管理改革。制定《关于进一步加强农村集体土地管理加快建立健全“村地区管”机制的指导意见》，强化区级管规划、管用途、管合同、管程序、管监督、管查处的权责；在大兴区全面推进农村土地制度改革三项试点工作，集体经营性建设用地入市试点改革取得重大成果，征地制度改革向纵深推进，宅基地制度改革取得阶段性成果，探索形成了一批可复制、可推广的改革成果。</w:t>
      </w:r>
    </w:p>
    <w:p w14:paraId="2B99DE0B">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建立北京市自然资源和国土空间规划督察制度。制定并落实《北京市自然资源和国土空间规划督察工作方案（试行）》，以《城市总体规划》为引领，发挥督察工作的推动作用，强化责任落实，提高土地资源保护利用水平，提升首都城市规划建设治理能力。</w:t>
      </w:r>
    </w:p>
    <w:p w14:paraId="037A3024">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2022年北京市人民政府关于印发《北京市“十四五”时期土地资源保护利用规划》的通知，要求全市继续统筹土地资源保护和利用工作，强化科学布局、整体保护、系统修复、高效利用、综合治理。</w:t>
      </w:r>
    </w:p>
    <w:p w14:paraId="1C4E6BDB">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 xml:space="preserve"> 住房制度与不动产管理政策：</w:t>
      </w:r>
    </w:p>
    <w:p w14:paraId="36CFF212">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根据2022年发布的《北京市“十四五”时期住房保障规划》（以下简称“《保障规划》”），北京市目前执行多主体供给、多渠道保障、租购并举的住房制度。《保障规划》要求，按照“以政府为主提供基本保障，以市场为主满足多层次需求”的总方向，进一步完善以公租房、保障性租赁住房、共有产权住房和安置房为主体的首都住房保障体系。</w:t>
      </w:r>
    </w:p>
    <w:p w14:paraId="4BDAC979">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2024年2月21日，住房城乡建设部发布《关于做好住房发展规划和年度计划编制工作的通知》。该文件指出，住房发展规划和年度计划是建立“人、房、地、钱”要素联动机制的重要抓手。各地要充分认识做好住房发展规划和年度计划的编制实施工作的重要性，科学编制规划，认真组织实施，根据人口变化确定住房需求，根据住房需求科学安排土地供应、引导配置金融资源，实现以人定房、以房定地、以房定钱，促进房地产市场供需平衡、结构合理，防止市场大起大落。</w:t>
      </w:r>
    </w:p>
    <w:p w14:paraId="5E5080D2">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2026年1月4日，北京市规划和自然资源委员会发布《关于继续施行〈北京市建设用地功能混合使用指导意见〉的通知》，并同步印发《北京市建设用地功能混合使用流程指引》及《北京市建设用地功能混合使用案例指引》。《指导意见》作为《北京市城市更新条例》的配套政策，旨在通过规划引领和项目支持，推动产业转型升级，补齐配套短板，助力城市更新，为高质量发展提供空间资源保障。《指导意见》采用正负面清单管理兼容功能，明确各类用地的兼容内容和比例限制，如商业服务业用地可兼容公共服务等，但不能兼容工业等，强调兼容用途不能反超主用途，也不能对相邻地块造成负面影响。</w:t>
      </w:r>
    </w:p>
    <w:p w14:paraId="6E34B8B4">
      <w:pPr>
        <w:widowControl/>
        <w:adjustRightInd/>
        <w:spacing w:line="300" w:lineRule="auto"/>
        <w:ind w:firstLine="560" w:firstLineChars="200"/>
        <w:jc w:val="both"/>
        <w:rPr>
          <w:rFonts w:ascii="Arial" w:hAnsi="Arial" w:eastAsia="仿宋" w:cs="Arial"/>
          <w:color w:val="auto"/>
          <w:sz w:val="28"/>
          <w:szCs w:val="28"/>
          <w:lang w:bidi="ar"/>
        </w:rPr>
      </w:pPr>
      <w:bookmarkStart w:id="143" w:name="_Hlk195087303"/>
      <w:r>
        <w:rPr>
          <w:rFonts w:hint="eastAsia" w:ascii="Arial" w:hAnsi="Arial" w:eastAsia="仿宋" w:cs="Arial"/>
          <w:color w:val="auto"/>
          <w:sz w:val="28"/>
          <w:szCs w:val="28"/>
          <w:lang w:bidi="ar"/>
        </w:rPr>
        <w:t>2026年1月20日，北京市规划和自然资源委员会和北京市发展和改革委员会联合发布《北京市2026年度建设用地供应计划》，</w:t>
      </w:r>
      <w:bookmarkEnd w:id="143"/>
      <w:r>
        <w:rPr>
          <w:rFonts w:hint="eastAsia" w:ascii="Arial" w:hAnsi="Arial" w:eastAsia="仿宋" w:cs="Arial"/>
          <w:color w:val="auto"/>
          <w:sz w:val="28"/>
          <w:szCs w:val="28"/>
          <w:lang w:bidi="ar"/>
        </w:rPr>
        <w:t>明确全年建设用地供应总量为3040至3540公顷，与往年保持基本稳定。计划坚持“稳中求进、内涵式发展”总体思路，统筹增量与存量用地，强化市场在资源配置中的决定性作用，紧密衔接“十五五”规划与年度经济社会发展任务，着力提升土地要素配置效率，支撑首都高质量发展。空间布局方面，持续强化“一核一主一副、两轴多点一区”圈层协同的城市空间结构。中心城区（含核心区）土地供应规模约占全市总量的20%，重点推进中央政务功能保障、服务功能与环境品质提升；平原新城地区（含城市副中心）占比约60%，持续提高综合承载力，推动京津冀协同发展与产城融合；生态涵养区占比约20%，统筹好高水平保护与高质量发展。土地供应将向重点区域倾斜，促进土地资源配置效率最优化和效益最大化。用地结构上，住宅用地安排750－790公顷，其中商品住宅用地200－240公顷，保障性住房350公顷（含中央军队用地80公顷）；产业用地安排480－540公顷，包括研发用地80公顷、工业用地230－250公顷、仓储用地50公顷、商服用地50－70公顷、乡村产业用地70－90公顷；此外，公共管理与服务用地650公顷、交通运输用地950－1350公顷等也将同步推进，全面优化城市功能布局。</w:t>
      </w:r>
      <w:bookmarkStart w:id="144" w:name="_Hlk219879579"/>
      <w:r>
        <w:rPr>
          <w:rFonts w:hint="eastAsia" w:ascii="Arial" w:hAnsi="Arial" w:eastAsia="仿宋" w:cs="Arial"/>
          <w:color w:val="auto"/>
          <w:sz w:val="28"/>
          <w:szCs w:val="28"/>
          <w:lang w:bidi="ar"/>
        </w:rPr>
        <w:t>供应导向上，计划突出“减量提质、激活存量”，推动城乡建设用地净减量500公顷，存量建设用地供应占比达到约65%。同时，强化对高精尖产业的空间保障，85%以上产业用地将向“三城一区”、自贸试验区等重点区域集聚。在住房领域，持续优化商品住宅供给，推动站城融合与职住平衡，多渠道加大保障性租赁住房供应，稳步推进城中村和危旧房改造。此外，还将系统提升公共服务与基础设施水平，推动花园城市建设，增强城市安全韧性。为确保计划顺利实施，北京市将强化市区两级主体责任，推动集约高效用地，推进功能混合与立体开发，鼓励弹性年期、先租后让等供地方式，并建立动态调控机制，根据市场需要适时优化项目清单，全面提升土地资源配置效益。</w:t>
      </w:r>
    </w:p>
    <w:bookmarkEnd w:id="144"/>
    <w:p w14:paraId="046853CB">
      <w:pPr>
        <w:spacing w:line="360" w:lineRule="auto"/>
        <w:ind w:right="205"/>
        <w:jc w:val="both"/>
        <w:rPr>
          <w:rFonts w:ascii="Arial" w:hAnsi="Arial" w:eastAsia="仿宋" w:cs="Arial"/>
          <w:b/>
          <w:bCs/>
          <w:color w:val="auto"/>
          <w:sz w:val="28"/>
          <w:szCs w:val="28"/>
        </w:rPr>
      </w:pPr>
      <w:r>
        <w:rPr>
          <w:rFonts w:ascii="Cambria Math" w:hAnsi="Cambria Math" w:eastAsia="仿宋" w:cs="Cambria Math"/>
          <w:b/>
          <w:bCs/>
          <w:color w:val="auto"/>
          <w:sz w:val="28"/>
          <w:szCs w:val="28"/>
        </w:rPr>
        <w:t>◆</w:t>
      </w:r>
      <w:r>
        <w:rPr>
          <w:rFonts w:ascii="Arial" w:hAnsi="Arial" w:eastAsia="仿宋" w:cs="Arial"/>
          <w:b/>
          <w:bCs/>
          <w:color w:val="auto"/>
          <w:sz w:val="28"/>
          <w:szCs w:val="28"/>
        </w:rPr>
        <w:t xml:space="preserve">  不动产市场状况</w:t>
      </w:r>
    </w:p>
    <w:p w14:paraId="393EB5D9">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bCs/>
          <w:color w:val="auto"/>
          <w:sz w:val="28"/>
          <w:szCs w:val="28"/>
        </w:rPr>
        <w:t>（</w:t>
      </w:r>
      <w:r>
        <w:rPr>
          <w:rFonts w:hint="eastAsia" w:ascii="Arial" w:hAnsi="Arial" w:eastAsia="仿宋" w:cs="Arial"/>
          <w:color w:val="auto"/>
          <w:sz w:val="28"/>
          <w:szCs w:val="28"/>
          <w:lang w:bidi="ar"/>
        </w:rPr>
        <w:t>1）土地市场</w:t>
      </w:r>
    </w:p>
    <w:p w14:paraId="5EC4FACA">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1）土地供求分析</w:t>
      </w:r>
    </w:p>
    <w:p w14:paraId="6133459F">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商品住宅用地供应减量提质，核心区优质地块供应力度明显加大，共推出36宗住宅用地，累计供应规划建面306.95万平方米，同比下降37.6%。2025年北京商品住宅用地共成交40宗，成交规划建面359.07万平方米，同比下降23.7%。土地成交价款合计1427.42亿元，同比下降8.2%。成交的40宗住宅用地中，50%地块位于主城六区，其中海淀区共出让7宗住宅用地，累计成交金额超448亿元。</w:t>
      </w:r>
    </w:p>
    <w:p w14:paraId="5352BE68">
      <w:pPr>
        <w:spacing w:line="360" w:lineRule="auto"/>
        <w:jc w:val="center"/>
        <w:outlineLvl w:val="0"/>
        <w:rPr>
          <w:rFonts w:ascii="Arial" w:hAnsi="Arial" w:eastAsia="仿宋" w:cs="Arial"/>
          <w:color w:val="auto"/>
          <w:kern w:val="2"/>
          <w:sz w:val="28"/>
          <w:szCs w:val="28"/>
        </w:rPr>
      </w:pPr>
      <w:r>
        <w:rPr>
          <w:color w:val="auto"/>
        </w:rPr>
        <w:drawing>
          <wp:inline distT="0" distB="0" distL="114300" distR="114300">
            <wp:extent cx="5182235" cy="2476500"/>
            <wp:effectExtent l="4445" t="4445" r="10160" b="18415"/>
            <wp:docPr id="17" name="图表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01707D7">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2）土地成交情况</w:t>
      </w:r>
    </w:p>
    <w:p w14:paraId="5C6CC6A3">
      <w:pPr>
        <w:widowControl/>
        <w:adjustRightInd/>
        <w:spacing w:line="300" w:lineRule="auto"/>
        <w:ind w:firstLine="560" w:firstLineChars="200"/>
        <w:jc w:val="both"/>
        <w:rPr>
          <w:rFonts w:ascii="Arial" w:hAnsi="Arial" w:eastAsia="仿宋" w:cs="Arial"/>
          <w:bCs/>
          <w:color w:val="auto"/>
          <w:sz w:val="28"/>
          <w:szCs w:val="28"/>
        </w:rPr>
      </w:pPr>
      <w:r>
        <w:rPr>
          <w:rFonts w:hint="eastAsia" w:ascii="Arial" w:hAnsi="Arial" w:eastAsia="仿宋" w:cs="Arial"/>
          <w:color w:val="auto"/>
          <w:sz w:val="28"/>
          <w:szCs w:val="28"/>
          <w:lang w:bidi="ar"/>
        </w:rPr>
        <w:t>2025年，北京市商品住宅用地主城六区成交20宗宅地，累计成交规划建面183.78万平方米，占比51%，较上年同期上升4个百分点；其中海淀、朝阳成交规模均超59万平方米，占比分别为19%和17%。近郊区住宅用地成交规模占比降至5成以下，累计成交169.50万平方米，占比下降3个百分点至47%，其中昌平、通州为主要供地区域，成交规模均超40万平方米，成交占比分别为14%、12%。远郊区供应力度进一步减弱，累计成交5.78</w:t>
      </w:r>
      <w:r>
        <w:rPr>
          <w:rFonts w:hint="eastAsia" w:ascii="Arial" w:hAnsi="Arial" w:eastAsia="仿宋" w:cs="Arial"/>
          <w:bCs/>
          <w:color w:val="auto"/>
          <w:sz w:val="28"/>
          <w:szCs w:val="28"/>
        </w:rPr>
        <w:t>万平方米，占比下降2个百分点至2%，延庆、怀柔各成交1宗宅地</w:t>
      </w:r>
      <w:r>
        <w:rPr>
          <w:rFonts w:ascii="Arial" w:hAnsi="Arial" w:eastAsia="仿宋" w:cs="Arial"/>
          <w:bCs/>
          <w:color w:val="auto"/>
          <w:sz w:val="28"/>
          <w:szCs w:val="28"/>
        </w:rPr>
        <w:t>。</w:t>
      </w:r>
    </w:p>
    <w:p w14:paraId="3CCD1670">
      <w:pPr>
        <w:widowControl/>
        <w:spacing w:line="360" w:lineRule="auto"/>
        <w:jc w:val="center"/>
        <w:rPr>
          <w:rFonts w:ascii="Arial" w:hAnsi="Arial" w:eastAsia="仿宋" w:cs="Arial"/>
          <w:bCs/>
          <w:color w:val="auto"/>
          <w:sz w:val="28"/>
          <w:szCs w:val="28"/>
        </w:rPr>
      </w:pPr>
      <w:r>
        <w:rPr>
          <w:color w:val="auto"/>
        </w:rPr>
        <w:drawing>
          <wp:inline distT="0" distB="0" distL="114300" distR="114300">
            <wp:extent cx="5903595" cy="2995295"/>
            <wp:effectExtent l="0" t="0" r="9525" b="6985"/>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1"/>
                    </pic:cNvPicPr>
                  </pic:nvPicPr>
                  <pic:blipFill>
                    <a:blip r:embed="rId43"/>
                    <a:stretch>
                      <a:fillRect/>
                    </a:stretch>
                  </pic:blipFill>
                  <pic:spPr>
                    <a:xfrm>
                      <a:off x="0" y="0"/>
                      <a:ext cx="5903595" cy="2995295"/>
                    </a:xfrm>
                    <a:prstGeom prst="rect">
                      <a:avLst/>
                    </a:prstGeom>
                    <a:noFill/>
                    <a:ln>
                      <a:noFill/>
                    </a:ln>
                  </pic:spPr>
                </pic:pic>
              </a:graphicData>
            </a:graphic>
          </wp:inline>
        </w:drawing>
      </w:r>
    </w:p>
    <w:p w14:paraId="07D8F02B">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从不同区域来看，各区域住宅用地成交规模同比均下降，主城六区成交规模同比下降16%，其中海淀、石景山、东城同比增长；近郊区成交规模同比下降28%，其中通州同比增长，其他区均同比下降；远郊区同比下降66%。</w:t>
      </w:r>
    </w:p>
    <w:p w14:paraId="2CDB92F3">
      <w:pPr>
        <w:spacing w:line="360" w:lineRule="auto"/>
        <w:jc w:val="center"/>
        <w:rPr>
          <w:rFonts w:ascii="Arial" w:hAnsi="Arial" w:eastAsia="仿宋" w:cs="Arial"/>
          <w:bCs/>
          <w:color w:val="auto"/>
          <w:sz w:val="28"/>
          <w:szCs w:val="28"/>
        </w:rPr>
      </w:pPr>
      <w:r>
        <w:rPr>
          <w:rFonts w:hint="eastAsia" w:ascii="Arial" w:hAnsi="Arial" w:eastAsia="仿宋" w:cs="Arial"/>
          <w:bCs/>
          <w:color w:val="auto"/>
          <w:sz w:val="28"/>
          <w:szCs w:val="28"/>
        </w:rPr>
        <w:drawing>
          <wp:inline distT="0" distB="0" distL="114300" distR="114300">
            <wp:extent cx="3677285" cy="2943860"/>
            <wp:effectExtent l="0" t="0" r="10795" b="12700"/>
            <wp:docPr id="19" name="图片 11" descr="ScreenShot_2026-01-23_113715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descr="ScreenShot_2026-01-23_113715_225"/>
                    <pic:cNvPicPr>
                      <a:picLocks noChangeAspect="1"/>
                    </pic:cNvPicPr>
                  </pic:nvPicPr>
                  <pic:blipFill>
                    <a:blip r:embed="rId44"/>
                    <a:stretch>
                      <a:fillRect/>
                    </a:stretch>
                  </pic:blipFill>
                  <pic:spPr>
                    <a:xfrm>
                      <a:off x="0" y="0"/>
                      <a:ext cx="3677285" cy="2943860"/>
                    </a:xfrm>
                    <a:prstGeom prst="rect">
                      <a:avLst/>
                    </a:prstGeom>
                    <a:noFill/>
                    <a:ln>
                      <a:noFill/>
                    </a:ln>
                  </pic:spPr>
                </pic:pic>
              </a:graphicData>
            </a:graphic>
          </wp:inline>
        </w:drawing>
      </w:r>
    </w:p>
    <w:p w14:paraId="548B15E5">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3）土地成交价格</w:t>
      </w:r>
    </w:p>
    <w:p w14:paraId="14FECFCB">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在主城六区优质地块成交带动下，北京宅地整体成交楼面均价39754元/平方米，同比增长20.3%。取消地价上限，叠加核心区优质地块竞争激烈，2025年宅地成交溢价率溢升至6.6%，同比提升3.5个百分点。市场分化明显，成交的40宗地块中，9宗地块溢价率超10%，主要集中在海淀、朝阳、通州三区；其中朝阳太阳宫地块以39.18%溢价率居首，该地块经过超330轮现场举牌竞价成交，最终以9.42万元/平方米的楼面地价刷新朝阳纪录；海淀树村地块经过274轮竞拍成交，成交楼面地价达10.23万元/平方米，成为北京首个楼面地价破10万元的住宅地块。而26宗地块均以底价成交，占比升至65%。</w:t>
      </w:r>
    </w:p>
    <w:p w14:paraId="0B0C68D2">
      <w:pPr>
        <w:widowControl/>
        <w:spacing w:line="360" w:lineRule="auto"/>
        <w:ind w:firstLine="480" w:firstLineChars="200"/>
        <w:jc w:val="both"/>
        <w:rPr>
          <w:color w:val="auto"/>
        </w:rPr>
      </w:pPr>
    </w:p>
    <w:p w14:paraId="2ABA4E72">
      <w:pPr>
        <w:widowControl/>
        <w:spacing w:line="360" w:lineRule="auto"/>
        <w:jc w:val="center"/>
        <w:rPr>
          <w:color w:val="auto"/>
        </w:rPr>
      </w:pPr>
      <w:r>
        <w:rPr>
          <w:color w:val="auto"/>
        </w:rPr>
        <w:drawing>
          <wp:inline distT="0" distB="0" distL="114300" distR="114300">
            <wp:extent cx="4514215" cy="2228850"/>
            <wp:effectExtent l="0" t="0" r="12065" b="11430"/>
            <wp:docPr id="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pic:cNvPicPr>
                      <a:picLocks noChangeAspect="1"/>
                    </pic:cNvPicPr>
                  </pic:nvPicPr>
                  <pic:blipFill>
                    <a:blip r:embed="rId45"/>
                    <a:stretch>
                      <a:fillRect/>
                    </a:stretch>
                  </pic:blipFill>
                  <pic:spPr>
                    <a:xfrm>
                      <a:off x="0" y="0"/>
                      <a:ext cx="4514215" cy="2228850"/>
                    </a:xfrm>
                    <a:prstGeom prst="rect">
                      <a:avLst/>
                    </a:prstGeom>
                    <a:noFill/>
                    <a:ln>
                      <a:noFill/>
                    </a:ln>
                  </pic:spPr>
                </pic:pic>
              </a:graphicData>
            </a:graphic>
          </wp:inline>
        </w:drawing>
      </w:r>
    </w:p>
    <w:p w14:paraId="5602C5D1">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分区域来看，主城六区成交楼面地价均价相对较高，东城区成交楼面地价均价超8万元/平方米，海淀区成交楼面地价均价超6万元/平方米；近郊区成交楼面地价多介于2－3万/平方米之间，其中通州区、顺义区地价相对较高，超2.8万/平方米，房山区成交楼面地价较低，为15336元/平方米。从同比变化来看，丰台区、石景山区、房山区成交楼面地价同比下跌，其他区域成交楼面地价同比上涨，其中海淀区、朝阳区成交楼面地价均同比上涨28%。</w:t>
      </w:r>
    </w:p>
    <w:p w14:paraId="432F7D65">
      <w:pPr>
        <w:widowControl/>
        <w:adjustRightInd/>
        <w:spacing w:line="300" w:lineRule="auto"/>
        <w:rPr>
          <w:rFonts w:ascii="Arial" w:hAnsi="Arial" w:eastAsia="仿宋" w:cs="Arial"/>
          <w:color w:val="auto"/>
          <w:sz w:val="28"/>
          <w:szCs w:val="28"/>
          <w:lang w:bidi="ar"/>
        </w:rPr>
      </w:pPr>
      <w:r>
        <w:rPr>
          <w:rFonts w:hint="eastAsia" w:ascii="Arial" w:hAnsi="Arial" w:eastAsia="仿宋" w:cs="Arial"/>
          <w:color w:val="auto"/>
          <w:sz w:val="28"/>
          <w:szCs w:val="28"/>
        </w:rPr>
        <w:drawing>
          <wp:inline distT="0" distB="0" distL="114300" distR="114300">
            <wp:extent cx="5276215" cy="2885440"/>
            <wp:effectExtent l="0" t="0" r="12065" b="10160"/>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46"/>
                    <a:stretch>
                      <a:fillRect/>
                    </a:stretch>
                  </pic:blipFill>
                  <pic:spPr>
                    <a:xfrm>
                      <a:off x="0" y="0"/>
                      <a:ext cx="5276215" cy="2885440"/>
                    </a:xfrm>
                    <a:prstGeom prst="rect">
                      <a:avLst/>
                    </a:prstGeom>
                    <a:noFill/>
                    <a:ln>
                      <a:noFill/>
                    </a:ln>
                  </pic:spPr>
                </pic:pic>
              </a:graphicData>
            </a:graphic>
          </wp:inline>
        </w:drawing>
      </w:r>
    </w:p>
    <w:p w14:paraId="3E5448E6">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溢价率方面，海淀区、朝阳区土地质素高，整体溢价率较高；通州区热点地块竞争较为激烈，但地块延续分化；东城区祈年大街地块溢价率4%，其他区域地块均底价成交。</w:t>
      </w:r>
    </w:p>
    <w:p w14:paraId="79CDADE2">
      <w:pPr>
        <w:spacing w:line="360" w:lineRule="auto"/>
        <w:jc w:val="center"/>
        <w:outlineLvl w:val="0"/>
        <w:rPr>
          <w:rFonts w:ascii="Arial" w:hAnsi="Arial" w:eastAsia="仿宋" w:cs="Arial"/>
          <w:color w:val="auto"/>
          <w:kern w:val="2"/>
          <w:sz w:val="28"/>
          <w:szCs w:val="28"/>
        </w:rPr>
      </w:pPr>
      <w:r>
        <w:rPr>
          <w:color w:val="auto"/>
        </w:rPr>
        <w:drawing>
          <wp:inline distT="0" distB="0" distL="114300" distR="114300">
            <wp:extent cx="4666615" cy="2599690"/>
            <wp:effectExtent l="0" t="0" r="12065" b="6350"/>
            <wp:docPr id="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4"/>
                    <pic:cNvPicPr>
                      <a:picLocks noChangeAspect="1"/>
                    </pic:cNvPicPr>
                  </pic:nvPicPr>
                  <pic:blipFill>
                    <a:blip r:embed="rId47"/>
                    <a:stretch>
                      <a:fillRect/>
                    </a:stretch>
                  </pic:blipFill>
                  <pic:spPr>
                    <a:xfrm>
                      <a:off x="0" y="0"/>
                      <a:ext cx="4666615" cy="2599690"/>
                    </a:xfrm>
                    <a:prstGeom prst="rect">
                      <a:avLst/>
                    </a:prstGeom>
                    <a:noFill/>
                    <a:ln>
                      <a:noFill/>
                    </a:ln>
                  </pic:spPr>
                </pic:pic>
              </a:graphicData>
            </a:graphic>
          </wp:inline>
        </w:drawing>
      </w:r>
    </w:p>
    <w:p w14:paraId="7D57C112">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4）供应计划</w:t>
      </w:r>
    </w:p>
    <w:p w14:paraId="7AE70DC2">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2026年1月20日，北京市规划和自然资源委员会和北京市发展和改革委员会联合发布《北京市2026年度建设用地供应计划》，明确全年建设用地供应总量为3040至3540公顷，与往年保持基本稳定。计划坚持“稳中求进、内涵式发展”总体思路，统筹增量与存量用地，强化市场在资源配置中的决定性作用，紧密衔接“十五五”规划与年度经济社会发展任务，着力提升土地要素配置效率，支撑首都高质量发展。</w:t>
      </w:r>
    </w:p>
    <w:p w14:paraId="4665BEC8">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（2）新建商品房住宅市场</w:t>
      </w:r>
    </w:p>
    <w:p w14:paraId="60EA137B">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1）新建商品住宅供给状况</w:t>
      </w:r>
    </w:p>
    <w:p w14:paraId="5A96CB8D">
      <w:pPr>
        <w:widowControl/>
        <w:adjustRightInd/>
        <w:spacing w:line="300" w:lineRule="auto"/>
        <w:ind w:firstLine="560" w:firstLineChars="200"/>
        <w:jc w:val="both"/>
        <w:rPr>
          <w:rFonts w:ascii="Arial" w:hAnsi="Arial" w:eastAsia="仿宋" w:cs="Arial"/>
          <w:color w:val="auto"/>
          <w:sz w:val="28"/>
          <w:szCs w:val="28"/>
          <w:lang w:bidi="ar"/>
        </w:rPr>
      </w:pPr>
      <w:bookmarkStart w:id="145" w:name="_Hlk220072860"/>
      <w:r>
        <w:rPr>
          <w:rFonts w:hint="eastAsia" w:ascii="Arial" w:hAnsi="Arial" w:eastAsia="仿宋" w:cs="Arial"/>
          <w:color w:val="auto"/>
          <w:sz w:val="28"/>
          <w:szCs w:val="28"/>
          <w:lang w:bidi="ar"/>
        </w:rPr>
        <w:t>近几年，北京商品住宅用地供应规模减少，导致新房供应持续下滑。2025年北京新房供应止跌回升，但整体供应规模仍处于近年低位水平。</w:t>
      </w:r>
    </w:p>
    <w:p w14:paraId="0F1DEBE3">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根据中指研究院数据，2025年二季度以来新房取证未售库存规模持续处于中高水平，12月末库存规模约为966万平方米，较年初增长10.8%。出清周期方面， 2022年以来库存出清周期基本持续处于风险线以上；2025年北京新房库存规模增加，叠加去化速度放缓，2025年12月出清周期升至26.5个月，整体去化风险较为突出</w:t>
      </w:r>
      <w:bookmarkEnd w:id="145"/>
      <w:r>
        <w:rPr>
          <w:rFonts w:hint="eastAsia" w:ascii="Arial" w:hAnsi="Arial" w:eastAsia="仿宋" w:cs="Arial"/>
          <w:color w:val="auto"/>
          <w:sz w:val="28"/>
          <w:szCs w:val="28"/>
          <w:lang w:bidi="ar"/>
        </w:rPr>
        <w:t>。</w:t>
      </w:r>
    </w:p>
    <w:p w14:paraId="4E071201">
      <w:pPr>
        <w:widowControl/>
        <w:spacing w:line="360" w:lineRule="auto"/>
        <w:jc w:val="center"/>
        <w:rPr>
          <w:color w:val="auto"/>
        </w:rPr>
      </w:pPr>
      <w:bookmarkStart w:id="146" w:name="_Hlk220072893"/>
      <w:r>
        <w:rPr>
          <w:color w:val="auto"/>
        </w:rPr>
        <w:drawing>
          <wp:inline distT="0" distB="0" distL="114300" distR="114300">
            <wp:extent cx="5905500" cy="2139315"/>
            <wp:effectExtent l="0" t="0" r="7620" b="9525"/>
            <wp:docPr id="8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5"/>
                    <pic:cNvPicPr>
                      <a:picLocks noChangeAspect="1"/>
                    </pic:cNvPicPr>
                  </pic:nvPicPr>
                  <pic:blipFill>
                    <a:blip r:embed="rId48"/>
                    <a:stretch>
                      <a:fillRect/>
                    </a:stretch>
                  </pic:blipFill>
                  <pic:spPr>
                    <a:xfrm>
                      <a:off x="0" y="0"/>
                      <a:ext cx="5905500" cy="2139315"/>
                    </a:xfrm>
                    <a:prstGeom prst="rect">
                      <a:avLst/>
                    </a:prstGeom>
                    <a:noFill/>
                    <a:ln>
                      <a:noFill/>
                    </a:ln>
                  </pic:spPr>
                </pic:pic>
              </a:graphicData>
            </a:graphic>
          </wp:inline>
        </w:drawing>
      </w:r>
      <w:bookmarkEnd w:id="146"/>
    </w:p>
    <w:p w14:paraId="75ABF13A">
      <w:pPr>
        <w:widowControl/>
        <w:adjustRightInd/>
        <w:spacing w:line="300" w:lineRule="auto"/>
        <w:ind w:firstLine="560" w:firstLineChars="200"/>
        <w:jc w:val="both"/>
        <w:rPr>
          <w:rFonts w:ascii="Arial" w:hAnsi="Arial" w:eastAsia="仿宋" w:cs="Arial"/>
          <w:color w:val="auto"/>
          <w:sz w:val="28"/>
          <w:szCs w:val="28"/>
          <w:lang w:bidi="ar"/>
        </w:rPr>
      </w:pPr>
      <w:bookmarkStart w:id="147" w:name="_Hlk220072905"/>
      <w:r>
        <w:rPr>
          <w:rFonts w:hint="eastAsia" w:ascii="Arial" w:hAnsi="Arial" w:eastAsia="仿宋" w:cs="Arial"/>
          <w:color w:val="auto"/>
          <w:sz w:val="28"/>
          <w:szCs w:val="28"/>
          <w:lang w:bidi="ar"/>
        </w:rPr>
        <w:t>分区域来看，</w:t>
      </w:r>
      <w:r>
        <w:rPr>
          <w:rFonts w:ascii="Arial" w:hAnsi="Arial" w:eastAsia="仿宋" w:cs="Arial"/>
          <w:color w:val="auto"/>
          <w:sz w:val="28"/>
          <w:szCs w:val="28"/>
          <w:lang w:bidi="ar"/>
        </w:rPr>
        <w:t>截止到2025年12月末，中心城区</w:t>
      </w:r>
      <w:r>
        <w:rPr>
          <w:rFonts w:hint="eastAsia" w:ascii="Arial" w:hAnsi="Arial" w:eastAsia="仿宋" w:cs="Arial"/>
          <w:color w:val="auto"/>
          <w:sz w:val="28"/>
          <w:szCs w:val="28"/>
          <w:lang w:bidi="ar"/>
        </w:rPr>
        <w:t>（含核心区）</w:t>
      </w:r>
      <w:r>
        <w:rPr>
          <w:rFonts w:ascii="Arial" w:hAnsi="Arial" w:eastAsia="仿宋" w:cs="Arial"/>
          <w:color w:val="auto"/>
          <w:sz w:val="28"/>
          <w:szCs w:val="28"/>
          <w:lang w:bidi="ar"/>
        </w:rPr>
        <w:t>库存规模</w:t>
      </w:r>
      <w:r>
        <w:rPr>
          <w:rFonts w:hint="eastAsia" w:ascii="Arial" w:hAnsi="Arial" w:eastAsia="仿宋" w:cs="Arial"/>
          <w:color w:val="auto"/>
          <w:sz w:val="28"/>
          <w:szCs w:val="28"/>
          <w:lang w:bidi="ar"/>
        </w:rPr>
        <w:t>约</w:t>
      </w:r>
      <w:r>
        <w:rPr>
          <w:rFonts w:ascii="Arial" w:hAnsi="Arial" w:eastAsia="仿宋" w:cs="Arial"/>
          <w:color w:val="auto"/>
          <w:sz w:val="28"/>
          <w:szCs w:val="28"/>
          <w:lang w:bidi="ar"/>
        </w:rPr>
        <w:t>348万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，其中丰台区、朝阳区库存规模均超11万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；近郊区库存规模合计约479 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，其中通州、昌平、大兴库存规模均超100万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；远郊区库存规模合计约102万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，主要集中在怀柔区、密云区。海淀、延庆短期库存去化风险较低；丰台、昌平、大兴、怀柔、密云、平谷等区域库存去化风险突出</w:t>
      </w:r>
      <w:bookmarkEnd w:id="147"/>
      <w:r>
        <w:rPr>
          <w:rFonts w:ascii="Arial" w:hAnsi="Arial" w:eastAsia="仿宋" w:cs="Arial"/>
          <w:color w:val="auto"/>
          <w:sz w:val="28"/>
          <w:szCs w:val="28"/>
          <w:lang w:bidi="ar"/>
        </w:rPr>
        <w:t>。</w:t>
      </w:r>
    </w:p>
    <w:p w14:paraId="04D4813A">
      <w:pPr>
        <w:widowControl/>
        <w:spacing w:line="360" w:lineRule="auto"/>
        <w:jc w:val="center"/>
        <w:rPr>
          <w:rFonts w:ascii="Arial" w:hAnsi="Arial" w:eastAsia="仿宋" w:cs="Arial"/>
          <w:bCs/>
          <w:color w:val="auto"/>
          <w:sz w:val="28"/>
          <w:szCs w:val="28"/>
        </w:rPr>
      </w:pPr>
      <w:bookmarkStart w:id="148" w:name="_Hlk220072926"/>
      <w:r>
        <w:rPr>
          <w:color w:val="auto"/>
        </w:rPr>
        <w:drawing>
          <wp:inline distT="0" distB="0" distL="114300" distR="114300">
            <wp:extent cx="5906770" cy="2166620"/>
            <wp:effectExtent l="0" t="0" r="6350" b="12700"/>
            <wp:docPr id="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pic:cNvPicPr>
                      <a:picLocks noChangeAspect="1"/>
                    </pic:cNvPicPr>
                  </pic:nvPicPr>
                  <pic:blipFill>
                    <a:blip r:embed="rId49"/>
                    <a:stretch>
                      <a:fillRect/>
                    </a:stretch>
                  </pic:blipFill>
                  <pic:spPr>
                    <a:xfrm>
                      <a:off x="0" y="0"/>
                      <a:ext cx="5906770" cy="2166620"/>
                    </a:xfrm>
                    <a:prstGeom prst="rect">
                      <a:avLst/>
                    </a:prstGeom>
                    <a:noFill/>
                    <a:ln>
                      <a:noFill/>
                    </a:ln>
                  </pic:spPr>
                </pic:pic>
              </a:graphicData>
            </a:graphic>
          </wp:inline>
        </w:drawing>
      </w:r>
      <w:bookmarkEnd w:id="148"/>
    </w:p>
    <w:p w14:paraId="21437B18">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w:t>
      </w:r>
      <w:r>
        <w:rPr>
          <w:rFonts w:hint="eastAsia" w:ascii="Arial" w:hAnsi="Arial" w:eastAsia="仿宋" w:cs="Arial"/>
          <w:color w:val="auto"/>
          <w:sz w:val="28"/>
          <w:szCs w:val="28"/>
          <w:lang w:bidi="ar"/>
        </w:rPr>
        <w:t>新建</w:t>
      </w:r>
      <w:r>
        <w:rPr>
          <w:rFonts w:ascii="Arial" w:hAnsi="Arial" w:eastAsia="仿宋" w:cs="Arial"/>
          <w:color w:val="auto"/>
          <w:sz w:val="28"/>
          <w:szCs w:val="28"/>
          <w:lang w:bidi="ar"/>
        </w:rPr>
        <w:t>商品住宅成交情况</w:t>
      </w:r>
    </w:p>
    <w:p w14:paraId="14D449FB">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A.成交量</w:t>
      </w:r>
    </w:p>
    <w:p w14:paraId="224F3FC0">
      <w:pPr>
        <w:widowControl/>
        <w:adjustRightInd/>
        <w:spacing w:line="300" w:lineRule="auto"/>
        <w:ind w:firstLine="560" w:firstLineChars="200"/>
        <w:jc w:val="both"/>
        <w:rPr>
          <w:rFonts w:ascii="Arial" w:hAnsi="Arial" w:eastAsia="仿宋" w:cs="Arial"/>
          <w:color w:val="auto"/>
          <w:sz w:val="28"/>
          <w:szCs w:val="28"/>
          <w:lang w:bidi="ar"/>
        </w:rPr>
      </w:pPr>
      <w:bookmarkStart w:id="149" w:name="_Hlk220072950"/>
      <w:r>
        <w:rPr>
          <w:rFonts w:ascii="Arial" w:hAnsi="Arial" w:eastAsia="仿宋" w:cs="Arial"/>
          <w:color w:val="auto"/>
          <w:sz w:val="28"/>
          <w:szCs w:val="28"/>
          <w:lang w:bidi="ar"/>
        </w:rPr>
        <w:t>新</w:t>
      </w:r>
      <w:r>
        <w:rPr>
          <w:rFonts w:hint="eastAsia" w:ascii="Arial" w:hAnsi="Arial" w:eastAsia="仿宋" w:cs="Arial"/>
          <w:color w:val="auto"/>
          <w:sz w:val="28"/>
          <w:szCs w:val="28"/>
          <w:lang w:bidi="ar"/>
        </w:rPr>
        <w:t>建</w:t>
      </w:r>
      <w:r>
        <w:rPr>
          <w:rFonts w:ascii="Arial" w:hAnsi="Arial" w:eastAsia="仿宋" w:cs="Arial"/>
          <w:color w:val="auto"/>
          <w:sz w:val="28"/>
          <w:szCs w:val="28"/>
          <w:lang w:bidi="ar"/>
        </w:rPr>
        <w:t>商品住宅市场成交疲软，仍处于寻底阶段。2025年北京新建商品住宅累计成交面积502.44万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，同比下降15.1%，较2021年高位下降49.4%，较近三年均值下降18.3%。</w:t>
      </w:r>
      <w:r>
        <w:rPr>
          <w:rFonts w:hint="eastAsia" w:ascii="Arial" w:hAnsi="Arial" w:eastAsia="仿宋" w:cs="Arial"/>
          <w:color w:val="auto"/>
          <w:sz w:val="28"/>
          <w:szCs w:val="28"/>
          <w:lang w:bidi="ar"/>
        </w:rPr>
        <w:t>按</w:t>
      </w:r>
      <w:r>
        <w:rPr>
          <w:rFonts w:ascii="Arial" w:hAnsi="Arial" w:eastAsia="仿宋" w:cs="Arial"/>
          <w:color w:val="auto"/>
          <w:sz w:val="28"/>
          <w:szCs w:val="28"/>
          <w:lang w:bidi="ar"/>
        </w:rPr>
        <w:t>月度</w:t>
      </w:r>
      <w:r>
        <w:rPr>
          <w:rFonts w:hint="eastAsia" w:ascii="Arial" w:hAnsi="Arial" w:eastAsia="仿宋" w:cs="Arial"/>
          <w:color w:val="auto"/>
          <w:sz w:val="28"/>
          <w:szCs w:val="28"/>
          <w:lang w:bidi="ar"/>
        </w:rPr>
        <w:t>看，</w:t>
      </w:r>
      <w:r>
        <w:rPr>
          <w:rFonts w:ascii="Arial" w:hAnsi="Arial" w:eastAsia="仿宋" w:cs="Arial"/>
          <w:color w:val="auto"/>
          <w:sz w:val="28"/>
          <w:szCs w:val="28"/>
          <w:lang w:bidi="ar"/>
        </w:rPr>
        <w:t>整体呈波浪式下滑趋势</w:t>
      </w:r>
      <w:r>
        <w:rPr>
          <w:rFonts w:hint="eastAsia" w:ascii="Arial" w:hAnsi="Arial" w:eastAsia="仿宋" w:cs="Arial"/>
          <w:color w:val="auto"/>
          <w:sz w:val="28"/>
          <w:szCs w:val="28"/>
          <w:lang w:bidi="ar"/>
        </w:rPr>
        <w:t>。</w:t>
      </w:r>
      <w:r>
        <w:rPr>
          <w:rFonts w:ascii="Arial" w:hAnsi="Arial" w:eastAsia="仿宋" w:cs="Arial"/>
          <w:color w:val="auto"/>
          <w:sz w:val="28"/>
          <w:szCs w:val="28"/>
          <w:lang w:bidi="ar"/>
        </w:rPr>
        <w:t>4</w:t>
      </w:r>
      <w:r>
        <w:rPr>
          <w:rFonts w:hint="eastAsia" w:ascii="Arial" w:hAnsi="Arial" w:eastAsia="仿宋" w:cs="Arial"/>
          <w:color w:val="auto"/>
          <w:sz w:val="28"/>
          <w:szCs w:val="28"/>
          <w:lang w:bidi="ar"/>
        </w:rPr>
        <w:t>月25日</w:t>
      </w:r>
      <w:r>
        <w:rPr>
          <w:rFonts w:ascii="Arial" w:hAnsi="Arial" w:eastAsia="仿宋" w:cs="Arial"/>
          <w:color w:val="auto"/>
          <w:sz w:val="28"/>
          <w:szCs w:val="28"/>
          <w:lang w:bidi="ar"/>
        </w:rPr>
        <w:t>政治局会议定调之后，金融部门积极跟进落实各项举措</w:t>
      </w:r>
      <w:r>
        <w:rPr>
          <w:rFonts w:hint="eastAsia" w:ascii="Arial" w:hAnsi="Arial" w:eastAsia="仿宋" w:cs="Arial"/>
          <w:color w:val="auto"/>
          <w:sz w:val="28"/>
          <w:szCs w:val="28"/>
          <w:lang w:bidi="ar"/>
        </w:rPr>
        <w:t>。</w:t>
      </w:r>
      <w:r>
        <w:rPr>
          <w:rFonts w:ascii="Arial" w:hAnsi="Arial" w:eastAsia="仿宋" w:cs="Arial"/>
          <w:color w:val="auto"/>
          <w:sz w:val="28"/>
          <w:szCs w:val="28"/>
          <w:lang w:bidi="ar"/>
        </w:rPr>
        <w:t>5月7日国常会发布降准降息等一揽子金融政策</w:t>
      </w:r>
      <w:r>
        <w:rPr>
          <w:rFonts w:hint="eastAsia" w:ascii="Arial" w:hAnsi="Arial" w:eastAsia="仿宋" w:cs="Arial"/>
          <w:color w:val="auto"/>
          <w:sz w:val="28"/>
          <w:szCs w:val="28"/>
          <w:lang w:bidi="ar"/>
        </w:rPr>
        <w:t>。</w:t>
      </w:r>
      <w:r>
        <w:rPr>
          <w:rFonts w:ascii="Arial" w:hAnsi="Arial" w:eastAsia="仿宋" w:cs="Arial"/>
          <w:color w:val="auto"/>
          <w:sz w:val="28"/>
          <w:szCs w:val="28"/>
          <w:lang w:bidi="ar"/>
        </w:rPr>
        <w:t>6月北京成交明显回升。7月，受季节性因素影响，成交环比明显下滑。8月，北京五环外解除限购同时优化公积金贷款政策，成交量环比略有增长，但新政边际效果有限</w:t>
      </w:r>
      <w:r>
        <w:rPr>
          <w:rFonts w:hint="eastAsia" w:ascii="Arial" w:hAnsi="Arial" w:eastAsia="仿宋" w:cs="Arial"/>
          <w:color w:val="auto"/>
          <w:sz w:val="28"/>
          <w:szCs w:val="28"/>
          <w:lang w:bidi="ar"/>
        </w:rPr>
        <w:t>。</w:t>
      </w:r>
      <w:r>
        <w:rPr>
          <w:rFonts w:ascii="Arial" w:hAnsi="Arial" w:eastAsia="仿宋" w:cs="Arial"/>
          <w:color w:val="auto"/>
          <w:sz w:val="28"/>
          <w:szCs w:val="28"/>
          <w:lang w:bidi="ar"/>
        </w:rPr>
        <w:t>9月， 随着</w:t>
      </w:r>
      <w:r>
        <w:rPr>
          <w:rFonts w:hint="eastAsia" w:ascii="Arial" w:hAnsi="Arial" w:eastAsia="仿宋" w:cs="Arial"/>
          <w:color w:val="auto"/>
          <w:sz w:val="28"/>
          <w:szCs w:val="28"/>
          <w:lang w:bidi="ar"/>
        </w:rPr>
        <w:t>“</w:t>
      </w:r>
      <w:r>
        <w:rPr>
          <w:rFonts w:ascii="Arial" w:hAnsi="Arial" w:eastAsia="仿宋" w:cs="Arial"/>
          <w:color w:val="auto"/>
          <w:sz w:val="28"/>
          <w:szCs w:val="28"/>
          <w:lang w:bidi="ar"/>
        </w:rPr>
        <w:t>金九银十</w:t>
      </w:r>
      <w:r>
        <w:rPr>
          <w:rFonts w:hint="eastAsia" w:ascii="Arial" w:hAnsi="Arial" w:eastAsia="仿宋" w:cs="Arial"/>
          <w:color w:val="auto"/>
          <w:sz w:val="28"/>
          <w:szCs w:val="28"/>
          <w:lang w:bidi="ar"/>
        </w:rPr>
        <w:t>”</w:t>
      </w:r>
      <w:r>
        <w:rPr>
          <w:rFonts w:ascii="Arial" w:hAnsi="Arial" w:eastAsia="仿宋" w:cs="Arial"/>
          <w:color w:val="auto"/>
          <w:sz w:val="28"/>
          <w:szCs w:val="28"/>
          <w:lang w:bidi="ar"/>
        </w:rPr>
        <w:t>行业旺季，成交环比上行</w:t>
      </w:r>
      <w:r>
        <w:rPr>
          <w:rFonts w:hint="eastAsia" w:ascii="Arial" w:hAnsi="Arial" w:eastAsia="仿宋" w:cs="Arial"/>
          <w:color w:val="auto"/>
          <w:sz w:val="28"/>
          <w:szCs w:val="28"/>
          <w:lang w:bidi="ar"/>
        </w:rPr>
        <w:t>。</w:t>
      </w:r>
      <w:r>
        <w:rPr>
          <w:rFonts w:ascii="Arial" w:hAnsi="Arial" w:eastAsia="仿宋" w:cs="Arial"/>
          <w:color w:val="auto"/>
          <w:sz w:val="28"/>
          <w:szCs w:val="28"/>
          <w:lang w:bidi="ar"/>
        </w:rPr>
        <w:t>10月，受国庆假期的影响，成交小幅下滑</w:t>
      </w:r>
      <w:r>
        <w:rPr>
          <w:rFonts w:hint="eastAsia" w:ascii="Arial" w:hAnsi="Arial" w:eastAsia="仿宋" w:cs="Arial"/>
          <w:color w:val="auto"/>
          <w:sz w:val="28"/>
          <w:szCs w:val="28"/>
          <w:lang w:bidi="ar"/>
        </w:rPr>
        <w:t>。</w:t>
      </w:r>
      <w:r>
        <w:rPr>
          <w:rFonts w:ascii="Arial" w:hAnsi="Arial" w:eastAsia="仿宋" w:cs="Arial"/>
          <w:color w:val="auto"/>
          <w:sz w:val="28"/>
          <w:szCs w:val="28"/>
          <w:lang w:bidi="ar"/>
        </w:rPr>
        <w:t>11月，市场观望情绪浓厚，成交环比下滑</w:t>
      </w:r>
      <w:r>
        <w:rPr>
          <w:rFonts w:hint="eastAsia" w:ascii="Arial" w:hAnsi="Arial" w:eastAsia="仿宋" w:cs="Arial"/>
          <w:color w:val="auto"/>
          <w:sz w:val="28"/>
          <w:szCs w:val="28"/>
          <w:lang w:bidi="ar"/>
        </w:rPr>
        <w:t>。</w:t>
      </w:r>
      <w:r>
        <w:rPr>
          <w:rFonts w:ascii="Arial" w:hAnsi="Arial" w:eastAsia="仿宋" w:cs="Arial"/>
          <w:color w:val="auto"/>
          <w:sz w:val="28"/>
          <w:szCs w:val="28"/>
          <w:lang w:bidi="ar"/>
        </w:rPr>
        <w:t>12月，房企年终业绩冲刺、 叠加放宽非京籍及多孩家庭购房限制等利好因素影响，市场成交回升</w:t>
      </w:r>
      <w:bookmarkEnd w:id="149"/>
      <w:r>
        <w:rPr>
          <w:rFonts w:ascii="Arial" w:hAnsi="Arial" w:eastAsia="仿宋" w:cs="Arial"/>
          <w:color w:val="auto"/>
          <w:sz w:val="28"/>
          <w:szCs w:val="28"/>
          <w:lang w:bidi="ar"/>
        </w:rPr>
        <w:t>。</w:t>
      </w:r>
    </w:p>
    <w:p w14:paraId="611EAF54">
      <w:pPr>
        <w:widowControl/>
        <w:spacing w:line="360" w:lineRule="auto"/>
        <w:jc w:val="center"/>
        <w:rPr>
          <w:rFonts w:ascii="Arial" w:hAnsi="Arial" w:eastAsia="仿宋" w:cs="Arial"/>
          <w:bCs/>
          <w:color w:val="auto"/>
          <w:sz w:val="28"/>
          <w:szCs w:val="28"/>
        </w:rPr>
      </w:pPr>
      <w:bookmarkStart w:id="150" w:name="_Hlk220072967"/>
      <w:r>
        <w:rPr>
          <w:color w:val="auto"/>
        </w:rPr>
        <w:drawing>
          <wp:inline distT="0" distB="0" distL="114300" distR="114300">
            <wp:extent cx="5909310" cy="1527175"/>
            <wp:effectExtent l="0" t="0" r="3810" b="12065"/>
            <wp:docPr id="2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7"/>
                    <pic:cNvPicPr>
                      <a:picLocks noChangeAspect="1"/>
                    </pic:cNvPicPr>
                  </pic:nvPicPr>
                  <pic:blipFill>
                    <a:blip r:embed="rId50"/>
                    <a:stretch>
                      <a:fillRect/>
                    </a:stretch>
                  </pic:blipFill>
                  <pic:spPr>
                    <a:xfrm>
                      <a:off x="0" y="0"/>
                      <a:ext cx="5909310" cy="1527175"/>
                    </a:xfrm>
                    <a:prstGeom prst="rect">
                      <a:avLst/>
                    </a:prstGeom>
                    <a:noFill/>
                    <a:ln>
                      <a:noFill/>
                    </a:ln>
                  </pic:spPr>
                </pic:pic>
              </a:graphicData>
            </a:graphic>
          </wp:inline>
        </w:drawing>
      </w:r>
      <w:bookmarkEnd w:id="150"/>
    </w:p>
    <w:p w14:paraId="7E0972ED">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B.成交价格</w:t>
      </w:r>
    </w:p>
    <w:p w14:paraId="66272EA9">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a.成交价格</w:t>
      </w:r>
    </w:p>
    <w:p w14:paraId="26BF8CF4">
      <w:pPr>
        <w:widowControl/>
        <w:adjustRightInd/>
        <w:spacing w:line="300" w:lineRule="auto"/>
        <w:ind w:firstLine="560" w:firstLineChars="200"/>
        <w:jc w:val="both"/>
        <w:rPr>
          <w:rFonts w:ascii="Arial" w:hAnsi="Arial" w:eastAsia="仿宋" w:cs="Arial"/>
          <w:color w:val="auto"/>
          <w:sz w:val="28"/>
          <w:szCs w:val="28"/>
          <w:lang w:bidi="ar"/>
        </w:rPr>
      </w:pPr>
      <w:bookmarkStart w:id="151" w:name="_Hlk220072983"/>
      <w:r>
        <w:rPr>
          <w:rFonts w:ascii="Arial" w:hAnsi="Arial" w:eastAsia="仿宋" w:cs="Arial"/>
          <w:color w:val="auto"/>
          <w:sz w:val="28"/>
          <w:szCs w:val="28"/>
          <w:lang w:bidi="ar"/>
        </w:rPr>
        <w:t>2023年10月以来，北京新</w:t>
      </w:r>
      <w:r>
        <w:rPr>
          <w:rFonts w:hint="eastAsia" w:ascii="Arial" w:hAnsi="Arial" w:eastAsia="仿宋" w:cs="Arial"/>
          <w:color w:val="auto"/>
          <w:sz w:val="28"/>
          <w:szCs w:val="28"/>
          <w:lang w:bidi="ar"/>
        </w:rPr>
        <w:t>建商品房</w:t>
      </w:r>
      <w:r>
        <w:rPr>
          <w:rFonts w:ascii="Arial" w:hAnsi="Arial" w:eastAsia="仿宋" w:cs="Arial"/>
          <w:color w:val="auto"/>
          <w:sz w:val="28"/>
          <w:szCs w:val="28"/>
          <w:lang w:bidi="ar"/>
        </w:rPr>
        <w:t>房价进入下跌通道，2024年和2025年北京新房房价累计跌幅分别为5.4个百分点和2.4个百分点。 2025年新房房价跌幅较2024年出现收窄，但整体仍处于下跌区间，10月份以来新房房价跌幅出现扩大，11月北京新房房价环比下跌 0.5%</w:t>
      </w:r>
      <w:bookmarkEnd w:id="151"/>
      <w:r>
        <w:rPr>
          <w:rFonts w:ascii="Arial" w:hAnsi="Arial" w:eastAsia="仿宋" w:cs="Arial"/>
          <w:color w:val="auto"/>
          <w:sz w:val="28"/>
          <w:szCs w:val="28"/>
          <w:lang w:bidi="ar"/>
        </w:rPr>
        <w:t>。</w:t>
      </w:r>
    </w:p>
    <w:p w14:paraId="4EB49BF5">
      <w:pPr>
        <w:widowControl/>
        <w:spacing w:line="360" w:lineRule="auto"/>
        <w:jc w:val="center"/>
        <w:rPr>
          <w:color w:val="auto"/>
        </w:rPr>
      </w:pPr>
      <w:bookmarkStart w:id="152" w:name="_Hlk220073001"/>
      <w:r>
        <w:rPr>
          <w:color w:val="auto"/>
        </w:rPr>
        <w:drawing>
          <wp:inline distT="0" distB="0" distL="114300" distR="114300">
            <wp:extent cx="5142865" cy="2837815"/>
            <wp:effectExtent l="0" t="0" r="8255" b="12065"/>
            <wp:docPr id="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51"/>
                    <a:stretch>
                      <a:fillRect/>
                    </a:stretch>
                  </pic:blipFill>
                  <pic:spPr>
                    <a:xfrm>
                      <a:off x="0" y="0"/>
                      <a:ext cx="5142865" cy="2837815"/>
                    </a:xfrm>
                    <a:prstGeom prst="rect">
                      <a:avLst/>
                    </a:prstGeom>
                    <a:noFill/>
                    <a:ln>
                      <a:noFill/>
                    </a:ln>
                  </pic:spPr>
                </pic:pic>
              </a:graphicData>
            </a:graphic>
          </wp:inline>
        </w:drawing>
      </w:r>
      <w:bookmarkEnd w:id="152"/>
    </w:p>
    <w:p w14:paraId="1A9B2A49">
      <w:pPr>
        <w:widowControl/>
        <w:adjustRightInd/>
        <w:spacing w:line="300" w:lineRule="auto"/>
        <w:ind w:firstLine="560" w:firstLineChars="200"/>
        <w:jc w:val="both"/>
        <w:rPr>
          <w:rFonts w:ascii="Arial" w:hAnsi="Arial" w:eastAsia="仿宋" w:cs="Arial"/>
          <w:color w:val="auto"/>
          <w:sz w:val="28"/>
          <w:szCs w:val="28"/>
          <w:lang w:bidi="ar"/>
        </w:rPr>
      </w:pPr>
      <w:bookmarkStart w:id="153" w:name="_Hlk220073018"/>
      <w:r>
        <w:rPr>
          <w:rFonts w:hint="eastAsia" w:ascii="Arial" w:hAnsi="Arial" w:eastAsia="仿宋" w:cs="Arial"/>
          <w:color w:val="auto"/>
          <w:sz w:val="28"/>
          <w:szCs w:val="28"/>
          <w:lang w:bidi="ar"/>
        </w:rPr>
        <w:t>从各面积段来看，</w:t>
      </w:r>
      <w:r>
        <w:rPr>
          <w:rFonts w:ascii="Arial" w:hAnsi="Arial" w:eastAsia="仿宋" w:cs="Arial"/>
          <w:color w:val="auto"/>
          <w:sz w:val="28"/>
          <w:szCs w:val="28"/>
          <w:lang w:bidi="ar"/>
        </w:rPr>
        <w:t>小户型价格跌幅相对较大，大户型价格相对坚挺。2025年，北京90㎡及以下面积段新房房价累计下跌3.7个百分点； 90</w:t>
      </w:r>
      <w:r>
        <w:rPr>
          <w:rFonts w:hint="eastAsia" w:ascii="Arial" w:hAnsi="Arial" w:eastAsia="仿宋" w:cs="Arial"/>
          <w:color w:val="auto"/>
          <w:sz w:val="28"/>
          <w:szCs w:val="28"/>
          <w:lang w:bidi="ar"/>
        </w:rPr>
        <w:t>－</w:t>
      </w:r>
      <w:r>
        <w:rPr>
          <w:rFonts w:ascii="Arial" w:hAnsi="Arial" w:eastAsia="仿宋" w:cs="Arial"/>
          <w:color w:val="auto"/>
          <w:sz w:val="28"/>
          <w:szCs w:val="28"/>
          <w:lang w:bidi="ar"/>
        </w:rPr>
        <w:t>144平新房房价累计下跌2.9个百分点；144平以上大户型新房房价累计下跌1.3个百分点。</w:t>
      </w:r>
    </w:p>
    <w:bookmarkEnd w:id="153"/>
    <w:p w14:paraId="667D6865">
      <w:pPr>
        <w:widowControl/>
        <w:spacing w:line="360" w:lineRule="auto"/>
        <w:jc w:val="center"/>
        <w:rPr>
          <w:rFonts w:ascii="Arial" w:hAnsi="Arial" w:eastAsia="仿宋" w:cs="Arial"/>
          <w:bCs/>
          <w:color w:val="auto"/>
          <w:sz w:val="28"/>
          <w:szCs w:val="28"/>
        </w:rPr>
      </w:pPr>
      <w:bookmarkStart w:id="154" w:name="_Hlk220073037"/>
      <w:r>
        <w:rPr>
          <w:color w:val="auto"/>
        </w:rPr>
        <w:drawing>
          <wp:inline distT="0" distB="0" distL="114300" distR="114300">
            <wp:extent cx="4723765" cy="2771140"/>
            <wp:effectExtent l="0" t="0" r="635" b="2540"/>
            <wp:docPr id="2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9"/>
                    <pic:cNvPicPr>
                      <a:picLocks noChangeAspect="1"/>
                    </pic:cNvPicPr>
                  </pic:nvPicPr>
                  <pic:blipFill>
                    <a:blip r:embed="rId52"/>
                    <a:stretch>
                      <a:fillRect/>
                    </a:stretch>
                  </pic:blipFill>
                  <pic:spPr>
                    <a:xfrm>
                      <a:off x="0" y="0"/>
                      <a:ext cx="4723765" cy="2771140"/>
                    </a:xfrm>
                    <a:prstGeom prst="rect">
                      <a:avLst/>
                    </a:prstGeom>
                    <a:noFill/>
                    <a:ln>
                      <a:noFill/>
                    </a:ln>
                  </pic:spPr>
                </pic:pic>
              </a:graphicData>
            </a:graphic>
          </wp:inline>
        </w:drawing>
      </w:r>
      <w:bookmarkEnd w:id="154"/>
    </w:p>
    <w:p w14:paraId="701505A9">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b.成交结构</w:t>
      </w:r>
    </w:p>
    <w:p w14:paraId="22E78F7C">
      <w:pPr>
        <w:widowControl/>
        <w:adjustRightInd/>
        <w:spacing w:line="300" w:lineRule="auto"/>
        <w:ind w:firstLine="560" w:firstLineChars="200"/>
        <w:jc w:val="both"/>
        <w:rPr>
          <w:rFonts w:ascii="Arial" w:hAnsi="Arial" w:eastAsia="仿宋" w:cs="Arial"/>
          <w:color w:val="auto"/>
          <w:sz w:val="28"/>
          <w:szCs w:val="28"/>
          <w:lang w:bidi="ar"/>
        </w:rPr>
      </w:pPr>
      <w:bookmarkStart w:id="155" w:name="_Hlk220073057"/>
      <w:r>
        <w:rPr>
          <w:rFonts w:ascii="Arial" w:hAnsi="Arial" w:eastAsia="仿宋" w:cs="Arial"/>
          <w:color w:val="auto"/>
          <w:sz w:val="28"/>
          <w:szCs w:val="28"/>
          <w:lang w:bidi="ar"/>
        </w:rPr>
        <w:t>2025年，新房以改善需求为主，中高面积段、中高价位段为市场成交主力，</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房对刚需客户分流明显</w:t>
      </w:r>
      <w:bookmarkEnd w:id="155"/>
      <w:r>
        <w:rPr>
          <w:rFonts w:ascii="Arial" w:hAnsi="Arial" w:eastAsia="仿宋" w:cs="Arial"/>
          <w:color w:val="auto"/>
          <w:sz w:val="28"/>
          <w:szCs w:val="28"/>
          <w:lang w:bidi="ar"/>
        </w:rPr>
        <w:t>。</w:t>
      </w:r>
    </w:p>
    <w:p w14:paraId="329054D4">
      <w:pPr>
        <w:widowControl/>
        <w:adjustRightInd/>
        <w:spacing w:line="300" w:lineRule="auto"/>
        <w:ind w:firstLine="560" w:firstLineChars="200"/>
        <w:jc w:val="both"/>
        <w:rPr>
          <w:rFonts w:ascii="Arial" w:hAnsi="Arial" w:eastAsia="仿宋" w:cs="Arial"/>
          <w:color w:val="auto"/>
          <w:sz w:val="28"/>
          <w:szCs w:val="28"/>
          <w:lang w:bidi="ar"/>
        </w:rPr>
      </w:pPr>
      <w:bookmarkStart w:id="156" w:name="_Hlk220073076"/>
      <w:r>
        <w:rPr>
          <w:rFonts w:ascii="Arial" w:hAnsi="Arial" w:eastAsia="仿宋" w:cs="Arial"/>
          <w:color w:val="auto"/>
          <w:sz w:val="28"/>
          <w:szCs w:val="28"/>
          <w:lang w:bidi="ar"/>
        </w:rPr>
        <w:t>新房主力成交面积段上移，中高面积段占比大幅提升。2025年，北京商品住宅（不含保障房）中高面积成交套数占比升至71.5%，同比上升 4.2个百分点；中低面积段产品成交占比下滑4.0个百分点。细分来看，90</w:t>
      </w:r>
      <w:r>
        <w:rPr>
          <w:rFonts w:hint="eastAsia" w:ascii="Arial" w:hAnsi="Arial" w:eastAsia="仿宋" w:cs="Arial"/>
          <w:color w:val="auto"/>
          <w:sz w:val="28"/>
          <w:szCs w:val="28"/>
          <w:lang w:bidi="ar"/>
        </w:rPr>
        <w:t>－</w:t>
      </w:r>
      <w:r>
        <w:rPr>
          <w:rFonts w:ascii="Arial" w:hAnsi="Arial" w:eastAsia="仿宋" w:cs="Arial"/>
          <w:color w:val="auto"/>
          <w:sz w:val="28"/>
          <w:szCs w:val="28"/>
          <w:lang w:bidi="ar"/>
        </w:rPr>
        <w:t>120平以及120</w:t>
      </w:r>
      <w:r>
        <w:rPr>
          <w:rFonts w:hint="eastAsia" w:ascii="Arial" w:hAnsi="Arial" w:eastAsia="仿宋" w:cs="Arial"/>
          <w:color w:val="auto"/>
          <w:sz w:val="28"/>
          <w:szCs w:val="28"/>
          <w:lang w:bidi="ar"/>
        </w:rPr>
        <w:t>－</w:t>
      </w:r>
      <w:r>
        <w:rPr>
          <w:rFonts w:ascii="Arial" w:hAnsi="Arial" w:eastAsia="仿宋" w:cs="Arial"/>
          <w:color w:val="auto"/>
          <w:sz w:val="28"/>
          <w:szCs w:val="28"/>
          <w:lang w:bidi="ar"/>
        </w:rPr>
        <w:t>160平面积段产品成为北京商品住宅成交主力，成交套数占比分别为36.2%和27.6%</w:t>
      </w:r>
      <w:bookmarkEnd w:id="156"/>
      <w:r>
        <w:rPr>
          <w:rFonts w:ascii="Arial" w:hAnsi="Arial" w:eastAsia="仿宋" w:cs="Arial"/>
          <w:color w:val="auto"/>
          <w:sz w:val="28"/>
          <w:szCs w:val="28"/>
          <w:lang w:bidi="ar"/>
        </w:rPr>
        <w:t>。</w:t>
      </w:r>
    </w:p>
    <w:p w14:paraId="7B683188">
      <w:pPr>
        <w:widowControl/>
        <w:spacing w:line="360" w:lineRule="auto"/>
        <w:jc w:val="center"/>
        <w:rPr>
          <w:rFonts w:ascii="Arial" w:hAnsi="Arial" w:eastAsia="仿宋" w:cs="Arial"/>
          <w:bCs/>
          <w:color w:val="auto"/>
          <w:sz w:val="28"/>
          <w:szCs w:val="28"/>
        </w:rPr>
      </w:pPr>
      <w:bookmarkStart w:id="157" w:name="_Hlk220073097"/>
      <w:r>
        <w:rPr>
          <w:color w:val="auto"/>
        </w:rPr>
        <w:drawing>
          <wp:inline distT="0" distB="0" distL="114300" distR="114300">
            <wp:extent cx="4409440" cy="3171190"/>
            <wp:effectExtent l="0" t="0" r="10160" b="13970"/>
            <wp:docPr id="2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0"/>
                    <pic:cNvPicPr>
                      <a:picLocks noChangeAspect="1"/>
                    </pic:cNvPicPr>
                  </pic:nvPicPr>
                  <pic:blipFill>
                    <a:blip r:embed="rId53"/>
                    <a:stretch>
                      <a:fillRect/>
                    </a:stretch>
                  </pic:blipFill>
                  <pic:spPr>
                    <a:xfrm>
                      <a:off x="0" y="0"/>
                      <a:ext cx="4409440" cy="3171190"/>
                    </a:xfrm>
                    <a:prstGeom prst="rect">
                      <a:avLst/>
                    </a:prstGeom>
                    <a:noFill/>
                    <a:ln>
                      <a:noFill/>
                    </a:ln>
                  </pic:spPr>
                </pic:pic>
              </a:graphicData>
            </a:graphic>
          </wp:inline>
        </w:drawing>
      </w:r>
      <w:bookmarkEnd w:id="157"/>
    </w:p>
    <w:p w14:paraId="34932451">
      <w:pPr>
        <w:widowControl/>
        <w:adjustRightInd/>
        <w:spacing w:line="300" w:lineRule="auto"/>
        <w:ind w:firstLine="560" w:firstLineChars="200"/>
        <w:jc w:val="both"/>
        <w:rPr>
          <w:rFonts w:ascii="Arial" w:hAnsi="Arial" w:eastAsia="仿宋" w:cs="Arial"/>
          <w:color w:val="auto"/>
          <w:sz w:val="28"/>
          <w:szCs w:val="28"/>
          <w:lang w:bidi="ar"/>
        </w:rPr>
      </w:pPr>
      <w:bookmarkStart w:id="158" w:name="_Hlk220073114"/>
      <w:r>
        <w:rPr>
          <w:rFonts w:ascii="Arial" w:hAnsi="Arial" w:eastAsia="仿宋" w:cs="Arial"/>
          <w:color w:val="auto"/>
          <w:sz w:val="28"/>
          <w:szCs w:val="28"/>
          <w:lang w:bidi="ar"/>
        </w:rPr>
        <w:t>高价位段产品占比提升，中高价位段产品占比保持平稳。2025年，在海淀、朝阳等高端项目带动下，高价位段产品成交占比提升3.6个百分点至14.4%；中高价位段产品占比保持平稳，而中低价位段产品占比进一步下滑至39.3%</w:t>
      </w:r>
      <w:bookmarkEnd w:id="158"/>
      <w:r>
        <w:rPr>
          <w:rFonts w:ascii="Arial" w:hAnsi="Arial" w:eastAsia="仿宋" w:cs="Arial"/>
          <w:color w:val="auto"/>
          <w:sz w:val="28"/>
          <w:szCs w:val="28"/>
          <w:lang w:bidi="ar"/>
        </w:rPr>
        <w:t>。</w:t>
      </w:r>
    </w:p>
    <w:p w14:paraId="7AA756B2">
      <w:pPr>
        <w:widowControl/>
        <w:spacing w:line="360" w:lineRule="auto"/>
        <w:jc w:val="center"/>
        <w:rPr>
          <w:rFonts w:ascii="Arial" w:hAnsi="Arial" w:eastAsia="仿宋" w:cs="Arial"/>
          <w:bCs/>
          <w:color w:val="auto"/>
          <w:sz w:val="28"/>
          <w:szCs w:val="28"/>
        </w:rPr>
      </w:pPr>
      <w:bookmarkStart w:id="159" w:name="_Hlk220073131"/>
      <w:r>
        <w:rPr>
          <w:color w:val="auto"/>
        </w:rPr>
        <w:drawing>
          <wp:inline distT="0" distB="0" distL="114300" distR="114300">
            <wp:extent cx="5180965" cy="3104515"/>
            <wp:effectExtent l="0" t="0" r="635" b="4445"/>
            <wp:docPr id="3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1"/>
                    <pic:cNvPicPr>
                      <a:picLocks noChangeAspect="1"/>
                    </pic:cNvPicPr>
                  </pic:nvPicPr>
                  <pic:blipFill>
                    <a:blip r:embed="rId54"/>
                    <a:stretch>
                      <a:fillRect/>
                    </a:stretch>
                  </pic:blipFill>
                  <pic:spPr>
                    <a:xfrm>
                      <a:off x="0" y="0"/>
                      <a:ext cx="5180965" cy="3104515"/>
                    </a:xfrm>
                    <a:prstGeom prst="rect">
                      <a:avLst/>
                    </a:prstGeom>
                    <a:noFill/>
                    <a:ln>
                      <a:noFill/>
                    </a:ln>
                  </pic:spPr>
                </pic:pic>
              </a:graphicData>
            </a:graphic>
          </wp:inline>
        </w:drawing>
      </w:r>
      <w:bookmarkEnd w:id="159"/>
    </w:p>
    <w:p w14:paraId="0B6C4E9B">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C.区域成交</w:t>
      </w:r>
    </w:p>
    <w:p w14:paraId="048DA372">
      <w:pPr>
        <w:widowControl/>
        <w:adjustRightInd/>
        <w:spacing w:line="300" w:lineRule="auto"/>
        <w:ind w:firstLine="560" w:firstLineChars="200"/>
        <w:jc w:val="both"/>
        <w:rPr>
          <w:rFonts w:ascii="Arial" w:hAnsi="Arial" w:eastAsia="仿宋" w:cs="Arial"/>
          <w:color w:val="auto"/>
          <w:sz w:val="28"/>
          <w:szCs w:val="28"/>
          <w:lang w:bidi="ar"/>
        </w:rPr>
      </w:pPr>
      <w:bookmarkStart w:id="160" w:name="_Hlk220073151"/>
      <w:r>
        <w:rPr>
          <w:rFonts w:ascii="Arial" w:hAnsi="Arial" w:eastAsia="仿宋" w:cs="Arial"/>
          <w:color w:val="auto"/>
          <w:sz w:val="28"/>
          <w:szCs w:val="28"/>
          <w:lang w:bidi="ar"/>
        </w:rPr>
        <w:t>从区域成交规模来看，2025年中心城区</w:t>
      </w:r>
      <w:r>
        <w:rPr>
          <w:rFonts w:hint="eastAsia" w:ascii="Arial" w:hAnsi="Arial" w:eastAsia="仿宋" w:cs="Arial"/>
          <w:color w:val="auto"/>
          <w:sz w:val="28"/>
          <w:szCs w:val="28"/>
          <w:lang w:bidi="ar"/>
        </w:rPr>
        <w:t>（含核心区）</w:t>
      </w:r>
      <w:r>
        <w:rPr>
          <w:rFonts w:ascii="Arial" w:hAnsi="Arial" w:eastAsia="仿宋" w:cs="Arial"/>
          <w:color w:val="auto"/>
          <w:sz w:val="28"/>
          <w:szCs w:val="28"/>
          <w:lang w:bidi="ar"/>
        </w:rPr>
        <w:t>成交面积同比增长8%，占比提升6.6个百分点至41.9%。其中朝阳区成交规模超62万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居首位；在功德寺、朱房等项目带动下，海淀区成交规模同比大幅提升；近郊六区依然为北京新房成交主力区域，但成交面积同比下降20%，占比下滑至6.8个百分点至52.2%。在中建运河玖院、朝棠揽阅、长安华曦府等热点项目带动下，通州、门头沟同比增长。</w:t>
      </w:r>
    </w:p>
    <w:p w14:paraId="029AA1B5">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从区域成交</w:t>
      </w:r>
      <w:r>
        <w:rPr>
          <w:rFonts w:hint="eastAsia" w:ascii="Arial" w:hAnsi="Arial" w:eastAsia="仿宋" w:cs="Arial"/>
          <w:color w:val="auto"/>
          <w:sz w:val="28"/>
          <w:szCs w:val="28"/>
          <w:lang w:bidi="ar"/>
        </w:rPr>
        <w:t>价</w:t>
      </w:r>
      <w:r>
        <w:rPr>
          <w:rFonts w:ascii="Arial" w:hAnsi="Arial" w:eastAsia="仿宋" w:cs="Arial"/>
          <w:color w:val="auto"/>
          <w:sz w:val="28"/>
          <w:szCs w:val="28"/>
          <w:lang w:bidi="ar"/>
        </w:rPr>
        <w:t>来看，2025年北京中心城区</w:t>
      </w:r>
      <w:r>
        <w:rPr>
          <w:rFonts w:hint="eastAsia" w:ascii="Arial" w:hAnsi="Arial" w:eastAsia="仿宋" w:cs="Arial"/>
          <w:color w:val="auto"/>
          <w:sz w:val="28"/>
          <w:szCs w:val="28"/>
          <w:lang w:bidi="ar"/>
        </w:rPr>
        <w:t>（含核心区）</w:t>
      </w:r>
      <w:r>
        <w:rPr>
          <w:rFonts w:ascii="Arial" w:hAnsi="Arial" w:eastAsia="仿宋" w:cs="Arial"/>
          <w:color w:val="auto"/>
          <w:sz w:val="28"/>
          <w:szCs w:val="28"/>
          <w:lang w:bidi="ar"/>
        </w:rPr>
        <w:t>成交均价为83430元/</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，同比基本持平，其中海淀、朝阳成交均价同比上涨；近郊六区成交均价同比保持平稳，通州区同比小幅上涨1%，其他区成交均价同比下跌</w:t>
      </w:r>
      <w:bookmarkEnd w:id="160"/>
      <w:r>
        <w:rPr>
          <w:rFonts w:ascii="Arial" w:hAnsi="Arial" w:eastAsia="仿宋" w:cs="Arial"/>
          <w:color w:val="auto"/>
          <w:sz w:val="28"/>
          <w:szCs w:val="28"/>
          <w:lang w:bidi="ar"/>
        </w:rPr>
        <w:t>。</w:t>
      </w:r>
    </w:p>
    <w:p w14:paraId="2801D0ED">
      <w:pPr>
        <w:widowControl/>
        <w:spacing w:line="360" w:lineRule="auto"/>
        <w:jc w:val="center"/>
        <w:rPr>
          <w:rFonts w:ascii="Arial" w:hAnsi="Arial" w:eastAsia="仿宋" w:cs="Arial"/>
          <w:bCs/>
          <w:color w:val="auto"/>
          <w:sz w:val="28"/>
          <w:szCs w:val="28"/>
        </w:rPr>
      </w:pPr>
      <w:bookmarkStart w:id="161" w:name="_Hlk220073173"/>
      <w:r>
        <w:rPr>
          <w:color w:val="auto"/>
        </w:rPr>
        <w:drawing>
          <wp:inline distT="0" distB="0" distL="114300" distR="114300">
            <wp:extent cx="5903595" cy="1983105"/>
            <wp:effectExtent l="0" t="0" r="9525" b="13335"/>
            <wp:docPr id="56" name="图片 22"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2" descr="222"/>
                    <pic:cNvPicPr>
                      <a:picLocks noChangeAspect="1"/>
                    </pic:cNvPicPr>
                  </pic:nvPicPr>
                  <pic:blipFill>
                    <a:blip r:embed="rId55"/>
                    <a:stretch>
                      <a:fillRect/>
                    </a:stretch>
                  </pic:blipFill>
                  <pic:spPr>
                    <a:xfrm>
                      <a:off x="0" y="0"/>
                      <a:ext cx="5903595" cy="1983105"/>
                    </a:xfrm>
                    <a:prstGeom prst="rect">
                      <a:avLst/>
                    </a:prstGeom>
                    <a:noFill/>
                    <a:ln>
                      <a:noFill/>
                    </a:ln>
                  </pic:spPr>
                </pic:pic>
              </a:graphicData>
            </a:graphic>
          </wp:inline>
        </w:drawing>
      </w:r>
      <w:bookmarkEnd w:id="161"/>
    </w:p>
    <w:p w14:paraId="0E44A6BD">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（3）存量房住宅市场</w:t>
      </w:r>
    </w:p>
    <w:p w14:paraId="06D8008A">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1）市场运行状况</w:t>
      </w:r>
    </w:p>
    <w:p w14:paraId="2666ACC8">
      <w:pPr>
        <w:widowControl/>
        <w:adjustRightInd/>
        <w:spacing w:line="300" w:lineRule="auto"/>
        <w:ind w:firstLine="560" w:firstLineChars="200"/>
        <w:jc w:val="both"/>
        <w:rPr>
          <w:rFonts w:ascii="Arial" w:hAnsi="Arial" w:eastAsia="仿宋" w:cs="Arial"/>
          <w:color w:val="auto"/>
          <w:sz w:val="28"/>
          <w:szCs w:val="28"/>
          <w:lang w:bidi="ar"/>
        </w:rPr>
      </w:pPr>
      <w:bookmarkStart w:id="162" w:name="_Hlk220073195"/>
      <w:r>
        <w:rPr>
          <w:rFonts w:ascii="Arial" w:hAnsi="Arial" w:eastAsia="仿宋" w:cs="Arial"/>
          <w:color w:val="auto"/>
          <w:sz w:val="28"/>
          <w:szCs w:val="28"/>
          <w:lang w:bidi="ar"/>
        </w:rPr>
        <w:t>2025年上半年，北京</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商品住宅新增挂牌持续处于较高水平；下半年新增挂牌规模回落，9月新增挂牌升至下半年高位，四季度新增挂牌持续回落。5月以来累计挂牌量持续处于高位水平，</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房市场明显供大于求。截止到2025年12月，北京</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商品住宅存量挂牌套数为13.69万套，较年初增加8.5%</w:t>
      </w:r>
      <w:bookmarkEnd w:id="162"/>
      <w:r>
        <w:rPr>
          <w:rFonts w:ascii="Arial" w:hAnsi="Arial" w:eastAsia="仿宋" w:cs="Arial"/>
          <w:color w:val="auto"/>
          <w:sz w:val="28"/>
          <w:szCs w:val="28"/>
          <w:lang w:bidi="ar"/>
        </w:rPr>
        <w:t>。</w:t>
      </w:r>
    </w:p>
    <w:p w14:paraId="704C5219">
      <w:pPr>
        <w:widowControl/>
        <w:spacing w:line="360" w:lineRule="auto"/>
        <w:jc w:val="center"/>
        <w:rPr>
          <w:rFonts w:ascii="Arial" w:hAnsi="Arial" w:eastAsia="仿宋" w:cs="Arial"/>
          <w:bCs/>
          <w:color w:val="auto"/>
          <w:sz w:val="28"/>
          <w:szCs w:val="28"/>
        </w:rPr>
      </w:pPr>
      <w:bookmarkStart w:id="163" w:name="_Hlk220073210"/>
      <w:r>
        <w:rPr>
          <w:color w:val="auto"/>
        </w:rPr>
        <w:drawing>
          <wp:inline distT="0" distB="0" distL="114300" distR="114300">
            <wp:extent cx="5304790" cy="2790190"/>
            <wp:effectExtent l="0" t="0" r="13970" b="13970"/>
            <wp:docPr id="6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3"/>
                    <pic:cNvPicPr>
                      <a:picLocks noChangeAspect="1"/>
                    </pic:cNvPicPr>
                  </pic:nvPicPr>
                  <pic:blipFill>
                    <a:blip r:embed="rId56"/>
                    <a:stretch>
                      <a:fillRect/>
                    </a:stretch>
                  </pic:blipFill>
                  <pic:spPr>
                    <a:xfrm>
                      <a:off x="0" y="0"/>
                      <a:ext cx="5304790" cy="2790190"/>
                    </a:xfrm>
                    <a:prstGeom prst="rect">
                      <a:avLst/>
                    </a:prstGeom>
                    <a:noFill/>
                    <a:ln>
                      <a:noFill/>
                    </a:ln>
                  </pic:spPr>
                </pic:pic>
              </a:graphicData>
            </a:graphic>
          </wp:inline>
        </w:drawing>
      </w:r>
      <w:bookmarkEnd w:id="163"/>
    </w:p>
    <w:p w14:paraId="3885776E">
      <w:pPr>
        <w:widowControl/>
        <w:adjustRightInd/>
        <w:spacing w:line="300" w:lineRule="auto"/>
        <w:ind w:firstLine="560" w:firstLineChars="200"/>
        <w:jc w:val="both"/>
        <w:rPr>
          <w:rFonts w:ascii="Arial" w:hAnsi="Arial" w:eastAsia="仿宋" w:cs="Arial"/>
          <w:color w:val="auto"/>
          <w:sz w:val="28"/>
          <w:szCs w:val="28"/>
          <w:lang w:bidi="ar"/>
        </w:rPr>
      </w:pPr>
      <w:bookmarkStart w:id="164" w:name="_Hlk220073229"/>
      <w:r>
        <w:rPr>
          <w:rFonts w:ascii="Arial" w:hAnsi="Arial" w:eastAsia="仿宋" w:cs="Arial"/>
          <w:color w:val="auto"/>
          <w:sz w:val="28"/>
          <w:szCs w:val="28"/>
          <w:lang w:bidi="ar"/>
        </w:rPr>
        <w:t>2025年，北京</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房市场成交活跃，全年</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商品住宅累计成交17.43万套，同比微降0.8%，连续两年成交超17万套。月度来看，上半年北京</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房市场热度较高，下半年市场热度下滑，8.8楼市新政带动9月成交量回升；四季度</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房市场热度再次回落，12月年底</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房成交集中释放，叠加放松限购政策带动，1</w:t>
      </w:r>
      <w:r>
        <w:rPr>
          <w:rFonts w:hint="eastAsia" w:ascii="Arial" w:hAnsi="Arial" w:eastAsia="仿宋" w:cs="Arial"/>
          <w:color w:val="auto"/>
          <w:sz w:val="28"/>
          <w:szCs w:val="28"/>
          <w:lang w:bidi="ar"/>
        </w:rPr>
        <w:t>2</w:t>
      </w:r>
      <w:r>
        <w:rPr>
          <w:rFonts w:ascii="Arial" w:hAnsi="Arial" w:eastAsia="仿宋" w:cs="Arial"/>
          <w:color w:val="auto"/>
          <w:sz w:val="28"/>
          <w:szCs w:val="28"/>
          <w:lang w:bidi="ar"/>
        </w:rPr>
        <w:t>月市场迎来</w:t>
      </w:r>
      <w:r>
        <w:rPr>
          <w:rFonts w:hint="eastAsia" w:ascii="Arial" w:hAnsi="Arial" w:eastAsia="仿宋" w:cs="Arial"/>
          <w:color w:val="auto"/>
          <w:sz w:val="28"/>
          <w:szCs w:val="28"/>
          <w:lang w:bidi="ar"/>
        </w:rPr>
        <w:t>“</w:t>
      </w:r>
      <w:r>
        <w:rPr>
          <w:rFonts w:ascii="Arial" w:hAnsi="Arial" w:eastAsia="仿宋" w:cs="Arial"/>
          <w:color w:val="auto"/>
          <w:sz w:val="28"/>
          <w:szCs w:val="28"/>
          <w:lang w:bidi="ar"/>
        </w:rPr>
        <w:t>翘尾</w:t>
      </w:r>
      <w:r>
        <w:rPr>
          <w:rFonts w:hint="eastAsia" w:ascii="Arial" w:hAnsi="Arial" w:eastAsia="仿宋" w:cs="Arial"/>
          <w:color w:val="auto"/>
          <w:sz w:val="28"/>
          <w:szCs w:val="28"/>
          <w:lang w:bidi="ar"/>
        </w:rPr>
        <w:t>”</w:t>
      </w:r>
      <w:r>
        <w:rPr>
          <w:rFonts w:ascii="Arial" w:hAnsi="Arial" w:eastAsia="仿宋" w:cs="Arial"/>
          <w:color w:val="auto"/>
          <w:sz w:val="28"/>
          <w:szCs w:val="28"/>
          <w:lang w:bidi="ar"/>
        </w:rPr>
        <w:t>收官，成交17200套，创下全年第二高成交量（仅次于3月小阳春的1.9万套）。</w:t>
      </w:r>
    </w:p>
    <w:p w14:paraId="4E6EDCB1">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从</w:t>
      </w:r>
      <w:r>
        <w:rPr>
          <w:rFonts w:ascii="Arial" w:hAnsi="Arial" w:eastAsia="仿宋" w:cs="Arial"/>
          <w:color w:val="auto"/>
          <w:sz w:val="28"/>
          <w:szCs w:val="28"/>
          <w:lang w:bidi="ar"/>
        </w:rPr>
        <w:t>成交价格</w:t>
      </w:r>
      <w:r>
        <w:rPr>
          <w:rFonts w:hint="eastAsia" w:ascii="Arial" w:hAnsi="Arial" w:eastAsia="仿宋" w:cs="Arial"/>
          <w:color w:val="auto"/>
          <w:sz w:val="28"/>
          <w:szCs w:val="28"/>
          <w:lang w:bidi="ar"/>
        </w:rPr>
        <w:t>看，存量</w:t>
      </w:r>
      <w:r>
        <w:rPr>
          <w:rFonts w:ascii="Arial" w:hAnsi="Arial" w:eastAsia="仿宋" w:cs="Arial"/>
          <w:color w:val="auto"/>
          <w:sz w:val="28"/>
          <w:szCs w:val="28"/>
          <w:lang w:bidi="ar"/>
        </w:rPr>
        <w:t>房市场持续呈现</w:t>
      </w:r>
      <w:r>
        <w:rPr>
          <w:rFonts w:hint="eastAsia" w:ascii="Arial" w:hAnsi="Arial" w:eastAsia="仿宋" w:cs="Arial"/>
          <w:color w:val="auto"/>
          <w:sz w:val="28"/>
          <w:szCs w:val="28"/>
          <w:lang w:bidi="ar"/>
        </w:rPr>
        <w:t>“</w:t>
      </w:r>
      <w:r>
        <w:rPr>
          <w:rFonts w:ascii="Arial" w:hAnsi="Arial" w:eastAsia="仿宋" w:cs="Arial"/>
          <w:color w:val="auto"/>
          <w:sz w:val="28"/>
          <w:szCs w:val="28"/>
          <w:lang w:bidi="ar"/>
        </w:rPr>
        <w:t>以价换量</w:t>
      </w:r>
      <w:r>
        <w:rPr>
          <w:rFonts w:hint="eastAsia" w:ascii="Arial" w:hAnsi="Arial" w:eastAsia="仿宋" w:cs="Arial"/>
          <w:color w:val="auto"/>
          <w:sz w:val="28"/>
          <w:szCs w:val="28"/>
          <w:lang w:bidi="ar"/>
        </w:rPr>
        <w:t>”</w:t>
      </w:r>
      <w:r>
        <w:rPr>
          <w:rFonts w:ascii="Arial" w:hAnsi="Arial" w:eastAsia="仿宋" w:cs="Arial"/>
          <w:color w:val="auto"/>
          <w:sz w:val="28"/>
          <w:szCs w:val="28"/>
          <w:lang w:bidi="ar"/>
        </w:rPr>
        <w:t>特征，2025年二季度以来市场热度回落，</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住宅价格指数持续处于下跌通道，2025年北京</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住宅价格指数累计下跌8.5%</w:t>
      </w:r>
      <w:bookmarkEnd w:id="164"/>
      <w:r>
        <w:rPr>
          <w:rFonts w:ascii="Arial" w:hAnsi="Arial" w:eastAsia="仿宋" w:cs="Arial"/>
          <w:color w:val="auto"/>
          <w:sz w:val="28"/>
          <w:szCs w:val="28"/>
          <w:lang w:bidi="ar"/>
        </w:rPr>
        <w:t>。</w:t>
      </w:r>
    </w:p>
    <w:p w14:paraId="4DBA776F">
      <w:pPr>
        <w:widowControl/>
        <w:spacing w:line="360" w:lineRule="auto"/>
        <w:jc w:val="center"/>
        <w:rPr>
          <w:rFonts w:ascii="Arial" w:hAnsi="Arial" w:eastAsia="仿宋" w:cs="Arial"/>
          <w:bCs/>
          <w:color w:val="auto"/>
          <w:sz w:val="28"/>
          <w:szCs w:val="28"/>
        </w:rPr>
      </w:pPr>
      <w:bookmarkStart w:id="165" w:name="_Hlk220073247"/>
      <w:r>
        <w:rPr>
          <w:color w:val="auto"/>
        </w:rPr>
        <w:drawing>
          <wp:inline distT="0" distB="0" distL="114300" distR="114300">
            <wp:extent cx="5908040" cy="1624330"/>
            <wp:effectExtent l="0" t="0" r="5080" b="6350"/>
            <wp:docPr id="6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4"/>
                    <pic:cNvPicPr>
                      <a:picLocks noChangeAspect="1"/>
                    </pic:cNvPicPr>
                  </pic:nvPicPr>
                  <pic:blipFill>
                    <a:blip r:embed="rId57"/>
                    <a:stretch>
                      <a:fillRect/>
                    </a:stretch>
                  </pic:blipFill>
                  <pic:spPr>
                    <a:xfrm>
                      <a:off x="0" y="0"/>
                      <a:ext cx="5908040" cy="1624330"/>
                    </a:xfrm>
                    <a:prstGeom prst="rect">
                      <a:avLst/>
                    </a:prstGeom>
                    <a:noFill/>
                    <a:ln>
                      <a:noFill/>
                    </a:ln>
                  </pic:spPr>
                </pic:pic>
              </a:graphicData>
            </a:graphic>
          </wp:inline>
        </w:drawing>
      </w:r>
      <w:bookmarkEnd w:id="165"/>
    </w:p>
    <w:p w14:paraId="38C15F1B">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2）各区县统计</w:t>
      </w:r>
    </w:p>
    <w:p w14:paraId="194641A5">
      <w:pPr>
        <w:widowControl/>
        <w:adjustRightInd/>
        <w:spacing w:line="300" w:lineRule="auto"/>
        <w:ind w:firstLine="560" w:firstLineChars="200"/>
        <w:jc w:val="both"/>
        <w:rPr>
          <w:rFonts w:ascii="Arial" w:hAnsi="Arial" w:eastAsia="仿宋" w:cs="Arial"/>
          <w:color w:val="auto"/>
          <w:sz w:val="28"/>
          <w:szCs w:val="28"/>
          <w:lang w:bidi="ar"/>
        </w:rPr>
      </w:pPr>
      <w:bookmarkStart w:id="166" w:name="_Hlk220073269"/>
      <w:r>
        <w:rPr>
          <w:rFonts w:ascii="Arial" w:hAnsi="Arial" w:eastAsia="仿宋" w:cs="Arial"/>
          <w:color w:val="auto"/>
          <w:sz w:val="28"/>
          <w:szCs w:val="28"/>
          <w:lang w:bidi="ar"/>
        </w:rPr>
        <w:t>分区域来看，</w:t>
      </w: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朝阳区成交量达378万平方米，居各区首位；海淀、丰台、昌平、大兴、</w:t>
      </w:r>
      <w:r>
        <w:rPr>
          <w:rFonts w:hint="eastAsia" w:ascii="Arial" w:hAnsi="Arial" w:eastAsia="仿宋" w:cs="Arial"/>
          <w:color w:val="auto"/>
          <w:sz w:val="28"/>
          <w:szCs w:val="28"/>
          <w:lang w:bidi="ar"/>
        </w:rPr>
        <w:t>通州存量</w:t>
      </w:r>
      <w:r>
        <w:rPr>
          <w:rFonts w:ascii="Arial" w:hAnsi="Arial" w:eastAsia="仿宋" w:cs="Arial"/>
          <w:color w:val="auto"/>
          <w:sz w:val="28"/>
          <w:szCs w:val="28"/>
          <w:lang w:bidi="ar"/>
        </w:rPr>
        <w:t>房市场比较活跃，成交面积均超过100万平方米；同比来看，中心城区、近郊区、远郊区</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房成交规模均同比下降。门头沟、通州、昌平</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房房价跌幅较大</w:t>
      </w:r>
      <w:bookmarkEnd w:id="166"/>
      <w:r>
        <w:rPr>
          <w:rFonts w:ascii="Arial" w:hAnsi="Arial" w:eastAsia="仿宋" w:cs="Arial"/>
          <w:color w:val="auto"/>
          <w:sz w:val="28"/>
          <w:szCs w:val="28"/>
          <w:lang w:bidi="ar"/>
        </w:rPr>
        <w:t>。</w:t>
      </w:r>
    </w:p>
    <w:p w14:paraId="455EF4D6">
      <w:pPr>
        <w:widowControl/>
        <w:spacing w:line="360" w:lineRule="auto"/>
        <w:jc w:val="center"/>
        <w:rPr>
          <w:color w:val="auto"/>
        </w:rPr>
      </w:pPr>
      <w:bookmarkStart w:id="167" w:name="_Hlk220073284"/>
      <w:r>
        <w:rPr>
          <w:color w:val="auto"/>
        </w:rPr>
        <w:drawing>
          <wp:inline distT="0" distB="0" distL="114300" distR="114300">
            <wp:extent cx="5219065" cy="6021070"/>
            <wp:effectExtent l="0" t="0" r="8255" b="13970"/>
            <wp:docPr id="87" name="图片 25"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5" descr="333"/>
                    <pic:cNvPicPr>
                      <a:picLocks noChangeAspect="1"/>
                    </pic:cNvPicPr>
                  </pic:nvPicPr>
                  <pic:blipFill>
                    <a:blip r:embed="rId58"/>
                    <a:stretch>
                      <a:fillRect/>
                    </a:stretch>
                  </pic:blipFill>
                  <pic:spPr>
                    <a:xfrm>
                      <a:off x="0" y="0"/>
                      <a:ext cx="5219065" cy="6021070"/>
                    </a:xfrm>
                    <a:prstGeom prst="rect">
                      <a:avLst/>
                    </a:prstGeom>
                    <a:noFill/>
                    <a:ln>
                      <a:noFill/>
                    </a:ln>
                  </pic:spPr>
                </pic:pic>
              </a:graphicData>
            </a:graphic>
          </wp:inline>
        </w:drawing>
      </w:r>
      <w:bookmarkEnd w:id="167"/>
    </w:p>
    <w:p w14:paraId="165F2FB6">
      <w:pPr>
        <w:widowControl/>
        <w:spacing w:line="360" w:lineRule="auto"/>
        <w:jc w:val="center"/>
        <w:rPr>
          <w:rFonts w:ascii="Arial" w:hAnsi="Arial" w:eastAsia="仿宋" w:cs="Arial"/>
          <w:bCs/>
          <w:color w:val="auto"/>
          <w:sz w:val="28"/>
          <w:szCs w:val="28"/>
        </w:rPr>
      </w:pPr>
    </w:p>
    <w:p w14:paraId="4A20FB9E">
      <w:pPr>
        <w:widowControl/>
        <w:adjustRightInd/>
        <w:spacing w:line="300" w:lineRule="auto"/>
        <w:ind w:firstLine="560" w:firstLineChars="200"/>
        <w:jc w:val="both"/>
        <w:rPr>
          <w:rFonts w:ascii="Arial" w:hAnsi="Arial" w:eastAsia="仿宋" w:cs="Arial"/>
          <w:color w:val="auto"/>
          <w:sz w:val="28"/>
          <w:szCs w:val="28"/>
          <w:lang w:bidi="ar"/>
        </w:rPr>
      </w:pPr>
      <w:bookmarkStart w:id="168" w:name="_Hlk220073298"/>
      <w:r>
        <w:rPr>
          <w:rFonts w:ascii="Arial" w:hAnsi="Arial" w:eastAsia="仿宋" w:cs="Arial"/>
          <w:color w:val="auto"/>
          <w:sz w:val="28"/>
          <w:szCs w:val="28"/>
          <w:lang w:bidi="ar"/>
        </w:rPr>
        <w:t>整体来看，2025年</w:t>
      </w:r>
      <w:r>
        <w:rPr>
          <w:rFonts w:hint="eastAsia" w:ascii="Arial" w:hAnsi="Arial" w:eastAsia="仿宋" w:cs="Arial"/>
          <w:color w:val="auto"/>
          <w:sz w:val="28"/>
          <w:szCs w:val="28"/>
          <w:lang w:bidi="ar"/>
        </w:rPr>
        <w:t>，</w:t>
      </w:r>
      <w:r>
        <w:rPr>
          <w:rFonts w:ascii="Arial" w:hAnsi="Arial" w:eastAsia="仿宋" w:cs="Arial"/>
          <w:color w:val="auto"/>
          <w:sz w:val="28"/>
          <w:szCs w:val="28"/>
          <w:lang w:bidi="ar"/>
        </w:rPr>
        <w:t>北京商品住宅（新建</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）累计成交面积为2093.97万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，同比下降3.8%。2023</w:t>
      </w:r>
      <w:r>
        <w:rPr>
          <w:rFonts w:hint="eastAsia" w:ascii="Arial" w:hAnsi="Arial" w:eastAsia="仿宋" w:cs="Arial"/>
          <w:color w:val="auto"/>
          <w:sz w:val="28"/>
          <w:szCs w:val="28"/>
          <w:lang w:bidi="ar"/>
        </w:rPr>
        <w:t>－</w:t>
      </w:r>
      <w:r>
        <w:rPr>
          <w:rFonts w:ascii="Arial" w:hAnsi="Arial" w:eastAsia="仿宋" w:cs="Arial"/>
          <w:color w:val="auto"/>
          <w:sz w:val="28"/>
          <w:szCs w:val="28"/>
          <w:lang w:bidi="ar"/>
        </w:rPr>
        <w:t>2025年北京住宅市场累计成交规模位于2100万平方米左右，整体成交规模保持相对平稳。但市场分化明显，2022年以来新房市场表现相对较冷，新房成交规模呈现持续减少走势；而</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房市场活跃度较高，近两年成交套数均超17万套。</w:t>
      </w:r>
    </w:p>
    <w:p w14:paraId="029DA6A7">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从</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房成交占比来看，2022年以来</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房成交占比呈现持续上升趋势，2025年占比上升至81%，再创历史新高水平，对新房市场形成明显的分流效应</w:t>
      </w:r>
      <w:bookmarkEnd w:id="168"/>
      <w:r>
        <w:rPr>
          <w:rFonts w:ascii="Arial" w:hAnsi="Arial" w:eastAsia="仿宋" w:cs="Arial"/>
          <w:color w:val="auto"/>
          <w:sz w:val="28"/>
          <w:szCs w:val="28"/>
          <w:lang w:bidi="ar"/>
        </w:rPr>
        <w:t>。</w:t>
      </w:r>
    </w:p>
    <w:p w14:paraId="5701B679">
      <w:pPr>
        <w:widowControl/>
        <w:adjustRightInd/>
        <w:spacing w:line="300" w:lineRule="auto"/>
        <w:ind w:firstLine="560" w:firstLineChars="200"/>
        <w:rPr>
          <w:rFonts w:ascii="Arial" w:hAnsi="Arial" w:eastAsia="仿宋" w:cs="Arial"/>
          <w:color w:val="auto"/>
          <w:sz w:val="28"/>
          <w:szCs w:val="28"/>
          <w:lang w:bidi="ar"/>
        </w:rPr>
      </w:pPr>
      <w:bookmarkStart w:id="169" w:name="_Hlk220073329"/>
      <w:r>
        <w:rPr>
          <w:rFonts w:hint="eastAsia" w:ascii="Arial" w:hAnsi="Arial" w:eastAsia="仿宋" w:cs="Arial"/>
          <w:color w:val="auto"/>
          <w:sz w:val="28"/>
          <w:szCs w:val="28"/>
          <w:lang w:bidi="ar"/>
        </w:rPr>
        <w:t xml:space="preserve">   </w:t>
      </w:r>
      <w:r>
        <w:rPr>
          <w:rFonts w:ascii="Arial" w:hAnsi="Arial" w:eastAsia="仿宋" w:cs="Arial"/>
          <w:color w:val="auto"/>
          <w:sz w:val="28"/>
          <w:szCs w:val="28"/>
        </w:rPr>
        <w:drawing>
          <wp:inline distT="0" distB="0" distL="114300" distR="114300">
            <wp:extent cx="4572000" cy="2743200"/>
            <wp:effectExtent l="4445" t="4445" r="10795" b="10795"/>
            <wp:docPr id="22" name="图表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bookmarkEnd w:id="169"/>
    </w:p>
    <w:p w14:paraId="5591B592">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（4）未来市场预期</w:t>
      </w:r>
    </w:p>
    <w:p w14:paraId="60A62A9D">
      <w:pPr>
        <w:widowControl/>
        <w:adjustRightInd/>
        <w:spacing w:line="300" w:lineRule="auto"/>
        <w:ind w:firstLine="560" w:firstLineChars="200"/>
        <w:jc w:val="both"/>
        <w:rPr>
          <w:rFonts w:ascii="Arial" w:hAnsi="Arial" w:eastAsia="仿宋" w:cs="Arial"/>
          <w:color w:val="auto"/>
          <w:sz w:val="28"/>
          <w:szCs w:val="28"/>
          <w:lang w:bidi="ar"/>
        </w:rPr>
      </w:pPr>
      <w:bookmarkStart w:id="170" w:name="_Hlk220073396"/>
      <w:r>
        <w:rPr>
          <w:rFonts w:ascii="Arial" w:hAnsi="Arial" w:eastAsia="仿宋" w:cs="Arial"/>
          <w:color w:val="auto"/>
          <w:sz w:val="28"/>
          <w:szCs w:val="28"/>
          <w:lang w:bidi="ar"/>
        </w:rPr>
        <w:t>未来北京市住宅市场预计将呈现</w:t>
      </w:r>
      <w:r>
        <w:rPr>
          <w:rFonts w:hint="eastAsia" w:ascii="Arial" w:hAnsi="Arial" w:eastAsia="仿宋" w:cs="Arial"/>
          <w:color w:val="auto"/>
          <w:sz w:val="28"/>
          <w:szCs w:val="28"/>
          <w:lang w:bidi="ar"/>
        </w:rPr>
        <w:t>“</w:t>
      </w:r>
      <w:r>
        <w:rPr>
          <w:rFonts w:ascii="Arial" w:hAnsi="Arial" w:eastAsia="仿宋" w:cs="Arial"/>
          <w:color w:val="auto"/>
          <w:sz w:val="28"/>
          <w:szCs w:val="28"/>
          <w:lang w:bidi="ar"/>
        </w:rPr>
        <w:t>整体趋稳、内部分化、渐进转型</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的演变趋势。在中央</w:t>
      </w:r>
      <w:r>
        <w:rPr>
          <w:rFonts w:hint="eastAsia" w:ascii="Arial" w:hAnsi="Arial" w:eastAsia="仿宋" w:cs="Arial"/>
          <w:color w:val="auto"/>
          <w:sz w:val="28"/>
          <w:szCs w:val="28"/>
          <w:lang w:bidi="ar"/>
        </w:rPr>
        <w:t>“</w:t>
      </w:r>
      <w:r>
        <w:rPr>
          <w:rFonts w:ascii="Arial" w:hAnsi="Arial" w:eastAsia="仿宋" w:cs="Arial"/>
          <w:color w:val="auto"/>
          <w:sz w:val="28"/>
          <w:szCs w:val="28"/>
          <w:lang w:bidi="ar"/>
        </w:rPr>
        <w:t>稳定预期、缩短调整</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的定调下，北京政策将继续以渐进式优化为主。一方面，限购政策预计将进一步放松（如五环内政策优化），公积金支持力度有望加大，以降低购房门槛、释放改善性需求。另一方面，供给端将持续推进</w:t>
      </w:r>
      <w:r>
        <w:rPr>
          <w:rFonts w:hint="eastAsia" w:ascii="Arial" w:hAnsi="Arial" w:eastAsia="仿宋" w:cs="Arial"/>
          <w:color w:val="auto"/>
          <w:sz w:val="28"/>
          <w:szCs w:val="28"/>
          <w:lang w:bidi="ar"/>
        </w:rPr>
        <w:t>“</w:t>
      </w:r>
      <w:r>
        <w:rPr>
          <w:rFonts w:ascii="Arial" w:hAnsi="Arial" w:eastAsia="仿宋" w:cs="Arial"/>
          <w:color w:val="auto"/>
          <w:sz w:val="28"/>
          <w:szCs w:val="28"/>
          <w:lang w:bidi="ar"/>
        </w:rPr>
        <w:t>好房子</w:t>
      </w:r>
      <w:r>
        <w:rPr>
          <w:rFonts w:hint="eastAsia" w:ascii="Arial" w:hAnsi="Arial" w:eastAsia="仿宋" w:cs="Arial"/>
          <w:color w:val="auto"/>
          <w:sz w:val="28"/>
          <w:szCs w:val="28"/>
          <w:lang w:bidi="ar"/>
        </w:rPr>
        <w:t>”</w:t>
      </w:r>
      <w:r>
        <w:rPr>
          <w:rFonts w:ascii="Arial" w:hAnsi="Arial" w:eastAsia="仿宋" w:cs="Arial"/>
          <w:color w:val="auto"/>
          <w:sz w:val="28"/>
          <w:szCs w:val="28"/>
          <w:lang w:bidi="ar"/>
        </w:rPr>
        <w:t>建设，通过品质提升和空间创新推动住房供给侧改革，并完善</w:t>
      </w:r>
      <w:r>
        <w:rPr>
          <w:rFonts w:hint="eastAsia" w:ascii="Arial" w:hAnsi="Arial" w:eastAsia="仿宋" w:cs="Arial"/>
          <w:color w:val="auto"/>
          <w:sz w:val="28"/>
          <w:szCs w:val="28"/>
          <w:lang w:bidi="ar"/>
        </w:rPr>
        <w:t>“</w:t>
      </w:r>
      <w:r>
        <w:rPr>
          <w:rFonts w:ascii="Arial" w:hAnsi="Arial" w:eastAsia="仿宋" w:cs="Arial"/>
          <w:color w:val="auto"/>
          <w:sz w:val="28"/>
          <w:szCs w:val="28"/>
          <w:lang w:bidi="ar"/>
        </w:rPr>
        <w:t>市场</w:t>
      </w:r>
      <w:r>
        <w:rPr>
          <w:rFonts w:hint="eastAsia" w:ascii="Arial" w:hAnsi="Arial" w:eastAsia="仿宋" w:cs="Arial"/>
          <w:color w:val="auto"/>
          <w:sz w:val="28"/>
          <w:szCs w:val="28"/>
          <w:lang w:bidi="ar"/>
        </w:rPr>
        <w:t>＋</w:t>
      </w:r>
      <w:r>
        <w:rPr>
          <w:rFonts w:ascii="Arial" w:hAnsi="Arial" w:eastAsia="仿宋" w:cs="Arial"/>
          <w:color w:val="auto"/>
          <w:sz w:val="28"/>
          <w:szCs w:val="28"/>
          <w:lang w:bidi="ar"/>
        </w:rPr>
        <w:t>保障</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的供应体系。</w:t>
      </w:r>
      <w:r>
        <w:rPr>
          <w:rFonts w:hint="eastAsia" w:ascii="Arial" w:hAnsi="Arial" w:eastAsia="仿宋" w:cs="Arial"/>
          <w:color w:val="auto"/>
          <w:sz w:val="28"/>
          <w:szCs w:val="28"/>
          <w:lang w:bidi="ar"/>
        </w:rPr>
        <w:t>同时，</w:t>
      </w:r>
      <w:r>
        <w:rPr>
          <w:rFonts w:ascii="Arial" w:hAnsi="Arial" w:eastAsia="仿宋" w:cs="Arial"/>
          <w:color w:val="auto"/>
          <w:sz w:val="28"/>
          <w:szCs w:val="28"/>
          <w:lang w:bidi="ar"/>
        </w:rPr>
        <w:t>新房与</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房分化将持续加剧。新房市场成交规模预计在低位波动，但核心区域优质改善项目凭借稀缺资源与产品力，将继续支撑价格结构性上涨，市场重心进一步向中高面积段、高总价产品集中。</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房市场则继续承担市场交易主体角色，但</w:t>
      </w:r>
      <w:r>
        <w:rPr>
          <w:rFonts w:hint="eastAsia" w:ascii="Arial" w:hAnsi="Arial" w:eastAsia="仿宋" w:cs="Arial"/>
          <w:color w:val="auto"/>
          <w:sz w:val="28"/>
          <w:szCs w:val="28"/>
          <w:lang w:bidi="ar"/>
        </w:rPr>
        <w:t>“</w:t>
      </w:r>
      <w:r>
        <w:rPr>
          <w:rFonts w:ascii="Arial" w:hAnsi="Arial" w:eastAsia="仿宋" w:cs="Arial"/>
          <w:color w:val="auto"/>
          <w:sz w:val="28"/>
          <w:szCs w:val="28"/>
          <w:lang w:bidi="ar"/>
        </w:rPr>
        <w:t>以价换量</w:t>
      </w:r>
      <w:r>
        <w:rPr>
          <w:rFonts w:hint="eastAsia" w:ascii="Arial" w:hAnsi="Arial" w:eastAsia="仿宋" w:cs="Arial"/>
          <w:color w:val="auto"/>
          <w:sz w:val="28"/>
          <w:szCs w:val="28"/>
          <w:lang w:bidi="ar"/>
        </w:rPr>
        <w:t>”</w:t>
      </w:r>
      <w:r>
        <w:rPr>
          <w:rFonts w:ascii="Arial" w:hAnsi="Arial" w:eastAsia="仿宋" w:cs="Arial"/>
          <w:color w:val="auto"/>
          <w:sz w:val="28"/>
          <w:szCs w:val="28"/>
          <w:lang w:bidi="ar"/>
        </w:rPr>
        <w:t>态势难以扭转，价格仍面临下行压力，并对新房市场形成持续分流。土地市场热度分化显著，核心区优质地块受追捧，非核心区域多以底价成交，预示着未来住房供应将进一步向</w:t>
      </w:r>
      <w:r>
        <w:rPr>
          <w:rFonts w:hint="eastAsia" w:ascii="Arial" w:hAnsi="Arial" w:eastAsia="仿宋" w:cs="Arial"/>
          <w:color w:val="auto"/>
          <w:sz w:val="28"/>
          <w:szCs w:val="28"/>
          <w:lang w:bidi="ar"/>
        </w:rPr>
        <w:t>“</w:t>
      </w:r>
      <w:r>
        <w:rPr>
          <w:rFonts w:ascii="Arial" w:hAnsi="Arial" w:eastAsia="仿宋" w:cs="Arial"/>
          <w:color w:val="auto"/>
          <w:sz w:val="28"/>
          <w:szCs w:val="28"/>
          <w:lang w:bidi="ar"/>
        </w:rPr>
        <w:t>高品质、好区位</w:t>
      </w:r>
      <w:r>
        <w:rPr>
          <w:rFonts w:hint="eastAsia" w:ascii="Arial" w:hAnsi="Arial" w:eastAsia="仿宋" w:cs="Arial"/>
          <w:color w:val="auto"/>
          <w:sz w:val="28"/>
          <w:szCs w:val="28"/>
          <w:lang w:bidi="ar"/>
        </w:rPr>
        <w:t>”</w:t>
      </w:r>
      <w:r>
        <w:rPr>
          <w:rFonts w:ascii="Arial" w:hAnsi="Arial" w:eastAsia="仿宋" w:cs="Arial"/>
          <w:color w:val="auto"/>
          <w:sz w:val="28"/>
          <w:szCs w:val="28"/>
          <w:lang w:bidi="ar"/>
        </w:rPr>
        <w:t>倾斜。总体而言，北京住宅市场正从规模扩张转向品质与结构优化阶段，在政策托底与市场自发性调整的双重作用下，逐步向</w:t>
      </w:r>
      <w:r>
        <w:rPr>
          <w:rFonts w:hint="eastAsia" w:ascii="Arial" w:hAnsi="Arial" w:eastAsia="仿宋" w:cs="Arial"/>
          <w:color w:val="auto"/>
          <w:sz w:val="28"/>
          <w:szCs w:val="28"/>
          <w:lang w:bidi="ar"/>
        </w:rPr>
        <w:t>“</w:t>
      </w:r>
      <w:r>
        <w:rPr>
          <w:rFonts w:ascii="Arial" w:hAnsi="Arial" w:eastAsia="仿宋" w:cs="Arial"/>
          <w:color w:val="auto"/>
          <w:sz w:val="28"/>
          <w:szCs w:val="28"/>
          <w:lang w:bidi="ar"/>
        </w:rPr>
        <w:t>量稳价稳、质升区异</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的新发展模式过渡</w:t>
      </w:r>
      <w:bookmarkEnd w:id="170"/>
      <w:r>
        <w:rPr>
          <w:rFonts w:ascii="Arial" w:hAnsi="Arial" w:eastAsia="仿宋" w:cs="Arial"/>
          <w:color w:val="auto"/>
          <w:sz w:val="28"/>
          <w:szCs w:val="28"/>
          <w:lang w:bidi="ar"/>
        </w:rPr>
        <w:t>。</w:t>
      </w:r>
    </w:p>
    <w:p w14:paraId="3AED3EAF">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3.产业政策</w:t>
      </w:r>
    </w:p>
    <w:p w14:paraId="6820440D">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  产业优惠政策</w:t>
      </w:r>
    </w:p>
    <w:p w14:paraId="3932F210">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全国：</w:t>
      </w:r>
    </w:p>
    <w:p w14:paraId="23231A0F">
      <w:pPr>
        <w:widowControl/>
        <w:adjustRightInd/>
        <w:spacing w:line="300" w:lineRule="auto"/>
        <w:ind w:firstLine="560" w:firstLineChars="200"/>
        <w:jc w:val="both"/>
        <w:rPr>
          <w:rFonts w:ascii="Arial" w:hAnsi="Arial" w:eastAsia="仿宋" w:cs="Arial"/>
          <w:color w:val="auto"/>
          <w:sz w:val="28"/>
          <w:szCs w:val="28"/>
          <w:lang w:bidi="ar"/>
        </w:rPr>
      </w:pPr>
      <w:bookmarkStart w:id="171" w:name="OLE_LINK3"/>
      <w:r>
        <w:rPr>
          <w:rFonts w:ascii="Arial" w:hAnsi="Arial" w:eastAsia="仿宋" w:cs="Arial"/>
          <w:color w:val="auto"/>
          <w:sz w:val="28"/>
          <w:szCs w:val="28"/>
          <w:lang w:bidi="ar"/>
        </w:rPr>
        <w:t>202</w:t>
      </w:r>
      <w:r>
        <w:rPr>
          <w:rFonts w:hint="eastAsia" w:ascii="Arial" w:hAnsi="Arial" w:eastAsia="仿宋" w:cs="Arial"/>
          <w:color w:val="auto"/>
          <w:sz w:val="28"/>
          <w:szCs w:val="28"/>
          <w:lang w:bidi="ar"/>
        </w:rPr>
        <w:t>5</w:t>
      </w:r>
      <w:r>
        <w:rPr>
          <w:rFonts w:ascii="Arial" w:hAnsi="Arial" w:eastAsia="仿宋" w:cs="Arial"/>
          <w:color w:val="auto"/>
          <w:sz w:val="28"/>
          <w:szCs w:val="28"/>
          <w:lang w:bidi="ar"/>
        </w:rPr>
        <w:t>年3月</w:t>
      </w:r>
      <w:r>
        <w:rPr>
          <w:rFonts w:hint="eastAsia" w:ascii="Arial" w:hAnsi="Arial" w:eastAsia="仿宋" w:cs="Arial"/>
          <w:color w:val="auto"/>
          <w:sz w:val="28"/>
          <w:szCs w:val="28"/>
          <w:lang w:bidi="ar"/>
        </w:rPr>
        <w:t>5</w:t>
      </w:r>
      <w:r>
        <w:rPr>
          <w:rFonts w:ascii="Arial" w:hAnsi="Arial" w:eastAsia="仿宋" w:cs="Arial"/>
          <w:color w:val="auto"/>
          <w:sz w:val="28"/>
          <w:szCs w:val="28"/>
          <w:lang w:bidi="ar"/>
        </w:rPr>
        <w:t>日全国两会召开。关于房地产的定调，政府工作报告延续了去年底中央经济工作会议基调，</w:t>
      </w:r>
      <w:r>
        <w:rPr>
          <w:rFonts w:hint="eastAsia" w:ascii="Arial" w:hAnsi="Arial" w:eastAsia="仿宋" w:cs="Arial"/>
          <w:color w:val="auto"/>
          <w:sz w:val="28"/>
          <w:szCs w:val="28"/>
          <w:lang w:bidi="ar"/>
        </w:rPr>
        <w:t>在2025年政府工作任务“有效防范化解重点领域风险,牢牢守住不发生系统性风险底线”中确立了“持续用力推动房地产市场止跌回稳”的政策目标，并从需求不断加力、供给持续调整、风险防范化解和行业长远发展四个方面给出了大段论述。</w:t>
      </w:r>
    </w:p>
    <w:p w14:paraId="63BD3F77">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2025年4月3日，</w:t>
      </w:r>
      <w:r>
        <w:rPr>
          <w:rFonts w:ascii="Arial" w:hAnsi="Arial" w:eastAsia="仿宋" w:cs="Arial"/>
          <w:color w:val="auto"/>
          <w:sz w:val="28"/>
          <w:szCs w:val="28"/>
          <w:lang w:bidi="ar"/>
        </w:rPr>
        <w:t>财政部办公厅</w:t>
      </w:r>
      <w:r>
        <w:rPr>
          <w:rFonts w:hint="eastAsia" w:ascii="Arial" w:hAnsi="Arial" w:eastAsia="仿宋" w:cs="Arial"/>
          <w:color w:val="auto"/>
          <w:sz w:val="28"/>
          <w:szCs w:val="28"/>
          <w:lang w:bidi="ar"/>
        </w:rPr>
        <w:t>、</w:t>
      </w:r>
      <w:r>
        <w:rPr>
          <w:rFonts w:ascii="Arial" w:hAnsi="Arial" w:eastAsia="仿宋" w:cs="Arial"/>
          <w:color w:val="auto"/>
          <w:sz w:val="28"/>
          <w:szCs w:val="28"/>
          <w:lang w:bidi="ar"/>
        </w:rPr>
        <w:t>住房城乡建设部办公厅</w:t>
      </w:r>
      <w:r>
        <w:rPr>
          <w:rFonts w:hint="eastAsia" w:ascii="Arial" w:hAnsi="Arial" w:eastAsia="仿宋" w:cs="Arial"/>
          <w:color w:val="auto"/>
          <w:sz w:val="28"/>
          <w:szCs w:val="28"/>
          <w:lang w:bidi="ar"/>
        </w:rPr>
        <w:t>联合发布</w:t>
      </w:r>
      <w:r>
        <w:rPr>
          <w:rFonts w:ascii="Arial" w:hAnsi="Arial" w:eastAsia="仿宋" w:cs="Arial"/>
          <w:color w:val="auto"/>
          <w:sz w:val="28"/>
          <w:szCs w:val="28"/>
          <w:lang w:bidi="ar"/>
        </w:rPr>
        <w:t>《关于开展2025年度中央财政支持实施城市更新行动的通知》</w:t>
      </w:r>
      <w:r>
        <w:rPr>
          <w:rFonts w:hint="eastAsia" w:ascii="Arial" w:hAnsi="Arial" w:eastAsia="仿宋" w:cs="Arial"/>
          <w:color w:val="auto"/>
          <w:sz w:val="28"/>
          <w:szCs w:val="28"/>
          <w:lang w:bidi="ar"/>
        </w:rPr>
        <w:t>。《通知》提出</w:t>
      </w:r>
      <w:r>
        <w:rPr>
          <w:rFonts w:ascii="Arial" w:hAnsi="Arial" w:eastAsia="仿宋" w:cs="Arial"/>
          <w:color w:val="auto"/>
          <w:sz w:val="28"/>
          <w:szCs w:val="28"/>
          <w:lang w:bidi="ar"/>
        </w:rPr>
        <w:t>通过竞争性选拔，确定部分基础条件好、积极性高、特色突出的城市，在城市层面探索整合各类资源，探索建立资金、用地、金融等各类要素保障机制，形成工作合力。中央财政对入围城市给予定额补助，支持城市更新的样板项目建设和机制建设2个方向</w:t>
      </w:r>
      <w:r>
        <w:rPr>
          <w:rFonts w:hint="eastAsia" w:ascii="Arial" w:hAnsi="Arial" w:eastAsia="仿宋" w:cs="Arial"/>
          <w:color w:val="auto"/>
          <w:sz w:val="28"/>
          <w:szCs w:val="28"/>
          <w:lang w:bidi="ar"/>
        </w:rPr>
        <w:t>。</w:t>
      </w:r>
    </w:p>
    <w:p w14:paraId="30992A3E">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2025年4月25日</w:t>
      </w:r>
      <w:r>
        <w:rPr>
          <w:rFonts w:ascii="Arial" w:hAnsi="Arial" w:eastAsia="仿宋" w:cs="Arial"/>
          <w:color w:val="auto"/>
          <w:sz w:val="28"/>
          <w:szCs w:val="28"/>
          <w:lang w:bidi="ar"/>
        </w:rPr>
        <w:t>中共中央政治局召开会议，分析研究当前经济形势和经济工作。会议强调，要加紧实施更加积极有为的宏观政策，用好用足更加积极的财政政策和适度宽松的货币政策；加快地方政府专项债券、超长期特别国债等发行使用；适时降准降息，保持流动性充裕。会议指出，要持续用力防范化解重点领域风险；继续实施地方政府一揽子化债政策；加力实施城市更新行动，有力有序推进城中村和危旧房改造；加快构建房地产发展新 模式，加大高品质住房供给，优化存量商品房收购政策，持续巩固房地产市场稳定态势。</w:t>
      </w:r>
    </w:p>
    <w:p w14:paraId="55EBB98C">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2025年5月15日，中共中央办公厅与国务院办公厅公开发布《关于持续推进城市更新行动的意见》。《意见》</w:t>
      </w:r>
      <w:r>
        <w:rPr>
          <w:rFonts w:ascii="Arial" w:hAnsi="Arial" w:eastAsia="仿宋" w:cs="Arial"/>
          <w:color w:val="auto"/>
          <w:sz w:val="28"/>
          <w:szCs w:val="28"/>
          <w:lang w:bidi="ar"/>
        </w:rPr>
        <w:t>提出总体要求、八个主要任务、六项支撑保障措施以及组织实施强化。其中完善用地政策方面包括混合开发利用和用途转换，盘活存量低效用地，闲置土地收回，优化零星用地集中改造、容积率转移或奖励政策，优化地价计收规则等。</w:t>
      </w:r>
    </w:p>
    <w:p w14:paraId="3540910C">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2025年6月13日</w:t>
      </w:r>
      <w:r>
        <w:rPr>
          <w:rFonts w:ascii="Arial" w:hAnsi="Arial" w:eastAsia="仿宋" w:cs="Arial"/>
          <w:color w:val="auto"/>
          <w:sz w:val="28"/>
          <w:szCs w:val="28"/>
          <w:lang w:bidi="ar"/>
        </w:rPr>
        <w:t>国务院常务会议召开，其中重点部署了房地产相关政策，核心目标是</w:t>
      </w:r>
      <w:r>
        <w:rPr>
          <w:rFonts w:hint="eastAsia" w:ascii="Arial" w:hAnsi="Arial" w:eastAsia="仿宋" w:cs="Arial"/>
          <w:color w:val="auto"/>
          <w:sz w:val="28"/>
          <w:szCs w:val="28"/>
          <w:lang w:bidi="ar"/>
        </w:rPr>
        <w:t>“</w:t>
      </w:r>
      <w:r>
        <w:rPr>
          <w:rFonts w:ascii="Arial" w:hAnsi="Arial" w:eastAsia="仿宋" w:cs="Arial"/>
          <w:color w:val="auto"/>
          <w:sz w:val="28"/>
          <w:szCs w:val="28"/>
          <w:lang w:bidi="ar"/>
        </w:rPr>
        <w:t>更大力度推动房地产市场止跌回稳</w:t>
      </w:r>
      <w:r>
        <w:rPr>
          <w:rFonts w:hint="eastAsia" w:ascii="Arial" w:hAnsi="Arial" w:eastAsia="仿宋" w:cs="Arial"/>
          <w:color w:val="auto"/>
          <w:sz w:val="28"/>
          <w:szCs w:val="28"/>
          <w:lang w:bidi="ar"/>
        </w:rPr>
        <w:t>”</w:t>
      </w:r>
      <w:r>
        <w:rPr>
          <w:rFonts w:ascii="Arial" w:hAnsi="Arial" w:eastAsia="仿宋" w:cs="Arial"/>
          <w:color w:val="auto"/>
          <w:sz w:val="28"/>
          <w:szCs w:val="28"/>
          <w:lang w:bidi="ar"/>
        </w:rPr>
        <w:t>，并围绕构建房地产发展新模式、推进</w:t>
      </w:r>
      <w:r>
        <w:rPr>
          <w:rFonts w:hint="eastAsia" w:ascii="Arial" w:hAnsi="Arial" w:eastAsia="仿宋" w:cs="Arial"/>
          <w:color w:val="auto"/>
          <w:sz w:val="28"/>
          <w:szCs w:val="28"/>
          <w:lang w:bidi="ar"/>
        </w:rPr>
        <w:t>“好房子”</w:t>
      </w:r>
      <w:r>
        <w:rPr>
          <w:rFonts w:ascii="Arial" w:hAnsi="Arial" w:eastAsia="仿宋" w:cs="Arial"/>
          <w:color w:val="auto"/>
          <w:sz w:val="28"/>
          <w:szCs w:val="28"/>
          <w:lang w:bidi="ar"/>
        </w:rPr>
        <w:t>建设、盘活存量资源等方面提出具体措施。</w:t>
      </w:r>
    </w:p>
    <w:p w14:paraId="19C28959">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2025年7月1</w:t>
      </w:r>
      <w:r>
        <w:rPr>
          <w:rFonts w:ascii="Arial" w:hAnsi="Arial" w:eastAsia="仿宋" w:cs="Arial"/>
          <w:color w:val="auto"/>
          <w:sz w:val="28"/>
          <w:szCs w:val="28"/>
          <w:lang w:bidi="ar"/>
        </w:rPr>
        <w:t>4日至</w:t>
      </w:r>
      <w:r>
        <w:rPr>
          <w:rFonts w:hint="eastAsia" w:ascii="Arial" w:hAnsi="Arial" w:eastAsia="仿宋" w:cs="Arial"/>
          <w:color w:val="auto"/>
          <w:sz w:val="28"/>
          <w:szCs w:val="28"/>
          <w:lang w:bidi="ar"/>
        </w:rPr>
        <w:t>1</w:t>
      </w:r>
      <w:r>
        <w:rPr>
          <w:rFonts w:ascii="Arial" w:hAnsi="Arial" w:eastAsia="仿宋" w:cs="Arial"/>
          <w:color w:val="auto"/>
          <w:sz w:val="28"/>
          <w:szCs w:val="28"/>
          <w:lang w:bidi="ar"/>
        </w:rPr>
        <w:t>5日</w:t>
      </w:r>
      <w:bookmarkStart w:id="172" w:name="OLE_LINK7"/>
      <w:r>
        <w:rPr>
          <w:rFonts w:ascii="Arial" w:hAnsi="Arial" w:eastAsia="仿宋" w:cs="Arial"/>
          <w:color w:val="auto"/>
          <w:sz w:val="28"/>
          <w:szCs w:val="28"/>
          <w:lang w:bidi="ar"/>
        </w:rPr>
        <w:t>中央城市工作会议</w:t>
      </w:r>
      <w:bookmarkEnd w:id="172"/>
      <w:r>
        <w:rPr>
          <w:rFonts w:ascii="Arial" w:hAnsi="Arial" w:eastAsia="仿宋" w:cs="Arial"/>
          <w:color w:val="auto"/>
          <w:sz w:val="28"/>
          <w:szCs w:val="28"/>
          <w:lang w:bidi="ar"/>
        </w:rPr>
        <w:t>在北京举行，部署城市工作7个方面的重点任务：一是着力优化现代化城市体系；二是着力建设富有活力的创新城市，高质量开展城市更新；三是着力建设舒适便利的宜居城市，优化城市空间结构；加快构建房地产发展新模式，稳步推进城中村和危旧房改造；四是着力建设绿色低碳的美丽城市；五是着力建设安全可靠的韧性城市，严格限制超高层建筑，全面提升房屋安全保障水平；六是着力建设崇德向善的文明城市，完善历史文化保护传承体系；七是着力建设便捷高效的智慧城市</w:t>
      </w:r>
      <w:r>
        <w:rPr>
          <w:rFonts w:hint="eastAsia" w:ascii="Arial" w:hAnsi="Arial" w:eastAsia="仿宋" w:cs="Arial"/>
          <w:color w:val="auto"/>
          <w:sz w:val="28"/>
          <w:szCs w:val="28"/>
          <w:lang w:bidi="ar"/>
        </w:rPr>
        <w:t>。</w:t>
      </w:r>
    </w:p>
    <w:p w14:paraId="214FB161">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2025年7月16日，国务院公布《住房租赁条例》</w:t>
      </w:r>
      <w:r>
        <w:rPr>
          <w:rFonts w:ascii="Arial" w:hAnsi="Arial" w:eastAsia="仿宋" w:cs="Arial"/>
          <w:color w:val="auto"/>
          <w:sz w:val="28"/>
          <w:szCs w:val="28"/>
          <w:lang w:bidi="ar"/>
        </w:rPr>
        <w:t>。该条例旨在规范住房租赁活动，维护住房租赁活动当事人合法权益，稳定住房租赁关系，促进住房租赁市场高质量发展，推动加快建立租购并举的住房制度</w:t>
      </w:r>
      <w:r>
        <w:rPr>
          <w:rFonts w:hint="eastAsia" w:ascii="Arial" w:hAnsi="Arial" w:eastAsia="仿宋" w:cs="Arial"/>
          <w:color w:val="auto"/>
          <w:sz w:val="28"/>
          <w:szCs w:val="28"/>
          <w:lang w:bidi="ar"/>
        </w:rPr>
        <w:t>，《条例》</w:t>
      </w:r>
      <w:r>
        <w:rPr>
          <w:rFonts w:ascii="Arial" w:hAnsi="Arial" w:eastAsia="仿宋" w:cs="Arial"/>
          <w:color w:val="auto"/>
          <w:sz w:val="28"/>
          <w:szCs w:val="28"/>
          <w:lang w:bidi="ar"/>
        </w:rPr>
        <w:t>自2025年9月15日施行。</w:t>
      </w:r>
    </w:p>
    <w:p w14:paraId="53A0C243">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2025年8月28日，《中共中央 国务院关于推动城市高质量发展的意见》公开发布，</w:t>
      </w:r>
      <w:r>
        <w:rPr>
          <w:rFonts w:ascii="Arial" w:hAnsi="Arial" w:eastAsia="仿宋" w:cs="Arial"/>
          <w:color w:val="auto"/>
          <w:sz w:val="28"/>
          <w:szCs w:val="28"/>
          <w:lang w:bidi="ar"/>
        </w:rPr>
        <w:t>在城市发展正从大规模增量扩张阶段转向存量提质增效为主的阶段，为加快城市发展方式转型提出二十三条指导意见。其中， 第五条激活城市存量资源潜力，提出：全面摸清城市房屋、设施、土地等资产资源底数；改造利用老旧厂房、低效楼宇、闲置传统商业设施等存量房屋，建立与建筑功能转换和混合利用需求相适应的规划调整机制；加强和规范存量城市基础设施资产管理，提高运行效能；优化产权归集、整合、置换和登记政策，盘活利用存量低效用地。第八条系统推进</w:t>
      </w:r>
      <w:r>
        <w:rPr>
          <w:rFonts w:hint="eastAsia" w:ascii="Arial" w:hAnsi="Arial" w:eastAsia="仿宋" w:cs="Arial"/>
          <w:color w:val="auto"/>
          <w:sz w:val="28"/>
          <w:szCs w:val="28"/>
          <w:lang w:bidi="ar"/>
        </w:rPr>
        <w:t>“</w:t>
      </w:r>
      <w:r>
        <w:rPr>
          <w:rFonts w:ascii="Arial" w:hAnsi="Arial" w:eastAsia="仿宋" w:cs="Arial"/>
          <w:color w:val="auto"/>
          <w:sz w:val="28"/>
          <w:szCs w:val="28"/>
          <w:lang w:bidi="ar"/>
        </w:rPr>
        <w:t>好房子</w:t>
      </w:r>
      <w:r>
        <w:rPr>
          <w:rFonts w:hint="eastAsia" w:ascii="Arial" w:hAnsi="Arial" w:eastAsia="仿宋" w:cs="Arial"/>
          <w:color w:val="auto"/>
          <w:sz w:val="28"/>
          <w:szCs w:val="28"/>
          <w:lang w:bidi="ar"/>
        </w:rPr>
        <w:t>”</w:t>
      </w:r>
      <w:r>
        <w:rPr>
          <w:rFonts w:ascii="Arial" w:hAnsi="Arial" w:eastAsia="仿宋" w:cs="Arial"/>
          <w:color w:val="auto"/>
          <w:sz w:val="28"/>
          <w:szCs w:val="28"/>
          <w:lang w:bidi="ar"/>
        </w:rPr>
        <w:t>和完整社区建设，提出：加快构建房地产发展新模式，更好满足群众刚性和多样化改善性住房需求；全链条提升住房设计、建造、维护、服务水平，大力推进安全、舒适、绿色、智慧的</w:t>
      </w:r>
      <w:r>
        <w:rPr>
          <w:rFonts w:hint="eastAsia" w:ascii="Arial" w:hAnsi="Arial" w:eastAsia="仿宋" w:cs="Arial"/>
          <w:color w:val="auto"/>
          <w:sz w:val="28"/>
          <w:szCs w:val="28"/>
          <w:lang w:bidi="ar"/>
        </w:rPr>
        <w:t>“</w:t>
      </w:r>
      <w:r>
        <w:rPr>
          <w:rFonts w:ascii="Arial" w:hAnsi="Arial" w:eastAsia="仿宋" w:cs="Arial"/>
          <w:color w:val="auto"/>
          <w:sz w:val="28"/>
          <w:szCs w:val="28"/>
          <w:lang w:bidi="ar"/>
        </w:rPr>
        <w:t>好房子</w:t>
      </w:r>
      <w:r>
        <w:rPr>
          <w:rFonts w:hint="eastAsia" w:ascii="Arial" w:hAnsi="Arial" w:eastAsia="仿宋" w:cs="Arial"/>
          <w:color w:val="auto"/>
          <w:sz w:val="28"/>
          <w:szCs w:val="28"/>
          <w:lang w:bidi="ar"/>
        </w:rPr>
        <w:t>”</w:t>
      </w:r>
      <w:r>
        <w:rPr>
          <w:rFonts w:ascii="Arial" w:hAnsi="Arial" w:eastAsia="仿宋" w:cs="Arial"/>
          <w:color w:val="auto"/>
          <w:sz w:val="28"/>
          <w:szCs w:val="28"/>
          <w:lang w:bidi="ar"/>
        </w:rPr>
        <w:t>建设；实施物业服务质量提升行动；稳步推进城中村和危旧房改造，支持老旧住房自主更新、原拆原建；持续推动城镇老旧小区改造；坚持人口、产业、城镇、交通一体规划，建设创新型产业社区、商务社区；加快建设完整社区，完善城市社区嵌入式服务设施，构建城市便民生活圈；科学制定实施城市更新专项规划，一体化推进城市体检和城市更新，创造宜业、宜居、宜乐、宜游的良好城市环境，促进产城融合、职住平 衡。</w:t>
      </w:r>
    </w:p>
    <w:p w14:paraId="6174D289">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9月11日，《国务院关于全国部分地区要素市场化配置综合改革试点实施方案的批复》发布，同意自即日起2年内开展北京城市副中心等10个要素市场化配置综合改革试点。北京城市副中心试点范围包括通州区全域，关于土地要素，提出：探索土地管理制度改革；深化产业用地市场化改革；盘活存量土地和低效建设用地；健全城乡统一的建设用地市场。</w:t>
      </w:r>
    </w:p>
    <w:p w14:paraId="335144DD">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10月20日至23日，中国共产党第二十届中央委员会第四次全体会议在北京召开，会议分析了当前形势和任务，强调坚决实现全年经济社会发展目标；着力稳就业、稳企业、稳市场、稳预期，稳住经济基本盘，巩固拓展经济回升向好势头；宏观政策要持续发力、适时加力，落实好企业帮扶政策，深入实施提振消费专项行动，兜牢基层</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三保</w:t>
      </w:r>
      <w:r>
        <w:rPr>
          <w:rFonts w:hint="eastAsia" w:ascii="Arial" w:hAnsi="Arial" w:eastAsia="仿宋" w:cs="Arial"/>
          <w:color w:val="auto"/>
          <w:sz w:val="28"/>
          <w:szCs w:val="28"/>
          <w:lang w:bidi="ar"/>
        </w:rPr>
        <w:t>”</w:t>
      </w:r>
      <w:r>
        <w:rPr>
          <w:rFonts w:ascii="Arial" w:hAnsi="Arial" w:eastAsia="仿宋" w:cs="Arial"/>
          <w:color w:val="auto"/>
          <w:sz w:val="28"/>
          <w:szCs w:val="28"/>
          <w:lang w:bidi="ar"/>
        </w:rPr>
        <w:t>底线，积极稳妥化解地方政府债务风险。明确提出要</w:t>
      </w:r>
      <w:r>
        <w:rPr>
          <w:rFonts w:hint="eastAsia" w:ascii="Arial" w:hAnsi="Arial" w:eastAsia="仿宋" w:cs="Arial"/>
          <w:color w:val="auto"/>
          <w:sz w:val="28"/>
          <w:szCs w:val="28"/>
          <w:lang w:bidi="ar"/>
        </w:rPr>
        <w:t>“</w:t>
      </w:r>
      <w:r>
        <w:rPr>
          <w:rFonts w:ascii="Arial" w:hAnsi="Arial" w:eastAsia="仿宋" w:cs="Arial"/>
          <w:color w:val="auto"/>
          <w:sz w:val="28"/>
          <w:szCs w:val="28"/>
          <w:lang w:bidi="ar"/>
        </w:rPr>
        <w:t>推动房地产高质量发展</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p>
    <w:p w14:paraId="704401D9">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2025年10月28日，</w:t>
      </w:r>
      <w:r>
        <w:rPr>
          <w:rFonts w:ascii="Arial" w:hAnsi="Arial" w:eastAsia="仿宋" w:cs="Arial"/>
          <w:color w:val="auto"/>
          <w:sz w:val="28"/>
          <w:szCs w:val="28"/>
          <w:lang w:bidi="ar"/>
        </w:rPr>
        <w:t>《中共中央关于制定国民经济和社会发展第十五个五年规划的建议》全文发布，</w:t>
      </w:r>
      <w:r>
        <w:rPr>
          <w:rFonts w:hint="eastAsia" w:ascii="Arial" w:hAnsi="Arial" w:eastAsia="仿宋" w:cs="Arial"/>
          <w:color w:val="auto"/>
          <w:sz w:val="28"/>
          <w:szCs w:val="28"/>
          <w:lang w:bidi="ar"/>
        </w:rPr>
        <w:t>关于房地产</w:t>
      </w:r>
      <w:r>
        <w:rPr>
          <w:rFonts w:ascii="Arial" w:hAnsi="Arial" w:eastAsia="仿宋" w:cs="Arial"/>
          <w:color w:val="auto"/>
          <w:sz w:val="28"/>
          <w:szCs w:val="28"/>
          <w:lang w:bidi="ar"/>
        </w:rPr>
        <w:t>提出：（1）加快完善要素市场化配置体制机制：促进各类要素资源高效配置，建立健全城乡统一的建设用地市场、功能完善的资本市场、流动顺畅的劳动力市场、转化高效的技术市场，完善并购、破产、置换等政策，盘活用好低效用地、闲置房产、存量基础设施，完善工商业用地使用权续期法律法规，依法稳妥推进续期工作；（</w:t>
      </w:r>
      <w:r>
        <w:rPr>
          <w:rFonts w:hint="eastAsia" w:ascii="Arial" w:hAnsi="Arial" w:eastAsia="仿宋" w:cs="Arial"/>
          <w:color w:val="auto"/>
          <w:sz w:val="28"/>
          <w:szCs w:val="28"/>
          <w:lang w:bidi="ar"/>
        </w:rPr>
        <w:t>2</w:t>
      </w:r>
      <w:r>
        <w:rPr>
          <w:rFonts w:ascii="Arial" w:hAnsi="Arial" w:eastAsia="仿宋" w:cs="Arial"/>
          <w:color w:val="auto"/>
          <w:sz w:val="28"/>
          <w:szCs w:val="28"/>
          <w:lang w:bidi="ar"/>
        </w:rPr>
        <w:t>）优化国土空间发展格局：赋予省级政府统筹建设用地更大自主权，探索实施建设用地总量按规划期管控模式，实行统筹存量和增量综合供地；（</w:t>
      </w:r>
      <w:r>
        <w:rPr>
          <w:rFonts w:hint="eastAsia" w:ascii="Arial" w:hAnsi="Arial" w:eastAsia="仿宋" w:cs="Arial"/>
          <w:color w:val="auto"/>
          <w:sz w:val="28"/>
          <w:szCs w:val="28"/>
          <w:lang w:bidi="ar"/>
        </w:rPr>
        <w:t>3</w:t>
      </w:r>
      <w:r>
        <w:rPr>
          <w:rFonts w:ascii="Arial" w:hAnsi="Arial" w:eastAsia="仿宋" w:cs="Arial"/>
          <w:color w:val="auto"/>
          <w:sz w:val="28"/>
          <w:szCs w:val="28"/>
          <w:lang w:bidi="ar"/>
        </w:rPr>
        <w:t>）坚持城市内涵式发展，大力实施城市更新，建设创新、宜居、美丽、韧性、文明、智慧的现代化人民城市；（</w:t>
      </w:r>
      <w:r>
        <w:rPr>
          <w:rFonts w:hint="eastAsia" w:ascii="Arial" w:hAnsi="Arial" w:eastAsia="仿宋" w:cs="Arial"/>
          <w:color w:val="auto"/>
          <w:sz w:val="28"/>
          <w:szCs w:val="28"/>
          <w:lang w:bidi="ar"/>
        </w:rPr>
        <w:t>4</w:t>
      </w:r>
      <w:r>
        <w:rPr>
          <w:rFonts w:ascii="Arial" w:hAnsi="Arial" w:eastAsia="仿宋" w:cs="Arial"/>
          <w:color w:val="auto"/>
          <w:sz w:val="28"/>
          <w:szCs w:val="28"/>
          <w:lang w:bidi="ar"/>
        </w:rPr>
        <w:t>）推动房地产高质量发展：加快构建房地产发展新模式，完善商品房开发、融资、销售等基础制度；优化保障性住房供给，满足城镇工薪群体和各类困难家庭基本住房需求；因城施策增加改善性住房供给；建设安全舒适绿色智慧的</w:t>
      </w:r>
      <w:r>
        <w:rPr>
          <w:rFonts w:hint="eastAsia" w:ascii="Arial" w:hAnsi="Arial" w:eastAsia="仿宋" w:cs="Arial"/>
          <w:color w:val="auto"/>
          <w:sz w:val="28"/>
          <w:szCs w:val="28"/>
          <w:lang w:bidi="ar"/>
        </w:rPr>
        <w:t>“</w:t>
      </w:r>
      <w:r>
        <w:rPr>
          <w:rFonts w:ascii="Arial" w:hAnsi="Arial" w:eastAsia="仿宋" w:cs="Arial"/>
          <w:color w:val="auto"/>
          <w:sz w:val="28"/>
          <w:szCs w:val="28"/>
          <w:lang w:bidi="ar"/>
        </w:rPr>
        <w:t>好房子</w:t>
      </w:r>
      <w:r>
        <w:rPr>
          <w:rFonts w:hint="eastAsia" w:ascii="Arial" w:hAnsi="Arial" w:eastAsia="仿宋" w:cs="Arial"/>
          <w:color w:val="auto"/>
          <w:sz w:val="28"/>
          <w:szCs w:val="28"/>
          <w:lang w:bidi="ar"/>
        </w:rPr>
        <w:t>”</w:t>
      </w:r>
      <w:r>
        <w:rPr>
          <w:rFonts w:ascii="Arial" w:hAnsi="Arial" w:eastAsia="仿宋" w:cs="Arial"/>
          <w:color w:val="auto"/>
          <w:sz w:val="28"/>
          <w:szCs w:val="28"/>
          <w:lang w:bidi="ar"/>
        </w:rPr>
        <w:t>，实施房屋品质提升工程和物业服务质量提升行动；建立房屋全生命周期安全管理制度；（</w:t>
      </w:r>
      <w:r>
        <w:rPr>
          <w:rFonts w:hint="eastAsia" w:ascii="Arial" w:hAnsi="Arial" w:eastAsia="仿宋" w:cs="Arial"/>
          <w:color w:val="auto"/>
          <w:sz w:val="28"/>
          <w:szCs w:val="28"/>
          <w:lang w:bidi="ar"/>
        </w:rPr>
        <w:t>5</w:t>
      </w:r>
      <w:r>
        <w:rPr>
          <w:rFonts w:ascii="Arial" w:hAnsi="Arial" w:eastAsia="仿宋" w:cs="Arial"/>
          <w:color w:val="auto"/>
          <w:sz w:val="28"/>
          <w:szCs w:val="28"/>
          <w:lang w:bidi="ar"/>
        </w:rPr>
        <w:t>）提高防范化解重点领域风险能力，统筹推进房地产、地方政府债务、中小金融机构等风险有序化解，严防系统性风险。</w:t>
      </w:r>
    </w:p>
    <w:p w14:paraId="35AB3287">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202</w:t>
      </w:r>
      <w:r>
        <w:rPr>
          <w:rFonts w:hint="eastAsia" w:ascii="Arial" w:hAnsi="Arial" w:eastAsia="仿宋" w:cs="Arial"/>
          <w:color w:val="auto"/>
          <w:sz w:val="28"/>
          <w:szCs w:val="28"/>
          <w:lang w:bidi="ar"/>
        </w:rPr>
        <w:t>5</w:t>
      </w:r>
      <w:r>
        <w:rPr>
          <w:rFonts w:ascii="Arial" w:hAnsi="Arial" w:eastAsia="仿宋" w:cs="Arial"/>
          <w:color w:val="auto"/>
          <w:sz w:val="28"/>
          <w:szCs w:val="28"/>
          <w:lang w:bidi="ar"/>
        </w:rPr>
        <w:t>年12月1</w:t>
      </w:r>
      <w:r>
        <w:rPr>
          <w:rFonts w:hint="eastAsia" w:ascii="Arial" w:hAnsi="Arial" w:eastAsia="仿宋" w:cs="Arial"/>
          <w:color w:val="auto"/>
          <w:sz w:val="28"/>
          <w:szCs w:val="28"/>
          <w:lang w:bidi="ar"/>
        </w:rPr>
        <w:t>0</w:t>
      </w:r>
      <w:r>
        <w:rPr>
          <w:rFonts w:ascii="Arial" w:hAnsi="Arial" w:eastAsia="仿宋" w:cs="Arial"/>
          <w:color w:val="auto"/>
          <w:sz w:val="28"/>
          <w:szCs w:val="28"/>
          <w:lang w:bidi="ar"/>
        </w:rPr>
        <w:t>日至1</w:t>
      </w:r>
      <w:r>
        <w:rPr>
          <w:rFonts w:hint="eastAsia" w:ascii="Arial" w:hAnsi="Arial" w:eastAsia="仿宋" w:cs="Arial"/>
          <w:color w:val="auto"/>
          <w:sz w:val="28"/>
          <w:szCs w:val="28"/>
          <w:lang w:bidi="ar"/>
        </w:rPr>
        <w:t>1</w:t>
      </w:r>
      <w:r>
        <w:rPr>
          <w:rFonts w:ascii="Arial" w:hAnsi="Arial" w:eastAsia="仿宋" w:cs="Arial"/>
          <w:color w:val="auto"/>
          <w:sz w:val="28"/>
          <w:szCs w:val="28"/>
          <w:lang w:bidi="ar"/>
        </w:rPr>
        <w:t>日，202</w:t>
      </w:r>
      <w:r>
        <w:rPr>
          <w:rFonts w:hint="eastAsia" w:ascii="Arial" w:hAnsi="Arial" w:eastAsia="仿宋" w:cs="Arial"/>
          <w:color w:val="auto"/>
          <w:sz w:val="28"/>
          <w:szCs w:val="28"/>
          <w:lang w:bidi="ar"/>
        </w:rPr>
        <w:t>5</w:t>
      </w:r>
      <w:r>
        <w:rPr>
          <w:rFonts w:ascii="Arial" w:hAnsi="Arial" w:eastAsia="仿宋" w:cs="Arial"/>
          <w:color w:val="auto"/>
          <w:sz w:val="28"/>
          <w:szCs w:val="28"/>
          <w:lang w:bidi="ar"/>
        </w:rPr>
        <w:t>年中央经济工作会议举行。会议总结202</w:t>
      </w:r>
      <w:r>
        <w:rPr>
          <w:rFonts w:hint="eastAsia" w:ascii="Arial" w:hAnsi="Arial" w:eastAsia="仿宋" w:cs="Arial"/>
          <w:color w:val="auto"/>
          <w:sz w:val="28"/>
          <w:szCs w:val="28"/>
          <w:lang w:bidi="ar"/>
        </w:rPr>
        <w:t>5</w:t>
      </w:r>
      <w:r>
        <w:rPr>
          <w:rFonts w:ascii="Arial" w:hAnsi="Arial" w:eastAsia="仿宋" w:cs="Arial"/>
          <w:color w:val="auto"/>
          <w:sz w:val="28"/>
          <w:szCs w:val="28"/>
          <w:lang w:bidi="ar"/>
        </w:rPr>
        <w:t>年经济工作，</w:t>
      </w:r>
      <w:r>
        <w:rPr>
          <w:rFonts w:hint="eastAsia" w:ascii="Arial" w:hAnsi="Arial" w:eastAsia="仿宋" w:cs="Arial"/>
          <w:color w:val="auto"/>
          <w:sz w:val="28"/>
          <w:szCs w:val="28"/>
          <w:lang w:bidi="ar"/>
        </w:rPr>
        <w:t>分析当前经济形势，部署2026年经济工作</w:t>
      </w:r>
      <w:r>
        <w:rPr>
          <w:rFonts w:ascii="Arial" w:hAnsi="Arial" w:eastAsia="仿宋" w:cs="Arial"/>
          <w:color w:val="auto"/>
          <w:sz w:val="28"/>
          <w:szCs w:val="28"/>
          <w:lang w:bidi="ar"/>
        </w:rPr>
        <w:t>。会议提出</w:t>
      </w:r>
      <w:r>
        <w:rPr>
          <w:rFonts w:hint="eastAsia" w:ascii="Arial" w:hAnsi="Arial" w:eastAsia="仿宋" w:cs="Arial"/>
          <w:color w:val="auto"/>
          <w:sz w:val="28"/>
          <w:szCs w:val="28"/>
          <w:lang w:bidi="ar"/>
        </w:rPr>
        <w:t>“着力稳定房地产市场，因城施策控增量、去库存、优供给，鼓励收购存量商品房重点用于保障性住房等。深化住房公积金制度改革，有序推动‘好房子’建设。加快构建房地产发展新模式</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可以预见，房地产行业的发展潜力和空间依然巨大，中国城市房地产大规模增量扩张的时代已经结束，存量提质增效的新阶段已然开启，房地产行业的未来增长，不再局限于新建开发，而是更多来自存量资产的精细化运营、物业服务的品质升级、租赁市场的规范发展等多元赛道。</w:t>
      </w:r>
    </w:p>
    <w:p w14:paraId="2C5671C8">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202</w:t>
      </w:r>
      <w:r>
        <w:rPr>
          <w:rFonts w:hint="eastAsia" w:ascii="Arial" w:hAnsi="Arial" w:eastAsia="仿宋" w:cs="Arial"/>
          <w:color w:val="auto"/>
          <w:sz w:val="28"/>
          <w:szCs w:val="28"/>
          <w:lang w:bidi="ar"/>
        </w:rPr>
        <w:t>5</w:t>
      </w:r>
      <w:r>
        <w:rPr>
          <w:rFonts w:ascii="Arial" w:hAnsi="Arial" w:eastAsia="仿宋" w:cs="Arial"/>
          <w:color w:val="auto"/>
          <w:sz w:val="28"/>
          <w:szCs w:val="28"/>
          <w:lang w:bidi="ar"/>
        </w:rPr>
        <w:t>年12月2</w:t>
      </w:r>
      <w:r>
        <w:rPr>
          <w:rFonts w:hint="eastAsia" w:ascii="Arial" w:hAnsi="Arial" w:eastAsia="仿宋" w:cs="Arial"/>
          <w:color w:val="auto"/>
          <w:sz w:val="28"/>
          <w:szCs w:val="28"/>
          <w:lang w:bidi="ar"/>
        </w:rPr>
        <w:t>2</w:t>
      </w:r>
      <w:r>
        <w:rPr>
          <w:rFonts w:ascii="Arial" w:hAnsi="Arial" w:eastAsia="仿宋" w:cs="Arial"/>
          <w:color w:val="auto"/>
          <w:sz w:val="28"/>
          <w:szCs w:val="28"/>
          <w:lang w:bidi="ar"/>
        </w:rPr>
        <w:t>日至2</w:t>
      </w:r>
      <w:r>
        <w:rPr>
          <w:rFonts w:hint="eastAsia" w:ascii="Arial" w:hAnsi="Arial" w:eastAsia="仿宋" w:cs="Arial"/>
          <w:color w:val="auto"/>
          <w:sz w:val="28"/>
          <w:szCs w:val="28"/>
          <w:lang w:bidi="ar"/>
        </w:rPr>
        <w:t>3</w:t>
      </w:r>
      <w:r>
        <w:rPr>
          <w:rFonts w:ascii="Arial" w:hAnsi="Arial" w:eastAsia="仿宋" w:cs="Arial"/>
          <w:color w:val="auto"/>
          <w:sz w:val="28"/>
          <w:szCs w:val="28"/>
          <w:lang w:bidi="ar"/>
        </w:rPr>
        <w:t>日，全国住房城乡建设工作会议在北京召开。会议</w:t>
      </w:r>
      <w:r>
        <w:rPr>
          <w:rFonts w:hint="eastAsia" w:ascii="Arial" w:hAnsi="Arial" w:eastAsia="仿宋" w:cs="Arial"/>
          <w:color w:val="auto"/>
          <w:sz w:val="28"/>
          <w:szCs w:val="28"/>
          <w:lang w:bidi="ar"/>
        </w:rPr>
        <w:t>全面盘点2025年工作，系统总结“十四五”时期住房城乡建设事业发展成就，研究部署“十五五”时期和2026年重点任务</w:t>
      </w:r>
      <w:r>
        <w:rPr>
          <w:rFonts w:ascii="Arial" w:hAnsi="Arial" w:eastAsia="仿宋" w:cs="Arial"/>
          <w:color w:val="auto"/>
          <w:sz w:val="28"/>
          <w:szCs w:val="28"/>
          <w:lang w:bidi="ar"/>
        </w:rPr>
        <w:t>。会议强调，202</w:t>
      </w:r>
      <w:r>
        <w:rPr>
          <w:rFonts w:hint="eastAsia" w:ascii="Arial" w:hAnsi="Arial" w:eastAsia="仿宋" w:cs="Arial"/>
          <w:color w:val="auto"/>
          <w:sz w:val="28"/>
          <w:szCs w:val="28"/>
          <w:lang w:bidi="ar"/>
        </w:rPr>
        <w:t>6</w:t>
      </w:r>
      <w:r>
        <w:rPr>
          <w:rFonts w:ascii="Arial" w:hAnsi="Arial" w:eastAsia="仿宋" w:cs="Arial"/>
          <w:color w:val="auto"/>
          <w:sz w:val="28"/>
          <w:szCs w:val="28"/>
          <w:lang w:bidi="ar"/>
        </w:rPr>
        <w:t>年的工作要重点抓好</w:t>
      </w:r>
      <w:r>
        <w:rPr>
          <w:rFonts w:hint="eastAsia" w:ascii="Arial" w:hAnsi="Arial" w:eastAsia="仿宋" w:cs="Arial"/>
          <w:color w:val="auto"/>
          <w:sz w:val="28"/>
          <w:szCs w:val="28"/>
          <w:lang w:bidi="ar"/>
        </w:rPr>
        <w:t>4</w:t>
      </w:r>
      <w:r>
        <w:rPr>
          <w:rFonts w:ascii="Arial" w:hAnsi="Arial" w:eastAsia="仿宋" w:cs="Arial"/>
          <w:color w:val="auto"/>
          <w:sz w:val="28"/>
          <w:szCs w:val="28"/>
          <w:lang w:bidi="ar"/>
        </w:rPr>
        <w:t>个方面工作。一、</w:t>
      </w:r>
      <w:r>
        <w:rPr>
          <w:rFonts w:hint="eastAsia" w:ascii="Arial" w:hAnsi="Arial" w:eastAsia="仿宋" w:cs="Arial"/>
          <w:color w:val="auto"/>
          <w:sz w:val="28"/>
          <w:szCs w:val="28"/>
          <w:lang w:bidi="ar"/>
        </w:rPr>
        <w:t>推进现代化人民城市建设，重点是：高质量开展城市更新，编制实施“十五五”城市更新专项规划，抓好城市体检、更新试点，实施一批民生工程、发展工程、安全工程。</w:t>
      </w:r>
      <w:r>
        <w:rPr>
          <w:rFonts w:ascii="Arial" w:hAnsi="Arial" w:eastAsia="仿宋" w:cs="Arial"/>
          <w:color w:val="auto"/>
          <w:sz w:val="28"/>
          <w:szCs w:val="28"/>
          <w:lang w:bidi="ar"/>
        </w:rPr>
        <w:t>二、</w:t>
      </w:r>
      <w:r>
        <w:rPr>
          <w:rFonts w:hint="eastAsia" w:ascii="Arial" w:hAnsi="Arial" w:eastAsia="仿宋" w:cs="Arial"/>
          <w:color w:val="auto"/>
          <w:sz w:val="28"/>
          <w:szCs w:val="28"/>
          <w:lang w:bidi="ar"/>
        </w:rPr>
        <w:t>着力稳定房地产市场，重点是：因城施策控增量、去库存、优供给，结合城市更新、城中村改造盘活利用存量用地，推动收购存量商品房用作保障性住房、安置房、宿舍、人才房等。优化和精准实施保障性住房供应，实施房屋品质提升工程，有序推进“好房子”建设；进一步发挥房地产项目“白名单”制度作用，支持房地产企业合理融资需求</w:t>
      </w:r>
      <w:r>
        <w:rPr>
          <w:rFonts w:ascii="Arial" w:hAnsi="Arial" w:eastAsia="仿宋" w:cs="Arial"/>
          <w:color w:val="auto"/>
          <w:sz w:val="28"/>
          <w:szCs w:val="28"/>
          <w:lang w:bidi="ar"/>
        </w:rPr>
        <w:t>。三、</w:t>
      </w:r>
      <w:r>
        <w:rPr>
          <w:rFonts w:hint="eastAsia" w:ascii="Arial" w:hAnsi="Arial" w:eastAsia="仿宋" w:cs="Arial"/>
          <w:color w:val="auto"/>
          <w:sz w:val="28"/>
          <w:szCs w:val="28"/>
          <w:lang w:bidi="ar"/>
        </w:rPr>
        <w:t>加快建筑业提质升级，重点是：推动产业转型升级，大力发展智能建造、绿色建造，培育现代化建筑产业链，加快新型建材研发应用，加快培育绿色建筑新增长点；规范建筑市场秩序，深入开展房屋和市政领域工程招标投标突出问题专项整治；强化现场监督管理，扎实推动安全生产治本攻坚三年行动，建立房屋全生命周期安全管理制度</w:t>
      </w:r>
      <w:r>
        <w:rPr>
          <w:rFonts w:ascii="Arial" w:hAnsi="Arial" w:eastAsia="仿宋" w:cs="Arial"/>
          <w:color w:val="auto"/>
          <w:sz w:val="28"/>
          <w:szCs w:val="28"/>
          <w:lang w:bidi="ar"/>
        </w:rPr>
        <w:t>。四、</w:t>
      </w:r>
      <w:r>
        <w:rPr>
          <w:rFonts w:hint="eastAsia" w:ascii="Arial" w:hAnsi="Arial" w:eastAsia="仿宋" w:cs="Arial"/>
          <w:color w:val="auto"/>
          <w:sz w:val="28"/>
          <w:szCs w:val="28"/>
          <w:lang w:bidi="ar"/>
        </w:rPr>
        <w:t>夯实高质量发展基础支撑，重点是：提升法治建设水平，完善标准体系，加快推出一批工作急需的工程建设标准。加强统计分析，推动优化现行统计指标，强化统计数据分析应用</w:t>
      </w:r>
      <w:r>
        <w:rPr>
          <w:rFonts w:ascii="Arial" w:hAnsi="Arial" w:eastAsia="仿宋" w:cs="Arial"/>
          <w:color w:val="auto"/>
          <w:sz w:val="28"/>
          <w:szCs w:val="28"/>
          <w:lang w:bidi="ar"/>
        </w:rPr>
        <w:t>。</w:t>
      </w:r>
    </w:p>
    <w:bookmarkEnd w:id="171"/>
    <w:p w14:paraId="56A71CA7">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北京：</w:t>
      </w:r>
    </w:p>
    <w:p w14:paraId="2F7E10D5">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2025年2月12日，</w:t>
      </w:r>
      <w:r>
        <w:rPr>
          <w:rFonts w:ascii="Arial" w:hAnsi="Arial" w:eastAsia="仿宋" w:cs="Arial"/>
          <w:color w:val="auto"/>
          <w:sz w:val="28"/>
          <w:szCs w:val="28"/>
          <w:lang w:bidi="ar"/>
        </w:rPr>
        <w:t>北京市规划和自然资源委员会发布</w:t>
      </w:r>
      <w:r>
        <w:rPr>
          <w:rFonts w:hint="eastAsia" w:ascii="Arial" w:hAnsi="Arial" w:eastAsia="仿宋" w:cs="Arial"/>
          <w:color w:val="auto"/>
          <w:sz w:val="28"/>
          <w:szCs w:val="28"/>
          <w:lang w:bidi="ar"/>
        </w:rPr>
        <w:t>《关于印发〈北京市平原多点地区“好房子”规划管理相关技术要点（试行）〉的通知》，</w:t>
      </w:r>
      <w:r>
        <w:rPr>
          <w:rFonts w:ascii="Arial" w:hAnsi="Arial" w:eastAsia="仿宋" w:cs="Arial"/>
          <w:color w:val="auto"/>
          <w:sz w:val="28"/>
          <w:szCs w:val="28"/>
          <w:lang w:bidi="ar"/>
        </w:rPr>
        <w:t>旨在提升住房品质，满足多样化居住需求。主要内容包括：允许按需设置封闭或开敞阳台，面积不超过套内建筑面积的10%；鼓励在140平方米以上住宅设置挑空空间；合理利用底层架空空间作为公共活动区域；设置开敞式风雨连廊以方便居民活动；增配邻里共享公共空间，提供便民服务；允许跨城市支路空间利用以优化布局；建筑高度可局部上浮以形成错落天际线；鼓励使用高品质材料提升立面品质。这些措施适用于顺义、大兴、亦庄、昌平、房山等平原多点地区，城市副中心可参照执行</w:t>
      </w:r>
      <w:r>
        <w:rPr>
          <w:rFonts w:hint="eastAsia" w:ascii="Arial" w:hAnsi="Arial" w:eastAsia="仿宋" w:cs="Arial"/>
          <w:color w:val="auto"/>
          <w:sz w:val="28"/>
          <w:szCs w:val="28"/>
          <w:lang w:bidi="ar"/>
        </w:rPr>
        <w:t>。</w:t>
      </w:r>
    </w:p>
    <w:p w14:paraId="2F453189">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5月9日，北京市住房和城乡建设委员会</w:t>
      </w:r>
      <w:r>
        <w:rPr>
          <w:rFonts w:hint="eastAsia" w:ascii="Arial" w:hAnsi="Arial" w:eastAsia="仿宋" w:cs="Arial"/>
          <w:color w:val="auto"/>
          <w:sz w:val="28"/>
          <w:szCs w:val="28"/>
          <w:lang w:bidi="ar"/>
        </w:rPr>
        <w:t>发布</w:t>
      </w:r>
      <w:r>
        <w:rPr>
          <w:rFonts w:ascii="Arial" w:hAnsi="Arial" w:eastAsia="仿宋" w:cs="Arial"/>
          <w:color w:val="auto"/>
          <w:sz w:val="28"/>
          <w:szCs w:val="28"/>
          <w:lang w:bidi="ar"/>
        </w:rPr>
        <w:t>《关于印发</w:t>
      </w:r>
      <w:r>
        <w:rPr>
          <w:rFonts w:hint="eastAsia" w:ascii="Arial" w:hAnsi="Arial" w:eastAsia="仿宋" w:cs="Arial"/>
          <w:color w:val="auto"/>
          <w:sz w:val="28"/>
          <w:szCs w:val="28"/>
          <w:lang w:bidi="ar"/>
        </w:rPr>
        <w:t>〈</w:t>
      </w:r>
      <w:r>
        <w:rPr>
          <w:rFonts w:ascii="Arial" w:hAnsi="Arial" w:eastAsia="仿宋" w:cs="Arial"/>
          <w:color w:val="auto"/>
          <w:sz w:val="28"/>
          <w:szCs w:val="28"/>
          <w:lang w:bidi="ar"/>
        </w:rPr>
        <w:t>2025年北京市住房发展年度计划</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的通知》</w:t>
      </w:r>
      <w:r>
        <w:rPr>
          <w:rFonts w:hint="eastAsia" w:ascii="Arial" w:hAnsi="Arial" w:eastAsia="仿宋" w:cs="Arial"/>
          <w:color w:val="auto"/>
          <w:sz w:val="28"/>
          <w:szCs w:val="28"/>
          <w:lang w:bidi="ar"/>
        </w:rPr>
        <w:t>。《通知》</w:t>
      </w:r>
      <w:r>
        <w:rPr>
          <w:rFonts w:ascii="Arial" w:hAnsi="Arial" w:eastAsia="仿宋" w:cs="Arial"/>
          <w:color w:val="auto"/>
          <w:sz w:val="28"/>
          <w:szCs w:val="28"/>
          <w:lang w:bidi="ar"/>
        </w:rPr>
        <w:t>围绕优化住房用地供应、推进房地产市场回稳向好、加强住房保障、规范住房租赁市场、发挥住房公积金作用、提升住房质量、推进城市更新、健全物业管理服务体系等八个方面，提出了具体任务、行动计划和工作举措。</w:t>
      </w:r>
    </w:p>
    <w:p w14:paraId="42BD9D43">
      <w:pPr>
        <w:widowControl/>
        <w:adjustRightInd/>
        <w:spacing w:line="300" w:lineRule="auto"/>
        <w:ind w:firstLine="560" w:firstLineChars="200"/>
        <w:jc w:val="both"/>
        <w:rPr>
          <w:rFonts w:ascii="Arial" w:hAnsi="Arial" w:eastAsia="仿宋" w:cs="Arial"/>
          <w:color w:val="auto"/>
          <w:sz w:val="28"/>
          <w:szCs w:val="28"/>
          <w:lang w:bidi="ar"/>
        </w:rPr>
      </w:pPr>
      <w:bookmarkStart w:id="173" w:name="OLE_LINK8"/>
      <w:bookmarkStart w:id="174" w:name="_Hlk212211336"/>
      <w:r>
        <w:rPr>
          <w:rFonts w:hint="eastAsia" w:ascii="Arial" w:hAnsi="Arial" w:eastAsia="仿宋" w:cs="Arial"/>
          <w:color w:val="auto"/>
          <w:sz w:val="28"/>
          <w:szCs w:val="28"/>
          <w:lang w:bidi="ar"/>
        </w:rPr>
        <w:t>2025年7月10日，北京市人民政府发布</w:t>
      </w:r>
      <w:r>
        <w:rPr>
          <w:rFonts w:ascii="Arial" w:hAnsi="Arial" w:eastAsia="仿宋" w:cs="Arial"/>
          <w:color w:val="auto"/>
          <w:sz w:val="28"/>
          <w:szCs w:val="28"/>
          <w:lang w:bidi="ar"/>
        </w:rPr>
        <w:t>《关于印发</w:t>
      </w:r>
      <w:r>
        <w:rPr>
          <w:rFonts w:hint="eastAsia" w:ascii="Arial" w:hAnsi="Arial" w:eastAsia="仿宋" w:cs="Arial"/>
          <w:color w:val="auto"/>
          <w:sz w:val="28"/>
          <w:szCs w:val="28"/>
          <w:lang w:bidi="ar"/>
        </w:rPr>
        <w:t>〈北京市深化改革提振消费专项行动方案〉</w:t>
      </w:r>
      <w:r>
        <w:rPr>
          <w:rFonts w:ascii="Arial" w:hAnsi="Arial" w:eastAsia="仿宋" w:cs="Arial"/>
          <w:color w:val="auto"/>
          <w:sz w:val="28"/>
          <w:szCs w:val="28"/>
          <w:lang w:bidi="ar"/>
        </w:rPr>
        <w:t>的通知》，提出共计24项具体方案。其中，</w:t>
      </w:r>
      <w:r>
        <w:rPr>
          <w:rFonts w:hint="eastAsia" w:ascii="Arial" w:hAnsi="Arial" w:eastAsia="仿宋" w:cs="Arial"/>
          <w:color w:val="auto"/>
          <w:sz w:val="28"/>
          <w:szCs w:val="28"/>
          <w:lang w:bidi="ar"/>
        </w:rPr>
        <w:t>第14项“</w:t>
      </w:r>
      <w:r>
        <w:rPr>
          <w:rFonts w:ascii="Arial" w:hAnsi="Arial" w:eastAsia="仿宋" w:cs="Arial"/>
          <w:color w:val="auto"/>
          <w:sz w:val="28"/>
          <w:szCs w:val="28"/>
          <w:lang w:bidi="ar"/>
        </w:rPr>
        <w:t>优化住房消费新供给</w:t>
      </w:r>
      <w:r>
        <w:rPr>
          <w:rFonts w:hint="eastAsia" w:ascii="Arial" w:hAnsi="Arial" w:eastAsia="仿宋" w:cs="Arial"/>
          <w:color w:val="auto"/>
          <w:sz w:val="28"/>
          <w:szCs w:val="28"/>
          <w:lang w:bidi="ar"/>
        </w:rPr>
        <w:t>”</w:t>
      </w:r>
      <w:r>
        <w:rPr>
          <w:rFonts w:ascii="Arial" w:hAnsi="Arial" w:eastAsia="仿宋" w:cs="Arial"/>
          <w:color w:val="auto"/>
          <w:sz w:val="28"/>
          <w:szCs w:val="28"/>
          <w:lang w:bidi="ar"/>
        </w:rPr>
        <w:t>：优先向轨道交通站点和就业密集地区 供应住宅用地，完善</w:t>
      </w:r>
      <w:r>
        <w:rPr>
          <w:rFonts w:hint="eastAsia" w:ascii="Arial" w:hAnsi="Arial" w:eastAsia="仿宋" w:cs="Arial"/>
          <w:color w:val="auto"/>
          <w:sz w:val="28"/>
          <w:szCs w:val="28"/>
          <w:lang w:bidi="ar"/>
        </w:rPr>
        <w:t>“</w:t>
      </w:r>
      <w:r>
        <w:rPr>
          <w:rFonts w:ascii="Arial" w:hAnsi="Arial" w:eastAsia="仿宋" w:cs="Arial"/>
          <w:color w:val="auto"/>
          <w:sz w:val="28"/>
          <w:szCs w:val="28"/>
          <w:lang w:bidi="ar"/>
        </w:rPr>
        <w:t>保障</w:t>
      </w:r>
      <w:r>
        <w:rPr>
          <w:rFonts w:hint="eastAsia" w:ascii="Arial" w:hAnsi="Arial" w:eastAsia="仿宋" w:cs="Arial"/>
          <w:color w:val="auto"/>
          <w:sz w:val="28"/>
          <w:szCs w:val="28"/>
          <w:lang w:bidi="ar"/>
        </w:rPr>
        <w:t>＋</w:t>
      </w:r>
      <w:r>
        <w:rPr>
          <w:rFonts w:ascii="Arial" w:hAnsi="Arial" w:eastAsia="仿宋" w:cs="Arial"/>
          <w:color w:val="auto"/>
          <w:sz w:val="28"/>
          <w:szCs w:val="28"/>
          <w:lang w:bidi="ar"/>
        </w:rPr>
        <w:t>市场</w:t>
      </w:r>
      <w:r>
        <w:rPr>
          <w:rFonts w:hint="eastAsia" w:ascii="Arial" w:hAnsi="Arial" w:eastAsia="仿宋" w:cs="Arial"/>
          <w:color w:val="auto"/>
          <w:sz w:val="28"/>
          <w:szCs w:val="28"/>
          <w:lang w:bidi="ar"/>
        </w:rPr>
        <w:t>”</w:t>
      </w:r>
      <w:r>
        <w:rPr>
          <w:rFonts w:ascii="Arial" w:hAnsi="Arial" w:eastAsia="仿宋" w:cs="Arial"/>
          <w:color w:val="auto"/>
          <w:sz w:val="28"/>
          <w:szCs w:val="28"/>
          <w:lang w:bidi="ar"/>
        </w:rPr>
        <w:t>住房供应体系。进一步发挥住房公积金促进作用，支持缴存人在提取公积 金支付购房首付款的同时申请住房公积金个人住房贷款。研究制定住房公积金个人住房贷款</w:t>
      </w:r>
      <w:r>
        <w:rPr>
          <w:rFonts w:hint="eastAsia" w:ascii="Arial" w:hAnsi="Arial" w:eastAsia="仿宋" w:cs="Arial"/>
          <w:color w:val="auto"/>
          <w:sz w:val="28"/>
          <w:szCs w:val="28"/>
          <w:lang w:bidi="ar"/>
        </w:rPr>
        <w:t>“</w:t>
      </w:r>
      <w:r>
        <w:rPr>
          <w:rFonts w:ascii="Arial" w:hAnsi="Arial" w:eastAsia="仿宋" w:cs="Arial"/>
          <w:color w:val="auto"/>
          <w:sz w:val="28"/>
          <w:szCs w:val="28"/>
          <w:lang w:bidi="ar"/>
        </w:rPr>
        <w:t>带押过户</w:t>
      </w:r>
      <w:r>
        <w:rPr>
          <w:rFonts w:hint="eastAsia" w:ascii="Arial" w:hAnsi="Arial" w:eastAsia="仿宋" w:cs="Arial"/>
          <w:color w:val="auto"/>
          <w:sz w:val="28"/>
          <w:szCs w:val="28"/>
          <w:lang w:bidi="ar"/>
        </w:rPr>
        <w:t>”</w:t>
      </w:r>
      <w:r>
        <w:rPr>
          <w:rFonts w:ascii="Arial" w:hAnsi="Arial" w:eastAsia="仿宋" w:cs="Arial"/>
          <w:color w:val="auto"/>
          <w:sz w:val="28"/>
          <w:szCs w:val="28"/>
          <w:lang w:bidi="ar"/>
        </w:rPr>
        <w:t>政策，并开展相关业务。</w:t>
      </w:r>
    </w:p>
    <w:bookmarkEnd w:id="173"/>
    <w:p w14:paraId="0A1DF778">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2025年8月8日，</w:t>
      </w:r>
      <w:r>
        <w:rPr>
          <w:rFonts w:ascii="Arial" w:hAnsi="Arial" w:eastAsia="仿宋" w:cs="Arial"/>
          <w:color w:val="auto"/>
          <w:sz w:val="28"/>
          <w:szCs w:val="28"/>
          <w:lang w:bidi="ar"/>
        </w:rPr>
        <w:t>北京市住房和城乡建设委员会、</w:t>
      </w:r>
      <w:r>
        <w:rPr>
          <w:rFonts w:hint="eastAsia" w:ascii="Arial" w:hAnsi="Arial" w:eastAsia="仿宋" w:cs="Arial"/>
          <w:color w:val="auto"/>
          <w:sz w:val="28"/>
          <w:szCs w:val="28"/>
          <w:lang w:bidi="ar"/>
        </w:rPr>
        <w:t>北京住房公积金管理中心</w:t>
      </w:r>
      <w:r>
        <w:rPr>
          <w:rFonts w:ascii="Arial" w:hAnsi="Arial" w:eastAsia="仿宋" w:cs="Arial"/>
          <w:color w:val="auto"/>
          <w:sz w:val="28"/>
          <w:szCs w:val="28"/>
          <w:lang w:bidi="ar"/>
        </w:rPr>
        <w:t>联合发布</w:t>
      </w:r>
      <w:r>
        <w:rPr>
          <w:rFonts w:hint="eastAsia" w:ascii="Arial" w:hAnsi="Arial" w:eastAsia="仿宋" w:cs="Arial"/>
          <w:color w:val="auto"/>
          <w:sz w:val="28"/>
          <w:szCs w:val="28"/>
          <w:lang w:bidi="ar"/>
        </w:rPr>
        <w:t>《关于进一步优化调整本市房地产相关政策的通知》。此次政策调整聚焦于优化住房限购政策和加大公积金贷款支持力度两大方面，其中五环外限购松绑以及公积金政策的多项优化举措，印发广泛关注。《通知》自2025年8月9日起正式施行。</w:t>
      </w:r>
    </w:p>
    <w:p w14:paraId="2A2E4226">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9月29日，</w:t>
      </w:r>
      <w:r>
        <w:rPr>
          <w:rFonts w:hint="eastAsia" w:ascii="Arial" w:hAnsi="Arial" w:eastAsia="仿宋" w:cs="Arial"/>
          <w:color w:val="auto"/>
          <w:sz w:val="28"/>
          <w:szCs w:val="28"/>
          <w:lang w:bidi="ar"/>
        </w:rPr>
        <w:t>《</w:t>
      </w:r>
      <w:r>
        <w:rPr>
          <w:rFonts w:ascii="Arial" w:hAnsi="Arial" w:eastAsia="仿宋" w:cs="Arial"/>
          <w:color w:val="auto"/>
          <w:sz w:val="28"/>
          <w:szCs w:val="28"/>
          <w:lang w:bidi="ar"/>
        </w:rPr>
        <w:t>北京市人民政府印发</w:t>
      </w:r>
      <w:r>
        <w:rPr>
          <w:rFonts w:hint="eastAsia" w:ascii="Arial" w:hAnsi="Arial" w:eastAsia="仿宋" w:cs="Arial"/>
          <w:color w:val="auto"/>
          <w:sz w:val="28"/>
          <w:szCs w:val="28"/>
          <w:lang w:bidi="ar"/>
        </w:rPr>
        <w:t>〈北京市居住公共服务设施配置指标〉和〈北京市居住公共服务设施配置指标实施意见〉的通知》发布</w:t>
      </w:r>
      <w:r>
        <w:rPr>
          <w:rFonts w:ascii="Arial" w:hAnsi="Arial" w:eastAsia="仿宋" w:cs="Arial"/>
          <w:color w:val="auto"/>
          <w:sz w:val="28"/>
          <w:szCs w:val="28"/>
          <w:lang w:bidi="ar"/>
        </w:rPr>
        <w:t>，对2015年印发的文件进行了全面修订</w:t>
      </w:r>
      <w:r>
        <w:rPr>
          <w:rFonts w:hint="eastAsia" w:ascii="Arial" w:hAnsi="Arial" w:eastAsia="仿宋" w:cs="Arial"/>
          <w:color w:val="auto"/>
          <w:sz w:val="28"/>
          <w:szCs w:val="28"/>
          <w:lang w:bidi="ar"/>
        </w:rPr>
        <w:t>。《通知》</w:t>
      </w:r>
      <w:r>
        <w:rPr>
          <w:rFonts w:ascii="Arial" w:hAnsi="Arial" w:eastAsia="仿宋" w:cs="Arial"/>
          <w:color w:val="auto"/>
          <w:sz w:val="28"/>
          <w:szCs w:val="28"/>
          <w:lang w:bidi="ar"/>
        </w:rPr>
        <w:t>于2025年 12月1日起实施。鼓励空间复合利用，增设综合服务设施，将文体活动、党群服务设施指标统筹使用；增设托育设施和老幼服务用房，强化</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一老一小</w:t>
      </w:r>
      <w:r>
        <w:rPr>
          <w:rFonts w:hint="eastAsia" w:ascii="Arial" w:hAnsi="Arial" w:eastAsia="仿宋" w:cs="Arial"/>
          <w:color w:val="auto"/>
          <w:sz w:val="28"/>
          <w:szCs w:val="28"/>
          <w:lang w:bidi="ar"/>
        </w:rPr>
        <w:t>”</w:t>
      </w:r>
      <w:r>
        <w:rPr>
          <w:rFonts w:ascii="Arial" w:hAnsi="Arial" w:eastAsia="仿宋" w:cs="Arial"/>
          <w:color w:val="auto"/>
          <w:sz w:val="28"/>
          <w:szCs w:val="28"/>
          <w:lang w:bidi="ar"/>
        </w:rPr>
        <w:t>服务功能；调整了停车指标，电动自行车原则在地上停放；增加末端物流设施、垃圾分类收集设施；增设社区级商业设施</w:t>
      </w:r>
      <w:r>
        <w:rPr>
          <w:rFonts w:hint="eastAsia" w:ascii="Arial" w:hAnsi="Arial" w:eastAsia="仿宋" w:cs="Arial"/>
          <w:color w:val="auto"/>
          <w:sz w:val="28"/>
          <w:szCs w:val="28"/>
          <w:lang w:bidi="ar"/>
        </w:rPr>
        <w:t>。</w:t>
      </w:r>
    </w:p>
    <w:p w14:paraId="208D5930">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2025年12月24日，北京市住房和城乡建设委员会、中国人民银行北京市分行、北京市发展和改革委员会和北京住房公积金管理中心联合发布《关于进一步优化调整本市房地产相关政策的通知》。《通知》</w:t>
      </w:r>
      <w:r>
        <w:rPr>
          <w:rFonts w:ascii="Arial" w:hAnsi="Arial" w:eastAsia="仿宋" w:cs="Arial"/>
          <w:color w:val="auto"/>
          <w:sz w:val="28"/>
          <w:szCs w:val="28"/>
          <w:lang w:bidi="ar"/>
        </w:rPr>
        <w:t>核心内容包括放宽非京籍购房条件、支持多子女家庭购房、优化信贷及公积金政策等，自发布当日施行</w:t>
      </w:r>
      <w:r>
        <w:rPr>
          <w:rFonts w:hint="eastAsia" w:ascii="Arial" w:hAnsi="Arial" w:eastAsia="仿宋" w:cs="Arial"/>
          <w:color w:val="auto"/>
          <w:sz w:val="28"/>
          <w:szCs w:val="28"/>
          <w:lang w:bidi="ar"/>
        </w:rPr>
        <w:t>。</w:t>
      </w:r>
    </w:p>
    <w:p w14:paraId="50511194">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bCs/>
          <w:color w:val="auto"/>
          <w:sz w:val="28"/>
          <w:szCs w:val="28"/>
        </w:rPr>
        <w:t>2025年12月31日，北京市规划和自然资源委员会和北京市住房和城乡建设委员会联合发布《关于印发</w:t>
      </w:r>
      <w:r>
        <w:rPr>
          <w:rFonts w:hint="eastAsia" w:ascii="仿宋" w:hAnsi="仿宋" w:eastAsia="仿宋" w:cs="Arial"/>
          <w:bCs/>
          <w:color w:val="auto"/>
          <w:sz w:val="28"/>
          <w:szCs w:val="28"/>
        </w:rPr>
        <w:t>〈</w:t>
      </w:r>
      <w:r>
        <w:rPr>
          <w:rFonts w:hint="eastAsia" w:ascii="Arial" w:hAnsi="Arial" w:eastAsia="仿宋" w:cs="Arial"/>
          <w:bCs/>
          <w:color w:val="auto"/>
          <w:sz w:val="28"/>
          <w:szCs w:val="28"/>
        </w:rPr>
        <w:t>北京市城市更新范围内无手续建筑认定处理指导意见（试行）</w:t>
      </w:r>
      <w:r>
        <w:rPr>
          <w:rFonts w:hint="eastAsia" w:ascii="仿宋" w:hAnsi="仿宋" w:eastAsia="仿宋" w:cs="Arial"/>
          <w:bCs/>
          <w:color w:val="auto"/>
          <w:sz w:val="28"/>
          <w:szCs w:val="28"/>
        </w:rPr>
        <w:t>〉</w:t>
      </w:r>
      <w:r>
        <w:rPr>
          <w:rFonts w:hint="eastAsia" w:ascii="Arial" w:hAnsi="Arial" w:eastAsia="仿宋" w:cs="Arial"/>
          <w:bCs/>
          <w:color w:val="auto"/>
          <w:sz w:val="28"/>
          <w:szCs w:val="28"/>
        </w:rPr>
        <w:t>的通知》，该文件</w:t>
      </w:r>
      <w:r>
        <w:rPr>
          <w:rFonts w:ascii="Arial" w:hAnsi="Arial" w:eastAsia="仿宋" w:cs="Arial"/>
          <w:bCs/>
          <w:color w:val="auto"/>
          <w:sz w:val="28"/>
          <w:szCs w:val="28"/>
        </w:rPr>
        <w:t>属于《北京市城市更新条例》配套政策文件，旨在推动化解城市更新范围内部分现状建筑物因历史原因形成的无手续或手续不完善问题，激励城市更新项目实施，进一步优化城市功能布局，促进存量空间资源提质增效，加快推进城市更新项</w:t>
      </w:r>
      <w:r>
        <w:rPr>
          <w:rFonts w:ascii="Arial" w:hAnsi="Arial" w:eastAsia="仿宋" w:cs="Arial"/>
          <w:color w:val="auto"/>
          <w:sz w:val="28"/>
          <w:szCs w:val="28"/>
          <w:lang w:bidi="ar"/>
        </w:rPr>
        <w:t>目实施</w:t>
      </w:r>
      <w:r>
        <w:rPr>
          <w:rFonts w:hint="eastAsia" w:ascii="Arial" w:hAnsi="Arial" w:eastAsia="仿宋" w:cs="Arial"/>
          <w:color w:val="auto"/>
          <w:sz w:val="28"/>
          <w:szCs w:val="28"/>
          <w:lang w:bidi="ar"/>
        </w:rPr>
        <w:t>。</w:t>
      </w:r>
    </w:p>
    <w:bookmarkEnd w:id="174"/>
    <w:p w14:paraId="443292FB">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  税收政策：</w:t>
      </w:r>
    </w:p>
    <w:p w14:paraId="296240A0">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2025年4月，</w:t>
      </w:r>
      <w:r>
        <w:rPr>
          <w:rFonts w:ascii="Arial" w:hAnsi="Arial" w:eastAsia="仿宋" w:cs="Arial"/>
          <w:color w:val="auto"/>
          <w:sz w:val="28"/>
          <w:szCs w:val="28"/>
          <w:lang w:bidi="ar"/>
        </w:rPr>
        <w:t>国家税务总局12366纳税服务平台以热点问题答复形式回应：纳税人按照《关于降低存量首套住房贷款 利率有关事项的通知》规定</w:t>
      </w:r>
      <w:r>
        <w:rPr>
          <w:rFonts w:hint="eastAsia" w:ascii="Arial" w:hAnsi="Arial" w:eastAsia="仿宋" w:cs="Arial"/>
          <w:color w:val="auto"/>
          <w:sz w:val="28"/>
          <w:szCs w:val="28"/>
          <w:lang w:bidi="ar"/>
        </w:rPr>
        <w:t>“</w:t>
      </w:r>
      <w:r>
        <w:rPr>
          <w:rFonts w:ascii="Arial" w:hAnsi="Arial" w:eastAsia="仿宋" w:cs="Arial"/>
          <w:color w:val="auto"/>
          <w:sz w:val="28"/>
          <w:szCs w:val="28"/>
          <w:lang w:bidi="ar"/>
        </w:rPr>
        <w:t>二套转首套</w:t>
      </w:r>
      <w:r>
        <w:rPr>
          <w:rFonts w:hint="eastAsia" w:ascii="Arial" w:hAnsi="Arial" w:eastAsia="仿宋" w:cs="Arial"/>
          <w:color w:val="auto"/>
          <w:sz w:val="28"/>
          <w:szCs w:val="28"/>
          <w:lang w:bidi="ar"/>
        </w:rPr>
        <w:t>”</w:t>
      </w:r>
      <w:r>
        <w:rPr>
          <w:rFonts w:ascii="Arial" w:hAnsi="Arial" w:eastAsia="仿宋" w:cs="Arial"/>
          <w:color w:val="auto"/>
          <w:sz w:val="28"/>
          <w:szCs w:val="28"/>
          <w:lang w:bidi="ar"/>
        </w:rPr>
        <w:t>，其商业住房贷款部分已执行首套住房贷款利率的，符合《国务院 关于印发个人所得税专项附加扣除暂行办法的通知》</w:t>
      </w:r>
      <w:r>
        <w:rPr>
          <w:rFonts w:hint="eastAsia" w:ascii="Arial" w:hAnsi="Arial" w:eastAsia="仿宋" w:cs="Arial"/>
          <w:color w:val="auto"/>
          <w:sz w:val="28"/>
          <w:szCs w:val="28"/>
          <w:lang w:bidi="ar"/>
        </w:rPr>
        <w:t>（</w:t>
      </w:r>
      <w:r>
        <w:rPr>
          <w:rFonts w:ascii="Arial" w:hAnsi="Arial" w:eastAsia="仿宋" w:cs="Arial"/>
          <w:color w:val="auto"/>
          <w:sz w:val="28"/>
          <w:szCs w:val="28"/>
          <w:lang w:bidi="ar"/>
        </w:rPr>
        <w:t>国发〔2018〕41号</w:t>
      </w:r>
      <w:r>
        <w:rPr>
          <w:rFonts w:hint="eastAsia" w:ascii="Arial" w:hAnsi="Arial" w:eastAsia="仿宋" w:cs="Arial"/>
          <w:color w:val="auto"/>
          <w:sz w:val="28"/>
          <w:szCs w:val="28"/>
          <w:lang w:bidi="ar"/>
        </w:rPr>
        <w:t>）</w:t>
      </w:r>
      <w:r>
        <w:rPr>
          <w:rFonts w:ascii="Arial" w:hAnsi="Arial" w:eastAsia="仿宋" w:cs="Arial"/>
          <w:color w:val="auto"/>
          <w:sz w:val="28"/>
          <w:szCs w:val="28"/>
          <w:lang w:bidi="ar"/>
        </w:rPr>
        <w:t>有关住房贷款利息专项附加扣除的规定且之前未享受过住房贷款利息专项附加扣除的，可以自按照首套住房贷款利率开始还款的当月起享受住房贷款利息专项附加扣除。</w:t>
      </w:r>
    </w:p>
    <w:p w14:paraId="01629C74">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10月15日，北京市住房和城乡建设委员会、北京市财政局、国家税务总局北京市税务局发布《关于进一步明确本市住房租赁企业税收政策适用有关事项的通知》，明确符合条件的住房租赁企业，可以按照《关于完善住房租赁有关税收政策的公告》（财政部、税务总局、住房城乡建设部公告2021 年第24号》享受相应的税收优惠政策。将专业化规模化住房租赁企业标准下调50%，即在本市持有或者经营租赁住房500 套（间）及以上或者建筑面积1.5 万平方米及以上，进一步扩大专业化规模化住房租赁企业税收优惠覆盖面。</w:t>
      </w:r>
    </w:p>
    <w:p w14:paraId="4A9AEFB7">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12月30日，财政部、税务总局联合发布《关于个人销售住房增值税政策的公告》，个人将购买不足2年的住房对外销售的，按照3%的征收率全额缴纳增值税；个人将购买2年以上（含2年）的住房对外销售的，免征增值税。本次政策调整主要针对购买不足2年的住房，将出售增值税率由5%调整至3%，购买2年以上的住房对外销售的，没有调整，仍免征增值税。公告自2026年1月1日起施行。</w:t>
      </w:r>
    </w:p>
    <w:p w14:paraId="46ECEF50">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  金融政策：</w:t>
      </w:r>
    </w:p>
    <w:p w14:paraId="2BE49A25">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全国：</w:t>
      </w:r>
    </w:p>
    <w:p w14:paraId="1AD58179">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2025年5月7日，</w:t>
      </w:r>
      <w:r>
        <w:rPr>
          <w:rFonts w:ascii="Arial" w:hAnsi="Arial" w:eastAsia="仿宋" w:cs="Arial"/>
          <w:color w:val="auto"/>
          <w:sz w:val="28"/>
          <w:szCs w:val="28"/>
          <w:lang w:bidi="ar"/>
        </w:rPr>
        <w:t>中国人民银行公告，下调金融机构存款准备金率、下调再贷款利率、下调个人住房公积金贷款利率：自5月15日起，下调金融机构存款准备金率0.5个百分点；自5月7日起，下调再贷款利率0.25个百分点；自5月 8日起，下调个人住房公积金贷款利率0.25个百分点。</w:t>
      </w:r>
    </w:p>
    <w:p w14:paraId="7AD8F188">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北京：</w:t>
      </w:r>
    </w:p>
    <w:p w14:paraId="33EF5AC2">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2024年9月30日，北京市住房和城乡建设委员会、北京市财政局、中国人民银行北京市分行、国家金融监督管理总局北京监管局、国家税务总局北京市税务局、北京住房公积金管理中心联合发布《关于进一步优化调整本市房地产相关政策的通知》。《通知》提出，加大信贷政策支持力度。一是降低存量房贷利率。引导商业银行稳妥有序将存量房贷利率降至新发放贷款利率附近，切实减轻购房人房贷利息负担。二是下调房贷首付款比例。将商业性个人住房贷款首套房贷最低首付款比例由不低于20%下调至不低于15%，二套房贷由不低于35%（购买五环内住房）、不低于30%（购买五环外住房）统一下调至不低于20%。三是更好发挥住房公积金贷款作用。京籍二孩以上家庭购房的，公积金可贷款额度上浮40万元。</w:t>
      </w:r>
    </w:p>
    <w:p w14:paraId="237AE54F">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2024年12月31日，北京住房公积金管理中心发布《关于调整住房公积金个人住房贷款借款人年龄上限的通知》，将住房公积金个人住房贷款借款期限调整到可计算到借款申请人法定退休年龄后5年，原则上最高不超过68周岁，贷款期限最长为30年。《通知》自2025年1月1日起执行。</w:t>
      </w:r>
    </w:p>
    <w:p w14:paraId="2FF345A7">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2025年5月8日，</w:t>
      </w:r>
      <w:r>
        <w:rPr>
          <w:rFonts w:ascii="Arial" w:hAnsi="Arial" w:eastAsia="仿宋" w:cs="Arial"/>
          <w:color w:val="auto"/>
          <w:sz w:val="28"/>
          <w:szCs w:val="28"/>
          <w:lang w:bidi="ar"/>
        </w:rPr>
        <w:t>北京住房公积金管理中心发布《</w:t>
      </w:r>
      <w:r>
        <w:rPr>
          <w:rFonts w:hint="eastAsia" w:ascii="Arial" w:hAnsi="Arial" w:eastAsia="仿宋" w:cs="Arial"/>
          <w:color w:val="auto"/>
          <w:sz w:val="28"/>
          <w:szCs w:val="28"/>
          <w:lang w:bidi="ar"/>
        </w:rPr>
        <w:t>关于下调个人住房公积金贷款利率的公告</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2025年5月8日（含）之后新发放的贷款，5年以下（含5年）和5年以上首套个人住房公积金贷款利率分别为2.1％和2.6％，5年以下 （含5年）和5年以上第二套个人住房公积金贷款利率分别为2.525％和3.075％。</w:t>
      </w:r>
    </w:p>
    <w:p w14:paraId="59ABBC18">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4.城市规划与发展目标</w:t>
      </w:r>
    </w:p>
    <w:p w14:paraId="46E88F05">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（1）《北京城市总体规划</w:t>
      </w:r>
      <w:r>
        <w:rPr>
          <w:rFonts w:hint="eastAsia" w:ascii="Arial" w:hAnsi="Arial" w:eastAsia="仿宋" w:cs="Arial"/>
          <w:color w:val="auto"/>
          <w:sz w:val="28"/>
          <w:szCs w:val="28"/>
          <w:lang w:bidi="ar"/>
        </w:rPr>
        <w:t>（</w:t>
      </w:r>
      <w:r>
        <w:rPr>
          <w:rFonts w:ascii="Arial" w:hAnsi="Arial" w:eastAsia="仿宋" w:cs="Arial"/>
          <w:color w:val="auto"/>
          <w:sz w:val="28"/>
          <w:szCs w:val="28"/>
          <w:lang w:bidi="ar"/>
        </w:rPr>
        <w:t>2016年</w:t>
      </w:r>
      <w:r>
        <w:rPr>
          <w:rFonts w:hint="eastAsia" w:ascii="Arial" w:hAnsi="Arial" w:eastAsia="仿宋" w:cs="Arial"/>
          <w:color w:val="auto"/>
          <w:sz w:val="28"/>
          <w:szCs w:val="28"/>
          <w:lang w:bidi="ar"/>
        </w:rPr>
        <w:t>－</w:t>
      </w:r>
      <w:r>
        <w:rPr>
          <w:rFonts w:ascii="Arial" w:hAnsi="Arial" w:eastAsia="仿宋" w:cs="Arial"/>
          <w:color w:val="auto"/>
          <w:sz w:val="28"/>
          <w:szCs w:val="28"/>
          <w:lang w:bidi="ar"/>
        </w:rPr>
        <w:t>2035年</w:t>
      </w:r>
      <w:r>
        <w:rPr>
          <w:rFonts w:hint="eastAsia" w:ascii="Arial" w:hAnsi="Arial" w:eastAsia="仿宋" w:cs="Arial"/>
          <w:color w:val="auto"/>
          <w:sz w:val="28"/>
          <w:szCs w:val="28"/>
          <w:lang w:bidi="ar"/>
        </w:rPr>
        <w:t>）</w:t>
      </w:r>
      <w:r>
        <w:rPr>
          <w:rFonts w:ascii="Arial" w:hAnsi="Arial" w:eastAsia="仿宋" w:cs="Arial"/>
          <w:color w:val="auto"/>
          <w:sz w:val="28"/>
          <w:szCs w:val="28"/>
          <w:lang w:bidi="ar"/>
        </w:rPr>
        <w:t>》于2017年9月29日正式发布。新版总体规划以资源环境为硬约束，确定了人口总量上限、生态控制线、城市开发边界</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三条红线</w:t>
      </w:r>
      <w:r>
        <w:rPr>
          <w:rFonts w:hint="eastAsia" w:ascii="Arial" w:hAnsi="Arial" w:eastAsia="仿宋" w:cs="Arial"/>
          <w:color w:val="auto"/>
          <w:sz w:val="28"/>
          <w:szCs w:val="28"/>
          <w:lang w:bidi="ar"/>
        </w:rPr>
        <w:t>”</w:t>
      </w:r>
      <w:r>
        <w:rPr>
          <w:rFonts w:ascii="Arial" w:hAnsi="Arial" w:eastAsia="仿宋" w:cs="Arial"/>
          <w:color w:val="auto"/>
          <w:sz w:val="28"/>
          <w:szCs w:val="28"/>
          <w:lang w:bidi="ar"/>
        </w:rPr>
        <w:t>。通过疏解非首都功能，实现人随功能走、人随产业走。北京市常住人口规模2020年控制在2300万人以内，2020年以后长期稳定在这一水平。到2035年，北京市生态控制区面积占市域面积的比例要提高到75%。到2020年，北京市城乡建设用地规模将由2015年的2921平方公里减到2860平方公里。深入推进京津冀协同发展。发挥北京的辐射带动作用，打造以首都为核心的世界级城市群。全方位对接支持河北雄安新区规划建设。与河北共同筹办好2022年北京冬奥会和冬残奥会，促进区域整体发展水平提升。聚焦重点领域，优化区域交通体系，推进交通互联互通，疏解过境交通；建设好北京新机场，打造区域世界级机场群；加强产业协作和转移，构建区域协同创新共同体。加强与天津、河北交界地区统一规划、统一政策、统一管控。</w:t>
      </w:r>
    </w:p>
    <w:p w14:paraId="2CBE65B1">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（2）2021年1月27日，北京市第十五届人民代表大会第四次会议批准了《北京市国民经济和社会发展第十四个五年规划和二〇三五年远景目标纲要》（以下简称《纲要》）。《纲要》的指导思想，是要统筹推进</w:t>
      </w:r>
      <w:r>
        <w:rPr>
          <w:rFonts w:hint="eastAsia" w:ascii="Arial" w:hAnsi="Arial" w:eastAsia="仿宋" w:cs="Arial"/>
          <w:color w:val="auto"/>
          <w:sz w:val="28"/>
          <w:szCs w:val="28"/>
          <w:lang w:bidi="ar"/>
        </w:rPr>
        <w:t>“</w:t>
      </w:r>
      <w:r>
        <w:rPr>
          <w:rFonts w:ascii="Arial" w:hAnsi="Arial" w:eastAsia="仿宋" w:cs="Arial"/>
          <w:color w:val="auto"/>
          <w:sz w:val="28"/>
          <w:szCs w:val="28"/>
          <w:lang w:bidi="ar"/>
        </w:rPr>
        <w:t>五位一体</w:t>
      </w:r>
      <w:r>
        <w:rPr>
          <w:rFonts w:hint="eastAsia" w:ascii="Arial" w:hAnsi="Arial" w:eastAsia="仿宋" w:cs="Arial"/>
          <w:color w:val="auto"/>
          <w:sz w:val="28"/>
          <w:szCs w:val="28"/>
          <w:lang w:bidi="ar"/>
        </w:rPr>
        <w:t>”</w:t>
      </w:r>
      <w:r>
        <w:rPr>
          <w:rFonts w:ascii="Arial" w:hAnsi="Arial" w:eastAsia="仿宋" w:cs="Arial"/>
          <w:color w:val="auto"/>
          <w:sz w:val="28"/>
          <w:szCs w:val="28"/>
          <w:lang w:bidi="ar"/>
        </w:rPr>
        <w:t>总体布局，协调推进</w:t>
      </w:r>
      <w:r>
        <w:rPr>
          <w:rFonts w:hint="eastAsia" w:ascii="Arial" w:hAnsi="Arial" w:eastAsia="仿宋" w:cs="Arial"/>
          <w:color w:val="auto"/>
          <w:sz w:val="28"/>
          <w:szCs w:val="28"/>
          <w:lang w:bidi="ar"/>
        </w:rPr>
        <w:t>“</w:t>
      </w:r>
      <w:r>
        <w:rPr>
          <w:rFonts w:ascii="Arial" w:hAnsi="Arial" w:eastAsia="仿宋" w:cs="Arial"/>
          <w:color w:val="auto"/>
          <w:sz w:val="28"/>
          <w:szCs w:val="28"/>
          <w:lang w:bidi="ar"/>
        </w:rPr>
        <w:t>四个全面</w:t>
      </w:r>
      <w:r>
        <w:rPr>
          <w:rFonts w:hint="eastAsia" w:ascii="Arial" w:hAnsi="Arial" w:eastAsia="仿宋" w:cs="Arial"/>
          <w:color w:val="auto"/>
          <w:sz w:val="28"/>
          <w:szCs w:val="28"/>
          <w:lang w:bidi="ar"/>
        </w:rPr>
        <w:t>”</w:t>
      </w:r>
      <w:r>
        <w:rPr>
          <w:rFonts w:ascii="Arial" w:hAnsi="Arial" w:eastAsia="仿宋" w:cs="Arial"/>
          <w:color w:val="auto"/>
          <w:sz w:val="28"/>
          <w:szCs w:val="28"/>
          <w:lang w:bidi="ar"/>
        </w:rPr>
        <w:t>战略布局，坚定不移贯彻创新、协调、绿色、开放、共享的新发展理念，坚持稳中求进工作总基调，立足首都城市战略定位，深入实施人文北京、科技北京、绿色北京战略，以首都发展为统领，以推进高质量发展为主题，以深化供给侧结构性改革为主线，以改革创新为根本动力，以满足人民日益增长的美好生活需要为根本目的，以建设国际科技创新中心为新引擎，以疏解非首都功能为</w:t>
      </w:r>
      <w:r>
        <w:rPr>
          <w:rFonts w:hint="eastAsia" w:ascii="Arial" w:hAnsi="Arial" w:eastAsia="仿宋" w:cs="Arial"/>
          <w:color w:val="auto"/>
          <w:sz w:val="28"/>
          <w:szCs w:val="28"/>
          <w:lang w:bidi="ar"/>
        </w:rPr>
        <w:t>“</w:t>
      </w:r>
      <w:r>
        <w:rPr>
          <w:rFonts w:ascii="Arial" w:hAnsi="Arial" w:eastAsia="仿宋" w:cs="Arial"/>
          <w:color w:val="auto"/>
          <w:sz w:val="28"/>
          <w:szCs w:val="28"/>
          <w:lang w:bidi="ar"/>
        </w:rPr>
        <w:t>牛鼻子</w:t>
      </w:r>
      <w:r>
        <w:rPr>
          <w:rFonts w:hint="eastAsia" w:ascii="Arial" w:hAnsi="Arial" w:eastAsia="仿宋" w:cs="Arial"/>
          <w:color w:val="auto"/>
          <w:sz w:val="28"/>
          <w:szCs w:val="28"/>
          <w:lang w:bidi="ar"/>
        </w:rPr>
        <w:t>”</w:t>
      </w:r>
      <w:r>
        <w:rPr>
          <w:rFonts w:ascii="Arial" w:hAnsi="Arial" w:eastAsia="仿宋" w:cs="Arial"/>
          <w:color w:val="auto"/>
          <w:sz w:val="28"/>
          <w:szCs w:val="28"/>
          <w:lang w:bidi="ar"/>
        </w:rPr>
        <w:t>推动京津冀协同发展，以高水平对外开放打造国际合作和竞争新优势，统筹发展和安全，加快建设现代化经济体系，率先探索构建新发展格局的有效路径，推进首都治理体系和治理能力现代化，实现经济行稳致远、社会安定和谐，为率先基本实现社会主义现代化开好局、起好步。</w:t>
      </w:r>
    </w:p>
    <w:p w14:paraId="523E828F">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纲要》提出，建设高品质宜居城市，优化城市空间功能布局，加快推进城市更新。大力推进老旧小区改造，促进存量产业空间活力复兴。研究推进区域整体转型开发、节余土地分割转让等机制，鼓励市场主体利用老旧厂房发展科技研发、商务服务、文化创意等产业。</w:t>
      </w:r>
    </w:p>
    <w:p w14:paraId="27D0DA19">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完善多层次住房保障体系，加大住房有效供给，优化房地产市场管理和服务。坚持</w:t>
      </w:r>
      <w:r>
        <w:rPr>
          <w:rFonts w:hint="eastAsia" w:ascii="Arial" w:hAnsi="Arial" w:eastAsia="仿宋" w:cs="Arial"/>
          <w:color w:val="auto"/>
          <w:sz w:val="28"/>
          <w:szCs w:val="28"/>
          <w:lang w:bidi="ar"/>
        </w:rPr>
        <w:t>“</w:t>
      </w:r>
      <w:r>
        <w:rPr>
          <w:rFonts w:ascii="Arial" w:hAnsi="Arial" w:eastAsia="仿宋" w:cs="Arial"/>
          <w:color w:val="auto"/>
          <w:sz w:val="28"/>
          <w:szCs w:val="28"/>
          <w:lang w:bidi="ar"/>
        </w:rPr>
        <w:t>房住不炒</w:t>
      </w:r>
      <w:r>
        <w:rPr>
          <w:rFonts w:hint="eastAsia" w:ascii="Arial" w:hAnsi="Arial" w:eastAsia="仿宋" w:cs="Arial"/>
          <w:color w:val="auto"/>
          <w:sz w:val="28"/>
          <w:szCs w:val="28"/>
          <w:lang w:bidi="ar"/>
        </w:rPr>
        <w:t>”</w:t>
      </w:r>
      <w:r>
        <w:rPr>
          <w:rFonts w:ascii="Arial" w:hAnsi="Arial" w:eastAsia="仿宋" w:cs="Arial"/>
          <w:color w:val="auto"/>
          <w:sz w:val="28"/>
          <w:szCs w:val="28"/>
          <w:lang w:bidi="ar"/>
        </w:rPr>
        <w:t>，完善房地产市场平稳健康发展长效机制，构建与城市功能定位和发展需求相适应的住房体系，努力实现住有所居、居有所安。加大住房有效供给，统筹住房保障、职住平衡和区域协调发展，提升住房供给体系的适配性。坚持保障和改善民生优先导向，增加住房供应，规划期内新增各类居住用地5000公顷、供应各类住房100万套左右，基本实现总体供需平衡。加大多层次保障性租赁住房供给，针对中低收入家庭自住需求，大力筹集建设各类租赁型住房，提高公共租赁住房备案家庭保障率，新增供应套数占比不低于40%。新增集体土地租赁住房等政策性租赁住房供地占比不低于供应总量的15%，鼓励存量低效商业、办公、厂房等建筑改造为租赁型职工集体宿舍或公寓。加快高层次人才公租房和国际人才公寓建设。确保住房交易市场平稳有序，规范发展住房租赁市场，保持调控政策连续性稳定性，坚决遏制投机炒房，按照</w:t>
      </w:r>
      <w:r>
        <w:rPr>
          <w:rFonts w:hint="eastAsia" w:ascii="Arial" w:hAnsi="Arial" w:eastAsia="仿宋" w:cs="Arial"/>
          <w:color w:val="auto"/>
          <w:sz w:val="28"/>
          <w:szCs w:val="28"/>
          <w:lang w:bidi="ar"/>
        </w:rPr>
        <w:t>“</w:t>
      </w:r>
      <w:r>
        <w:rPr>
          <w:rFonts w:ascii="Arial" w:hAnsi="Arial" w:eastAsia="仿宋" w:cs="Arial"/>
          <w:color w:val="auto"/>
          <w:sz w:val="28"/>
          <w:szCs w:val="28"/>
          <w:lang w:bidi="ar"/>
        </w:rPr>
        <w:t>全市统筹、因区施策</w:t>
      </w:r>
      <w:r>
        <w:rPr>
          <w:rFonts w:hint="eastAsia" w:ascii="Arial" w:hAnsi="Arial" w:eastAsia="仿宋" w:cs="Arial"/>
          <w:color w:val="auto"/>
          <w:sz w:val="28"/>
          <w:szCs w:val="28"/>
          <w:lang w:bidi="ar"/>
        </w:rPr>
        <w:t>”</w:t>
      </w:r>
      <w:r>
        <w:rPr>
          <w:rFonts w:ascii="Arial" w:hAnsi="Arial" w:eastAsia="仿宋" w:cs="Arial"/>
          <w:color w:val="auto"/>
          <w:sz w:val="28"/>
          <w:szCs w:val="28"/>
          <w:lang w:bidi="ar"/>
        </w:rPr>
        <w:t>原则，逐步完善各区域调控长效机制，合理设定调控目标，全面落实稳地价、稳房价、稳预期。</w:t>
      </w:r>
    </w:p>
    <w:p w14:paraId="1C7C2585">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（3）2022年5月18日，北京市印发《北京市城市更新专项规划（</w:t>
      </w:r>
      <w:r>
        <w:rPr>
          <w:rFonts w:hint="eastAsia" w:ascii="Arial" w:hAnsi="Arial" w:eastAsia="仿宋" w:cs="Arial"/>
          <w:color w:val="auto"/>
          <w:sz w:val="28"/>
          <w:szCs w:val="28"/>
          <w:lang w:bidi="ar"/>
        </w:rPr>
        <w:t>“</w:t>
      </w:r>
      <w:r>
        <w:rPr>
          <w:rFonts w:ascii="Arial" w:hAnsi="Arial" w:eastAsia="仿宋" w:cs="Arial"/>
          <w:color w:val="auto"/>
          <w:sz w:val="28"/>
          <w:szCs w:val="28"/>
          <w:lang w:bidi="ar"/>
        </w:rPr>
        <w:t>十四五</w:t>
      </w:r>
      <w:r>
        <w:rPr>
          <w:rFonts w:hint="eastAsia" w:ascii="Arial" w:hAnsi="Arial" w:eastAsia="仿宋" w:cs="Arial"/>
          <w:color w:val="auto"/>
          <w:sz w:val="28"/>
          <w:szCs w:val="28"/>
          <w:lang w:bidi="ar"/>
        </w:rPr>
        <w:t>”</w:t>
      </w:r>
      <w:r>
        <w:rPr>
          <w:rFonts w:ascii="Arial" w:hAnsi="Arial" w:eastAsia="仿宋" w:cs="Arial"/>
          <w:color w:val="auto"/>
          <w:sz w:val="28"/>
          <w:szCs w:val="28"/>
          <w:lang w:bidi="ar"/>
        </w:rPr>
        <w:t>时期）》（以下简称‘《专项规划》’），严控大拆大建，采取小规模、渐进式、可持续的更新，依托新版《北京城市总规》确定的</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一核一主一副、两轴多点一区</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的城市空间结构，分圈层差异化明确更新方向，将首都功能核心区和城市副中心作为更新重点；划定近期178个城市更新重点街区，到2025年，将完成全市2000年底前建成需改造的1.6亿平方米老旧小区改造任务。</w:t>
      </w:r>
    </w:p>
    <w:p w14:paraId="27C3A3C5">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《专项规划》要求健全完善多主体供给、多渠道保障、租购并举的住房制度和住房体系，增加保障性住房与共有产权住房供给；明确城市更新应坚持</w:t>
      </w:r>
      <w:r>
        <w:rPr>
          <w:rFonts w:hint="eastAsia" w:ascii="Arial" w:hAnsi="Arial" w:eastAsia="仿宋" w:cs="Arial"/>
          <w:color w:val="auto"/>
          <w:sz w:val="28"/>
          <w:szCs w:val="28"/>
          <w:lang w:bidi="ar"/>
        </w:rPr>
        <w:t>“</w:t>
      </w:r>
      <w:r>
        <w:rPr>
          <w:rFonts w:ascii="Arial" w:hAnsi="Arial" w:eastAsia="仿宋" w:cs="Arial"/>
          <w:color w:val="auto"/>
          <w:sz w:val="28"/>
          <w:szCs w:val="28"/>
          <w:lang w:bidi="ar"/>
        </w:rPr>
        <w:t>留改拆</w:t>
      </w:r>
      <w:r>
        <w:rPr>
          <w:rFonts w:hint="eastAsia" w:ascii="Arial" w:hAnsi="Arial" w:eastAsia="仿宋" w:cs="Arial"/>
          <w:color w:val="auto"/>
          <w:sz w:val="28"/>
          <w:szCs w:val="28"/>
          <w:lang w:bidi="ar"/>
        </w:rPr>
        <w:t>”</w:t>
      </w:r>
      <w:r>
        <w:rPr>
          <w:rFonts w:ascii="Arial" w:hAnsi="Arial" w:eastAsia="仿宋" w:cs="Arial"/>
          <w:color w:val="auto"/>
          <w:sz w:val="28"/>
          <w:szCs w:val="28"/>
          <w:lang w:bidi="ar"/>
        </w:rPr>
        <w:t>并举、以保留利用提升为主；要全面推进老旧小区更新改造；将老旧楼宇纳入城市更新范围；要塑造</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两轴</w:t>
      </w:r>
      <w:r>
        <w:rPr>
          <w:rFonts w:hint="eastAsia" w:ascii="Arial" w:hAnsi="Arial" w:eastAsia="仿宋" w:cs="Arial"/>
          <w:color w:val="auto"/>
          <w:sz w:val="28"/>
          <w:szCs w:val="28"/>
          <w:lang w:bidi="ar"/>
        </w:rPr>
        <w:t>”</w:t>
      </w:r>
      <w:r>
        <w:rPr>
          <w:rFonts w:ascii="Arial" w:hAnsi="Arial" w:eastAsia="仿宋" w:cs="Arial"/>
          <w:color w:val="auto"/>
          <w:sz w:val="28"/>
          <w:szCs w:val="28"/>
          <w:lang w:bidi="ar"/>
        </w:rPr>
        <w:t>沿线公共空间。</w:t>
      </w:r>
    </w:p>
    <w:p w14:paraId="15FBA88C">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5.城市经济发展运行状况</w:t>
      </w:r>
    </w:p>
    <w:p w14:paraId="5BB49EC0">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根据北京市统计局地区生产总值统一核算结果，2025年全年，北京市实现地区生产总值52073.4亿元，按不变价格计算，比上年增长5.4%。分产业看，第一产业实现增加值109.2亿元，下降0.7%；第二产业实现增加值7187.4亿元，增长3.5%；第三产业实现增加值44776.9亿元，增长5.8%。</w:t>
      </w:r>
    </w:p>
    <w:p w14:paraId="67578793">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（1）</w:t>
      </w:r>
      <w:r>
        <w:rPr>
          <w:rFonts w:ascii="Arial" w:hAnsi="Arial" w:eastAsia="仿宋" w:cs="Arial"/>
          <w:color w:val="auto"/>
          <w:sz w:val="28"/>
          <w:szCs w:val="28"/>
          <w:lang w:bidi="ar"/>
        </w:rPr>
        <w:t>农业生产保持稳定，设施农业发展较好</w:t>
      </w:r>
    </w:p>
    <w:p w14:paraId="1CE89153">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实现农林牧渔业总产值249.8亿元，按可比价格计算，与上年持平。其中，实现农业（种植业）产值135.4亿元，受极端天气影响，下降3.5%，粮食播种面积148.4万亩、产量59.6万吨，分别增长5.0%和3.5%，蔬菜（含食用菌）、园林水果产量分别下降0.6%和12.2%；实现林业产值56.3亿元，下降5.2%；实现牧业产值42.6亿元，增长9.4%，猪、牛、羊、家禽出栏量均实现两位数增长。设施农业实现产值60.1亿元，增长1.1%，蔬菜、食用菌产值分别为38.2亿元和4.7亿元，分别增长0.9%和11.6%。</w:t>
      </w:r>
    </w:p>
    <w:p w14:paraId="0FD075B8">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（2）工业生产提质增效，新兴领域加速布局</w:t>
      </w:r>
    </w:p>
    <w:p w14:paraId="4366CECA">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规模以上工业增加值按可比价格计算，比上年增长6.5%。重点行业中，计算机、通信和其他电子设备制造业，汽车制造业分别增长20.2%和17.7%，新能源汽车、消费电子、集成电路等领域发挥带动作用；电力、热力生产和供应业增长5.5%；医药制造业下降8.6%；五大装备制造业增长4.9%。新质生产力加快发展，规模以上工业战略性新兴产业、高技术制造业增加值分别增长15.5%和7.5%（二者有交叉），新能源汽车、锂离子电池、服务机器人、风力发电机组产量分别增长1.4倍、1.2倍、47.6%和21.6%。实现规模以上工业出口交货值2113.4亿元，增长6.4%，其中汽车制造业、专用设备制造业分别增长24.6%和10.8%</w:t>
      </w:r>
      <w:r>
        <w:rPr>
          <w:rFonts w:ascii="Arial" w:hAnsi="Arial" w:eastAsia="仿宋" w:cs="Arial"/>
          <w:color w:val="auto"/>
          <w:sz w:val="28"/>
          <w:szCs w:val="28"/>
          <w:lang w:bidi="ar"/>
        </w:rPr>
        <w:t>。</w:t>
      </w:r>
    </w:p>
    <w:p w14:paraId="33267583">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（3）服务业稳中向好，优势行业稳固支撑</w:t>
      </w:r>
    </w:p>
    <w:p w14:paraId="0A9F51C6">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第三产业增加值按不变价格计算，比上年增长5.8%。其中，信息传输、软件和信息技术服务业实现增加值12192.4亿元，增长11.0%，金融业实现增加值8668.2亿元，增长8.7%，两个行业对全市经济增长的贡献率超过7成；租赁和商务服务业实现增加值3171.4亿元，增长4.7%；交通运输、仓储和邮政业实现增加值1343.1亿元，增长8.9%。</w:t>
      </w:r>
    </w:p>
    <w:p w14:paraId="381486AA">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（4）固定资产投资较快增长，有效投资持续增加</w:t>
      </w:r>
    </w:p>
    <w:p w14:paraId="469B6355">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固定资产投资（不含农户）比上年增长5.5%。其中，反映企业生产能力扩大的设备购置投资增长66.0%，占固定资产投资的比重为32.3%，同比提高11.7个百分点，新一代信息技术、集成电路领域相关项目是主要带动力量。分领域看，基础设施投资下降1.6%，房地产开发投资下降15.5%。分产业看，第一产业投资增长6.3%；第二产业投资增长4.3%；第三产业投资增长5.6%，其中，信息传输、软件和信息技术服务业，科学研究和技术服务业投资分别增长83.0%和8.5%；“投资于人”稳步推进，教育、文化体育和娱乐业投资分别增长30.7%和30.1%。高技术产业投资保持活跃，增长40.1%，其中高技术服务业投资增长64.9%，互联网企业算力设备更新等领域加大投入。</w:t>
      </w:r>
    </w:p>
    <w:p w14:paraId="5F847BB5">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2025年末，北京市房屋施工面积10307.8万平方米，比上年末下降8.9%，其中，住宅施工面积5149.6万平方米，下降9.1%。全年商品房销售面积1041.0万平方米，下降6.9%，其中，住宅销售面积724.0万平方米，下降7.9%</w:t>
      </w:r>
      <w:r>
        <w:rPr>
          <w:rFonts w:ascii="Arial" w:hAnsi="Arial" w:eastAsia="仿宋" w:cs="Arial"/>
          <w:color w:val="auto"/>
          <w:sz w:val="28"/>
          <w:szCs w:val="28"/>
          <w:lang w:bidi="ar"/>
        </w:rPr>
        <w:t>。</w:t>
      </w:r>
    </w:p>
    <w:p w14:paraId="45069B22">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（5）服务性消费较为活跃，升级类商品销售良好</w:t>
      </w:r>
    </w:p>
    <w:p w14:paraId="6A5653D7">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市场总消费额比上年增长1.6%。其中，服务性消费额在信息、交通等领域带动下，增长5.0%；实现社会消费品零售总额13677.0亿元，下降2.9%，降幅比前三季度收窄2.2个百分点。社会消费品零售总额中，按消费形态分，商品零售12353.5亿元，下降2.9%，餐饮收入1323.5亿元，下降3.0%，分别收窄2.4个、0.7个百分点。从商品类别看，限额以上批发和零售业中，金银珠宝类、化妆品类、新能源汽车类等升级类商品零售额分别增长39.5%、12.6%和13.2%；与基本生活相关的粮油食品类商品零售额增长5.7%；汽车类、通讯器材类商品零售额分别下降13.7%和15.9%，降幅自四季度以来逐步收窄。</w:t>
      </w:r>
    </w:p>
    <w:p w14:paraId="7763B7BE">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（6）居民消费价格低位平稳运行，工业生产者出厂价格延续降势</w:t>
      </w:r>
      <w:r>
        <w:rPr>
          <w:rFonts w:ascii="Arial" w:hAnsi="Arial" w:eastAsia="仿宋" w:cs="Arial"/>
          <w:color w:val="auto"/>
          <w:sz w:val="28"/>
          <w:szCs w:val="28"/>
          <w:lang w:bidi="ar"/>
        </w:rPr>
        <w:t> </w:t>
      </w:r>
    </w:p>
    <w:p w14:paraId="23826129">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居民消费价格同比下降0.1%。其中，消费品价格下降0.3%，服务价格同比持平。八大类商品和服务项目中，其他用品及服务类价格上涨13.1%，生活用品及服务类价格上涨2.1%，衣着类价格上涨0.4%，居住类价格同比持平，交通通信类价格下降2.2%，食品烟酒类价格下降1.2%，教育文化娱乐类价格下降1.2%，医疗保健类价格下降0.5%。12月份，居民消费价格同比上涨1.0%，环比上涨0.3%。</w:t>
      </w:r>
    </w:p>
    <w:p w14:paraId="1B25435D">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2025年，北京市工业生产者出厂价格同比下降1.7%，购进价格同比下降1.8%。12月份，工业生产者出厂价格同比下降1.6%，环比上涨0.1%；购进价格同比下降2.5%，环比上涨0.8%。</w:t>
      </w:r>
    </w:p>
    <w:p w14:paraId="72CE16BF">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（7）就业形势总体平稳，居民收入稳步增长 </w:t>
      </w:r>
    </w:p>
    <w:p w14:paraId="5924EC8A">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2025年，北京市城镇调查失业率均值为4.1%，与上年持平；12月份，城镇调查失业率为4.0%，环比回落0.1个百分点点。</w:t>
      </w:r>
    </w:p>
    <w:p w14:paraId="7D23A481">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居民人均可支配收入89090元，同比增长4.3%，扣除价格因素增长4.4%。其中，工资性收入增长4.9%，经营净收入增长3.2%，财产净收入增长0.7%，转移净收入增长4.9%。城镇居民人均可支配收入96292元，同比增长4.1%，农村居民人均可支配收入42012元，同比增长5.4%。</w:t>
      </w:r>
    </w:p>
    <w:p w14:paraId="1A4D3751">
      <w:pPr>
        <w:widowControl/>
        <w:adjustRightInd/>
        <w:spacing w:line="300" w:lineRule="auto"/>
        <w:ind w:firstLine="560" w:firstLineChars="200"/>
        <w:jc w:val="both"/>
        <w:rPr>
          <w:rFonts w:ascii="Arial" w:hAnsi="Arial" w:eastAsia="仿宋" w:cs="Arial"/>
          <w:color w:val="auto"/>
          <w:sz w:val="28"/>
          <w:szCs w:val="28"/>
          <w:lang w:bidi="ar"/>
        </w:rPr>
      </w:pPr>
      <w:r>
        <w:rPr>
          <w:rFonts w:hint="eastAsia" w:ascii="Arial" w:hAnsi="Arial" w:eastAsia="仿宋" w:cs="Arial"/>
          <w:color w:val="auto"/>
          <w:sz w:val="28"/>
          <w:szCs w:val="28"/>
          <w:lang w:bidi="ar"/>
        </w:rPr>
        <w:t>总的来看，2025年北京市坚持稳中求进工作总基调，完整准确全面贯彻新发展理念，落实落细稳经济系列政策措施，积极应对各类风险挑战，全市经济保持平稳运行，生产需求稳中向好，就业物价保持稳定，居民收入稳步增加，新质生产力培育壮大，高质量发展取得积极成效，实现“十四五”圆满收官。</w:t>
      </w:r>
    </w:p>
    <w:p w14:paraId="37BBD62B">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（二）区域因素</w:t>
      </w:r>
    </w:p>
    <w:p w14:paraId="060D4C29">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1.区域概况</w:t>
      </w:r>
    </w:p>
    <w:p w14:paraId="43FC368A">
      <w:pPr>
        <w:widowControl/>
        <w:adjustRightInd/>
        <w:spacing w:line="300" w:lineRule="auto"/>
        <w:ind w:firstLine="560" w:firstLineChars="200"/>
        <w:jc w:val="both"/>
        <w:rPr>
          <w:rFonts w:ascii="Arial" w:hAnsi="Arial" w:eastAsia="仿宋" w:cs="Arial"/>
          <w:color w:val="auto"/>
          <w:sz w:val="28"/>
          <w:szCs w:val="28"/>
          <w:lang w:bidi="ar"/>
        </w:rPr>
      </w:pPr>
      <w:bookmarkStart w:id="175" w:name="ref_[1]_1244149"/>
      <w:r>
        <w:rPr>
          <w:rFonts w:ascii="Arial" w:hAnsi="Arial" w:eastAsia="仿宋" w:cs="Arial"/>
          <w:color w:val="auto"/>
          <w:sz w:val="28"/>
          <w:szCs w:val="28"/>
          <w:lang w:bidi="ar"/>
        </w:rPr>
        <w:t>顺义区位于北京市东北部，距市区30公里，毗邻北京城市副中心，是首都国际机场所在地，北邻</w:t>
      </w:r>
      <w:r>
        <w:rPr>
          <w:color w:val="auto"/>
        </w:rPr>
        <w:fldChar w:fldCharType="begin"/>
      </w:r>
      <w:r>
        <w:rPr>
          <w:color w:val="auto"/>
        </w:rPr>
        <w:instrText xml:space="preserve"> HYPERLINK "https://baike.baidu.com/item/%E6%80%80%E6%9F%94%E5%8C%BA/5105451?fromModule=lemma_inlink" \t "/Users/liuning/Documentsx/_blank" </w:instrText>
      </w:r>
      <w:r>
        <w:rPr>
          <w:color w:val="auto"/>
        </w:rPr>
        <w:fldChar w:fldCharType="separate"/>
      </w:r>
      <w:r>
        <w:rPr>
          <w:rFonts w:ascii="Arial" w:hAnsi="Arial" w:eastAsia="仿宋" w:cs="Arial"/>
          <w:color w:val="auto"/>
          <w:sz w:val="28"/>
          <w:szCs w:val="28"/>
          <w:lang w:bidi="ar"/>
        </w:rPr>
        <w:t>怀柔区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w:t>
      </w:r>
      <w:r>
        <w:rPr>
          <w:color w:val="auto"/>
        </w:rPr>
        <w:fldChar w:fldCharType="begin"/>
      </w:r>
      <w:r>
        <w:rPr>
          <w:color w:val="auto"/>
        </w:rPr>
        <w:instrText xml:space="preserve"> HYPERLINK "https://baike.baidu.com/item/%E5%AF%86%E4%BA%91%E5%8C%BA/18830737?fromModule=lemma_inlink" \t "/Users/liuning/Documentsx/_blank" </w:instrText>
      </w:r>
      <w:r>
        <w:rPr>
          <w:color w:val="auto"/>
        </w:rPr>
        <w:fldChar w:fldCharType="separate"/>
      </w:r>
      <w:r>
        <w:rPr>
          <w:rFonts w:ascii="Arial" w:hAnsi="Arial" w:eastAsia="仿宋" w:cs="Arial"/>
          <w:color w:val="auto"/>
          <w:sz w:val="28"/>
          <w:szCs w:val="28"/>
          <w:lang w:bidi="ar"/>
        </w:rPr>
        <w:t>密云区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，东界</w:t>
      </w:r>
      <w:r>
        <w:rPr>
          <w:color w:val="auto"/>
        </w:rPr>
        <w:fldChar w:fldCharType="begin"/>
      </w:r>
      <w:r>
        <w:rPr>
          <w:color w:val="auto"/>
        </w:rPr>
        <w:instrText xml:space="preserve"> HYPERLINK "https://baike.baidu.com/item/%E5%B9%B3%E8%B0%B7%E5%8C%BA/4461548?fromModule=lemma_inlink" \t "/Users/liuning/Documentsx/_blank" </w:instrText>
      </w:r>
      <w:r>
        <w:rPr>
          <w:color w:val="auto"/>
        </w:rPr>
        <w:fldChar w:fldCharType="separate"/>
      </w:r>
      <w:r>
        <w:rPr>
          <w:rFonts w:ascii="Arial" w:hAnsi="Arial" w:eastAsia="仿宋" w:cs="Arial"/>
          <w:color w:val="auto"/>
          <w:sz w:val="28"/>
          <w:szCs w:val="28"/>
          <w:lang w:bidi="ar"/>
        </w:rPr>
        <w:t>平谷区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，南与</w:t>
      </w:r>
      <w:r>
        <w:rPr>
          <w:color w:val="auto"/>
        </w:rPr>
        <w:fldChar w:fldCharType="begin"/>
      </w:r>
      <w:r>
        <w:rPr>
          <w:color w:val="auto"/>
        </w:rPr>
        <w:instrText xml:space="preserve"> HYPERLINK "https://baike.baidu.com/item/%E9%80%9A%E5%B7%9E%E5%8C%BA/5203?fromModule=lemma_inlink" \t "/Users/liuning/Documentsx/_blank" </w:instrText>
      </w:r>
      <w:r>
        <w:rPr>
          <w:color w:val="auto"/>
        </w:rPr>
        <w:fldChar w:fldCharType="separate"/>
      </w:r>
      <w:r>
        <w:rPr>
          <w:rFonts w:ascii="Arial" w:hAnsi="Arial" w:eastAsia="仿宋" w:cs="Arial"/>
          <w:color w:val="auto"/>
          <w:sz w:val="28"/>
          <w:szCs w:val="28"/>
          <w:lang w:bidi="ar"/>
        </w:rPr>
        <w:t>通州区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、河北省廊坊市三河市接壤，西南、西与</w:t>
      </w:r>
      <w:r>
        <w:rPr>
          <w:color w:val="auto"/>
        </w:rPr>
        <w:fldChar w:fldCharType="begin"/>
      </w:r>
      <w:r>
        <w:rPr>
          <w:color w:val="auto"/>
        </w:rPr>
        <w:instrText xml:space="preserve"> HYPERLINK "https://baike.baidu.com/item/%E6%98%8C%E5%B9%B3%E5%8C%BA/2504992?fromModule=lemma_inlink" \t "/Users/liuning/Documentsx/_blank" </w:instrText>
      </w:r>
      <w:r>
        <w:rPr>
          <w:color w:val="auto"/>
        </w:rPr>
        <w:fldChar w:fldCharType="separate"/>
      </w:r>
      <w:r>
        <w:rPr>
          <w:rFonts w:ascii="Arial" w:hAnsi="Arial" w:eastAsia="仿宋" w:cs="Arial"/>
          <w:color w:val="auto"/>
          <w:sz w:val="28"/>
          <w:szCs w:val="28"/>
          <w:lang w:bidi="ar"/>
        </w:rPr>
        <w:t>昌平区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w:t>
      </w:r>
      <w:r>
        <w:rPr>
          <w:color w:val="auto"/>
        </w:rPr>
        <w:fldChar w:fldCharType="begin"/>
      </w:r>
      <w:r>
        <w:rPr>
          <w:color w:val="auto"/>
        </w:rPr>
        <w:instrText xml:space="preserve"> HYPERLINK "https://baike.baidu.com/item/%E6%9C%9D%E9%98%B3%E5%8C%BA/2134?fromModule=lemma_inlink" \t "/Users/liuning/Documentsx/_blank" </w:instrText>
      </w:r>
      <w:r>
        <w:rPr>
          <w:color w:val="auto"/>
        </w:rPr>
        <w:fldChar w:fldCharType="separate"/>
      </w:r>
      <w:r>
        <w:rPr>
          <w:rFonts w:ascii="Arial" w:hAnsi="Arial" w:eastAsia="仿宋" w:cs="Arial"/>
          <w:color w:val="auto"/>
          <w:sz w:val="28"/>
          <w:szCs w:val="28"/>
          <w:lang w:bidi="ar"/>
        </w:rPr>
        <w:t>朝阳区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隔温榆河为界。总面积1021平方公里，其中平原面积占95.7%。全区常住人口132.5万人，下辖19个建制镇和6个街道办事处。按照新版北京城市总体规划，顺义区是北京市</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一核一主一副、两轴多点一区</w:t>
      </w:r>
      <w:r>
        <w:rPr>
          <w:rFonts w:hint="eastAsia" w:ascii="Arial" w:hAnsi="Arial" w:eastAsia="仿宋" w:cs="Arial"/>
          <w:color w:val="auto"/>
          <w:sz w:val="28"/>
          <w:szCs w:val="28"/>
          <w:lang w:bidi="ar"/>
        </w:rPr>
        <w:t>”</w:t>
      </w:r>
      <w:r>
        <w:rPr>
          <w:rFonts w:ascii="Arial" w:hAnsi="Arial" w:eastAsia="仿宋" w:cs="Arial"/>
          <w:color w:val="auto"/>
          <w:sz w:val="28"/>
          <w:szCs w:val="28"/>
          <w:lang w:bidi="ar"/>
        </w:rPr>
        <w:t>城市空间结构中的</w:t>
      </w:r>
      <w:r>
        <w:rPr>
          <w:rFonts w:hint="eastAsia" w:ascii="Arial" w:hAnsi="Arial" w:eastAsia="仿宋" w:cs="Arial"/>
          <w:color w:val="auto"/>
          <w:sz w:val="28"/>
          <w:szCs w:val="28"/>
          <w:lang w:bidi="ar"/>
        </w:rPr>
        <w:t>“</w:t>
      </w:r>
      <w:r>
        <w:rPr>
          <w:rFonts w:ascii="Arial" w:hAnsi="Arial" w:eastAsia="仿宋" w:cs="Arial"/>
          <w:color w:val="auto"/>
          <w:sz w:val="28"/>
          <w:szCs w:val="28"/>
          <w:lang w:bidi="ar"/>
        </w:rPr>
        <w:t>多点</w:t>
      </w:r>
      <w:r>
        <w:rPr>
          <w:rFonts w:hint="eastAsia" w:ascii="Arial" w:hAnsi="Arial" w:eastAsia="仿宋" w:cs="Arial"/>
          <w:color w:val="auto"/>
          <w:sz w:val="28"/>
          <w:szCs w:val="28"/>
          <w:lang w:bidi="ar"/>
        </w:rPr>
        <w:t>”</w:t>
      </w:r>
      <w:r>
        <w:rPr>
          <w:rFonts w:ascii="Arial" w:hAnsi="Arial" w:eastAsia="仿宋" w:cs="Arial"/>
          <w:color w:val="auto"/>
          <w:sz w:val="28"/>
          <w:szCs w:val="28"/>
          <w:lang w:bidi="ar"/>
        </w:rPr>
        <w:t>之一，也是</w:t>
      </w:r>
      <w:r>
        <w:rPr>
          <w:rFonts w:hint="eastAsia" w:ascii="Arial" w:hAnsi="Arial" w:eastAsia="仿宋" w:cs="Arial"/>
          <w:color w:val="auto"/>
          <w:sz w:val="28"/>
          <w:szCs w:val="28"/>
          <w:lang w:bidi="ar"/>
        </w:rPr>
        <w:t>“</w:t>
      </w:r>
      <w:r>
        <w:rPr>
          <w:rFonts w:ascii="Arial" w:hAnsi="Arial" w:eastAsia="仿宋" w:cs="Arial"/>
          <w:color w:val="auto"/>
          <w:sz w:val="28"/>
          <w:szCs w:val="28"/>
          <w:lang w:bidi="ar"/>
        </w:rPr>
        <w:t>国门</w:t>
      </w:r>
      <w:r>
        <w:rPr>
          <w:rFonts w:hint="eastAsia" w:ascii="Arial" w:hAnsi="Arial" w:eastAsia="仿宋" w:cs="Arial"/>
          <w:color w:val="auto"/>
          <w:sz w:val="28"/>
          <w:szCs w:val="28"/>
          <w:lang w:bidi="ar"/>
        </w:rPr>
        <w:t>”</w:t>
      </w:r>
      <w:r>
        <w:rPr>
          <w:rFonts w:ascii="Arial" w:hAnsi="Arial" w:eastAsia="仿宋" w:cs="Arial"/>
          <w:color w:val="auto"/>
          <w:sz w:val="28"/>
          <w:szCs w:val="28"/>
          <w:lang w:bidi="ar"/>
        </w:rPr>
        <w:t>所在地、首都重点平原新城、中心城区适宜功能产业的重要承接地，正在建设</w:t>
      </w:r>
      <w:r>
        <w:rPr>
          <w:rFonts w:hint="eastAsia" w:ascii="Arial" w:hAnsi="Arial" w:eastAsia="仿宋" w:cs="Arial"/>
          <w:color w:val="auto"/>
          <w:sz w:val="28"/>
          <w:szCs w:val="28"/>
          <w:lang w:bidi="ar"/>
        </w:rPr>
        <w:t>“</w:t>
      </w:r>
      <w:r>
        <w:rPr>
          <w:rFonts w:ascii="Arial" w:hAnsi="Arial" w:eastAsia="仿宋" w:cs="Arial"/>
          <w:color w:val="auto"/>
          <w:sz w:val="28"/>
          <w:szCs w:val="28"/>
          <w:lang w:bidi="ar"/>
        </w:rPr>
        <w:t>港城融合的国际航空中心核心区，创新引领的区域经济提升发展先行区，城乡协调的首都和谐宜居示范区</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bookmarkEnd w:id="175"/>
    </w:p>
    <w:p w14:paraId="695943DE">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顺义区地势北高南低，东北边界屏障燕山，境内平原为河流洪水携带沉积物质造成，表面堆积物主要是砂、亚砂土，面积占95.7%。北部山地最高点海拔为637米，境内最低点海拔为24米，平均海拔35米。顺义区境内有大小河流20余条，潮白河等河流分流其间，均呈南北走向，分属北运河、潮白河、蓟运河3个水系。河道总长232千米，径流总量1.7亿立方米。</w:t>
      </w:r>
    </w:p>
    <w:p w14:paraId="0F52D08F">
      <w:pPr>
        <w:adjustRightInd/>
        <w:spacing w:line="300" w:lineRule="auto"/>
        <w:ind w:firstLine="560" w:firstLineChars="200"/>
        <w:jc w:val="both"/>
        <w:rPr>
          <w:rFonts w:ascii="Arial" w:hAnsi="Arial" w:eastAsia="仿宋" w:cs="Arial"/>
          <w:i/>
          <w:color w:val="auto"/>
          <w:sz w:val="28"/>
          <w:szCs w:val="28"/>
        </w:rPr>
      </w:pPr>
      <w:r>
        <w:rPr>
          <w:rFonts w:ascii="Arial" w:hAnsi="Arial" w:eastAsia="仿宋" w:cs="Arial"/>
          <w:color w:val="auto"/>
          <w:sz w:val="28"/>
          <w:szCs w:val="28"/>
          <w:lang w:bidi="ar"/>
        </w:rPr>
        <w:t>顺义区公路已形成机场高速、京承高速、机场北线高速、京平高速、机场南线高速、六环路等高速公路为龙头，京密路、顺平路等国、市道主干线路网为骨架，县乡公路为支脉，</w:t>
      </w:r>
      <w:r>
        <w:rPr>
          <w:rFonts w:hint="eastAsia" w:ascii="Arial" w:hAnsi="Arial" w:eastAsia="仿宋" w:cs="Arial"/>
          <w:color w:val="auto"/>
          <w:sz w:val="28"/>
          <w:szCs w:val="28"/>
          <w:lang w:bidi="ar"/>
        </w:rPr>
        <w:t>“</w:t>
      </w:r>
      <w:r>
        <w:rPr>
          <w:rFonts w:ascii="Arial" w:hAnsi="Arial" w:eastAsia="仿宋" w:cs="Arial"/>
          <w:color w:val="auto"/>
          <w:sz w:val="28"/>
          <w:szCs w:val="28"/>
          <w:lang w:bidi="ar"/>
        </w:rPr>
        <w:t>六横</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十四纵</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二放射</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六高速</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棋盘</w:t>
      </w:r>
      <w:r>
        <w:rPr>
          <w:rFonts w:hint="eastAsia" w:ascii="Arial" w:hAnsi="Arial" w:eastAsia="仿宋" w:cs="Arial"/>
          <w:color w:val="auto"/>
          <w:sz w:val="28"/>
          <w:szCs w:val="28"/>
          <w:lang w:bidi="ar"/>
        </w:rPr>
        <w:t>＋</w:t>
      </w:r>
      <w:r>
        <w:rPr>
          <w:rFonts w:ascii="Arial" w:hAnsi="Arial" w:eastAsia="仿宋" w:cs="Arial"/>
          <w:color w:val="auto"/>
          <w:sz w:val="28"/>
          <w:szCs w:val="28"/>
          <w:lang w:bidi="ar"/>
        </w:rPr>
        <w:t>网格</w:t>
      </w:r>
      <w:r>
        <w:rPr>
          <w:rFonts w:hint="eastAsia" w:ascii="Arial" w:hAnsi="Arial" w:eastAsia="仿宋" w:cs="Arial"/>
          <w:color w:val="auto"/>
          <w:sz w:val="28"/>
          <w:szCs w:val="28"/>
          <w:lang w:bidi="ar"/>
        </w:rPr>
        <w:t>＋</w:t>
      </w:r>
      <w:r>
        <w:rPr>
          <w:rFonts w:ascii="Arial" w:hAnsi="Arial" w:eastAsia="仿宋" w:cs="Arial"/>
          <w:color w:val="auto"/>
          <w:sz w:val="28"/>
          <w:szCs w:val="28"/>
          <w:lang w:bidi="ar"/>
        </w:rPr>
        <w:t>环线</w:t>
      </w:r>
      <w:r>
        <w:rPr>
          <w:rFonts w:hint="eastAsia" w:ascii="Arial" w:hAnsi="Arial" w:eastAsia="仿宋" w:cs="Arial"/>
          <w:color w:val="auto"/>
          <w:sz w:val="28"/>
          <w:szCs w:val="28"/>
          <w:lang w:bidi="ar"/>
        </w:rPr>
        <w:t>”</w:t>
      </w:r>
      <w:r>
        <w:rPr>
          <w:rFonts w:ascii="Arial" w:hAnsi="Arial" w:eastAsia="仿宋" w:cs="Arial"/>
          <w:color w:val="auto"/>
          <w:sz w:val="28"/>
          <w:szCs w:val="28"/>
          <w:lang w:bidi="ar"/>
        </w:rPr>
        <w:t>纵横交错、四通八达的公路网体系。</w:t>
      </w:r>
    </w:p>
    <w:p w14:paraId="0F16F188">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2.交通条件</w:t>
      </w:r>
    </w:p>
    <w:p w14:paraId="7872F42A">
      <w:pPr>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估价对象属于北京市顺义区高丽营镇夏县营村，估价对象紧临城市主干道——火寺路、周边1公里范围内有顺25路、顺42路、顺49路、顺69路等公交线路，区域内交通一般，区域间通达性较差，综合评价交通便捷度较差。</w:t>
      </w:r>
    </w:p>
    <w:p w14:paraId="1E1BC395">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3.环境条件</w:t>
      </w:r>
    </w:p>
    <w:p w14:paraId="51517FA9">
      <w:pPr>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估价对位于北京市顺义区高丽营镇夏县营村，</w:t>
      </w:r>
      <w:r>
        <w:rPr>
          <w:rFonts w:hint="eastAsia" w:ascii="Arial" w:hAnsi="Arial" w:eastAsia="仿宋" w:cs="Arial"/>
          <w:color w:val="auto"/>
          <w:sz w:val="28"/>
          <w:szCs w:val="28"/>
          <w:lang w:bidi="ar"/>
        </w:rPr>
        <w:t>周边2公里范围内有南郎中休闲公园、口袋公园、方氏渠等自然环境；人文环境较少</w:t>
      </w:r>
      <w:r>
        <w:rPr>
          <w:rFonts w:ascii="Arial" w:hAnsi="Arial" w:eastAsia="仿宋" w:cs="Arial"/>
          <w:color w:val="auto"/>
          <w:sz w:val="28"/>
          <w:szCs w:val="28"/>
          <w:lang w:bidi="ar"/>
        </w:rPr>
        <w:t>；综合评价环境状况一般。</w:t>
      </w:r>
    </w:p>
    <w:p w14:paraId="528ADA61">
      <w:pPr>
        <w:adjustRightInd/>
        <w:spacing w:line="300" w:lineRule="auto"/>
        <w:ind w:firstLine="562" w:firstLineChars="200"/>
        <w:jc w:val="both"/>
        <w:rPr>
          <w:rFonts w:ascii="Arial" w:hAnsi="Arial" w:eastAsia="仿宋" w:cs="Arial"/>
          <w:b/>
          <w:bCs/>
          <w:i/>
          <w:color w:val="auto"/>
          <w:sz w:val="28"/>
          <w:szCs w:val="28"/>
        </w:rPr>
      </w:pPr>
      <w:r>
        <w:rPr>
          <w:rFonts w:ascii="Arial" w:hAnsi="Arial" w:eastAsia="仿宋" w:cs="Arial"/>
          <w:b/>
          <w:bCs/>
          <w:color w:val="auto"/>
          <w:sz w:val="28"/>
          <w:szCs w:val="28"/>
        </w:rPr>
        <w:t>4.基础设施设施条件</w:t>
      </w:r>
    </w:p>
    <w:p w14:paraId="47D0166C">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估价对象所在区域内基础设施配套条件达到</w:t>
      </w:r>
      <w:r>
        <w:rPr>
          <w:rFonts w:hint="eastAsia" w:ascii="Arial" w:hAnsi="Arial" w:eastAsia="仿宋" w:cs="Arial"/>
          <w:color w:val="auto"/>
          <w:sz w:val="28"/>
          <w:szCs w:val="28"/>
        </w:rPr>
        <w:t>“七通”</w:t>
      </w:r>
      <w:r>
        <w:rPr>
          <w:rFonts w:ascii="Arial" w:hAnsi="Arial" w:eastAsia="仿宋" w:cs="Arial"/>
          <w:color w:val="auto"/>
          <w:sz w:val="28"/>
          <w:szCs w:val="28"/>
        </w:rPr>
        <w:t>（即通路、通上水、通下水、通电、通讯、通燃气、通热力），能够保证工作、生产需要，基础设施配套完善度好。</w:t>
      </w:r>
    </w:p>
    <w:p w14:paraId="3382210B">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5.公共服务设施状况</w:t>
      </w:r>
    </w:p>
    <w:p w14:paraId="0FBDDA53">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估价对象周边</w:t>
      </w:r>
      <w:r>
        <w:rPr>
          <w:rFonts w:ascii="Arial" w:hAnsi="Arial" w:eastAsia="仿宋" w:cs="Arial"/>
          <w:color w:val="auto"/>
          <w:sz w:val="28"/>
          <w:szCs w:val="28"/>
          <w:lang w:bidi="ar"/>
        </w:rPr>
        <w:t>约</w:t>
      </w:r>
      <w:r>
        <w:rPr>
          <w:rFonts w:ascii="Arial" w:hAnsi="Arial" w:eastAsia="仿宋" w:cs="Arial"/>
          <w:color w:val="auto"/>
          <w:sz w:val="28"/>
          <w:szCs w:val="28"/>
        </w:rPr>
        <w:t>2公里范围内</w:t>
      </w:r>
      <w:r>
        <w:rPr>
          <w:rFonts w:hint="eastAsia" w:ascii="Arial" w:hAnsi="Arial" w:eastAsia="仿宋" w:cs="Arial"/>
          <w:color w:val="auto"/>
          <w:sz w:val="28"/>
          <w:szCs w:val="28"/>
        </w:rPr>
        <w:t>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w:t>
      </w:r>
      <w:r>
        <w:rPr>
          <w:rFonts w:ascii="Arial" w:hAnsi="Arial" w:eastAsia="仿宋" w:cs="Arial"/>
          <w:color w:val="auto"/>
          <w:sz w:val="28"/>
          <w:szCs w:val="28"/>
        </w:rPr>
        <w:t>，公共配套设施齐备情况一般。</w:t>
      </w:r>
    </w:p>
    <w:p w14:paraId="56ABA91F">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6</w:t>
      </w:r>
      <w:r>
        <w:rPr>
          <w:rFonts w:ascii="Arial" w:hAnsi="Arial" w:eastAsia="仿宋" w:cs="Arial"/>
          <w:b/>
          <w:bCs/>
          <w:color w:val="auto"/>
          <w:sz w:val="28"/>
          <w:szCs w:val="28"/>
          <w:lang w:eastAsia="zh-Hans"/>
        </w:rPr>
        <w:t>.</w:t>
      </w:r>
      <w:r>
        <w:rPr>
          <w:rFonts w:ascii="Arial" w:hAnsi="Arial" w:eastAsia="仿宋" w:cs="Arial"/>
          <w:b/>
          <w:bCs/>
          <w:color w:val="auto"/>
          <w:sz w:val="28"/>
          <w:szCs w:val="28"/>
        </w:rPr>
        <w:t>居住社区成熟度</w:t>
      </w:r>
    </w:p>
    <w:p w14:paraId="7820074F">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估价对象位于</w:t>
      </w:r>
      <w:r>
        <w:rPr>
          <w:rFonts w:ascii="Arial" w:hAnsi="Arial" w:eastAsia="仿宋" w:cs="Arial"/>
          <w:color w:val="auto"/>
          <w:sz w:val="28"/>
          <w:szCs w:val="28"/>
          <w:lang w:bidi="ar"/>
        </w:rPr>
        <w:t>北京市顺义区高丽营镇夏县营村</w:t>
      </w:r>
      <w:r>
        <w:rPr>
          <w:rFonts w:ascii="Arial" w:hAnsi="Arial" w:eastAsia="仿宋" w:cs="Arial"/>
          <w:color w:val="auto"/>
          <w:sz w:val="28"/>
          <w:szCs w:val="28"/>
        </w:rPr>
        <w:t>，周边</w:t>
      </w:r>
      <w:r>
        <w:rPr>
          <w:rFonts w:ascii="Arial" w:hAnsi="Arial" w:eastAsia="仿宋" w:cs="Arial"/>
          <w:color w:val="auto"/>
          <w:sz w:val="28"/>
          <w:szCs w:val="28"/>
          <w:lang w:bidi="ar"/>
        </w:rPr>
        <w:t>约</w:t>
      </w:r>
      <w:r>
        <w:rPr>
          <w:rFonts w:ascii="Arial" w:hAnsi="Arial" w:eastAsia="仿宋" w:cs="Arial"/>
          <w:color w:val="auto"/>
          <w:sz w:val="28"/>
          <w:szCs w:val="28"/>
        </w:rPr>
        <w:t>2公里范围内有丽喜花园、东君府、moma万万树、壹号东临院等社区，居住小区规模和社区发展完善程度较完善，综合评价居住社区成熟度一般。</w:t>
      </w:r>
    </w:p>
    <w:p w14:paraId="5FA42BA4">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7.商服繁华程度</w:t>
      </w:r>
    </w:p>
    <w:p w14:paraId="408D5F47">
      <w:pPr>
        <w:adjustRightInd/>
        <w:spacing w:line="300" w:lineRule="auto"/>
        <w:ind w:firstLine="560" w:firstLineChars="200"/>
        <w:jc w:val="both"/>
        <w:rPr>
          <w:rFonts w:ascii="Arial" w:hAnsi="Arial" w:eastAsia="仿宋" w:cs="Arial"/>
          <w:color w:val="auto"/>
          <w:sz w:val="28"/>
          <w:szCs w:val="28"/>
          <w:lang w:eastAsia="zh-Hans"/>
        </w:rPr>
      </w:pPr>
      <w:r>
        <w:rPr>
          <w:rFonts w:ascii="Arial" w:hAnsi="Arial" w:eastAsia="仿宋" w:cs="Arial"/>
          <w:color w:val="auto"/>
          <w:sz w:val="28"/>
          <w:szCs w:val="28"/>
        </w:rPr>
        <w:t>估价对象位于</w:t>
      </w:r>
      <w:r>
        <w:rPr>
          <w:rFonts w:ascii="Arial" w:hAnsi="Arial" w:eastAsia="仿宋" w:cs="Arial"/>
          <w:color w:val="auto"/>
          <w:sz w:val="28"/>
          <w:szCs w:val="28"/>
          <w:lang w:bidi="ar"/>
        </w:rPr>
        <w:t>北京市顺义区高丽营镇夏县营村</w:t>
      </w:r>
      <w:r>
        <w:rPr>
          <w:rFonts w:ascii="Arial" w:hAnsi="Arial" w:eastAsia="仿宋" w:cs="Arial"/>
          <w:color w:val="auto"/>
          <w:sz w:val="28"/>
          <w:szCs w:val="28"/>
        </w:rPr>
        <w:t>，周边</w:t>
      </w:r>
      <w:r>
        <w:rPr>
          <w:rFonts w:ascii="Arial" w:hAnsi="Arial" w:eastAsia="仿宋" w:cs="Arial"/>
          <w:color w:val="auto"/>
          <w:sz w:val="28"/>
          <w:szCs w:val="28"/>
          <w:lang w:bidi="ar"/>
        </w:rPr>
        <w:t>约</w:t>
      </w:r>
      <w:r>
        <w:rPr>
          <w:rFonts w:ascii="Arial" w:hAnsi="Arial" w:eastAsia="仿宋" w:cs="Arial"/>
          <w:color w:val="auto"/>
          <w:sz w:val="28"/>
          <w:szCs w:val="28"/>
        </w:rPr>
        <w:t>2公里范围内有社区商业街，北京超天商贸中心、隆华购物中心以及零星临街商铺，无大型购物中心，商业繁华度较差。</w:t>
      </w:r>
    </w:p>
    <w:p w14:paraId="64AC9DAF">
      <w:pPr>
        <w:adjustRightInd/>
        <w:spacing w:line="300" w:lineRule="auto"/>
        <w:ind w:firstLine="562" w:firstLineChars="200"/>
        <w:jc w:val="both"/>
        <w:rPr>
          <w:rFonts w:ascii="Arial" w:hAnsi="Arial" w:eastAsia="仿宋" w:cs="Arial"/>
          <w:b/>
          <w:bCs/>
          <w:color w:val="auto"/>
          <w:sz w:val="28"/>
          <w:szCs w:val="28"/>
          <w:lang w:eastAsia="zh-Hans"/>
        </w:rPr>
      </w:pPr>
      <w:r>
        <w:rPr>
          <w:rFonts w:ascii="Arial" w:hAnsi="Arial" w:eastAsia="仿宋" w:cs="Arial"/>
          <w:b/>
          <w:bCs/>
          <w:color w:val="auto"/>
          <w:sz w:val="28"/>
          <w:szCs w:val="28"/>
          <w:lang w:eastAsia="zh-Hans"/>
        </w:rPr>
        <w:t>8.物业集聚程度</w:t>
      </w:r>
    </w:p>
    <w:p w14:paraId="76810782">
      <w:pPr>
        <w:adjustRightInd/>
        <w:spacing w:line="300" w:lineRule="auto"/>
        <w:ind w:firstLine="560" w:firstLineChars="200"/>
        <w:jc w:val="both"/>
        <w:rPr>
          <w:rFonts w:ascii="Arial" w:hAnsi="Arial" w:eastAsia="仿宋" w:cs="Arial"/>
          <w:color w:val="auto"/>
          <w:sz w:val="28"/>
          <w:szCs w:val="28"/>
          <w:lang w:eastAsia="zh-Hans"/>
        </w:rPr>
      </w:pPr>
      <w:r>
        <w:rPr>
          <w:rFonts w:ascii="Arial" w:hAnsi="Arial" w:eastAsia="仿宋" w:cs="Arial"/>
          <w:color w:val="auto"/>
          <w:sz w:val="28"/>
          <w:szCs w:val="28"/>
        </w:rPr>
        <w:t>估价对象位于</w:t>
      </w:r>
      <w:r>
        <w:rPr>
          <w:rFonts w:ascii="Arial" w:hAnsi="Arial" w:eastAsia="仿宋" w:cs="Arial"/>
          <w:color w:val="auto"/>
          <w:sz w:val="28"/>
          <w:szCs w:val="28"/>
          <w:lang w:bidi="ar"/>
        </w:rPr>
        <w:t>北京市顺义区高丽营镇夏县营村</w:t>
      </w:r>
      <w:r>
        <w:rPr>
          <w:rFonts w:ascii="Arial" w:hAnsi="Arial" w:eastAsia="仿宋" w:cs="Arial"/>
          <w:color w:val="auto"/>
          <w:sz w:val="28"/>
          <w:szCs w:val="28"/>
        </w:rPr>
        <w:t>，</w:t>
      </w:r>
      <w:r>
        <w:rPr>
          <w:rFonts w:ascii="Arial" w:hAnsi="Arial" w:eastAsia="仿宋" w:cs="Arial"/>
          <w:color w:val="auto"/>
          <w:sz w:val="28"/>
          <w:szCs w:val="28"/>
          <w:lang w:eastAsia="zh-Hans"/>
        </w:rPr>
        <w:t>周边</w:t>
      </w:r>
      <w:r>
        <w:rPr>
          <w:rFonts w:ascii="Arial" w:hAnsi="Arial" w:eastAsia="仿宋" w:cs="Arial"/>
          <w:color w:val="auto"/>
          <w:sz w:val="28"/>
          <w:szCs w:val="28"/>
          <w:lang w:bidi="ar"/>
        </w:rPr>
        <w:t>约</w:t>
      </w:r>
      <w:r>
        <w:rPr>
          <w:rFonts w:ascii="Arial" w:hAnsi="Arial" w:eastAsia="仿宋" w:cs="Arial"/>
          <w:color w:val="auto"/>
          <w:sz w:val="28"/>
          <w:szCs w:val="28"/>
          <w:lang w:eastAsia="zh-Hans"/>
        </w:rPr>
        <w:t>2公里范围内有双悦大楼、智慧谷商务中心等办公项目，周边公共服务物业数量较少，物业集聚程度较差。</w:t>
      </w:r>
    </w:p>
    <w:p w14:paraId="34E3F27F">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9.规划限制</w:t>
      </w:r>
    </w:p>
    <w:p w14:paraId="63260190">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估价对象位于</w:t>
      </w:r>
      <w:r>
        <w:rPr>
          <w:rFonts w:ascii="Arial" w:hAnsi="Arial" w:eastAsia="仿宋" w:cs="Arial"/>
          <w:color w:val="auto"/>
          <w:sz w:val="28"/>
          <w:szCs w:val="28"/>
          <w:lang w:bidi="ar"/>
        </w:rPr>
        <w:t>北京市顺义区高丽营镇夏县营村</w:t>
      </w:r>
      <w:r>
        <w:rPr>
          <w:rFonts w:ascii="Arial" w:hAnsi="Arial" w:eastAsia="仿宋" w:cs="Arial"/>
          <w:color w:val="auto"/>
          <w:sz w:val="28"/>
          <w:szCs w:val="28"/>
        </w:rPr>
        <w:t>，无特别规划限制，对估价对象土地发展利用无不利影响。</w:t>
      </w:r>
    </w:p>
    <w:p w14:paraId="2020A46B">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综上所述，估价对象所处区域</w:t>
      </w:r>
      <w:r>
        <w:rPr>
          <w:rFonts w:ascii="Arial" w:hAnsi="Arial" w:eastAsia="仿宋" w:cs="Arial"/>
          <w:iCs/>
          <w:color w:val="auto"/>
          <w:sz w:val="28"/>
          <w:szCs w:val="28"/>
        </w:rPr>
        <w:t>地理位置条件</w:t>
      </w:r>
      <w:r>
        <w:rPr>
          <w:rFonts w:ascii="Arial" w:hAnsi="Arial" w:eastAsia="仿宋" w:cs="Arial"/>
          <w:iCs/>
          <w:color w:val="auto"/>
          <w:sz w:val="28"/>
          <w:szCs w:val="28"/>
          <w:lang w:eastAsia="zh-Hans"/>
        </w:rPr>
        <w:t>较差</w:t>
      </w:r>
      <w:r>
        <w:rPr>
          <w:rFonts w:ascii="Arial" w:hAnsi="Arial" w:eastAsia="仿宋" w:cs="Arial"/>
          <w:iCs/>
          <w:color w:val="auto"/>
          <w:sz w:val="28"/>
          <w:szCs w:val="28"/>
        </w:rPr>
        <w:t>、交通条件</w:t>
      </w:r>
      <w:r>
        <w:rPr>
          <w:rFonts w:ascii="Arial" w:hAnsi="Arial" w:eastAsia="仿宋" w:cs="Arial"/>
          <w:iCs/>
          <w:color w:val="auto"/>
          <w:sz w:val="28"/>
          <w:szCs w:val="28"/>
          <w:lang w:eastAsia="zh-Hans"/>
        </w:rPr>
        <w:t>较差</w:t>
      </w:r>
      <w:r>
        <w:rPr>
          <w:rFonts w:ascii="Arial" w:hAnsi="Arial" w:eastAsia="仿宋" w:cs="Arial"/>
          <w:iCs/>
          <w:color w:val="auto"/>
          <w:sz w:val="28"/>
          <w:szCs w:val="28"/>
        </w:rPr>
        <w:t>，公用设施一般，基础设施水平好，环境条件</w:t>
      </w:r>
      <w:r>
        <w:rPr>
          <w:rFonts w:ascii="Arial" w:hAnsi="Arial" w:eastAsia="仿宋" w:cs="Arial"/>
          <w:iCs/>
          <w:color w:val="auto"/>
          <w:sz w:val="28"/>
          <w:szCs w:val="28"/>
          <w:lang w:eastAsia="zh-Hans"/>
        </w:rPr>
        <w:t>一般</w:t>
      </w:r>
      <w:r>
        <w:rPr>
          <w:rFonts w:ascii="Arial" w:hAnsi="Arial" w:eastAsia="仿宋" w:cs="Arial"/>
          <w:iCs/>
          <w:color w:val="auto"/>
          <w:sz w:val="28"/>
          <w:szCs w:val="28"/>
        </w:rPr>
        <w:t>，</w:t>
      </w:r>
      <w:r>
        <w:rPr>
          <w:rFonts w:ascii="Arial" w:hAnsi="Arial" w:eastAsia="仿宋" w:cs="Arial"/>
          <w:iCs/>
          <w:color w:val="auto"/>
          <w:sz w:val="28"/>
          <w:szCs w:val="28"/>
          <w:lang w:eastAsia="zh-Hans"/>
        </w:rPr>
        <w:t>居住社区成熟度一般，商业繁华程度较差，</w:t>
      </w:r>
      <w:r>
        <w:rPr>
          <w:rFonts w:ascii="Arial" w:hAnsi="Arial" w:eastAsia="仿宋" w:cs="Arial"/>
          <w:color w:val="auto"/>
          <w:sz w:val="28"/>
          <w:szCs w:val="28"/>
          <w:lang w:eastAsia="zh-Hans"/>
        </w:rPr>
        <w:t>物业集聚程度</w:t>
      </w:r>
      <w:r>
        <w:rPr>
          <w:rFonts w:ascii="Arial" w:hAnsi="Arial" w:eastAsia="仿宋" w:cs="Arial"/>
          <w:iCs/>
          <w:color w:val="auto"/>
          <w:sz w:val="28"/>
          <w:szCs w:val="28"/>
          <w:lang w:eastAsia="zh-Hans"/>
        </w:rPr>
        <w:t>较差</w:t>
      </w:r>
      <w:r>
        <w:rPr>
          <w:rFonts w:ascii="Arial" w:hAnsi="Arial" w:eastAsia="仿宋" w:cs="Arial"/>
          <w:iCs/>
          <w:color w:val="auto"/>
          <w:sz w:val="28"/>
          <w:szCs w:val="28"/>
        </w:rPr>
        <w:t>。综合区域发展空间进行综合评价，</w:t>
      </w:r>
      <w:r>
        <w:rPr>
          <w:rFonts w:ascii="Arial" w:hAnsi="Arial" w:eastAsia="仿宋" w:cs="Arial"/>
          <w:color w:val="auto"/>
          <w:sz w:val="28"/>
          <w:szCs w:val="28"/>
        </w:rPr>
        <w:t>总体评价影响估价对象的区域因素</w:t>
      </w:r>
      <w:r>
        <w:rPr>
          <w:rFonts w:ascii="Arial" w:hAnsi="Arial" w:eastAsia="仿宋" w:cs="Arial"/>
          <w:iCs/>
          <w:color w:val="auto"/>
          <w:sz w:val="28"/>
          <w:szCs w:val="28"/>
          <w:lang w:eastAsia="zh-Hans"/>
        </w:rPr>
        <w:t>较差</w:t>
      </w:r>
      <w:r>
        <w:rPr>
          <w:rFonts w:ascii="Arial" w:hAnsi="Arial" w:eastAsia="仿宋" w:cs="Arial"/>
          <w:color w:val="auto"/>
          <w:sz w:val="28"/>
          <w:szCs w:val="28"/>
        </w:rPr>
        <w:t>。</w:t>
      </w:r>
    </w:p>
    <w:p w14:paraId="5B1D2936">
      <w:pPr>
        <w:widowControl/>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（三）个别因素</w:t>
      </w:r>
    </w:p>
    <w:p w14:paraId="342D0333">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估价对象位于</w:t>
      </w:r>
      <w:r>
        <w:rPr>
          <w:rFonts w:ascii="Arial" w:hAnsi="Arial" w:eastAsia="仿宋" w:cs="Arial"/>
          <w:color w:val="auto"/>
          <w:sz w:val="28"/>
          <w:szCs w:val="28"/>
          <w:lang w:bidi="ar"/>
        </w:rPr>
        <w:t>北京市顺义区高丽营镇夏县营村</w:t>
      </w:r>
      <w:r>
        <w:rPr>
          <w:rFonts w:ascii="Arial" w:hAnsi="Arial" w:eastAsia="仿宋" w:cs="Arial"/>
          <w:color w:val="auto"/>
          <w:sz w:val="28"/>
          <w:szCs w:val="28"/>
        </w:rPr>
        <w:t>，为北京市顺义区高丽营镇夏县营村棚户区改造土地开发项目01</w:t>
      </w:r>
      <w:r>
        <w:rPr>
          <w:rFonts w:hint="eastAsia" w:ascii="Arial" w:hAnsi="Arial" w:eastAsia="仿宋" w:cs="Arial"/>
          <w:color w:val="auto"/>
          <w:sz w:val="28"/>
          <w:szCs w:val="28"/>
        </w:rPr>
        <w:t>－</w:t>
      </w:r>
      <w:r>
        <w:rPr>
          <w:rFonts w:ascii="Arial" w:hAnsi="Arial" w:eastAsia="仿宋" w:cs="Arial"/>
          <w:color w:val="auto"/>
          <w:sz w:val="28"/>
          <w:szCs w:val="28"/>
        </w:rPr>
        <w:t>008、01</w:t>
      </w:r>
      <w:r>
        <w:rPr>
          <w:rFonts w:hint="eastAsia" w:ascii="Arial" w:hAnsi="Arial" w:eastAsia="仿宋" w:cs="Arial"/>
          <w:color w:val="auto"/>
          <w:sz w:val="28"/>
          <w:szCs w:val="28"/>
        </w:rPr>
        <w:t>－</w:t>
      </w:r>
      <w:r>
        <w:rPr>
          <w:rFonts w:ascii="Arial" w:hAnsi="Arial" w:eastAsia="仿宋" w:cs="Arial"/>
          <w:color w:val="auto"/>
          <w:sz w:val="28"/>
          <w:szCs w:val="28"/>
        </w:rPr>
        <w:t>016、01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1、01</w:t>
      </w:r>
      <w:r>
        <w:rPr>
          <w:rFonts w:hint="eastAsia" w:ascii="Arial" w:hAnsi="Arial" w:eastAsia="仿宋" w:cs="Arial"/>
          <w:color w:val="auto"/>
          <w:sz w:val="28"/>
          <w:szCs w:val="28"/>
        </w:rPr>
        <w:t>－</w:t>
      </w:r>
      <w:r>
        <w:rPr>
          <w:rFonts w:ascii="Arial" w:hAnsi="Arial" w:eastAsia="仿宋" w:cs="Arial"/>
          <w:color w:val="auto"/>
          <w:sz w:val="28"/>
          <w:szCs w:val="28"/>
        </w:rPr>
        <w:t>020地块R2二类居住用地、A334托幼用地国有建设用地使用权项目。根据《北京市人民政府关于更新出让国有建设用地使用权基准地价的通知》（京政发（2022）12号）的规定，估价对象属于住宅类九级IX</w:t>
      </w:r>
      <w:r>
        <w:rPr>
          <w:rFonts w:hint="eastAsia" w:ascii="Arial" w:hAnsi="Arial" w:eastAsia="仿宋" w:cs="Arial"/>
          <w:color w:val="auto"/>
          <w:sz w:val="28"/>
          <w:szCs w:val="28"/>
        </w:rPr>
        <w:t>－</w:t>
      </w:r>
      <w:r>
        <w:rPr>
          <w:rFonts w:ascii="Arial" w:hAnsi="Arial" w:eastAsia="仿宋" w:cs="Arial"/>
          <w:color w:val="auto"/>
          <w:sz w:val="28"/>
          <w:szCs w:val="28"/>
        </w:rPr>
        <w:t>顺5区片、商服类九级IX</w:t>
      </w:r>
      <w:r>
        <w:rPr>
          <w:rFonts w:hint="eastAsia" w:ascii="Arial" w:hAnsi="Arial" w:eastAsia="仿宋" w:cs="Arial"/>
          <w:color w:val="auto"/>
          <w:sz w:val="28"/>
          <w:szCs w:val="28"/>
        </w:rPr>
        <w:t>－</w:t>
      </w:r>
      <w:r>
        <w:rPr>
          <w:rFonts w:ascii="Arial" w:hAnsi="Arial" w:eastAsia="仿宋" w:cs="Arial"/>
          <w:color w:val="auto"/>
          <w:sz w:val="28"/>
          <w:szCs w:val="28"/>
        </w:rPr>
        <w:t>顺5区片、公共服务类九级IX</w:t>
      </w:r>
      <w:r>
        <w:rPr>
          <w:rFonts w:hint="eastAsia" w:ascii="Arial" w:hAnsi="Arial" w:eastAsia="仿宋" w:cs="Arial"/>
          <w:color w:val="auto"/>
          <w:sz w:val="28"/>
          <w:szCs w:val="28"/>
        </w:rPr>
        <w:t>－</w:t>
      </w:r>
      <w:r>
        <w:rPr>
          <w:rFonts w:ascii="Arial" w:hAnsi="Arial" w:eastAsia="仿宋" w:cs="Arial"/>
          <w:color w:val="auto"/>
          <w:sz w:val="28"/>
          <w:szCs w:val="28"/>
        </w:rPr>
        <w:t>顺5区片范围内。</w:t>
      </w:r>
    </w:p>
    <w:p w14:paraId="2E53D222">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1.</w:t>
      </w:r>
      <w:r>
        <w:rPr>
          <w:rFonts w:hint="eastAsia" w:ascii="Arial" w:hAnsi="Arial" w:eastAsia="仿宋" w:cs="Arial"/>
          <w:b/>
          <w:bCs/>
          <w:color w:val="auto"/>
          <w:sz w:val="28"/>
          <w:szCs w:val="28"/>
        </w:rPr>
        <w:t>位置</w:t>
      </w:r>
    </w:p>
    <w:p w14:paraId="05A44C5D">
      <w:pPr>
        <w:adjustRightInd/>
        <w:spacing w:line="300" w:lineRule="auto"/>
        <w:ind w:firstLine="560" w:firstLineChars="200"/>
        <w:jc w:val="both"/>
        <w:rPr>
          <w:rFonts w:ascii="Arial" w:hAnsi="Arial" w:eastAsia="仿宋" w:cs="Arial"/>
          <w:bCs/>
          <w:color w:val="auto"/>
          <w:sz w:val="28"/>
          <w:szCs w:val="28"/>
        </w:rPr>
      </w:pPr>
      <w:r>
        <w:rPr>
          <w:rFonts w:ascii="Arial" w:hAnsi="Arial" w:eastAsia="仿宋" w:cs="Arial"/>
          <w:bCs/>
          <w:color w:val="auto"/>
          <w:sz w:val="28"/>
          <w:szCs w:val="28"/>
        </w:rPr>
        <w:t>估价对象</w:t>
      </w:r>
      <w:r>
        <w:rPr>
          <w:rFonts w:hint="eastAsia" w:ascii="Arial" w:hAnsi="Arial" w:eastAsia="仿宋" w:cs="Arial"/>
          <w:bCs/>
          <w:color w:val="auto"/>
          <w:sz w:val="28"/>
          <w:szCs w:val="28"/>
        </w:rPr>
        <w:t>位于顺义区高丽营镇夏县营村，东至火寺路，西至喜行路，南至丽喜花园，北至鑫鼎街。</w:t>
      </w:r>
    </w:p>
    <w:p w14:paraId="4D819419">
      <w:pPr>
        <w:adjustRightInd/>
        <w:spacing w:line="300" w:lineRule="auto"/>
        <w:ind w:firstLine="562" w:firstLineChars="200"/>
        <w:jc w:val="both"/>
        <w:rPr>
          <w:rFonts w:ascii="Arial" w:hAnsi="Arial" w:eastAsia="仿宋" w:cs="Arial"/>
          <w:b/>
          <w:bCs/>
          <w:color w:val="auto"/>
          <w:sz w:val="28"/>
          <w:szCs w:val="28"/>
        </w:rPr>
      </w:pPr>
      <w:r>
        <w:rPr>
          <w:rFonts w:hint="eastAsia" w:ascii="Arial" w:hAnsi="Arial" w:eastAsia="仿宋" w:cs="Arial"/>
          <w:b/>
          <w:bCs/>
          <w:color w:val="auto"/>
          <w:sz w:val="28"/>
          <w:szCs w:val="28"/>
        </w:rPr>
        <w:t>2.土地面积</w:t>
      </w:r>
    </w:p>
    <w:p w14:paraId="0BD89316">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根据《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本次估价对象01－008等地块共4宗地，用地规模合计为60990.43平方米，全部为建设用地。</w:t>
      </w:r>
    </w:p>
    <w:p w14:paraId="25852D8E">
      <w:pPr>
        <w:adjustRightInd/>
        <w:spacing w:line="300" w:lineRule="auto"/>
        <w:ind w:firstLine="562" w:firstLineChars="200"/>
        <w:jc w:val="both"/>
        <w:rPr>
          <w:rFonts w:ascii="Arial" w:hAnsi="Arial" w:eastAsia="仿宋" w:cs="Arial"/>
          <w:b/>
          <w:bCs/>
          <w:color w:val="auto"/>
          <w:sz w:val="28"/>
        </w:rPr>
      </w:pPr>
      <w:r>
        <w:rPr>
          <w:rFonts w:hint="eastAsia" w:ascii="Arial" w:hAnsi="Arial" w:eastAsia="仿宋" w:cs="Arial"/>
          <w:b/>
          <w:bCs/>
          <w:color w:val="auto"/>
          <w:sz w:val="28"/>
        </w:rPr>
        <w:t>3.土地用途</w:t>
      </w:r>
    </w:p>
    <w:p w14:paraId="139EE75D">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w:t>
      </w:r>
      <w:r>
        <w:rPr>
          <w:rFonts w:ascii="Arial" w:hAnsi="Arial" w:eastAsia="仿宋" w:cs="Arial"/>
          <w:color w:val="auto"/>
          <w:sz w:val="28"/>
        </w:rPr>
        <w:t>估价对象规划用途为R2二类居住用地及A334托幼用地，其中A334托幼用地不出让。</w:t>
      </w:r>
    </w:p>
    <w:p w14:paraId="1FF064EA">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北京市城乡规划与土地利用用地分类对应指南（试行）》（市规划国土发（2017）316号），R2二类居住用地是设施较齐全、环境良好、以多中高层住宅为主用地，可对应土地利用现状分类城镇住宅用地（指城镇用于生活居住的各类房屋用地及附属设施用地）。结合《自然资源部办公厅关于印发〈国土空间调查、规划、用途管制用地用海分类指南（试行）〉的通知》（自然资办（2020）51号）、《北京市人民政府关于更新出让国有建设用地使用权基准地价的通知》（京政发（2022）12号），按照</w:t>
      </w:r>
      <w:r>
        <w:rPr>
          <w:rFonts w:hint="eastAsia" w:ascii="Arial" w:hAnsi="Arial" w:eastAsia="仿宋" w:cs="Arial"/>
          <w:color w:val="auto"/>
          <w:sz w:val="28"/>
          <w:szCs w:val="28"/>
        </w:rPr>
        <w:t>《北京市国有建设用地使用权出让地价评估技术导则》（2026年2月10日实施）相关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 w:cs="Arial"/>
          <w:color w:val="auto"/>
          <w:sz w:val="28"/>
        </w:rPr>
        <w:t>”</w:t>
      </w:r>
    </w:p>
    <w:p w14:paraId="3ACDDCEE">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综上所述，根据本次估价目的及估价对象实际情况，结合出让评估要求，本次需同时评估城镇住宅用地、其他商业服务业用地、公共管理与公共服务用地熟地价。本次评估估价对象熟地总价时，按城镇住宅用地测算结果作为最终估价结果，其他商业服务业用地、公共管理与公共服务用地仅测算列示楼面地价。</w:t>
      </w:r>
    </w:p>
    <w:p w14:paraId="01BF0C15">
      <w:pPr>
        <w:adjustRightInd/>
        <w:spacing w:line="300" w:lineRule="auto"/>
        <w:ind w:firstLine="562" w:firstLineChars="200"/>
        <w:jc w:val="both"/>
        <w:rPr>
          <w:rFonts w:ascii="Arial" w:hAnsi="Arial" w:eastAsia="仿宋" w:cs="Arial"/>
          <w:b/>
          <w:bCs/>
          <w:color w:val="auto"/>
          <w:sz w:val="28"/>
        </w:rPr>
      </w:pPr>
      <w:r>
        <w:rPr>
          <w:rFonts w:hint="eastAsia" w:ascii="Arial" w:hAnsi="Arial" w:eastAsia="仿宋" w:cs="Arial"/>
          <w:b/>
          <w:bCs/>
          <w:color w:val="auto"/>
          <w:sz w:val="28"/>
        </w:rPr>
        <w:t>4.土地使用年限</w:t>
      </w:r>
    </w:p>
    <w:p w14:paraId="44ADDDFB">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估价对象规划用途为R2二类居住用地及A334托幼用地，其中A334托幼用地不出让。</w:t>
      </w:r>
    </w:p>
    <w:p w14:paraId="2C463EA3">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估价对象于估价期日为拟出让国有建设用地使用权。考虑到本次估价目的，根据《中华人民共和国城镇国有土地使用权出让和转让暂行条例》（国务院令第55号）、</w:t>
      </w:r>
      <w:r>
        <w:rPr>
          <w:rFonts w:ascii="Arial" w:hAnsi="Arial" w:eastAsia="仿宋" w:cs="Arial"/>
          <w:color w:val="auto"/>
          <w:sz w:val="28"/>
        </w:rPr>
        <w:t>《北京市人民政府关于更新出让国有建设用地使用权基准地价的通知》（京政发（2022）12号）</w:t>
      </w:r>
      <w:r>
        <w:rPr>
          <w:rFonts w:hint="eastAsia" w:ascii="Arial" w:hAnsi="Arial" w:eastAsia="仿宋" w:cs="Arial"/>
          <w:color w:val="auto"/>
          <w:sz w:val="28"/>
          <w:szCs w:val="28"/>
        </w:rPr>
        <w:t>、《北京市国有建设用地使用权出让地价评估技术导则》（2026年2月10日实施）相关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 w:cs="Arial"/>
          <w:color w:val="auto"/>
          <w:sz w:val="28"/>
        </w:rPr>
        <w:t>”</w:t>
      </w:r>
      <w:r>
        <w:rPr>
          <w:rFonts w:ascii="Arial" w:hAnsi="Arial" w:eastAsia="仿宋" w:cs="Arial"/>
          <w:color w:val="auto"/>
          <w:sz w:val="28"/>
          <w:szCs w:val="28"/>
        </w:rPr>
        <w:t>本次评估设定土地使用年限为法定最高使用年限</w:t>
      </w:r>
      <w:r>
        <w:rPr>
          <w:rFonts w:hint="eastAsia" w:ascii="Arial" w:hAnsi="Arial" w:eastAsia="仿宋" w:cs="Arial"/>
          <w:color w:val="auto"/>
          <w:sz w:val="28"/>
          <w:szCs w:val="28"/>
        </w:rPr>
        <w:t>，即城镇住宅用地70年、其他商业服务业用地40年、</w:t>
      </w:r>
      <w:r>
        <w:rPr>
          <w:rFonts w:ascii="Arial" w:hAnsi="Arial" w:eastAsia="仿宋" w:cs="Arial"/>
          <w:color w:val="auto"/>
          <w:sz w:val="28"/>
        </w:rPr>
        <w:t>公共</w:t>
      </w:r>
      <w:r>
        <w:rPr>
          <w:rFonts w:hint="eastAsia" w:ascii="Arial" w:hAnsi="Arial" w:eastAsia="仿宋" w:cs="Arial"/>
          <w:color w:val="auto"/>
          <w:sz w:val="28"/>
        </w:rPr>
        <w:t>管理与公共</w:t>
      </w:r>
      <w:r>
        <w:rPr>
          <w:rFonts w:ascii="Arial" w:hAnsi="Arial" w:eastAsia="仿宋" w:cs="Arial"/>
          <w:color w:val="auto"/>
          <w:sz w:val="28"/>
        </w:rPr>
        <w:t>服务</w:t>
      </w:r>
      <w:r>
        <w:rPr>
          <w:rFonts w:hint="eastAsia" w:ascii="Arial" w:hAnsi="Arial" w:eastAsia="仿宋" w:cs="Arial"/>
          <w:color w:val="auto"/>
          <w:sz w:val="28"/>
        </w:rPr>
        <w:t>用地</w:t>
      </w:r>
      <w:r>
        <w:rPr>
          <w:rFonts w:ascii="Arial" w:hAnsi="Arial" w:eastAsia="仿宋" w:cs="Arial"/>
          <w:color w:val="auto"/>
          <w:sz w:val="28"/>
          <w:szCs w:val="28"/>
        </w:rPr>
        <w:t>50年。</w:t>
      </w:r>
    </w:p>
    <w:p w14:paraId="049C61ED">
      <w:pPr>
        <w:adjustRightInd/>
        <w:spacing w:line="300" w:lineRule="auto"/>
        <w:ind w:firstLine="562" w:firstLineChars="200"/>
        <w:jc w:val="both"/>
        <w:rPr>
          <w:rFonts w:ascii="Arial" w:hAnsi="Arial" w:eastAsia="仿宋" w:cs="Arial"/>
          <w:b/>
          <w:bCs/>
          <w:color w:val="auto"/>
          <w:sz w:val="28"/>
          <w:szCs w:val="28"/>
        </w:rPr>
      </w:pPr>
      <w:r>
        <w:rPr>
          <w:rFonts w:hint="eastAsia" w:ascii="Arial" w:hAnsi="Arial" w:eastAsia="仿宋" w:cs="Arial"/>
          <w:b/>
          <w:bCs/>
          <w:color w:val="auto"/>
          <w:sz w:val="28"/>
          <w:szCs w:val="28"/>
        </w:rPr>
        <w:t>5.交通条件</w:t>
      </w:r>
    </w:p>
    <w:p w14:paraId="4C292A45">
      <w:pPr>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估价对象属于北京市顺义区高丽营镇夏县营村，估价对象紧临城市主干道——火寺路、周边1公里范围内有顺25路、顺42路、顺49路、顺69路等公交线路，区域内交通一般，区域间通达性较差，综合评价交通便捷度较差。</w:t>
      </w:r>
    </w:p>
    <w:p w14:paraId="1BBC72D8">
      <w:pPr>
        <w:adjustRightInd/>
        <w:spacing w:line="300" w:lineRule="auto"/>
        <w:ind w:firstLine="562" w:firstLineChars="200"/>
        <w:jc w:val="both"/>
        <w:rPr>
          <w:rFonts w:ascii="Arial" w:hAnsi="Arial" w:eastAsia="仿宋" w:cs="Arial"/>
          <w:b/>
          <w:bCs/>
          <w:color w:val="auto"/>
          <w:sz w:val="28"/>
          <w:szCs w:val="28"/>
          <w:lang w:bidi="ar"/>
        </w:rPr>
      </w:pPr>
      <w:r>
        <w:rPr>
          <w:rFonts w:hint="eastAsia" w:ascii="Arial" w:hAnsi="Arial" w:eastAsia="仿宋" w:cs="Arial"/>
          <w:b/>
          <w:bCs/>
          <w:color w:val="auto"/>
          <w:sz w:val="28"/>
          <w:szCs w:val="28"/>
          <w:lang w:bidi="ar"/>
        </w:rPr>
        <w:t>6.宗地形状</w:t>
      </w:r>
    </w:p>
    <w:p w14:paraId="1C931006">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宗地形状规则，对宗地利用无不利影响 宗地形状及可利用程度好。</w:t>
      </w:r>
    </w:p>
    <w:p w14:paraId="5A4AE8A0">
      <w:pPr>
        <w:adjustRightInd/>
        <w:spacing w:line="300" w:lineRule="auto"/>
        <w:ind w:firstLine="562" w:firstLineChars="200"/>
        <w:jc w:val="both"/>
        <w:rPr>
          <w:rFonts w:ascii="Arial" w:hAnsi="Arial" w:eastAsia="仿宋" w:cs="Arial"/>
          <w:b/>
          <w:bCs/>
          <w:color w:val="auto"/>
          <w:sz w:val="28"/>
          <w:szCs w:val="28"/>
        </w:rPr>
      </w:pPr>
      <w:r>
        <w:rPr>
          <w:rFonts w:hint="eastAsia" w:ascii="Arial" w:hAnsi="Arial" w:eastAsia="仿宋" w:cs="Arial"/>
          <w:b/>
          <w:bCs/>
          <w:color w:val="auto"/>
          <w:sz w:val="28"/>
          <w:szCs w:val="28"/>
        </w:rPr>
        <w:t>7.</w:t>
      </w:r>
      <w:r>
        <w:rPr>
          <w:rFonts w:ascii="Arial" w:hAnsi="Arial" w:eastAsia="仿宋" w:cs="Arial"/>
          <w:b/>
          <w:bCs/>
          <w:color w:val="auto"/>
          <w:sz w:val="28"/>
          <w:szCs w:val="28"/>
        </w:rPr>
        <w:t>临街宽度和深度</w:t>
      </w:r>
    </w:p>
    <w:p w14:paraId="42B37595">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经土地估价专业评估师实地查勘，估价对象临街宽度与深度比例值较适合于住宅项目的开发，临街宽度和深度条件一般。</w:t>
      </w:r>
    </w:p>
    <w:p w14:paraId="43EE79B2">
      <w:pPr>
        <w:adjustRightInd/>
        <w:spacing w:line="300" w:lineRule="auto"/>
        <w:ind w:firstLine="562" w:firstLineChars="200"/>
        <w:jc w:val="both"/>
        <w:rPr>
          <w:rFonts w:ascii="Arial" w:hAnsi="Arial" w:eastAsia="仿宋" w:cs="Arial"/>
          <w:b/>
          <w:bCs/>
          <w:color w:val="auto"/>
          <w:sz w:val="28"/>
          <w:szCs w:val="28"/>
        </w:rPr>
      </w:pPr>
      <w:r>
        <w:rPr>
          <w:rFonts w:hint="eastAsia" w:ascii="Arial" w:hAnsi="Arial" w:eastAsia="仿宋" w:cs="Arial"/>
          <w:b/>
          <w:bCs/>
          <w:color w:val="auto"/>
          <w:sz w:val="28"/>
          <w:szCs w:val="28"/>
        </w:rPr>
        <w:t>8</w:t>
      </w:r>
      <w:r>
        <w:rPr>
          <w:rFonts w:ascii="Arial" w:hAnsi="Arial" w:eastAsia="仿宋" w:cs="Arial"/>
          <w:b/>
          <w:bCs/>
          <w:color w:val="auto"/>
          <w:sz w:val="28"/>
          <w:szCs w:val="28"/>
        </w:rPr>
        <w:t>.地形、地质条件</w:t>
      </w:r>
    </w:p>
    <w:p w14:paraId="429B4E02">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估价对象地形平坦，地基承载力基本满足建筑要求。</w:t>
      </w:r>
    </w:p>
    <w:p w14:paraId="68164BC4">
      <w:pPr>
        <w:adjustRightInd/>
        <w:spacing w:line="300" w:lineRule="auto"/>
        <w:ind w:firstLine="562" w:firstLineChars="200"/>
        <w:jc w:val="both"/>
        <w:rPr>
          <w:rFonts w:ascii="Arial" w:hAnsi="Arial" w:eastAsia="仿宋" w:cs="Arial"/>
          <w:b/>
          <w:bCs/>
          <w:color w:val="auto"/>
          <w:sz w:val="28"/>
          <w:szCs w:val="28"/>
        </w:rPr>
      </w:pPr>
      <w:r>
        <w:rPr>
          <w:rFonts w:hint="eastAsia" w:ascii="Arial" w:hAnsi="Arial" w:eastAsia="仿宋" w:cs="Arial"/>
          <w:b/>
          <w:bCs/>
          <w:color w:val="auto"/>
          <w:sz w:val="28"/>
          <w:szCs w:val="28"/>
        </w:rPr>
        <w:t>9.宗地基础设施条件</w:t>
      </w:r>
    </w:p>
    <w:p w14:paraId="4BA072E2">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rPr>
        <w:t>根据委托估价方介绍及土地估价专业评估师实地查勘，本次评估估价对象实际土地开发程度为红线外市政基础设施达</w:t>
      </w:r>
      <w:r>
        <w:rPr>
          <w:rFonts w:hint="eastAsia" w:ascii="Arial" w:hAnsi="Arial" w:eastAsia="仿宋" w:cs="Arial"/>
          <w:color w:val="auto"/>
          <w:sz w:val="28"/>
          <w:szCs w:val="28"/>
        </w:rPr>
        <w:t>“七通”（通路、通上水（自来水、中水）、通下水（雨水、污水）、通电（管沟、电缆）、通讯、通燃气、通热力）</w:t>
      </w:r>
      <w:r>
        <w:rPr>
          <w:rFonts w:ascii="Arial" w:hAnsi="Arial" w:eastAsia="仿宋" w:cs="Arial"/>
          <w:color w:val="auto"/>
          <w:sz w:val="28"/>
        </w:rPr>
        <w:t>、宗地红线内场地</w:t>
      </w:r>
      <w:r>
        <w:rPr>
          <w:rFonts w:hint="eastAsia" w:ascii="Arial" w:hAnsi="Arial" w:eastAsia="仿宋" w:cs="Arial"/>
          <w:color w:val="auto"/>
          <w:sz w:val="28"/>
          <w:szCs w:val="28"/>
        </w:rPr>
        <w:t>平整。</w:t>
      </w:r>
    </w:p>
    <w:p w14:paraId="0426EFD8">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szCs w:val="28"/>
        </w:rPr>
        <w:t>根据《北京市顺义区人民政府关于顺义区高丽营镇夏县营村棚户区改造土地开发项目01－008、01－016、01－026－1、01－020地块提请地价审核有关事宜的函》记载，估</w:t>
      </w:r>
      <w:r>
        <w:rPr>
          <w:rFonts w:ascii="Arial" w:hAnsi="Arial" w:eastAsia="仿宋" w:cs="Arial"/>
          <w:color w:val="auto"/>
          <w:sz w:val="28"/>
        </w:rPr>
        <w:t>价对象供地条件为宗地外</w:t>
      </w:r>
      <w:r>
        <w:rPr>
          <w:rFonts w:hint="eastAsia" w:ascii="Arial" w:hAnsi="Arial" w:eastAsia="仿宋" w:cs="Arial"/>
          <w:color w:val="auto"/>
          <w:sz w:val="28"/>
          <w:szCs w:val="28"/>
        </w:rPr>
        <w:t>“七通”（通路、通上水（自来水、中水）、通下水（雨水、污水）、通电、通讯、通燃气、通热力）</w:t>
      </w:r>
      <w:r>
        <w:rPr>
          <w:rFonts w:ascii="Arial" w:hAnsi="Arial" w:eastAsia="仿宋" w:cs="Arial"/>
          <w:color w:val="auto"/>
          <w:sz w:val="28"/>
        </w:rPr>
        <w:t>、宗地红线内场地平整。本次评估设定土地开发程度即为实际开发程度红线外市政基础设施达</w:t>
      </w:r>
      <w:r>
        <w:rPr>
          <w:rFonts w:hint="eastAsia" w:ascii="Arial" w:hAnsi="Arial" w:eastAsia="仿宋" w:cs="Arial"/>
          <w:color w:val="auto"/>
          <w:sz w:val="28"/>
          <w:szCs w:val="28"/>
        </w:rPr>
        <w:t>“七通”</w:t>
      </w:r>
      <w:r>
        <w:rPr>
          <w:rFonts w:ascii="Arial" w:hAnsi="Arial" w:eastAsia="仿宋" w:cs="Arial"/>
          <w:color w:val="auto"/>
          <w:sz w:val="28"/>
        </w:rPr>
        <w:t>、宗地红线内场地平整</w:t>
      </w:r>
      <w:r>
        <w:rPr>
          <w:rFonts w:hint="eastAsia" w:ascii="Arial" w:hAnsi="Arial" w:eastAsia="仿宋" w:cs="Arial"/>
          <w:color w:val="auto"/>
          <w:sz w:val="28"/>
        </w:rPr>
        <w:t>。</w:t>
      </w:r>
    </w:p>
    <w:p w14:paraId="3028365D">
      <w:pPr>
        <w:adjustRightInd/>
        <w:spacing w:line="300" w:lineRule="auto"/>
        <w:ind w:firstLine="562" w:firstLineChars="200"/>
        <w:jc w:val="both"/>
        <w:rPr>
          <w:rFonts w:ascii="Arial" w:hAnsi="Arial" w:eastAsia="仿宋" w:cs="Arial"/>
          <w:b/>
          <w:bCs/>
          <w:color w:val="auto"/>
          <w:sz w:val="28"/>
          <w:szCs w:val="28"/>
        </w:rPr>
      </w:pPr>
      <w:r>
        <w:rPr>
          <w:rFonts w:hint="eastAsia" w:ascii="Arial" w:hAnsi="Arial" w:eastAsia="仿宋" w:cs="Arial"/>
          <w:b/>
          <w:bCs/>
          <w:color w:val="auto"/>
          <w:sz w:val="28"/>
          <w:szCs w:val="28"/>
        </w:rPr>
        <w:t>10.土地利用状况</w:t>
      </w:r>
    </w:p>
    <w:p w14:paraId="6D7FBC79">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，本次估价对象01</w:t>
      </w:r>
      <w:r>
        <w:rPr>
          <w:rFonts w:hint="eastAsia" w:ascii="Arial" w:hAnsi="Arial" w:eastAsia="仿宋" w:cs="Arial"/>
          <w:color w:val="auto"/>
          <w:sz w:val="28"/>
          <w:szCs w:val="28"/>
        </w:rPr>
        <w:t>－</w:t>
      </w:r>
      <w:r>
        <w:rPr>
          <w:rFonts w:ascii="Arial" w:hAnsi="Arial" w:eastAsia="仿宋" w:cs="Arial"/>
          <w:color w:val="auto"/>
          <w:sz w:val="28"/>
          <w:szCs w:val="28"/>
        </w:rPr>
        <w:t>008等地块共4宗地，用地规模合计为60990.43平方米，全部为建设用地，建筑规模合计为71508.52平方米。其中，估价对象01</w:t>
      </w:r>
      <w:r>
        <w:rPr>
          <w:rFonts w:hint="eastAsia" w:ascii="Arial" w:hAnsi="Arial" w:eastAsia="仿宋" w:cs="Arial"/>
          <w:color w:val="auto"/>
          <w:sz w:val="28"/>
          <w:szCs w:val="28"/>
        </w:rPr>
        <w:t>－</w:t>
      </w:r>
      <w:r>
        <w:rPr>
          <w:rFonts w:ascii="Arial" w:hAnsi="Arial" w:eastAsia="仿宋" w:cs="Arial"/>
          <w:color w:val="auto"/>
          <w:sz w:val="28"/>
          <w:szCs w:val="28"/>
        </w:rPr>
        <w:t>008地块（R2二类居住用地）建设用地规模为24804.85平方米，地上建筑规模为29765.82平方米，容积率为1.2；估价对象01</w:t>
      </w:r>
      <w:r>
        <w:rPr>
          <w:rFonts w:hint="eastAsia" w:ascii="Arial" w:hAnsi="Arial" w:eastAsia="仿宋" w:cs="Arial"/>
          <w:color w:val="auto"/>
          <w:sz w:val="28"/>
          <w:szCs w:val="28"/>
        </w:rPr>
        <w:t>－</w:t>
      </w:r>
      <w:r>
        <w:rPr>
          <w:rFonts w:ascii="Arial" w:hAnsi="Arial" w:eastAsia="仿宋" w:cs="Arial"/>
          <w:color w:val="auto"/>
          <w:sz w:val="28"/>
          <w:szCs w:val="28"/>
        </w:rPr>
        <w:t>016地块（R2二类居住用地）建设用地规模为23103.85平方米，地上建筑规模为27724.62平方米，容积率为1.2； 估价对象01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1地块（R2二类居住用地）建设用地规模为8881.75平方米，地上建筑规模为10658.10平方米，容积率为1.2；另有估价对象01</w:t>
      </w:r>
      <w:r>
        <w:rPr>
          <w:rFonts w:hint="eastAsia" w:ascii="Arial" w:hAnsi="Arial" w:eastAsia="仿宋" w:cs="Arial"/>
          <w:color w:val="auto"/>
          <w:sz w:val="28"/>
          <w:szCs w:val="28"/>
        </w:rPr>
        <w:t>－</w:t>
      </w:r>
      <w:r>
        <w:rPr>
          <w:rFonts w:ascii="Arial" w:hAnsi="Arial" w:eastAsia="仿宋" w:cs="Arial"/>
          <w:color w:val="auto"/>
          <w:sz w:val="28"/>
          <w:szCs w:val="28"/>
        </w:rPr>
        <w:t>020地块（A334托幼用地，不出让）建设用地规模为4199.98平方米，地上建筑规模为3359.98平方米，容积率为0.8。</w:t>
      </w:r>
      <w:r>
        <w:rPr>
          <w:rFonts w:hint="eastAsia" w:ascii="Arial" w:hAnsi="Arial" w:eastAsia="仿宋" w:cs="Arial"/>
          <w:color w:val="auto"/>
          <w:sz w:val="28"/>
          <w:szCs w:val="28"/>
        </w:rPr>
        <w:t>根据《北京市国有建设用地使用权出让地价评估技术导则》（2026年2月10日实施）中的相关规定，本次评估01－008、01－016、01－026－1地块（R2二类居住用地）容积率为1.2</w:t>
      </w:r>
      <w:r>
        <w:rPr>
          <w:rFonts w:ascii="Arial" w:hAnsi="Arial" w:eastAsia="仿宋" w:cs="Arial"/>
          <w:color w:val="auto"/>
          <w:sz w:val="28"/>
          <w:szCs w:val="28"/>
        </w:rPr>
        <w:t>。</w:t>
      </w:r>
      <w:r>
        <w:rPr>
          <w:rFonts w:hint="eastAsia" w:ascii="Arial" w:hAnsi="Arial" w:eastAsia="仿宋" w:cs="Arial"/>
          <w:color w:val="auto"/>
          <w:sz w:val="28"/>
          <w:szCs w:val="28"/>
        </w:rPr>
        <w:t>根据《北京市顺义区人民政府关于顺义区高丽营镇夏县营村棚户区改造土地开发项目01－008、01－016、01－026－1、01－020地块提请地价审核有关事宜的函》记载，估</w:t>
      </w:r>
      <w:r>
        <w:rPr>
          <w:rFonts w:ascii="Arial" w:hAnsi="Arial" w:eastAsia="仿宋" w:cs="Arial"/>
          <w:color w:val="auto"/>
          <w:sz w:val="28"/>
        </w:rPr>
        <w:t>价对象供地条件为宗地外</w:t>
      </w:r>
      <w:r>
        <w:rPr>
          <w:rFonts w:hint="eastAsia" w:ascii="Arial" w:hAnsi="Arial" w:eastAsia="仿宋" w:cs="Arial"/>
          <w:color w:val="auto"/>
          <w:sz w:val="28"/>
          <w:szCs w:val="28"/>
        </w:rPr>
        <w:t>“七通”（通路、通上水（自来水、中水）、通下水（雨水、污水）、通电、通讯、通燃气、通热力）</w:t>
      </w:r>
      <w:r>
        <w:rPr>
          <w:rFonts w:ascii="Arial" w:hAnsi="Arial" w:eastAsia="仿宋" w:cs="Arial"/>
          <w:color w:val="auto"/>
          <w:sz w:val="28"/>
        </w:rPr>
        <w:t>、宗地红线内场地平整。本次评估设定土地开发程度即为实际开发程度红线外市政基础设施达</w:t>
      </w:r>
      <w:r>
        <w:rPr>
          <w:rFonts w:hint="eastAsia" w:ascii="Arial" w:hAnsi="Arial" w:eastAsia="仿宋" w:cs="Arial"/>
          <w:color w:val="auto"/>
          <w:sz w:val="28"/>
          <w:szCs w:val="28"/>
        </w:rPr>
        <w:t>“七通”</w:t>
      </w:r>
      <w:r>
        <w:rPr>
          <w:rFonts w:ascii="Arial" w:hAnsi="Arial" w:eastAsia="仿宋" w:cs="Arial"/>
          <w:color w:val="auto"/>
          <w:sz w:val="28"/>
        </w:rPr>
        <w:t>、宗地红线内场地平整</w:t>
      </w:r>
      <w:r>
        <w:rPr>
          <w:rFonts w:hint="eastAsia" w:ascii="Arial" w:hAnsi="Arial" w:eastAsia="仿宋" w:cs="Arial"/>
          <w:color w:val="auto"/>
          <w:sz w:val="28"/>
        </w:rPr>
        <w:t>。</w:t>
      </w:r>
    </w:p>
    <w:p w14:paraId="49781F6D">
      <w:pPr>
        <w:spacing w:line="300" w:lineRule="auto"/>
        <w:ind w:firstLine="560" w:firstLineChars="200"/>
        <w:jc w:val="both"/>
        <w:rPr>
          <w:rFonts w:ascii="Arial" w:hAnsi="Arial" w:eastAsia="仿宋_GB2312" w:cs="Arial"/>
          <w:i/>
          <w:color w:val="auto"/>
          <w:sz w:val="28"/>
        </w:rPr>
      </w:pPr>
      <w:bookmarkStart w:id="176" w:name="_Toc531701569"/>
    </w:p>
    <w:p w14:paraId="33DC8C94">
      <w:pPr>
        <w:spacing w:line="300" w:lineRule="auto"/>
        <w:rPr>
          <w:rFonts w:ascii="Arial" w:hAnsi="Arial" w:cs="Arial"/>
          <w:b/>
          <w:color w:val="auto"/>
          <w:sz w:val="32"/>
        </w:rPr>
      </w:pPr>
    </w:p>
    <w:p w14:paraId="12FE6295">
      <w:pPr>
        <w:spacing w:line="300" w:lineRule="auto"/>
        <w:jc w:val="center"/>
        <w:outlineLvl w:val="0"/>
        <w:rPr>
          <w:rFonts w:ascii="Arial" w:hAnsi="Arial" w:cs="Arial"/>
          <w:b/>
          <w:color w:val="auto"/>
          <w:sz w:val="32"/>
        </w:rPr>
      </w:pPr>
      <w:r>
        <w:rPr>
          <w:rFonts w:ascii="Arial" w:hAnsi="Arial" w:cs="Arial"/>
          <w:b/>
          <w:color w:val="auto"/>
          <w:sz w:val="32"/>
        </w:rPr>
        <w:br w:type="page"/>
      </w:r>
      <w:bookmarkStart w:id="177" w:name="_Toc138063006"/>
      <w:bookmarkStart w:id="178" w:name="_Toc132016735"/>
      <w:r>
        <w:rPr>
          <w:rFonts w:ascii="Arial" w:hAnsi="Arial" w:cs="Arial"/>
          <w:b/>
          <w:color w:val="auto"/>
          <w:sz w:val="32"/>
        </w:rPr>
        <w:t>第三部分</w:t>
      </w:r>
      <w:r>
        <w:rPr>
          <w:rFonts w:ascii="Arial" w:hAnsi="Arial" w:eastAsia="仿宋_GB2312" w:cs="Arial"/>
          <w:b/>
          <w:color w:val="auto"/>
          <w:sz w:val="32"/>
        </w:rPr>
        <w:t xml:space="preserve">  </w:t>
      </w:r>
      <w:r>
        <w:rPr>
          <w:rFonts w:ascii="Arial" w:hAnsi="Arial" w:cs="Arial"/>
          <w:b/>
          <w:color w:val="auto"/>
          <w:sz w:val="32"/>
        </w:rPr>
        <w:t>土地估价结果及其使用</w:t>
      </w:r>
      <w:bookmarkEnd w:id="133"/>
      <w:bookmarkEnd w:id="134"/>
      <w:bookmarkEnd w:id="135"/>
      <w:bookmarkEnd w:id="136"/>
      <w:bookmarkEnd w:id="137"/>
      <w:bookmarkEnd w:id="138"/>
      <w:bookmarkEnd w:id="176"/>
      <w:bookmarkEnd w:id="177"/>
      <w:bookmarkEnd w:id="178"/>
    </w:p>
    <w:p w14:paraId="1BBF667C">
      <w:pPr>
        <w:spacing w:line="300" w:lineRule="auto"/>
        <w:jc w:val="both"/>
        <w:rPr>
          <w:rFonts w:ascii="Arial" w:hAnsi="Arial" w:eastAsia="仿宋_GB2312" w:cs="Arial"/>
          <w:b/>
          <w:color w:val="auto"/>
          <w:sz w:val="28"/>
        </w:rPr>
      </w:pPr>
    </w:p>
    <w:p w14:paraId="20742744">
      <w:pPr>
        <w:adjustRightInd/>
        <w:spacing w:line="300" w:lineRule="auto"/>
        <w:ind w:firstLine="562" w:firstLineChars="200"/>
        <w:outlineLvl w:val="1"/>
        <w:rPr>
          <w:rFonts w:ascii="Arial" w:hAnsi="Arial" w:eastAsia="仿宋" w:cs="Arial"/>
          <w:b/>
          <w:color w:val="auto"/>
          <w:sz w:val="28"/>
          <w:szCs w:val="28"/>
        </w:rPr>
      </w:pPr>
      <w:bookmarkStart w:id="179" w:name="_Toc138063007"/>
      <w:bookmarkStart w:id="180" w:name="_Toc418750898"/>
      <w:bookmarkStart w:id="181" w:name="_Toc469066318"/>
      <w:bookmarkStart w:id="182" w:name="_Toc520261148"/>
      <w:bookmarkStart w:id="183" w:name="_Toc515458375"/>
      <w:bookmarkStart w:id="184" w:name="_Toc416783535"/>
      <w:bookmarkStart w:id="185" w:name="_Toc531701570"/>
      <w:bookmarkStart w:id="186" w:name="_Toc425250320"/>
      <w:bookmarkStart w:id="187" w:name="_Toc515261602"/>
      <w:bookmarkStart w:id="188" w:name="_Toc132016736"/>
      <w:r>
        <w:rPr>
          <w:rFonts w:ascii="Arial" w:hAnsi="Arial" w:eastAsia="仿宋" w:cs="Arial"/>
          <w:b/>
          <w:color w:val="auto"/>
          <w:sz w:val="28"/>
          <w:szCs w:val="28"/>
        </w:rPr>
        <w:t>一、估价依据</w:t>
      </w:r>
      <w:bookmarkEnd w:id="179"/>
      <w:bookmarkEnd w:id="180"/>
      <w:bookmarkEnd w:id="181"/>
      <w:bookmarkEnd w:id="182"/>
      <w:bookmarkEnd w:id="183"/>
      <w:bookmarkEnd w:id="184"/>
      <w:bookmarkEnd w:id="185"/>
      <w:bookmarkEnd w:id="186"/>
      <w:bookmarkEnd w:id="187"/>
      <w:bookmarkEnd w:id="188"/>
    </w:p>
    <w:p w14:paraId="72F49476">
      <w:pPr>
        <w:adjustRightInd/>
        <w:spacing w:line="300" w:lineRule="auto"/>
        <w:ind w:firstLine="560" w:firstLineChars="200"/>
        <w:jc w:val="both"/>
        <w:rPr>
          <w:rFonts w:ascii="Arial" w:hAnsi="Arial" w:eastAsia="仿宋" w:cs="Arial"/>
          <w:color w:val="auto"/>
          <w:sz w:val="28"/>
          <w:szCs w:val="28"/>
        </w:rPr>
      </w:pPr>
      <w:bookmarkStart w:id="189" w:name="_Toc416783536"/>
      <w:bookmarkStart w:id="190" w:name="_Toc418750899"/>
      <w:bookmarkStart w:id="191" w:name="_Toc531701571"/>
      <w:bookmarkStart w:id="192" w:name="_Toc520261149"/>
      <w:bookmarkStart w:id="193" w:name="_Toc425250321"/>
      <w:bookmarkStart w:id="194" w:name="_Toc515458376"/>
      <w:bookmarkStart w:id="195" w:name="_Toc469066319"/>
      <w:r>
        <w:rPr>
          <w:rFonts w:ascii="Arial" w:hAnsi="Arial" w:eastAsia="仿宋" w:cs="Arial"/>
          <w:color w:val="auto"/>
          <w:sz w:val="28"/>
          <w:szCs w:val="28"/>
        </w:rPr>
        <w:t>（一）有关的法律、法规、行政规章及估价对象所在省市的有关法律法规和政策</w:t>
      </w:r>
    </w:p>
    <w:p w14:paraId="1D0CAD7A">
      <w:pPr>
        <w:numPr>
          <w:ilvl w:val="0"/>
          <w:numId w:val="6"/>
        </w:numPr>
        <w:adjustRightInd/>
        <w:snapToGrid w:val="0"/>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土地管理法》（1986年6月25日第六届全国人民代表大会常务委员会第十六次会议通过，中华人民共和国主席令第41号公布，1987年1月1日起施行；1988年12月29日第七届全国人民代表大会常务委员会第五次会议第一次修正通过，自1988年12月29日起施行；1998年8月29日第九届全国人民代表大会常务委员会第四次会议修订通过，中华人民共和国主席令第8号公布，自1999年1月1日起施行；2004年8月28日第十届全国人民代表大会常务委员会第十一次会议第二次修正通过，中华人民共和国主席令第28号公布，自公布起日起施行；2019年8月26日第十三届全国人民代表大会常务委员会第十二次会议第三次修正通过，自2020年1月1日起施行）</w:t>
      </w:r>
    </w:p>
    <w:p w14:paraId="019599EF">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城市房地产管理法》（1994年7月5日第八届全国人民代表大会常务委员会第八次会议通过，中华人民共和国主席令第29号公布，自1995年1月1日起施行；2007年8月30日第十届全国人民代表大会常务委员会第二十九次会议通过第一次修正通过，中华人民共和国主席令第72号公布，自公布之日起施行；2009年8月27日第十一届全国人民代表大会常务委员会第十次会议第二次修正通过，中华人民共和国主席令第18号公布，自公布之日起施行；2019年8月26日第十三届全国人大常委会第十二次会议通过第三次修正，自2020年1月1日起施行）</w:t>
      </w:r>
    </w:p>
    <w:p w14:paraId="16743A96">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城乡规划法》（2007年10月28日第十届全国人民代表大会常务委员会第三十次会议通过；根据2015年4月24日第十二届全国人民代表大会常务委员会第十四次会议《关于修改〈中华人民共和国港口法〉等七部法律的决定》第一次修正，公布之日起施行；根据2019年4月23日第十三届全国人民代表大会常务委员会第十次会议《关于修改〈中华人民共和国建筑法〉等八部法律的决定》第二次修正自，公布之日起施行）</w:t>
      </w:r>
    </w:p>
    <w:p w14:paraId="77CB082A">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《中华人民共和国资产评估法》（2016年7月2日第十二届全国人民代表大会常务委员会第二十一次会议通过，2016年3月16日中华人民共和国主席令第46号公布，自2016年12月1日起施行）</w:t>
      </w:r>
    </w:p>
    <w:p w14:paraId="040A0A7B">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《中华人民共和国民法典》（2020年5月28日第十三届全国人大三次会议表决通过，自2021年1月1日起施行）</w:t>
      </w:r>
    </w:p>
    <w:p w14:paraId="22627628">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城镇国有土地使用权出让和转让暂行条例》（1990年5月19日中华人民共和国国务院令第55号发布，自发布之日起施行；根据2020年11月29日中华人民共和国国务院令第732号公布的《国务院关于修改和废止部分行政法规的决定》修订，自公布之日起施行）</w:t>
      </w:r>
    </w:p>
    <w:p w14:paraId="651EB946">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《中华人民共和国土地管理法实施条例》（1998年12月24日国务院第12次常务会议通过 ，1998年12月27日中华人民共和国国务院令第256号发布，自1999年1月1日起施行；2010年12月29日国务院第138次常务会议第一次修正通过，2011年1月8日中华人民共和国国务院令第588号发布，自发布之日起施行；2014年7月9日国务院第54次常务会议第二次修正通过，2014年7月29日中华人民共和国国务院令第653号公布，自公布之日起施行；2021年4月21日国务院第132次会议第三次修订通过，2021年7月2日中华人民共和国国务院令第743号公布，自2021年9月1日起施行）；</w:t>
      </w:r>
    </w:p>
    <w:p w14:paraId="02846D1D">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不动产登记暂行条例》〔2014年11月24日中华人民共和国国务院令第656号公布，自2015年3月1日起施行；根据2019年3月24日中华人民共和国国务院令第710号公布的《国务院关于修改部分行政法规的决定》修订，自公布之日起施行〕；</w:t>
      </w:r>
    </w:p>
    <w:p w14:paraId="74BF96F8">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不动产登记暂行条例实施细则》（2015年6月29日国土资源部第3次部务会议通过，自2016年1月1日起施行；根据2019年7月16日自然资源部第2次部务会议审议通过《自然资源部关于第一批废止和修改的部门规章的决定》（中华人民共和国自然资源部令第5号）修订，自公布之日起施行）</w:t>
      </w:r>
    </w:p>
    <w:p w14:paraId="378458F1">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不动产登记资料查询暂行办法》（2018年3月2日国土资源部令第80号公布；根据2019年7月16日自然资源部第2次部务会《自然资源部关于废止和修改的第一批部门规章的决定》（中华人民共和国自然资源部令第5号）修订，自公布之日起施行）</w:t>
      </w:r>
    </w:p>
    <w:p w14:paraId="4E2D2628">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《国务院关于加强国有土地资产管理的通知》〔国发〔2001〕15号，2001年4月30日〕；</w:t>
      </w:r>
    </w:p>
    <w:p w14:paraId="41128DBA">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《国务院关于深化改革严格土地管理的决定》〔国发〔2004〕28号，2004年10月21日〕；</w:t>
      </w:r>
    </w:p>
    <w:p w14:paraId="6CC20B17">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《国务院关于加强土地调控有关问题的通知》〔国发 （2006） 31号，2006年8月31日发布〕；</w:t>
      </w:r>
    </w:p>
    <w:p w14:paraId="56E97E9F">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《国务院关于促进节约集约用地的通知》〔国发〔2008〕3号，2008年1月3日发布〕；</w:t>
      </w:r>
    </w:p>
    <w:p w14:paraId="0E032CD1">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《协议出让国有土地使用权规定》〔国土资源部令第21号，自2003年8月1日起施行〕；</w:t>
      </w:r>
    </w:p>
    <w:p w14:paraId="513DA25A">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《招标拍卖挂牌出让国有建设用地使用权规定》〔国土资源部令第39号，2007年9月21日原国土资源部第3次部务会议审议通过〕；</w:t>
      </w:r>
    </w:p>
    <w:p w14:paraId="5A497F78">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《节约集约利用土地规定》〔国土资源部令第61号，2014年5月22日公布；根据2019年7月16日自然资源部第2次部务会议《自然资源部关于第一批废止和修改的部门规章的决定》修正 自2014年9月1日起实施〕；</w:t>
      </w:r>
    </w:p>
    <w:p w14:paraId="0822A89A">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《国土资源部关于推进土地节约集约利用的指导意见》〔国土资发（2014）119号，2014年9月12日发布〕；</w:t>
      </w:r>
    </w:p>
    <w:p w14:paraId="53023B83">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《国土资源部&lt;关于坚持和完善土地招标拍卖挂牌出让制度的意见&gt;》〔国土资发〔2011〕63号，2011年5月13日〕；</w:t>
      </w:r>
    </w:p>
    <w:p w14:paraId="65B77439">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实施&lt;中华人民共和国城镇国有土地使用权出让和转让暂行条例&gt;办法》（1992年5月27日北京市人民政府第11号令发布；根据1993年5月18日北京市人民政府第6号令第一次修改；根据2002年2月11日北京市人民政府第92号令第二次修改；根据2007年11月23日北京市人民政府第200号令第三次修改）</w:t>
      </w:r>
    </w:p>
    <w:p w14:paraId="51AA6742">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《北京市城市房地产转让管理办法》（北京市人民政府令第135号，经2003年8月26日市人民政府第13次常务会议通过，自2003年12月1日起施行，2008年12月6日北京市人民政府令第209号修正）</w:t>
      </w:r>
    </w:p>
    <w:p w14:paraId="6084F96C">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《北京市城乡规划条例》（2009年5月22日北京市第十三届人民代表大会常务委员会第十一次会议通过；2019年3月29日北京市第十五届人民代表大会常务委员会第十二次会议修订，自2019年4月28日起施行）</w:t>
      </w:r>
    </w:p>
    <w:p w14:paraId="4FE51163">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bCs/>
          <w:color w:val="auto"/>
          <w:sz w:val="28"/>
          <w:szCs w:val="28"/>
        </w:rPr>
        <w:t>《北京市实施</w:t>
      </w:r>
      <w:r>
        <w:rPr>
          <w:rFonts w:ascii="Arial" w:hAnsi="Arial" w:eastAsia="仿宋" w:cs="Arial"/>
          <w:color w:val="auto"/>
          <w:sz w:val="28"/>
          <w:szCs w:val="28"/>
        </w:rPr>
        <w:t>&lt;</w:t>
      </w:r>
      <w:r>
        <w:rPr>
          <w:rFonts w:ascii="Arial" w:hAnsi="Arial" w:eastAsia="仿宋" w:cs="Arial"/>
          <w:bCs/>
          <w:color w:val="auto"/>
          <w:sz w:val="28"/>
          <w:szCs w:val="28"/>
        </w:rPr>
        <w:t>中华人民共和国城镇土地使用税暂行条例</w:t>
      </w:r>
      <w:r>
        <w:rPr>
          <w:rFonts w:ascii="Arial" w:hAnsi="Arial" w:eastAsia="仿宋" w:cs="Arial"/>
          <w:color w:val="auto"/>
          <w:sz w:val="28"/>
          <w:szCs w:val="28"/>
        </w:rPr>
        <w:t>&gt;</w:t>
      </w:r>
      <w:r>
        <w:rPr>
          <w:rFonts w:ascii="Arial" w:hAnsi="Arial" w:eastAsia="仿宋" w:cs="Arial"/>
          <w:bCs/>
          <w:color w:val="auto"/>
          <w:sz w:val="28"/>
          <w:szCs w:val="28"/>
        </w:rPr>
        <w:t>办法》（</w:t>
      </w:r>
      <w:r>
        <w:rPr>
          <w:rFonts w:ascii="Arial" w:hAnsi="Arial" w:eastAsia="仿宋" w:cs="Arial"/>
          <w:color w:val="auto"/>
          <w:sz w:val="28"/>
          <w:szCs w:val="28"/>
        </w:rPr>
        <w:t>1988年12月30日北京市人民政府京政发〔1988〕115号文件发布；根据1998年6月12日北京市人民政府第6号令第一次修改；根据2007年4月27日北京市人民政府第188号令第二次修改</w:t>
      </w:r>
      <w:r>
        <w:rPr>
          <w:rFonts w:ascii="Arial" w:hAnsi="Arial" w:eastAsia="仿宋" w:cs="Arial"/>
          <w:bCs/>
          <w:color w:val="auto"/>
          <w:sz w:val="28"/>
          <w:szCs w:val="28"/>
        </w:rPr>
        <w:t>）</w:t>
      </w:r>
    </w:p>
    <w:p w14:paraId="5BC585B9">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《北京市人民政府关于印发北京市国有建设用地供应办法（试行）的通知》（京政发（2005）6号）</w:t>
      </w:r>
    </w:p>
    <w:p w14:paraId="724DA33F">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《北京市人民政府关于修订〈北京市国有建设用地供应办法（试行）〉的决定》（京政发〔2021〕12号）</w:t>
      </w:r>
    </w:p>
    <w:p w14:paraId="63AA18FD">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《关于印发北京市出让国有土地使用权招标拍卖挂牌办法的通知》（京国土市（2005）302号）</w:t>
      </w:r>
    </w:p>
    <w:p w14:paraId="31BF494E">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《国家税务总局关于发布&lt;纳税人转让不动产增值税征收管理暂行办法&gt;的公告》（国家税务总局公告2016年第14号）</w:t>
      </w:r>
    </w:p>
    <w:p w14:paraId="7F826BF9">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《中华人民共和国增值税法》（2024年12月25日第十四届全国人民代表大会常务委员会第十三次会议通过自2026年1月1日起施行）</w:t>
      </w:r>
    </w:p>
    <w:p w14:paraId="1DB36E5F">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《中华人民共和国增值税法实施条例》(经2025年12月19日 国务院第75次常务会议通过，自2026年1月1日起施行)。</w:t>
      </w:r>
    </w:p>
    <w:p w14:paraId="5BE7BBD4">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《中华人民共和国契税法》（2020年8月11日第十三届全国人民代表大会常务委员会第二十一次会议通过，自2021年9月1日起施行）</w:t>
      </w:r>
    </w:p>
    <w:p w14:paraId="59176AA5">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《中华人民共和国印花税法》（2021年6月10日第十三届全国人民代表大会常务委员会第二十九次会议通过,自2022年7月1日起施行）</w:t>
      </w:r>
    </w:p>
    <w:p w14:paraId="5C0C26E3">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《中华人民共和国城市维护建设税法》（2020年8月11日第十三届全国人民代表大会常务委员会第二十一次会议通过，自2021年9月1日起施行）</w:t>
      </w:r>
    </w:p>
    <w:p w14:paraId="637E65E1">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国务院关于修改&lt;征收教育费附加的暂行条例&gt;的决定》（2011年第三次修订）（1986年4月28日中华人民共和国国务院令第448号发布；根据1990年6月7日《国务院关于修改〈征收教育费附加的暂行规定）的决定》第一次修订；根据2005年8月20日《国务院关于修改&lt;征收教育费附加的暂行规定&gt;的决定》第二次修订:根据2011年1月8日《国务院关于废止和修改部分行政法规的决定》第三次修订并施行）</w:t>
      </w:r>
    </w:p>
    <w:p w14:paraId="4C73E14E">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《北京市国土资源局、北京市发展和改革委员会关于印发北京市国有土地使用权招标拍卖挂牌出让底价确定办法（试行）的通知》（ 京国土用〔2005〕533号）</w:t>
      </w:r>
    </w:p>
    <w:p w14:paraId="6627E9BE">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《北京市顺义区人民政府关于印发&lt;顺义区征收城市基础设施建设费暂行办法&gt;的通知》</w:t>
      </w:r>
      <w:r>
        <w:rPr>
          <w:rFonts w:hint="eastAsia" w:ascii="Arial" w:hAnsi="Arial" w:eastAsia="仿宋" w:cs="Arial"/>
          <w:color w:val="auto"/>
          <w:sz w:val="28"/>
          <w:szCs w:val="28"/>
        </w:rPr>
        <w:t>（</w:t>
      </w:r>
      <w:r>
        <w:rPr>
          <w:rFonts w:ascii="Arial" w:hAnsi="Arial" w:eastAsia="仿宋" w:cs="Arial"/>
          <w:color w:val="auto"/>
          <w:sz w:val="28"/>
          <w:szCs w:val="28"/>
        </w:rPr>
        <w:t>自2022年6月6日起实施</w:t>
      </w:r>
      <w:r>
        <w:rPr>
          <w:rFonts w:hint="eastAsia" w:ascii="Arial" w:hAnsi="Arial" w:eastAsia="仿宋" w:cs="Arial"/>
          <w:color w:val="auto"/>
          <w:sz w:val="28"/>
          <w:szCs w:val="28"/>
        </w:rPr>
        <w:t>）</w:t>
      </w:r>
    </w:p>
    <w:p w14:paraId="78376E39">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_GB2312" w:cs="Arial"/>
          <w:color w:val="auto"/>
          <w:sz w:val="28"/>
          <w:szCs w:val="28"/>
        </w:rPr>
        <w:t>《自然资源部办公厅关于加强城镇建设用地基准地价管理的通知》（自然资办发（2024）45号）</w:t>
      </w:r>
    </w:p>
    <w:p w14:paraId="5693A21B">
      <w:pPr>
        <w:numPr>
          <w:ilvl w:val="0"/>
          <w:numId w:val="6"/>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_GB2312" w:cs="Arial"/>
          <w:color w:val="auto"/>
          <w:sz w:val="28"/>
          <w:szCs w:val="28"/>
        </w:rPr>
        <w:t>《自然资源部 国家林业和草原局关于进一步做好自然资源要素保障的通知》（自然资办发（2026）38号）</w:t>
      </w:r>
    </w:p>
    <w:p w14:paraId="1BCE72E0">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（二）采用的技术标准</w:t>
      </w:r>
    </w:p>
    <w:p w14:paraId="3ADAED19">
      <w:pPr>
        <w:numPr>
          <w:ilvl w:val="0"/>
          <w:numId w:val="7"/>
        </w:numPr>
        <w:adjustRightInd/>
        <w:spacing w:line="300" w:lineRule="auto"/>
        <w:jc w:val="both"/>
        <w:rPr>
          <w:rFonts w:ascii="Arial" w:hAnsi="Arial" w:eastAsia="仿宋" w:cs="Arial"/>
          <w:color w:val="auto"/>
          <w:sz w:val="28"/>
          <w:szCs w:val="28"/>
        </w:rPr>
      </w:pPr>
      <w:r>
        <w:rPr>
          <w:rFonts w:ascii="Arial" w:hAnsi="Arial" w:eastAsia="仿宋" w:cs="Arial"/>
          <w:color w:val="auto"/>
          <w:sz w:val="28"/>
          <w:szCs w:val="28"/>
        </w:rPr>
        <w:t>《城镇土地估价规程》（GB/T 18508</w:t>
      </w:r>
      <w:r>
        <w:rPr>
          <w:rFonts w:hint="eastAsia" w:ascii="Arial" w:hAnsi="Arial" w:eastAsia="仿宋" w:cs="Arial"/>
          <w:color w:val="auto"/>
          <w:sz w:val="28"/>
          <w:szCs w:val="28"/>
        </w:rPr>
        <w:t>－</w:t>
      </w:r>
      <w:r>
        <w:rPr>
          <w:rFonts w:ascii="Arial" w:hAnsi="Arial" w:eastAsia="仿宋" w:cs="Arial"/>
          <w:color w:val="auto"/>
          <w:sz w:val="28"/>
          <w:szCs w:val="28"/>
        </w:rPr>
        <w:t>2014）</w:t>
      </w:r>
    </w:p>
    <w:p w14:paraId="1EBD6BE3">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《城镇土地分等定级规程》</w:t>
      </w:r>
      <w:r>
        <w:rPr>
          <w:color w:val="auto"/>
        </w:rPr>
        <w:fldChar w:fldCharType="begin"/>
      </w:r>
      <w:r>
        <w:rPr>
          <w:color w:val="auto"/>
        </w:rPr>
        <w:instrText xml:space="preserve"> HYPERLINK "http://www.baidu.com/link?url=WR4ik0HfoP3GU1rlTYIFq3n2WBRxMHa-d8GcgMgJUtKKn1Pe8laCRZpZkd9wT3bWx0Da0HhCv5MAzf-34H8xnjpEjz3Kk8n4fMGDiYPYgW3" \t "_blank" </w:instrText>
      </w:r>
      <w:r>
        <w:rPr>
          <w:color w:val="auto"/>
        </w:rPr>
        <w:fldChar w:fldCharType="separate"/>
      </w:r>
      <w:r>
        <w:rPr>
          <w:rFonts w:ascii="Arial" w:hAnsi="Arial" w:eastAsia="仿宋" w:cs="Arial"/>
          <w:color w:val="auto"/>
          <w:sz w:val="28"/>
          <w:szCs w:val="28"/>
        </w:rPr>
        <w:t>（GB/T 18507</w:t>
      </w:r>
      <w:r>
        <w:rPr>
          <w:rFonts w:hint="eastAsia" w:ascii="Arial" w:hAnsi="Arial" w:eastAsia="仿宋" w:cs="Arial"/>
          <w:color w:val="auto"/>
          <w:sz w:val="28"/>
          <w:szCs w:val="28"/>
        </w:rPr>
        <w:t>－</w:t>
      </w:r>
      <w:r>
        <w:rPr>
          <w:rFonts w:ascii="Arial" w:hAnsi="Arial" w:eastAsia="仿宋" w:cs="Arial"/>
          <w:color w:val="auto"/>
          <w:sz w:val="28"/>
          <w:szCs w:val="28"/>
        </w:rPr>
        <w:t>2014）</w:t>
      </w:r>
      <w:r>
        <w:rPr>
          <w:rFonts w:ascii="Arial" w:hAnsi="Arial" w:eastAsia="仿宋" w:cs="Arial"/>
          <w:color w:val="auto"/>
          <w:sz w:val="28"/>
          <w:szCs w:val="28"/>
        </w:rPr>
        <w:fldChar w:fldCharType="end"/>
      </w:r>
    </w:p>
    <w:p w14:paraId="61A6B90B">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《土地利用现状分类》（ GB/T 21010</w:t>
      </w:r>
      <w:r>
        <w:rPr>
          <w:rFonts w:hint="eastAsia" w:ascii="Arial" w:hAnsi="Arial" w:eastAsia="仿宋" w:cs="Arial"/>
          <w:color w:val="auto"/>
          <w:sz w:val="28"/>
          <w:szCs w:val="28"/>
        </w:rPr>
        <w:t>－</w:t>
      </w:r>
      <w:r>
        <w:rPr>
          <w:rFonts w:ascii="Arial" w:hAnsi="Arial" w:eastAsia="仿宋" w:cs="Arial"/>
          <w:color w:val="auto"/>
          <w:sz w:val="28"/>
          <w:szCs w:val="28"/>
        </w:rPr>
        <w:t>2017）</w:t>
      </w:r>
    </w:p>
    <w:p w14:paraId="21A086E5">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《城市用地分类与规划建设用地标准》（GB50137</w:t>
      </w:r>
      <w:r>
        <w:rPr>
          <w:rFonts w:hint="eastAsia" w:ascii="Arial" w:hAnsi="Arial" w:eastAsia="仿宋" w:cs="Arial"/>
          <w:color w:val="auto"/>
          <w:sz w:val="28"/>
          <w:szCs w:val="28"/>
        </w:rPr>
        <w:t>－</w:t>
      </w:r>
      <w:r>
        <w:rPr>
          <w:rFonts w:ascii="Arial" w:hAnsi="Arial" w:eastAsia="仿宋" w:cs="Arial"/>
          <w:color w:val="auto"/>
          <w:sz w:val="28"/>
          <w:szCs w:val="28"/>
        </w:rPr>
        <w:t>2011）</w:t>
      </w:r>
    </w:p>
    <w:p w14:paraId="5DDB848B">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《自然资源分等定级通则》（TD/T 1060</w:t>
      </w:r>
      <w:r>
        <w:rPr>
          <w:rFonts w:hint="eastAsia" w:ascii="Arial" w:hAnsi="Arial" w:eastAsia="仿宋" w:cs="Arial"/>
          <w:color w:val="auto"/>
          <w:sz w:val="28"/>
          <w:szCs w:val="28"/>
        </w:rPr>
        <w:t>－</w:t>
      </w:r>
      <w:r>
        <w:rPr>
          <w:rFonts w:ascii="Arial" w:hAnsi="Arial" w:eastAsia="仿宋" w:cs="Arial"/>
          <w:color w:val="auto"/>
          <w:sz w:val="28"/>
          <w:szCs w:val="28"/>
        </w:rPr>
        <w:t>2021）</w:t>
      </w:r>
    </w:p>
    <w:p w14:paraId="26509379">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《自然资源价格评估通则》（TD/T 1061</w:t>
      </w:r>
      <w:r>
        <w:rPr>
          <w:rFonts w:hint="eastAsia" w:ascii="Arial" w:hAnsi="Arial" w:eastAsia="仿宋" w:cs="Arial"/>
          <w:color w:val="auto"/>
          <w:sz w:val="28"/>
          <w:szCs w:val="28"/>
        </w:rPr>
        <w:t>－</w:t>
      </w:r>
      <w:r>
        <w:rPr>
          <w:rFonts w:ascii="Arial" w:hAnsi="Arial" w:eastAsia="仿宋" w:cs="Arial"/>
          <w:color w:val="auto"/>
          <w:sz w:val="28"/>
          <w:szCs w:val="28"/>
        </w:rPr>
        <w:t>2021）</w:t>
      </w:r>
    </w:p>
    <w:p w14:paraId="274ABAF6">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《城市地价动态监测技术规范》（TD/T1009</w:t>
      </w:r>
      <w:r>
        <w:rPr>
          <w:rFonts w:hint="eastAsia" w:ascii="Arial" w:hAnsi="Arial" w:eastAsia="仿宋" w:cs="Arial"/>
          <w:color w:val="auto"/>
          <w:sz w:val="28"/>
          <w:szCs w:val="28"/>
        </w:rPr>
        <w:t>－</w:t>
      </w:r>
      <w:r>
        <w:rPr>
          <w:rFonts w:ascii="Arial" w:hAnsi="Arial" w:eastAsia="仿宋" w:cs="Arial"/>
          <w:color w:val="auto"/>
          <w:sz w:val="28"/>
          <w:szCs w:val="28"/>
        </w:rPr>
        <w:t>2007）</w:t>
      </w:r>
    </w:p>
    <w:p w14:paraId="3E056699">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《自然资源部办公厅关于印发《国土空间调查、规划、用途管制用地用海分类指南（试行）》的通知》（自然资办发〔2020〕51号）</w:t>
      </w:r>
    </w:p>
    <w:p w14:paraId="3865A86E">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《国土资源部办公厅关于发布&lt;国有建设用地使用权出让地价评估技术规范&gt;的通知》（国土资厅发（2018）4号）</w:t>
      </w:r>
    </w:p>
    <w:p w14:paraId="64F5FE18">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《自然资源部公共服务厅关于做好2021年度自然资源评价评估有关工作的通知》（自然资办发（2021）39号）</w:t>
      </w:r>
    </w:p>
    <w:p w14:paraId="1780CDD0">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《财政部 国家税务总局&lt;关于全面推开营业税改正增值税试点的通知&gt;》（财税（2016）36号）</w:t>
      </w:r>
    </w:p>
    <w:p w14:paraId="097340BD">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《北京市人民政府关于更新出让国有建设用地使用权基准地价的通知》（京政发（2022）12号）</w:t>
      </w:r>
    </w:p>
    <w:p w14:paraId="5395B3E5">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《北京市国土空间调查、规划、用途管制用地分类指南（试行）》</w:t>
      </w:r>
    </w:p>
    <w:p w14:paraId="5120C92D">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《北京市城乡规划与土地利用用地分类对应指南（试行）》（市规划国土发（2017）316号）</w:t>
      </w:r>
    </w:p>
    <w:p w14:paraId="0BB049B4">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北京市地方标准《国土空间调查、规划、用途管制用地分类标准》（DB11/T996－2024，2024年6月28日发布，2025年1月1日实施）</w:t>
      </w:r>
    </w:p>
    <w:p w14:paraId="00E5E5F2">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《北京市地方税务局关于调整北京市城镇土地纳税等级分级范围的公告》（2015年第10号）</w:t>
      </w:r>
    </w:p>
    <w:p w14:paraId="14AD517F">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《北京市国有建设用地使用权出让地价评估技术导则》（2026年2月10日实施）</w:t>
      </w:r>
    </w:p>
    <w:p w14:paraId="4447F9FB">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《北京市建设工程计价依据</w:t>
      </w:r>
      <w:r>
        <w:rPr>
          <w:rFonts w:hint="eastAsia" w:ascii="Arial" w:hAnsi="Arial" w:eastAsia="仿宋" w:cs="Arial"/>
          <w:color w:val="auto"/>
          <w:sz w:val="28"/>
          <w:szCs w:val="28"/>
        </w:rPr>
        <w:t>－</w:t>
      </w:r>
      <w:r>
        <w:rPr>
          <w:rFonts w:ascii="Arial" w:hAnsi="Arial" w:eastAsia="仿宋" w:cs="Arial"/>
          <w:color w:val="auto"/>
          <w:sz w:val="28"/>
          <w:szCs w:val="28"/>
        </w:rPr>
        <w:t>预算定额》（2012）及动态调整</w:t>
      </w:r>
    </w:p>
    <w:p w14:paraId="36BA4D93">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《北京工程造价信息》〔北京市建设工程造价管理处定期发布〕</w:t>
      </w:r>
    </w:p>
    <w:p w14:paraId="7344CB58">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《北京市统计年鉴》</w:t>
      </w:r>
    </w:p>
    <w:p w14:paraId="6384076C">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北京市规划和自然资源委员会北京市发展和改革委员会北京市财政局 北京市住房和城乡建设委员会《关于印发&lt;北京市国有自然资源（建设用地）使用权有偿配置价格评审规定&gt;的通知》（京规自发（2024）282号）</w:t>
      </w:r>
    </w:p>
    <w:p w14:paraId="0FB89860">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北京市人民政府《关于印发&lt;北京市居住公共服务设施配置指标&gt;和&lt;北京市居住公共服务设施配置指标实施意见&gt;的通知》（京政发（2025）25 号）</w:t>
      </w:r>
    </w:p>
    <w:p w14:paraId="4BB6DBA1">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《土地估价参数调查测算指引》（T/CREVA 1101—2023  ）</w:t>
      </w:r>
    </w:p>
    <w:p w14:paraId="3026B5F2">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（三） 委托估价方提供的资料</w:t>
      </w:r>
    </w:p>
    <w:p w14:paraId="2183D237">
      <w:pPr>
        <w:numPr>
          <w:ilvl w:val="1"/>
          <w:numId w:val="8"/>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《国有建设用地使用权出让地价评估委托书》</w:t>
      </w:r>
    </w:p>
    <w:p w14:paraId="4FF9DFEC">
      <w:pPr>
        <w:numPr>
          <w:ilvl w:val="1"/>
          <w:numId w:val="8"/>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《北京市规划和国土资源管理委员会建设项目规划条件（土地储备前期整理）》（2017规（顺）条整字0006号）复印件</w:t>
      </w:r>
    </w:p>
    <w:p w14:paraId="7B53E6FC">
      <w:pPr>
        <w:numPr>
          <w:ilvl w:val="1"/>
          <w:numId w:val="8"/>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《北京市规划和自然资源会员会顺义分局关于顺义区高丽营镇夏县营村棚户区改造土地开发项目调整建设项目规划条件的复函》（京规自顺函【2019】153号）复印件</w:t>
      </w:r>
    </w:p>
    <w:p w14:paraId="4079CCAF">
      <w:pPr>
        <w:numPr>
          <w:ilvl w:val="1"/>
          <w:numId w:val="8"/>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《北京市人民政府关于顺义区二〇二〇年度批次建设用地的批复》</w:t>
      </w:r>
      <w:r>
        <w:rPr>
          <w:rFonts w:ascii="Arial" w:hAnsi="Arial" w:eastAsia="仿宋" w:cs="Arial"/>
          <w:color w:val="auto"/>
          <w:spacing w:val="-6"/>
          <w:sz w:val="28"/>
          <w:szCs w:val="28"/>
        </w:rPr>
        <w:t>（京政地字【</w:t>
      </w:r>
      <w:r>
        <w:rPr>
          <w:rFonts w:ascii="Arial" w:hAnsi="Arial" w:eastAsia="仿宋" w:cs="Arial"/>
          <w:color w:val="auto"/>
          <w:sz w:val="28"/>
          <w:szCs w:val="28"/>
        </w:rPr>
        <w:t>2020】121</w:t>
      </w:r>
      <w:r>
        <w:rPr>
          <w:rFonts w:ascii="Arial" w:hAnsi="Arial" w:eastAsia="仿宋" w:cs="Arial"/>
          <w:color w:val="auto"/>
          <w:spacing w:val="-6"/>
          <w:sz w:val="28"/>
          <w:szCs w:val="28"/>
        </w:rPr>
        <w:t>号）复印件</w:t>
      </w:r>
    </w:p>
    <w:p w14:paraId="2C75A2AB">
      <w:pPr>
        <w:numPr>
          <w:ilvl w:val="1"/>
          <w:numId w:val="8"/>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《北京市顺义区人民政府关于顺义区高丽营镇夏县营村棚户区改造土地开发项目01</w:t>
      </w:r>
      <w:r>
        <w:rPr>
          <w:rFonts w:hint="eastAsia" w:ascii="Arial" w:hAnsi="Arial" w:eastAsia="仿宋" w:cs="Arial"/>
          <w:color w:val="auto"/>
          <w:sz w:val="28"/>
          <w:szCs w:val="28"/>
        </w:rPr>
        <w:t>－</w:t>
      </w:r>
      <w:r>
        <w:rPr>
          <w:rFonts w:ascii="Arial" w:hAnsi="Arial" w:eastAsia="仿宋" w:cs="Arial"/>
          <w:color w:val="auto"/>
          <w:sz w:val="28"/>
          <w:szCs w:val="28"/>
        </w:rPr>
        <w:t>008、01</w:t>
      </w:r>
      <w:r>
        <w:rPr>
          <w:rFonts w:hint="eastAsia" w:ascii="Arial" w:hAnsi="Arial" w:eastAsia="仿宋" w:cs="Arial"/>
          <w:color w:val="auto"/>
          <w:sz w:val="28"/>
          <w:szCs w:val="28"/>
        </w:rPr>
        <w:t>－</w:t>
      </w:r>
      <w:r>
        <w:rPr>
          <w:rFonts w:ascii="Arial" w:hAnsi="Arial" w:eastAsia="仿宋" w:cs="Arial"/>
          <w:color w:val="auto"/>
          <w:sz w:val="28"/>
          <w:szCs w:val="28"/>
        </w:rPr>
        <w:t>016、01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1、01</w:t>
      </w:r>
      <w:r>
        <w:rPr>
          <w:rFonts w:hint="eastAsia" w:ascii="Arial" w:hAnsi="Arial" w:eastAsia="仿宋" w:cs="Arial"/>
          <w:color w:val="auto"/>
          <w:sz w:val="28"/>
          <w:szCs w:val="28"/>
        </w:rPr>
        <w:t>－</w:t>
      </w:r>
      <w:r>
        <w:rPr>
          <w:rFonts w:ascii="Arial" w:hAnsi="Arial" w:eastAsia="仿宋" w:cs="Arial"/>
          <w:color w:val="auto"/>
          <w:sz w:val="28"/>
          <w:szCs w:val="28"/>
        </w:rPr>
        <w:t>020地块提请地价审核有关事宜的函》（顺政函【2023】151号）复印件</w:t>
      </w:r>
    </w:p>
    <w:p w14:paraId="6753B638">
      <w:pPr>
        <w:numPr>
          <w:ilvl w:val="1"/>
          <w:numId w:val="8"/>
        </w:numPr>
        <w:adjustRightInd/>
        <w:spacing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及规划意见附图复印件</w:t>
      </w:r>
    </w:p>
    <w:p w14:paraId="5F51F888">
      <w:pPr>
        <w:numPr>
          <w:ilvl w:val="1"/>
          <w:numId w:val="8"/>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《建设工程规划用地测量成果报告书》（2021规自（顺）测字0008号）复印件</w:t>
      </w:r>
    </w:p>
    <w:p w14:paraId="2CE7C26B">
      <w:pPr>
        <w:numPr>
          <w:ilvl w:val="1"/>
          <w:numId w:val="8"/>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《关于顺义区高丽营镇夏县营村棚户区改造土地开发项目01</w:t>
      </w:r>
      <w:r>
        <w:rPr>
          <w:rFonts w:hint="eastAsia" w:ascii="Arial" w:hAnsi="Arial" w:eastAsia="仿宋" w:cs="Arial"/>
          <w:color w:val="auto"/>
          <w:sz w:val="28"/>
          <w:szCs w:val="28"/>
        </w:rPr>
        <w:t>－</w:t>
      </w:r>
      <w:r>
        <w:rPr>
          <w:rFonts w:ascii="Arial" w:hAnsi="Arial" w:eastAsia="仿宋" w:cs="Arial"/>
          <w:color w:val="auto"/>
          <w:sz w:val="28"/>
          <w:szCs w:val="28"/>
        </w:rPr>
        <w:t>008、01</w:t>
      </w:r>
      <w:r>
        <w:rPr>
          <w:rFonts w:hint="eastAsia" w:ascii="Arial" w:hAnsi="Arial" w:eastAsia="仿宋" w:cs="Arial"/>
          <w:color w:val="auto"/>
          <w:sz w:val="28"/>
          <w:szCs w:val="28"/>
        </w:rPr>
        <w:t>－</w:t>
      </w:r>
      <w:r>
        <w:rPr>
          <w:rFonts w:ascii="Arial" w:hAnsi="Arial" w:eastAsia="仿宋" w:cs="Arial"/>
          <w:color w:val="auto"/>
          <w:sz w:val="28"/>
          <w:szCs w:val="28"/>
        </w:rPr>
        <w:t>016、01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1、01</w:t>
      </w:r>
      <w:r>
        <w:rPr>
          <w:rFonts w:hint="eastAsia" w:ascii="Arial" w:hAnsi="Arial" w:eastAsia="仿宋" w:cs="Arial"/>
          <w:color w:val="auto"/>
          <w:sz w:val="28"/>
          <w:szCs w:val="28"/>
        </w:rPr>
        <w:t>－</w:t>
      </w:r>
      <w:r>
        <w:rPr>
          <w:rFonts w:ascii="Arial" w:hAnsi="Arial" w:eastAsia="仿宋" w:cs="Arial"/>
          <w:color w:val="auto"/>
          <w:sz w:val="28"/>
          <w:szCs w:val="28"/>
        </w:rPr>
        <w:t>020地块实物补偿内容的说明》复印件</w:t>
      </w:r>
    </w:p>
    <w:p w14:paraId="3BD5FE98">
      <w:pPr>
        <w:numPr>
          <w:ilvl w:val="1"/>
          <w:numId w:val="8"/>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《关于顺义区高丽营镇夏县营村棚户区改造土地开发项目01</w:t>
      </w:r>
      <w:r>
        <w:rPr>
          <w:rFonts w:hint="eastAsia" w:ascii="Arial" w:hAnsi="Arial" w:eastAsia="仿宋" w:cs="Arial"/>
          <w:color w:val="auto"/>
          <w:sz w:val="28"/>
          <w:szCs w:val="28"/>
        </w:rPr>
        <w:t>－</w:t>
      </w:r>
      <w:r>
        <w:rPr>
          <w:rFonts w:ascii="Arial" w:hAnsi="Arial" w:eastAsia="仿宋" w:cs="Arial"/>
          <w:color w:val="auto"/>
          <w:sz w:val="28"/>
          <w:szCs w:val="28"/>
        </w:rPr>
        <w:t>008、01</w:t>
      </w:r>
      <w:r>
        <w:rPr>
          <w:rFonts w:hint="eastAsia" w:ascii="Arial" w:hAnsi="Arial" w:eastAsia="仿宋" w:cs="Arial"/>
          <w:color w:val="auto"/>
          <w:sz w:val="28"/>
          <w:szCs w:val="28"/>
        </w:rPr>
        <w:t>－</w:t>
      </w:r>
      <w:r>
        <w:rPr>
          <w:rFonts w:ascii="Arial" w:hAnsi="Arial" w:eastAsia="仿宋" w:cs="Arial"/>
          <w:color w:val="auto"/>
          <w:sz w:val="28"/>
          <w:szCs w:val="28"/>
        </w:rPr>
        <w:t>016、01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1、01</w:t>
      </w:r>
      <w:r>
        <w:rPr>
          <w:rFonts w:hint="eastAsia" w:ascii="Arial" w:hAnsi="Arial" w:eastAsia="仿宋" w:cs="Arial"/>
          <w:color w:val="auto"/>
          <w:sz w:val="28"/>
          <w:szCs w:val="28"/>
        </w:rPr>
        <w:t>－</w:t>
      </w:r>
      <w:r>
        <w:rPr>
          <w:rFonts w:ascii="Arial" w:hAnsi="Arial" w:eastAsia="仿宋" w:cs="Arial"/>
          <w:color w:val="auto"/>
          <w:sz w:val="28"/>
          <w:szCs w:val="28"/>
        </w:rPr>
        <w:t>020地块市政条件的说明》复印件</w:t>
      </w:r>
    </w:p>
    <w:p w14:paraId="22FB10F8">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（四）受托估价方掌握的有关资料和土地估价专业评估师实地勘察、调查所获取的资料</w:t>
      </w:r>
    </w:p>
    <w:p w14:paraId="7627EA63">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1.估价对象所在位置示意图</w:t>
      </w:r>
    </w:p>
    <w:p w14:paraId="654FFE8C">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2.估价对象实地勘察相关照片</w:t>
      </w:r>
    </w:p>
    <w:p w14:paraId="28BF438A">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3.区域因素及个别因素状况等资料</w:t>
      </w:r>
    </w:p>
    <w:p w14:paraId="455F4540">
      <w:pPr>
        <w:adjustRightInd/>
        <w:spacing w:line="300" w:lineRule="auto"/>
        <w:ind w:firstLine="560" w:firstLineChars="200"/>
        <w:jc w:val="both"/>
        <w:rPr>
          <w:rFonts w:ascii="Arial" w:hAnsi="Arial" w:eastAsia="仿宋_GB2312" w:cs="Arial"/>
          <w:color w:val="auto"/>
          <w:sz w:val="28"/>
        </w:rPr>
      </w:pPr>
      <w:r>
        <w:rPr>
          <w:rFonts w:ascii="Arial" w:hAnsi="Arial" w:eastAsia="仿宋" w:cs="Arial"/>
          <w:color w:val="auto"/>
          <w:sz w:val="28"/>
          <w:szCs w:val="28"/>
        </w:rPr>
        <w:t>4.土地估价专业评估师现场调查收集的其他相关资料</w:t>
      </w:r>
    </w:p>
    <w:p w14:paraId="6CB8D68C">
      <w:pPr>
        <w:spacing w:line="300" w:lineRule="auto"/>
        <w:jc w:val="both"/>
        <w:rPr>
          <w:rFonts w:ascii="Arial" w:hAnsi="Arial" w:eastAsia="仿宋_GB2312" w:cs="Arial"/>
          <w:color w:val="auto"/>
          <w:sz w:val="28"/>
        </w:rPr>
      </w:pPr>
    </w:p>
    <w:p w14:paraId="045F91A2">
      <w:pPr>
        <w:spacing w:line="300" w:lineRule="auto"/>
        <w:outlineLvl w:val="1"/>
        <w:rPr>
          <w:rFonts w:ascii="Arial" w:hAnsi="Arial" w:eastAsia="仿宋_GB2312" w:cs="Arial"/>
          <w:b/>
          <w:color w:val="auto"/>
          <w:sz w:val="28"/>
        </w:rPr>
      </w:pPr>
      <w:bookmarkStart w:id="196" w:name="_Toc132016737"/>
      <w:bookmarkStart w:id="197" w:name="_Toc138063008"/>
      <w:r>
        <w:rPr>
          <w:rFonts w:ascii="Arial" w:hAnsi="Arial" w:eastAsia="仿宋_GB2312" w:cs="Arial"/>
          <w:b/>
          <w:color w:val="auto"/>
          <w:sz w:val="28"/>
        </w:rPr>
        <w:t>二、土地估价</w:t>
      </w:r>
      <w:bookmarkEnd w:id="189"/>
      <w:bookmarkEnd w:id="190"/>
      <w:bookmarkEnd w:id="191"/>
      <w:bookmarkEnd w:id="192"/>
      <w:bookmarkEnd w:id="193"/>
      <w:bookmarkEnd w:id="194"/>
      <w:bookmarkEnd w:id="195"/>
      <w:bookmarkEnd w:id="196"/>
      <w:bookmarkEnd w:id="197"/>
    </w:p>
    <w:p w14:paraId="6256A8EE">
      <w:pPr>
        <w:adjustRightInd/>
        <w:spacing w:line="300" w:lineRule="auto"/>
        <w:ind w:firstLine="562" w:firstLineChars="200"/>
        <w:jc w:val="both"/>
        <w:rPr>
          <w:rFonts w:ascii="Arial" w:hAnsi="Arial" w:eastAsia="仿宋_GB2312" w:cs="Arial"/>
          <w:b/>
          <w:bCs/>
          <w:color w:val="auto"/>
          <w:sz w:val="28"/>
          <w:szCs w:val="28"/>
        </w:rPr>
      </w:pPr>
      <w:r>
        <w:rPr>
          <w:rFonts w:ascii="Arial" w:hAnsi="Arial" w:eastAsia="仿宋_GB2312" w:cs="Arial"/>
          <w:b/>
          <w:bCs/>
          <w:color w:val="auto"/>
          <w:sz w:val="28"/>
        </w:rPr>
        <w:t>（</w:t>
      </w:r>
      <w:r>
        <w:rPr>
          <w:rFonts w:hint="eastAsia" w:ascii="Arial" w:hAnsi="Arial" w:eastAsia="仿宋_GB2312" w:cs="Arial"/>
          <w:b/>
          <w:bCs/>
          <w:color w:val="auto"/>
          <w:sz w:val="28"/>
        </w:rPr>
        <w:t>一</w:t>
      </w:r>
      <w:r>
        <w:rPr>
          <w:rFonts w:ascii="Arial" w:hAnsi="Arial" w:eastAsia="仿宋_GB2312" w:cs="Arial"/>
          <w:b/>
          <w:bCs/>
          <w:color w:val="auto"/>
          <w:sz w:val="28"/>
        </w:rPr>
        <w:t>）估价</w:t>
      </w:r>
      <w:r>
        <w:rPr>
          <w:rFonts w:hint="eastAsia" w:ascii="Arial" w:hAnsi="Arial" w:eastAsia="仿宋_GB2312" w:cs="Arial"/>
          <w:b/>
          <w:bCs/>
          <w:color w:val="auto"/>
          <w:sz w:val="28"/>
        </w:rPr>
        <w:t>原则</w:t>
      </w:r>
    </w:p>
    <w:p w14:paraId="0D46AC06">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土地价格是由其效用、相对稀缺性及有效需求三者相互作用和影响而形成，这些因素又经常处于变动之中，土地估价必须要对此进行细致分析并正确判断其变动趋向，了解土地价格组成的各项因素及各因素之间的相互作用，才能做出正确估价。在土地估价的实践和理论的探索中，在对土地价格形成和变化的规律认识的基础上，总结出一些在估价活动中应当遵循的法则或标准，而在估价作业时，这些原则又指导人们的估价实践。</w:t>
      </w:r>
    </w:p>
    <w:p w14:paraId="605BAAC2">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土地估价机构及其土地估价专业人员从事土地估价活动，应当坚持独立、客观、公正原则、回避原则、保密原则，保持专业独立性，杜绝外部不当干预。具体业务实施中，还应遵循以下技术原则。</w:t>
      </w:r>
    </w:p>
    <w:p w14:paraId="2E854527">
      <w:pPr>
        <w:kinsoku w:val="0"/>
        <w:overflowPunct w:val="0"/>
        <w:autoSpaceDE w:val="0"/>
        <w:autoSpaceDN w:val="0"/>
        <w:adjustRightInd/>
        <w:spacing w:line="300" w:lineRule="auto"/>
        <w:ind w:firstLine="562" w:firstLineChars="200"/>
        <w:jc w:val="both"/>
        <w:rPr>
          <w:rFonts w:ascii="Arial" w:hAnsi="Arial" w:eastAsia="仿宋_GB2312" w:cs="Arial"/>
          <w:b/>
          <w:bCs/>
          <w:color w:val="auto"/>
          <w:sz w:val="28"/>
          <w:szCs w:val="28"/>
        </w:rPr>
      </w:pPr>
      <w:r>
        <w:rPr>
          <w:rFonts w:ascii="Arial" w:hAnsi="Arial" w:eastAsia="仿宋_GB2312" w:cs="Arial"/>
          <w:b/>
          <w:bCs/>
          <w:color w:val="auto"/>
          <w:sz w:val="28"/>
          <w:szCs w:val="28"/>
        </w:rPr>
        <w:t>1</w:t>
      </w:r>
      <w:r>
        <w:rPr>
          <w:rFonts w:hint="eastAsia" w:ascii="Arial" w:hAnsi="Arial" w:eastAsia="仿宋_GB2312" w:cs="Arial"/>
          <w:b/>
          <w:bCs/>
          <w:color w:val="auto"/>
          <w:sz w:val="28"/>
          <w:szCs w:val="28"/>
        </w:rPr>
        <w:t>.</w:t>
      </w:r>
      <w:r>
        <w:rPr>
          <w:rFonts w:ascii="Arial" w:hAnsi="Arial" w:eastAsia="仿宋_GB2312" w:cs="Arial"/>
          <w:b/>
          <w:bCs/>
          <w:color w:val="auto"/>
          <w:sz w:val="28"/>
          <w:szCs w:val="28"/>
        </w:rPr>
        <w:t>土地估价应遵循的基本原则</w:t>
      </w:r>
    </w:p>
    <w:p w14:paraId="5BB72B48">
      <w:pPr>
        <w:kinsoku w:val="0"/>
        <w:overflowPunct w:val="0"/>
        <w:autoSpaceDE w:val="0"/>
        <w:autoSpaceDN w:val="0"/>
        <w:adjustRightInd/>
        <w:spacing w:line="300" w:lineRule="auto"/>
        <w:ind w:firstLine="562" w:firstLineChars="200"/>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（1）合法原则</w:t>
      </w:r>
    </w:p>
    <w:p w14:paraId="421F8B81">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 xml:space="preserve">土地估价应以估价对象的合法权益为前提进行。合法权益包括合法产权、合法使用、合法处置等几个方面。在合法委托估价方面，应以房地产权属证书、权属档案的记载或其他合法证件为依据；在合法使用方面，应以使用管制（如城市规划、土地用途管制）为依据；在合法处置方面，应以法律、法规或合同等允许的处置方式为依据。 </w:t>
      </w:r>
    </w:p>
    <w:p w14:paraId="609E9209">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估价对象已取得</w:t>
      </w:r>
      <w:r>
        <w:rPr>
          <w:rFonts w:hint="eastAsia" w:ascii="Arial" w:hAnsi="Arial" w:eastAsia="仿宋"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hint="eastAsia" w:ascii="Arial" w:hAnsi="Arial" w:eastAsia="仿宋_GB2312" w:cs="Arial"/>
          <w:color w:val="auto"/>
          <w:sz w:val="28"/>
          <w:szCs w:val="28"/>
        </w:rPr>
        <w:t>并以这些资料为合法性依</w:t>
      </w:r>
      <w:r>
        <w:rPr>
          <w:rFonts w:ascii="Arial" w:hAnsi="Arial" w:eastAsia="仿宋_GB2312" w:cs="Arial"/>
          <w:color w:val="auto"/>
          <w:sz w:val="28"/>
          <w:szCs w:val="28"/>
        </w:rPr>
        <w:t>据；在合法使用方面，估价对象的规划条件符合城市规划和土地用途管制，故本次估价遵循合法原则。</w:t>
      </w:r>
    </w:p>
    <w:p w14:paraId="4A62F997">
      <w:pPr>
        <w:adjustRightInd/>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（2）</w:t>
      </w:r>
      <w:r>
        <w:rPr>
          <w:rFonts w:ascii="Arial" w:hAnsi="Arial" w:eastAsia="仿宋_GB2312" w:cs="Arial"/>
          <w:b/>
          <w:bCs/>
          <w:color w:val="auto"/>
          <w:sz w:val="28"/>
        </w:rPr>
        <w:t>替代原则</w:t>
      </w:r>
    </w:p>
    <w:p w14:paraId="6CBDB07F">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替代原则是指土地估价应以相邻地区或类似地区功能相同、条件相似的土地市场交易价格为依据，估价结果不得明显偏离具有替代性质的土地正常价格。</w:t>
      </w:r>
    </w:p>
    <w:p w14:paraId="24617DB7">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经济学认为，根据市场运行规律，在同一商品市场中，商品或提供服务的效用相同或大致相似时，价格最低者吸引最大需求；价格相同时效用大者吸引最大需求，即当同时存在两个以上的有互相替代性的商品或服务时，商品或服务的价格是经过相互影响比较后才决定的，并最后趋于一致。同一原理同样适用于土地市场，即具有相同使用价值、有替代性的宗地之间的价格会相互影响、相互牵制而最终趋于一致。</w:t>
      </w:r>
    </w:p>
    <w:p w14:paraId="13C444A3">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替代原则可以概括为三点：（1）土地价格水平由具有相同性质的替代性土地的价格所决定；（2）土地价格水平是由最了解行情的买卖者按市场交易实例相互比较后决定；（3）土地价格可以通过比较地块的条件及使用价值来确定。因此，替代原则中所指土地估价应以相邻地区或类似地区功能相同、条件相似的土地市场交易价格为依据，估价结果不得明显偏离具有替代性质的土地正常价格。</w:t>
      </w:r>
    </w:p>
    <w:p w14:paraId="4A6C8FE1">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替代原则的适用范围广，是本次估价基准地价系数修正法、剩余法中嵌套的市场比较法的理论基础。</w:t>
      </w:r>
    </w:p>
    <w:p w14:paraId="51C34F7D">
      <w:pPr>
        <w:adjustRightInd/>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（3）</w:t>
      </w:r>
      <w:r>
        <w:rPr>
          <w:rFonts w:ascii="Arial" w:hAnsi="Arial" w:eastAsia="仿宋_GB2312" w:cs="Arial"/>
          <w:b/>
          <w:bCs/>
          <w:color w:val="auto"/>
          <w:sz w:val="28"/>
        </w:rPr>
        <w:t>最有效利用原则</w:t>
      </w:r>
    </w:p>
    <w:p w14:paraId="0D2AB099">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由于土地具有用途的多样性，不同的利用方式能为权利人带来不同的收益量，且土地权利人都期望从其所占有的土地上获取更多的收益，并以能满足这一目的为确定土地利用方式的依据。所以，土地估价应以宗地的最有效利用为前提的。本次评估以设定规划条件符合最有效使用原则为前提。</w:t>
      </w:r>
    </w:p>
    <w:p w14:paraId="38A01F70">
      <w:pPr>
        <w:adjustRightInd/>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（4）</w:t>
      </w:r>
      <w:r>
        <w:rPr>
          <w:rFonts w:ascii="Arial" w:hAnsi="Arial" w:eastAsia="仿宋_GB2312" w:cs="Arial"/>
          <w:b/>
          <w:bCs/>
          <w:color w:val="auto"/>
          <w:sz w:val="28"/>
        </w:rPr>
        <w:t>预期收益原则</w:t>
      </w:r>
    </w:p>
    <w:p w14:paraId="38658078">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对于价格的评估，重要的并非是过去，而是未来。过去收益的重要意义，在于为推测未来的收益变化动向提供依据。因此，商品的价格是由反映该商品将来的总收益所决定的。土地也是如此，它的价格也是受预期收益形成因素的变动所左右。所以，土地投资者是在预测该土地将来所能带来的收益或效用后进行投资的。这就要求估价者必须了解过去的收益状况，并对土地市场现状、发展趋势、政治经济形势及政策规定对土地市场的影响进行细致分析，预测以待估宗地在正常利用条件下的未来客观有效的预期收益。本次评估在运用剩余法计算估价对象土地价格时，就是以该原则为原理。</w:t>
      </w:r>
    </w:p>
    <w:p w14:paraId="4F6DECC2">
      <w:pPr>
        <w:adjustRightInd/>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（5）</w:t>
      </w:r>
      <w:r>
        <w:rPr>
          <w:rFonts w:ascii="Arial" w:hAnsi="Arial" w:eastAsia="仿宋_GB2312" w:cs="Arial"/>
          <w:b/>
          <w:bCs/>
          <w:color w:val="auto"/>
          <w:sz w:val="28"/>
        </w:rPr>
        <w:t>供需原则</w:t>
      </w:r>
    </w:p>
    <w:p w14:paraId="7FF92208">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在完全的市场竞争中，一般商品的价格取决于供求的均衡点，需求大于供给，价格就会提高，否则价格就会降低。由于土地与一般商品相比，具有独特的人文和自然条件，因此土地市场形成了自己的供求规律，主要表现在土地的价格容易形成垄断，所以地价形成于不完全竞争的市场。在评估中我们以市场供需决定土地价格为依据，并充分的考虑了土地供需的特殊性和土地市场的地域性。估价对象位于</w:t>
      </w:r>
      <w:r>
        <w:rPr>
          <w:rFonts w:hint="eastAsia" w:ascii="Arial" w:hAnsi="Arial" w:eastAsia="仿宋_GB2312" w:cs="Arial"/>
          <w:color w:val="auto"/>
          <w:sz w:val="28"/>
        </w:rPr>
        <w:t>顺义区高丽营镇</w:t>
      </w:r>
      <w:r>
        <w:rPr>
          <w:rFonts w:ascii="Arial" w:hAnsi="Arial" w:eastAsia="仿宋_GB2312" w:cs="Arial"/>
          <w:color w:val="auto"/>
          <w:sz w:val="28"/>
        </w:rPr>
        <w:t>，土地用途为</w:t>
      </w:r>
      <w:r>
        <w:rPr>
          <w:rFonts w:hint="eastAsia" w:ascii="Arial" w:hAnsi="Arial" w:eastAsia="仿宋_GB2312" w:cs="Arial"/>
          <w:color w:val="auto"/>
          <w:sz w:val="28"/>
        </w:rPr>
        <w:t>城镇住宅用地、其他商业服务业用地、公共管理与公共服务用地</w:t>
      </w:r>
      <w:r>
        <w:rPr>
          <w:rFonts w:ascii="Arial" w:hAnsi="Arial" w:eastAsia="仿宋_GB2312" w:cs="Arial"/>
          <w:color w:val="auto"/>
          <w:sz w:val="28"/>
        </w:rPr>
        <w:t>，土地性质为出让国有建设用地使用权。估价对象所处区域内土地资产存在较大增值潜力。评估中剩余法的运用主要考虑此项原则。</w:t>
      </w:r>
    </w:p>
    <w:p w14:paraId="5995205E">
      <w:pPr>
        <w:adjustRightInd/>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（6）</w:t>
      </w:r>
      <w:r>
        <w:rPr>
          <w:rFonts w:ascii="Arial" w:hAnsi="Arial" w:eastAsia="仿宋_GB2312" w:cs="Arial"/>
          <w:b/>
          <w:bCs/>
          <w:color w:val="auto"/>
          <w:sz w:val="28"/>
        </w:rPr>
        <w:t>贡献原则</w:t>
      </w:r>
    </w:p>
    <w:p w14:paraId="3BB6983E">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不动产的总收益是由土地及建筑物等其他生产要素共同作用的结果。就土地部分的贡献而言，由于地价是在生产经营活动之前优先支付的，故土地的贡献具有优先性和特殊性，评估时应特别考虑。同时，土地的价格可根据土地对不动产收益的贡献大小确定。</w:t>
      </w:r>
    </w:p>
    <w:p w14:paraId="63C87FF0">
      <w:pPr>
        <w:adjustRightInd/>
        <w:spacing w:line="300" w:lineRule="auto"/>
        <w:ind w:firstLine="562" w:firstLineChars="200"/>
        <w:jc w:val="both"/>
        <w:rPr>
          <w:rFonts w:ascii="Arial" w:hAnsi="Arial" w:eastAsia="仿宋_GB2312" w:cs="Arial"/>
          <w:b/>
          <w:bCs/>
          <w:color w:val="auto"/>
          <w:sz w:val="28"/>
        </w:rPr>
      </w:pPr>
      <w:r>
        <w:rPr>
          <w:rFonts w:ascii="Arial" w:hAnsi="Arial" w:eastAsia="仿宋_GB2312" w:cs="Arial"/>
          <w:b/>
          <w:bCs/>
          <w:color w:val="auto"/>
          <w:sz w:val="28"/>
        </w:rPr>
        <w:t>2</w:t>
      </w:r>
      <w:r>
        <w:rPr>
          <w:rFonts w:hint="eastAsia" w:ascii="Arial" w:hAnsi="Arial" w:eastAsia="仿宋_GB2312" w:cs="Arial"/>
          <w:b/>
          <w:bCs/>
          <w:color w:val="auto"/>
          <w:sz w:val="28"/>
        </w:rPr>
        <w:t>.</w:t>
      </w:r>
      <w:r>
        <w:rPr>
          <w:rFonts w:ascii="Arial" w:hAnsi="Arial" w:eastAsia="仿宋_GB2312" w:cs="Arial"/>
          <w:b/>
          <w:bCs/>
          <w:color w:val="auto"/>
          <w:sz w:val="28"/>
        </w:rPr>
        <w:t>出让地价评估应遵循的原则</w:t>
      </w:r>
    </w:p>
    <w:p w14:paraId="61CF3CB9">
      <w:pPr>
        <w:adjustRightInd/>
        <w:spacing w:line="300" w:lineRule="auto"/>
        <w:ind w:firstLine="562" w:firstLineChars="200"/>
        <w:jc w:val="both"/>
        <w:rPr>
          <w:rFonts w:ascii="Arial" w:hAnsi="Arial" w:eastAsia="仿宋_GB2312" w:cs="Arial"/>
          <w:b/>
          <w:bCs/>
          <w:color w:val="auto"/>
          <w:sz w:val="28"/>
          <w:szCs w:val="28"/>
        </w:rPr>
      </w:pPr>
      <w:r>
        <w:rPr>
          <w:rFonts w:hint="eastAsia" w:ascii="Arial" w:hAnsi="Arial" w:eastAsia="仿宋_GB2312" w:cs="Arial"/>
          <w:b/>
          <w:bCs/>
          <w:color w:val="auto"/>
          <w:sz w:val="28"/>
        </w:rPr>
        <w:t>（1）</w:t>
      </w:r>
      <w:r>
        <w:rPr>
          <w:rFonts w:ascii="Arial" w:hAnsi="Arial" w:eastAsia="仿宋_GB2312" w:cs="Arial"/>
          <w:b/>
          <w:bCs/>
          <w:color w:val="auto"/>
          <w:sz w:val="28"/>
          <w:szCs w:val="28"/>
        </w:rPr>
        <w:t>价值主导原则</w:t>
      </w:r>
    </w:p>
    <w:p w14:paraId="11D595A6">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价值主导原则是指</w:t>
      </w:r>
      <w:r>
        <w:rPr>
          <w:rFonts w:ascii="Arial" w:hAnsi="Arial" w:eastAsia="仿宋_GB2312" w:cs="Arial"/>
          <w:color w:val="auto"/>
          <w:sz w:val="28"/>
        </w:rPr>
        <w:t>土地</w:t>
      </w:r>
      <w:r>
        <w:rPr>
          <w:rFonts w:ascii="Arial" w:hAnsi="Arial" w:eastAsia="仿宋_GB2312" w:cs="Arial"/>
          <w:color w:val="auto"/>
          <w:sz w:val="28"/>
          <w:szCs w:val="28"/>
        </w:rPr>
        <w:t>综合质量优劣是对土地价格产生影响的主要因素。</w:t>
      </w:r>
    </w:p>
    <w:p w14:paraId="73E52082">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城镇土地分等定级就是根据土地的经济和自然两个方面的属性及其在城镇社会经济中的地位和作用，综合评定土地质量，划分城镇土地等级的过程。</w:t>
      </w:r>
    </w:p>
    <w:p w14:paraId="10EE50EC">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估价对象位于</w:t>
      </w:r>
      <w:r>
        <w:rPr>
          <w:rFonts w:hint="eastAsia" w:ascii="Arial" w:hAnsi="Arial" w:eastAsia="仿宋_GB2312" w:cs="Arial"/>
          <w:color w:val="auto"/>
          <w:sz w:val="28"/>
        </w:rPr>
        <w:t>顺义区高丽营镇</w:t>
      </w:r>
      <w:r>
        <w:rPr>
          <w:rFonts w:ascii="Arial" w:hAnsi="Arial" w:eastAsia="仿宋_GB2312" w:cs="Arial"/>
          <w:color w:val="auto"/>
          <w:sz w:val="28"/>
          <w:szCs w:val="28"/>
        </w:rPr>
        <w:t>，属于</w:t>
      </w:r>
      <w:r>
        <w:rPr>
          <w:rFonts w:ascii="Arial" w:hAnsi="Arial" w:eastAsia="仿宋_GB2312" w:cs="Arial"/>
          <w:color w:val="auto"/>
          <w:sz w:val="28"/>
        </w:rPr>
        <w:t>住宅类</w:t>
      </w:r>
      <w:r>
        <w:rPr>
          <w:rFonts w:hint="eastAsia" w:ascii="Arial" w:hAnsi="Arial" w:eastAsia="仿宋_GB2312" w:cs="Arial"/>
          <w:color w:val="auto"/>
          <w:sz w:val="28"/>
        </w:rPr>
        <w:t>九级</w:t>
      </w:r>
      <w:r>
        <w:rPr>
          <w:rFonts w:ascii="Arial" w:hAnsi="Arial" w:eastAsia="仿宋_GB2312" w:cs="Arial"/>
          <w:color w:val="auto"/>
          <w:sz w:val="28"/>
        </w:rPr>
        <w:t>IX</w:t>
      </w:r>
      <w:r>
        <w:rPr>
          <w:rFonts w:hint="eastAsia" w:ascii="Arial" w:hAnsi="Arial" w:eastAsia="仿宋_GB2312" w:cs="Arial"/>
          <w:color w:val="auto"/>
          <w:sz w:val="28"/>
        </w:rPr>
        <w:t>－顺5区片</w:t>
      </w:r>
      <w:r>
        <w:rPr>
          <w:rFonts w:ascii="Arial" w:hAnsi="Arial" w:eastAsia="仿宋_GB2312" w:cs="Arial"/>
          <w:color w:val="auto"/>
          <w:sz w:val="28"/>
        </w:rPr>
        <w:t>、商</w:t>
      </w:r>
      <w:r>
        <w:rPr>
          <w:rFonts w:hint="eastAsia" w:ascii="Arial" w:hAnsi="Arial" w:eastAsia="仿宋_GB2312" w:cs="Arial"/>
          <w:color w:val="auto"/>
          <w:sz w:val="28"/>
        </w:rPr>
        <w:t>服</w:t>
      </w:r>
      <w:r>
        <w:rPr>
          <w:rFonts w:ascii="Arial" w:hAnsi="Arial" w:eastAsia="仿宋_GB2312" w:cs="Arial"/>
          <w:color w:val="auto"/>
          <w:sz w:val="28"/>
        </w:rPr>
        <w:t>类</w:t>
      </w:r>
      <w:r>
        <w:rPr>
          <w:rFonts w:hint="eastAsia" w:ascii="Arial" w:hAnsi="Arial" w:eastAsia="仿宋_GB2312" w:cs="Arial"/>
          <w:color w:val="auto"/>
          <w:sz w:val="28"/>
        </w:rPr>
        <w:t>九级</w:t>
      </w:r>
      <w:r>
        <w:rPr>
          <w:rFonts w:ascii="Arial" w:hAnsi="Arial" w:eastAsia="仿宋_GB2312" w:cs="Arial"/>
          <w:color w:val="auto"/>
          <w:sz w:val="28"/>
        </w:rPr>
        <w:t>IX</w:t>
      </w:r>
      <w:r>
        <w:rPr>
          <w:rFonts w:hint="eastAsia" w:ascii="Arial" w:hAnsi="Arial" w:eastAsia="仿宋_GB2312" w:cs="Arial"/>
          <w:color w:val="auto"/>
          <w:sz w:val="28"/>
        </w:rPr>
        <w:t>－顺5区片</w:t>
      </w:r>
      <w:r>
        <w:rPr>
          <w:rFonts w:ascii="Arial" w:hAnsi="Arial" w:eastAsia="仿宋_GB2312" w:cs="Arial"/>
          <w:color w:val="auto"/>
          <w:sz w:val="28"/>
        </w:rPr>
        <w:t>、</w:t>
      </w:r>
      <w:r>
        <w:rPr>
          <w:rFonts w:hint="eastAsia" w:ascii="Arial" w:hAnsi="Arial" w:eastAsia="仿宋_GB2312" w:cs="Arial"/>
          <w:color w:val="auto"/>
          <w:sz w:val="28"/>
        </w:rPr>
        <w:t>公共</w:t>
      </w:r>
      <w:r>
        <w:rPr>
          <w:rFonts w:ascii="Arial" w:hAnsi="Arial" w:eastAsia="仿宋_GB2312" w:cs="Arial"/>
          <w:color w:val="auto"/>
          <w:sz w:val="28"/>
        </w:rPr>
        <w:t>服务类</w:t>
      </w:r>
      <w:r>
        <w:rPr>
          <w:rFonts w:hint="eastAsia" w:ascii="Arial" w:hAnsi="Arial" w:eastAsia="仿宋_GB2312" w:cs="Arial"/>
          <w:color w:val="auto"/>
          <w:sz w:val="28"/>
        </w:rPr>
        <w:t>九级</w:t>
      </w:r>
      <w:r>
        <w:rPr>
          <w:rFonts w:ascii="Arial" w:hAnsi="Arial" w:eastAsia="仿宋_GB2312" w:cs="Arial"/>
          <w:color w:val="auto"/>
          <w:sz w:val="28"/>
        </w:rPr>
        <w:t>IX</w:t>
      </w:r>
      <w:r>
        <w:rPr>
          <w:rFonts w:hint="eastAsia" w:ascii="Arial" w:hAnsi="Arial" w:eastAsia="仿宋_GB2312" w:cs="Arial"/>
          <w:color w:val="auto"/>
          <w:sz w:val="28"/>
        </w:rPr>
        <w:t>－顺5区片</w:t>
      </w:r>
      <w:r>
        <w:rPr>
          <w:rFonts w:ascii="Arial" w:hAnsi="Arial" w:eastAsia="仿宋_GB2312" w:cs="Arial"/>
          <w:color w:val="auto"/>
          <w:sz w:val="28"/>
          <w:szCs w:val="28"/>
        </w:rPr>
        <w:t>，估价中土地估价专业评估师是根据现场查勘，并依据《城镇土地分等定级规程》对估价对象进行综合判断。</w:t>
      </w:r>
    </w:p>
    <w:p w14:paraId="1BA07A27">
      <w:pPr>
        <w:adjustRightInd/>
        <w:spacing w:line="300" w:lineRule="auto"/>
        <w:ind w:firstLine="562" w:firstLineChars="200"/>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（2）</w:t>
      </w:r>
      <w:r>
        <w:rPr>
          <w:rFonts w:ascii="Arial" w:hAnsi="Arial" w:eastAsia="仿宋_GB2312" w:cs="Arial"/>
          <w:b/>
          <w:bCs/>
          <w:color w:val="auto"/>
          <w:sz w:val="28"/>
          <w:szCs w:val="28"/>
        </w:rPr>
        <w:t xml:space="preserve">审慎原则 </w:t>
      </w:r>
    </w:p>
    <w:p w14:paraId="794838E7">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审慎原则是指在评估中确定相关参数和结果时，应分析并充分考虑土地市场运行状况、有关行业发展状况，以及存在的风险。在不确定性条件下做出估计和判断时要保持一定程度的谨慎，以便不高估也不低估估价对象的价值。</w:t>
      </w:r>
    </w:p>
    <w:p w14:paraId="67EDF7DF">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本次估价考虑估价对象的具体情况，结合估价目的，在估价过程中确定相关参数和结果时，仔细分析并充分考虑土地市场运行状况、有关行业发展状况、存在的风险，严格遵循着审慎原则。</w:t>
      </w:r>
    </w:p>
    <w:p w14:paraId="78199C90">
      <w:pPr>
        <w:adjustRightInd/>
        <w:spacing w:line="300" w:lineRule="auto"/>
        <w:ind w:firstLine="562" w:firstLineChars="200"/>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（3）</w:t>
      </w:r>
      <w:r>
        <w:rPr>
          <w:rFonts w:ascii="Arial" w:hAnsi="Arial" w:eastAsia="仿宋_GB2312" w:cs="Arial"/>
          <w:b/>
          <w:bCs/>
          <w:color w:val="auto"/>
          <w:sz w:val="28"/>
          <w:szCs w:val="28"/>
        </w:rPr>
        <w:t>公开市场原则</w:t>
      </w:r>
    </w:p>
    <w:p w14:paraId="7387776C">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公开市场原则是指评估结果在公平、公正、公开的土地市场上可实现。</w:t>
      </w:r>
    </w:p>
    <w:p w14:paraId="033C1503">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公开市场是指交易双方的交易的目的在于最大限度地追求经济利益，并掌握必要的市场信息，有较充裕的时间进行交易，交易对象具有必要的专业知识，交易条件公开并不具有排它性的交易市场。本次估价结果是估价对象所在区域内的正常市场价格（熟地价），即在公平、公正、公开的土地市场上可实现的价格。</w:t>
      </w:r>
    </w:p>
    <w:p w14:paraId="1317AB4D">
      <w:pPr>
        <w:adjustRightInd/>
        <w:spacing w:line="300" w:lineRule="auto"/>
        <w:ind w:firstLine="562" w:firstLineChars="200"/>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（4）其他原则</w:t>
      </w:r>
    </w:p>
    <w:p w14:paraId="1467E83C">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评估公共管理与公共服务用地价格</w:t>
      </w:r>
      <w:r>
        <w:rPr>
          <w:rFonts w:hint="eastAsia" w:ascii="Arial" w:hAnsi="Arial" w:eastAsia="仿宋_GB2312" w:cs="Arial"/>
          <w:color w:val="auto"/>
          <w:sz w:val="28"/>
          <w:szCs w:val="28"/>
        </w:rPr>
        <w:t>，</w:t>
      </w:r>
      <w:r>
        <w:rPr>
          <w:rFonts w:ascii="Arial" w:hAnsi="Arial" w:eastAsia="仿宋_GB2312" w:cs="Arial"/>
          <w:color w:val="auto"/>
          <w:sz w:val="28"/>
          <w:szCs w:val="28"/>
        </w:rPr>
        <w:t>首先应考虑发现并模拟市场价格原则</w:t>
      </w:r>
      <w:r>
        <w:rPr>
          <w:rFonts w:hint="eastAsia" w:ascii="Arial" w:hAnsi="Arial" w:eastAsia="仿宋_GB2312" w:cs="Arial"/>
          <w:color w:val="auto"/>
          <w:sz w:val="28"/>
          <w:szCs w:val="28"/>
        </w:rPr>
        <w:t>，</w:t>
      </w:r>
      <w:r>
        <w:rPr>
          <w:rFonts w:ascii="Arial" w:hAnsi="Arial" w:eastAsia="仿宋_GB2312" w:cs="Arial"/>
          <w:color w:val="auto"/>
          <w:sz w:val="28"/>
          <w:szCs w:val="28"/>
        </w:rPr>
        <w:t>评估该类用地的正常市场价格</w:t>
      </w:r>
      <w:r>
        <w:rPr>
          <w:rFonts w:hint="eastAsia" w:ascii="Arial" w:hAnsi="Arial" w:eastAsia="仿宋_GB2312" w:cs="Arial"/>
          <w:color w:val="auto"/>
          <w:sz w:val="28"/>
          <w:szCs w:val="28"/>
        </w:rPr>
        <w:t>。</w:t>
      </w:r>
      <w:r>
        <w:rPr>
          <w:rFonts w:ascii="Arial" w:hAnsi="Arial" w:eastAsia="仿宋_GB2312" w:cs="Arial"/>
          <w:color w:val="auto"/>
          <w:sz w:val="28"/>
          <w:szCs w:val="28"/>
        </w:rPr>
        <w:t>在特定市场情况下</w:t>
      </w:r>
      <w:r>
        <w:rPr>
          <w:rFonts w:hint="eastAsia" w:ascii="Arial" w:hAnsi="Arial" w:eastAsia="仿宋_GB2312" w:cs="Arial"/>
          <w:color w:val="auto"/>
          <w:sz w:val="28"/>
          <w:szCs w:val="28"/>
        </w:rPr>
        <w:t>，</w:t>
      </w:r>
      <w:r>
        <w:rPr>
          <w:rFonts w:ascii="Arial" w:hAnsi="Arial" w:eastAsia="仿宋_GB2312" w:cs="Arial"/>
          <w:color w:val="auto"/>
          <w:sz w:val="28"/>
          <w:szCs w:val="28"/>
        </w:rPr>
        <w:t>可根据国家及北京市的相关法规与政策</w:t>
      </w:r>
      <w:r>
        <w:rPr>
          <w:rFonts w:hint="eastAsia" w:ascii="Arial" w:hAnsi="Arial" w:eastAsia="仿宋_GB2312" w:cs="Arial"/>
          <w:color w:val="auto"/>
          <w:sz w:val="28"/>
          <w:szCs w:val="28"/>
        </w:rPr>
        <w:t>，</w:t>
      </w:r>
      <w:r>
        <w:rPr>
          <w:rFonts w:ascii="Arial" w:hAnsi="Arial" w:eastAsia="仿宋_GB2312" w:cs="Arial"/>
          <w:color w:val="auto"/>
          <w:sz w:val="28"/>
          <w:szCs w:val="28"/>
        </w:rPr>
        <w:t>对前述的正常市场价格进行修正</w:t>
      </w:r>
      <w:r>
        <w:rPr>
          <w:rFonts w:hint="eastAsia" w:ascii="Arial" w:hAnsi="Arial" w:eastAsia="仿宋_GB2312" w:cs="Arial"/>
          <w:color w:val="auto"/>
          <w:sz w:val="28"/>
          <w:szCs w:val="28"/>
        </w:rPr>
        <w:t>，</w:t>
      </w:r>
      <w:r>
        <w:rPr>
          <w:rFonts w:ascii="Arial" w:hAnsi="Arial" w:eastAsia="仿宋_GB2312" w:cs="Arial"/>
          <w:color w:val="auto"/>
          <w:sz w:val="28"/>
          <w:szCs w:val="28"/>
        </w:rPr>
        <w:t>测算基于特定正常约束下的参考性价格</w:t>
      </w:r>
      <w:r>
        <w:rPr>
          <w:rFonts w:hint="eastAsia" w:ascii="Arial" w:hAnsi="Arial" w:eastAsia="仿宋_GB2312" w:cs="Arial"/>
          <w:color w:val="auto"/>
          <w:sz w:val="28"/>
          <w:szCs w:val="28"/>
        </w:rPr>
        <w:t>，体现</w:t>
      </w:r>
      <w:r>
        <w:rPr>
          <w:rFonts w:ascii="Arial" w:hAnsi="Arial" w:eastAsia="仿宋_GB2312" w:cs="Arial"/>
          <w:color w:val="auto"/>
          <w:sz w:val="28"/>
          <w:szCs w:val="28"/>
        </w:rPr>
        <w:t>区分市场定价与政策优惠的原则</w:t>
      </w:r>
      <w:r>
        <w:rPr>
          <w:rFonts w:hint="eastAsia" w:ascii="Arial" w:hAnsi="Arial" w:eastAsia="仿宋_GB2312" w:cs="Arial"/>
          <w:color w:val="auto"/>
          <w:sz w:val="28"/>
          <w:szCs w:val="28"/>
        </w:rPr>
        <w:t>。同时，在评估时应考虑</w:t>
      </w:r>
      <w:r>
        <w:rPr>
          <w:rFonts w:ascii="Arial" w:hAnsi="Arial" w:eastAsia="仿宋_GB2312" w:cs="Arial"/>
          <w:color w:val="auto"/>
          <w:sz w:val="28"/>
          <w:szCs w:val="28"/>
        </w:rPr>
        <w:t>区位效用为主</w:t>
      </w:r>
      <w:r>
        <w:rPr>
          <w:rFonts w:hint="eastAsia" w:ascii="Arial" w:hAnsi="Arial" w:eastAsia="仿宋_GB2312" w:cs="Arial"/>
          <w:color w:val="auto"/>
          <w:sz w:val="28"/>
          <w:szCs w:val="28"/>
        </w:rPr>
        <w:t>、</w:t>
      </w:r>
      <w:r>
        <w:rPr>
          <w:rFonts w:ascii="Arial" w:hAnsi="Arial" w:eastAsia="仿宋_GB2312" w:cs="Arial"/>
          <w:color w:val="auto"/>
          <w:sz w:val="28"/>
          <w:szCs w:val="28"/>
        </w:rPr>
        <w:t>兼顾用途差异的原则</w:t>
      </w:r>
      <w:r>
        <w:rPr>
          <w:rFonts w:hint="eastAsia" w:ascii="Arial" w:hAnsi="Arial" w:eastAsia="仿宋_GB2312" w:cs="Arial"/>
          <w:color w:val="auto"/>
          <w:sz w:val="28"/>
          <w:szCs w:val="28"/>
        </w:rPr>
        <w:t>。</w:t>
      </w:r>
    </w:p>
    <w:p w14:paraId="0438433B">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估价对象土地用途为</w:t>
      </w:r>
      <w:r>
        <w:rPr>
          <w:rFonts w:hint="eastAsia" w:ascii="Arial" w:hAnsi="Arial" w:eastAsia="仿宋" w:cs="Arial"/>
          <w:color w:val="auto"/>
          <w:sz w:val="28"/>
          <w:szCs w:val="28"/>
        </w:rPr>
        <w:t>城镇住宅用地、其他商业服务业用地及公共管理与公共服务用地</w:t>
      </w:r>
      <w:r>
        <w:rPr>
          <w:rFonts w:hint="eastAsia" w:ascii="Arial" w:hAnsi="Arial" w:eastAsia="仿宋_GB2312" w:cs="Arial"/>
          <w:color w:val="auto"/>
          <w:sz w:val="28"/>
          <w:szCs w:val="28"/>
        </w:rPr>
        <w:t>，包含</w:t>
      </w:r>
      <w:r>
        <w:rPr>
          <w:rFonts w:ascii="Arial" w:hAnsi="Arial" w:eastAsia="仿宋_GB2312" w:cs="Arial"/>
          <w:color w:val="auto"/>
          <w:sz w:val="28"/>
          <w:szCs w:val="28"/>
        </w:rPr>
        <w:t>公共管理与公共服务用途</w:t>
      </w:r>
      <w:r>
        <w:rPr>
          <w:rFonts w:hint="eastAsia" w:ascii="Arial" w:hAnsi="Arial" w:eastAsia="仿宋_GB2312" w:cs="Arial"/>
          <w:color w:val="auto"/>
          <w:sz w:val="28"/>
          <w:szCs w:val="28"/>
        </w:rPr>
        <w:t>。本次评估选取周边</w:t>
      </w:r>
      <w:r>
        <w:rPr>
          <w:rFonts w:ascii="Arial" w:hAnsi="Arial" w:eastAsia="仿宋_GB2312" w:cs="Arial"/>
          <w:color w:val="auto"/>
          <w:sz w:val="28"/>
          <w:szCs w:val="28"/>
        </w:rPr>
        <w:t>4</w:t>
      </w:r>
      <w:r>
        <w:rPr>
          <w:rFonts w:hint="eastAsia" w:ascii="Arial" w:hAnsi="Arial" w:eastAsia="仿宋_GB2312" w:cs="Arial"/>
          <w:color w:val="auto"/>
          <w:sz w:val="28"/>
          <w:szCs w:val="28"/>
        </w:rPr>
        <w:t>公里范围内类似不动产的交易实例，考虑用途差异进行修正，对估价对象市场价格形成过程进行模拟，正是考虑了</w:t>
      </w:r>
      <w:r>
        <w:rPr>
          <w:rFonts w:ascii="Arial" w:hAnsi="Arial" w:eastAsia="仿宋_GB2312" w:cs="Arial"/>
          <w:color w:val="auto"/>
          <w:sz w:val="28"/>
          <w:szCs w:val="28"/>
        </w:rPr>
        <w:t>发现并模拟市场价格的原则</w:t>
      </w:r>
      <w:r>
        <w:rPr>
          <w:rFonts w:hint="eastAsia" w:ascii="Arial" w:hAnsi="Arial" w:eastAsia="仿宋_GB2312" w:cs="Arial"/>
          <w:color w:val="auto"/>
          <w:sz w:val="28"/>
          <w:szCs w:val="28"/>
        </w:rPr>
        <w:t>、</w:t>
      </w:r>
      <w:r>
        <w:rPr>
          <w:rFonts w:ascii="Arial" w:hAnsi="Arial" w:eastAsia="仿宋_GB2312" w:cs="Arial"/>
          <w:color w:val="auto"/>
          <w:sz w:val="28"/>
          <w:szCs w:val="28"/>
        </w:rPr>
        <w:t>区分市场定价与政策优惠的原则</w:t>
      </w:r>
      <w:r>
        <w:rPr>
          <w:rFonts w:hint="eastAsia" w:ascii="Arial" w:hAnsi="Arial" w:eastAsia="仿宋_GB2312" w:cs="Arial"/>
          <w:color w:val="auto"/>
          <w:sz w:val="28"/>
          <w:szCs w:val="28"/>
        </w:rPr>
        <w:t>和</w:t>
      </w:r>
      <w:r>
        <w:rPr>
          <w:rFonts w:ascii="Arial" w:hAnsi="Arial" w:eastAsia="仿宋_GB2312" w:cs="Arial"/>
          <w:color w:val="auto"/>
          <w:sz w:val="28"/>
          <w:szCs w:val="28"/>
        </w:rPr>
        <w:t>区位效用为主兼顾用途差异的原则</w:t>
      </w:r>
      <w:r>
        <w:rPr>
          <w:rFonts w:hint="eastAsia" w:ascii="Arial" w:hAnsi="Arial" w:eastAsia="仿宋_GB2312" w:cs="Arial"/>
          <w:color w:val="auto"/>
          <w:sz w:val="28"/>
          <w:szCs w:val="28"/>
        </w:rPr>
        <w:t>。</w:t>
      </w:r>
      <w:r>
        <w:rPr>
          <w:rFonts w:ascii="Arial" w:hAnsi="Arial" w:eastAsia="仿宋_GB2312" w:cs="Arial"/>
          <w:color w:val="auto"/>
          <w:sz w:val="28"/>
          <w:szCs w:val="28"/>
        </w:rPr>
        <w:t xml:space="preserve"> </w:t>
      </w:r>
    </w:p>
    <w:p w14:paraId="6C8A9640">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（二）估价方法</w:t>
      </w:r>
    </w:p>
    <w:p w14:paraId="467CAC42">
      <w:pPr>
        <w:adjustRightInd/>
        <w:spacing w:line="300" w:lineRule="auto"/>
        <w:ind w:firstLine="562" w:firstLineChars="200"/>
        <w:jc w:val="both"/>
        <w:rPr>
          <w:rFonts w:ascii="Arial" w:hAnsi="Arial" w:eastAsia="仿宋_GB2312" w:cs="Arial"/>
          <w:b/>
          <w:bCs/>
          <w:color w:val="auto"/>
          <w:sz w:val="28"/>
        </w:rPr>
      </w:pPr>
      <w:r>
        <w:rPr>
          <w:rFonts w:ascii="Arial" w:hAnsi="Arial" w:eastAsia="仿宋_GB2312" w:cs="Arial"/>
          <w:b/>
          <w:bCs/>
          <w:color w:val="auto"/>
          <w:sz w:val="28"/>
        </w:rPr>
        <w:t>1.方法选择</w:t>
      </w:r>
    </w:p>
    <w:p w14:paraId="1D495973">
      <w:pPr>
        <w:adjustRightInd/>
        <w:spacing w:line="300" w:lineRule="auto"/>
        <w:ind w:firstLine="560" w:firstLineChars="200"/>
        <w:rPr>
          <w:rFonts w:ascii="Arial" w:hAnsi="Arial" w:eastAsia="仿宋_GB2312" w:cs="Arial"/>
          <w:color w:val="auto"/>
          <w:sz w:val="28"/>
          <w:szCs w:val="28"/>
        </w:rPr>
      </w:pPr>
      <w:r>
        <w:rPr>
          <w:rFonts w:ascii="Arial" w:hAnsi="Arial" w:eastAsia="仿宋_GB2312" w:cs="Arial"/>
          <w:color w:val="auto"/>
          <w:sz w:val="28"/>
          <w:szCs w:val="28"/>
        </w:rPr>
        <w:drawing>
          <wp:anchor distT="0" distB="0" distL="114300" distR="114300" simplePos="0" relativeHeight="251659264" behindDoc="0" locked="0" layoutInCell="1" allowOverlap="0">
            <wp:simplePos x="0" y="0"/>
            <wp:positionH relativeFrom="page">
              <wp:posOffset>804545</wp:posOffset>
            </wp:positionH>
            <wp:positionV relativeFrom="page">
              <wp:posOffset>4762500</wp:posOffset>
            </wp:positionV>
            <wp:extent cx="24130" cy="12065"/>
            <wp:effectExtent l="0" t="0" r="0" b="0"/>
            <wp:wrapSquare wrapText="bothSides"/>
            <wp:docPr id="30" name="Picture 20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0430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24130" cy="12065"/>
                    </a:xfrm>
                    <a:prstGeom prst="rect">
                      <a:avLst/>
                    </a:prstGeom>
                    <a:noFill/>
                    <a:ln>
                      <a:noFill/>
                    </a:ln>
                  </pic:spPr>
                </pic:pic>
              </a:graphicData>
            </a:graphic>
          </wp:anchor>
        </w:drawing>
      </w:r>
      <w:r>
        <w:rPr>
          <w:rFonts w:ascii="Arial" w:hAnsi="Arial" w:eastAsia="仿宋_GB2312" w:cs="Arial"/>
          <w:color w:val="auto"/>
          <w:sz w:val="28"/>
          <w:szCs w:val="28"/>
        </w:rPr>
        <w:t>根据《城镇土地估价规程》</w:t>
      </w:r>
      <w:r>
        <w:rPr>
          <w:rFonts w:ascii="Arial" w:hAnsi="Arial" w:eastAsia="仿宋_GB2312" w:cs="Arial"/>
          <w:color w:val="auto"/>
          <w:sz w:val="28"/>
        </w:rPr>
        <w:t>（GB/T 18508</w:t>
      </w:r>
      <w:r>
        <w:rPr>
          <w:rFonts w:hint="eastAsia" w:ascii="Arial" w:hAnsi="Arial" w:eastAsia="仿宋_GB2312" w:cs="Arial"/>
          <w:color w:val="auto"/>
          <w:sz w:val="28"/>
        </w:rPr>
        <w:t>－</w:t>
      </w:r>
      <w:r>
        <w:rPr>
          <w:rFonts w:ascii="Arial" w:hAnsi="Arial" w:eastAsia="仿宋_GB2312" w:cs="Arial"/>
          <w:color w:val="auto"/>
          <w:sz w:val="28"/>
        </w:rPr>
        <w:t>2014）</w:t>
      </w:r>
      <w:r>
        <w:rPr>
          <w:rFonts w:ascii="Arial" w:hAnsi="Arial" w:eastAsia="仿宋_GB2312" w:cs="Arial"/>
          <w:color w:val="auto"/>
          <w:sz w:val="28"/>
          <w:szCs w:val="28"/>
        </w:rPr>
        <w:t>，通行的估价方法有市场比较法、收益还原法、剩余法、成本逼近法、公示地价系数修正法等。估价方法的选择应按照《城镇土地估价规程》</w:t>
      </w:r>
      <w:r>
        <w:rPr>
          <w:rFonts w:ascii="Arial" w:hAnsi="Arial" w:eastAsia="仿宋_GB2312" w:cs="Arial"/>
          <w:color w:val="auto"/>
          <w:sz w:val="28"/>
        </w:rPr>
        <w:t>（GB/T 18508</w:t>
      </w:r>
      <w:r>
        <w:rPr>
          <w:rFonts w:hint="eastAsia" w:ascii="Arial" w:hAnsi="Arial" w:eastAsia="仿宋_GB2312" w:cs="Arial"/>
          <w:color w:val="auto"/>
          <w:sz w:val="28"/>
        </w:rPr>
        <w:t>－</w:t>
      </w:r>
      <w:r>
        <w:rPr>
          <w:rFonts w:ascii="Arial" w:hAnsi="Arial" w:eastAsia="仿宋_GB2312" w:cs="Arial"/>
          <w:color w:val="auto"/>
          <w:sz w:val="28"/>
        </w:rPr>
        <w:t>2014）</w:t>
      </w:r>
      <w:r>
        <w:rPr>
          <w:rFonts w:ascii="Arial" w:hAnsi="Arial" w:eastAsia="仿宋_GB2312" w:cs="Arial"/>
          <w:color w:val="auto"/>
          <w:sz w:val="28"/>
          <w:szCs w:val="28"/>
        </w:rPr>
        <w:t>，根据区域内地产市场发育情况并结合估价对象的特点及估价目的等，选择适当的估价方法。在一项土地估价中所选方法不少于两种。</w:t>
      </w:r>
    </w:p>
    <w:p w14:paraId="01ECB767">
      <w:pPr>
        <w:adjustRightInd/>
        <w:spacing w:line="300" w:lineRule="auto"/>
        <w:ind w:firstLine="560" w:firstLineChars="200"/>
        <w:rPr>
          <w:rFonts w:ascii="Arial" w:hAnsi="Arial" w:eastAsia="仿宋_GB2312" w:cs="Arial"/>
          <w:color w:val="auto"/>
          <w:sz w:val="28"/>
          <w:szCs w:val="28"/>
        </w:rPr>
      </w:pPr>
      <w:r>
        <w:rPr>
          <w:rFonts w:ascii="Arial" w:hAnsi="Arial" w:eastAsia="仿宋_GB2312" w:cs="Arial"/>
          <w:color w:val="auto"/>
          <w:sz w:val="28"/>
          <w:szCs w:val="28"/>
        </w:rPr>
        <w:t>根据《</w:t>
      </w:r>
      <w:r>
        <w:rPr>
          <w:rFonts w:ascii="Arial" w:hAnsi="Arial" w:eastAsia="仿宋_GB2312" w:cs="Arial"/>
          <w:color w:val="auto"/>
          <w:sz w:val="28"/>
        </w:rPr>
        <w:t>国土资源部办公厅关于发布&lt;国有建设用地使用权出让地价评估技术规范&gt;的通知》（国土资厅发（2018）4号</w:t>
      </w:r>
      <w:r>
        <w:rPr>
          <w:rFonts w:hint="eastAsia" w:ascii="Arial" w:hAnsi="Arial" w:eastAsia="仿宋_GB2312" w:cs="Arial"/>
          <w:color w:val="auto"/>
          <w:sz w:val="28"/>
        </w:rPr>
        <w:t>）</w:t>
      </w:r>
      <w:r>
        <w:rPr>
          <w:rFonts w:ascii="Arial" w:hAnsi="Arial" w:eastAsia="仿宋_GB2312" w:cs="Arial"/>
          <w:color w:val="auto"/>
          <w:sz w:val="28"/>
          <w:szCs w:val="28"/>
        </w:rPr>
        <w:t>，出让地价评估，应至少采用两种评估方法，包括市场比较法、收益还原法、剩余法之一，以及成本逼近法或公示地价系数修正法。</w:t>
      </w:r>
    </w:p>
    <w:p w14:paraId="6F845D72">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rPr>
      </w:pPr>
      <w:r>
        <w:rPr>
          <w:rFonts w:ascii="Arial" w:hAnsi="Arial" w:eastAsia="仿宋_GB2312" w:cs="Arial"/>
          <w:color w:val="auto"/>
          <w:sz w:val="28"/>
          <w:szCs w:val="28"/>
        </w:rPr>
        <w:t>根据估价对象土地的本身的实际状况及项目特点，结合目前北京市房地产市场的发展状况与现行政策，本次评估采用基准地价系数修正法和剩余法进行评估。这是出于以下考虑：一是估价对象位于北京市国有建设用地使用权基准地价覆盖区域；二是估价对象为规划新建项目，符合剩余法的应用条件及适用范围。</w:t>
      </w:r>
    </w:p>
    <w:p w14:paraId="2972BFAC">
      <w:pPr>
        <w:pStyle w:val="57"/>
        <w:autoSpaceDE w:val="0"/>
        <w:autoSpaceDN w:val="0"/>
        <w:adjustRightInd/>
        <w:spacing w:line="300" w:lineRule="auto"/>
        <w:ind w:firstLine="562" w:firstLineChars="200"/>
        <w:jc w:val="both"/>
        <w:textAlignment w:val="bottom"/>
        <w:rPr>
          <w:rFonts w:ascii="Arial" w:hAnsi="Arial" w:eastAsia="仿宋_GB2312" w:cs="Arial"/>
          <w:b/>
          <w:bCs/>
          <w:color w:val="auto"/>
          <w:sz w:val="28"/>
        </w:rPr>
      </w:pPr>
      <w:r>
        <w:rPr>
          <w:rFonts w:ascii="Arial" w:hAnsi="Arial" w:eastAsia="仿宋_GB2312" w:cs="Arial"/>
          <w:b/>
          <w:bCs/>
          <w:color w:val="auto"/>
          <w:sz w:val="28"/>
        </w:rPr>
        <w:t>2.本次评估所采用的估价方法简述如下：</w:t>
      </w:r>
    </w:p>
    <w:p w14:paraId="616F9E5A">
      <w:pPr>
        <w:adjustRightInd/>
        <w:spacing w:line="300" w:lineRule="auto"/>
        <w:ind w:firstLine="562" w:firstLineChars="200"/>
        <w:rPr>
          <w:rFonts w:ascii="Arial" w:hAnsi="Arial" w:eastAsia="仿宋_GB2312" w:cs="Arial"/>
          <w:b/>
          <w:bCs/>
          <w:color w:val="auto"/>
          <w:sz w:val="28"/>
          <w:szCs w:val="28"/>
        </w:rPr>
      </w:pPr>
      <w:r>
        <w:rPr>
          <w:rFonts w:ascii="Arial" w:hAnsi="Arial" w:eastAsia="仿宋_GB2312" w:cs="Arial"/>
          <w:b/>
          <w:bCs/>
          <w:color w:val="auto"/>
          <w:sz w:val="28"/>
          <w:szCs w:val="28"/>
        </w:rPr>
        <w:t>（1）基准地价系数修正法</w:t>
      </w:r>
    </w:p>
    <w:p w14:paraId="6F8A54AE">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基准地价系数修正法，是我国土地估价的方法之一。它是利用基准地价和基准地价修正系数表等成果，按照替代原则，就待估宗地的区域条件和个别条件等与其所处区域的平均条件相比较，并对照修正系数表选取相应的修正系数对基准地价进行修正，进而求取待估宗地价格的方法。</w:t>
      </w:r>
    </w:p>
    <w:p w14:paraId="06BF96FF">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基准地价系数修正法的基本原理是替代原理，即正常的市场条件下，具有相似土地条件和使用价值的土地，在交易双方具有同等市场信息的基础上，应当具有相似的价格。基准地价，是某一级别或均质地域内分用途的土地使用权平均价格，该级别或均质区域内该类用地的其他宗地价格在基准地价上下波动。基准地价相对应的土地条件，是土地级别或均质地域内该类用途土地的一般条件。因此，通过待估宗地条件与级别或区域内同类用地一般条件的比较，并根据二者在区域条件、个别条件、使用年期和估价期日等方面的差异大小，对照因素修正系数表选取适宜的修正系数，对基准地价进行修正，即可得到待估宗地地价。</w:t>
      </w:r>
    </w:p>
    <w:p w14:paraId="104ABE65">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本次评估估价目的为出让方通过集体决策确定土地出让底价提供参考依据，其估价目的与基准地价系数修正法适用范围完全吻合。估价对象属于北京市基准地价覆盖范围内，可直观获取基准地价系数修正法所需评估参数。《自然资源部办公厅关于加强城镇建设用地基准地价管理的通知》（自然资办发（2024）45号）规定：基准地价原则上每3年全面更新一次，土地级别因素、土地质量空间分布或不动产市场价格水平发生重大变化时，基准地价应当及时更新。凡现有基准地价已3年以上未及时更新或地价水平已发生重大变化的，要立即部署启动基准地价更新工作。超过6年未全面更新的，宗地评估不得使用基准地价系数修正法，集体决策确定土地供应底价时不能作为依据使用。市、县自然资源主管部门应及时向社会公布恭准地价更新成果。公布内容要包括各用途各级别或均质区域的范围界线价格标准、修正体系等。</w:t>
      </w:r>
    </w:p>
    <w:p w14:paraId="2AD2DB94">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根据《北京市出让国有建设用地使用权基准地价更新成果》（2022年3月14日印发），基准期日为2021年1月1日，本次估价的估价期日为2026年3月26日，估价期日距基准期日超过3年未超过6年，估价对象处于基准地价覆盖范围内，所处土地级别明确，基准地价体系完整，方法科学，数据严谨，近年来北京市地价监测工作较完善，可通过选用符合市场变动的地价监测数据对基准地价进行调整，故基准地价更新成果虽未及时更新，但经测算的基准地价系数修正法评估结果仍有可信性，故可利用基准地价修正体系对估价对象各项用地条件进行分析，选用基准地价系数修正法测算地价。</w:t>
      </w:r>
    </w:p>
    <w:p w14:paraId="1F969D25">
      <w:pPr>
        <w:adjustRightInd/>
        <w:spacing w:line="300" w:lineRule="auto"/>
        <w:ind w:firstLine="562" w:firstLineChars="200"/>
        <w:rPr>
          <w:rFonts w:ascii="Arial" w:hAnsi="Arial" w:eastAsia="仿宋_GB2312" w:cs="Arial"/>
          <w:b/>
          <w:bCs/>
          <w:color w:val="auto"/>
          <w:sz w:val="28"/>
          <w:szCs w:val="28"/>
        </w:rPr>
      </w:pPr>
      <w:r>
        <w:rPr>
          <w:rFonts w:ascii="Arial" w:hAnsi="Arial" w:eastAsia="仿宋_GB2312" w:cs="Arial"/>
          <w:b/>
          <w:bCs/>
          <w:color w:val="auto"/>
          <w:sz w:val="28"/>
          <w:szCs w:val="28"/>
        </w:rPr>
        <w:t>（2）剩余法</w:t>
      </w:r>
    </w:p>
    <w:p w14:paraId="5FC857B4">
      <w:pPr>
        <w:adjustRightInd/>
        <w:spacing w:line="300" w:lineRule="auto"/>
        <w:ind w:firstLine="560" w:firstLineChars="200"/>
        <w:rPr>
          <w:rFonts w:ascii="Arial" w:hAnsi="Arial" w:eastAsia="仿宋_GB2312" w:cs="Arial"/>
          <w:color w:val="auto"/>
          <w:sz w:val="28"/>
        </w:rPr>
      </w:pPr>
      <w:r>
        <w:rPr>
          <w:rFonts w:ascii="Arial" w:hAnsi="Arial" w:eastAsia="仿宋_GB2312" w:cs="Arial"/>
          <w:color w:val="auto"/>
          <w:sz w:val="28"/>
        </w:rPr>
        <w:t>剩余法是指在预计开发完成后的开发价值的基础上，扣除预计正常的开发成本和利润，以价格余额来计算土地价格的方法。剩余法允许运用于以下情形：</w:t>
      </w:r>
      <w:r>
        <w:rPr>
          <w:rFonts w:hint="eastAsia" w:ascii="宋体" w:hAnsi="宋体" w:cs="宋体"/>
          <w:color w:val="auto"/>
          <w:sz w:val="28"/>
        </w:rPr>
        <w:t>①</w:t>
      </w:r>
      <w:r>
        <w:rPr>
          <w:rFonts w:ascii="Arial" w:hAnsi="Arial" w:eastAsia="仿宋_GB2312" w:cs="Arial"/>
          <w:color w:val="auto"/>
          <w:sz w:val="28"/>
        </w:rPr>
        <w:t>待开发房地产或待拆迁改造后再开发房地产的土地估价；</w:t>
      </w:r>
      <w:r>
        <w:rPr>
          <w:rFonts w:hint="eastAsia" w:ascii="宋体" w:hAnsi="宋体" w:cs="宋体"/>
          <w:color w:val="auto"/>
          <w:sz w:val="28"/>
        </w:rPr>
        <w:t>②</w:t>
      </w:r>
      <w:r>
        <w:rPr>
          <w:rFonts w:ascii="Arial" w:hAnsi="Arial" w:eastAsia="仿宋_GB2312" w:cs="Arial"/>
          <w:color w:val="auto"/>
          <w:sz w:val="28"/>
        </w:rPr>
        <w:t>仅将土地开发整理成可供直接利用的土地估价；</w:t>
      </w:r>
      <w:r>
        <w:rPr>
          <w:rFonts w:hint="eastAsia" w:ascii="宋体" w:hAnsi="宋体" w:cs="宋体"/>
          <w:color w:val="auto"/>
          <w:sz w:val="28"/>
        </w:rPr>
        <w:t>③</w:t>
      </w:r>
      <w:r>
        <w:rPr>
          <w:rFonts w:ascii="Arial" w:hAnsi="Arial" w:eastAsia="仿宋_GB2312" w:cs="Arial"/>
          <w:color w:val="auto"/>
          <w:sz w:val="28"/>
        </w:rPr>
        <w:t>现有房地产中地价的单独评估。</w:t>
      </w:r>
    </w:p>
    <w:p w14:paraId="5B761324">
      <w:pPr>
        <w:adjustRightInd/>
        <w:spacing w:line="300" w:lineRule="auto"/>
        <w:ind w:firstLine="560" w:firstLineChars="200"/>
        <w:rPr>
          <w:rFonts w:ascii="Arial" w:hAnsi="Arial" w:eastAsia="仿宋_GB2312" w:cs="Arial"/>
          <w:color w:val="auto"/>
          <w:sz w:val="28"/>
        </w:rPr>
      </w:pPr>
      <w:r>
        <w:rPr>
          <w:rFonts w:ascii="Arial" w:hAnsi="Arial" w:eastAsia="仿宋_GB2312" w:cs="Arial"/>
          <w:color w:val="auto"/>
          <w:sz w:val="28"/>
        </w:rPr>
        <w:t>1）评估待开发土地价格的公式为：</w:t>
      </w:r>
    </w:p>
    <w:p w14:paraId="1A7DABD4">
      <w:pPr>
        <w:adjustRightInd/>
        <w:spacing w:line="300" w:lineRule="auto"/>
        <w:ind w:firstLine="560" w:firstLineChars="200"/>
        <w:rPr>
          <w:rFonts w:ascii="Arial" w:hAnsi="Arial" w:eastAsia="仿宋_GB2312" w:cs="Arial"/>
          <w:color w:val="auto"/>
          <w:sz w:val="28"/>
        </w:rPr>
      </w:pPr>
      <w:r>
        <w:rPr>
          <w:rFonts w:ascii="Arial" w:hAnsi="Arial" w:eastAsia="仿宋_GB2312" w:cs="Arial"/>
          <w:color w:val="auto"/>
          <w:sz w:val="28"/>
        </w:rPr>
        <w:t>待估宗地价格</w:t>
      </w:r>
      <w:r>
        <w:rPr>
          <w:rFonts w:hint="eastAsia" w:ascii="Arial" w:hAnsi="Arial" w:eastAsia="仿宋_GB2312" w:cs="Arial"/>
          <w:color w:val="auto"/>
          <w:sz w:val="28"/>
        </w:rPr>
        <w:t>＝</w:t>
      </w:r>
      <w:r>
        <w:rPr>
          <w:rFonts w:ascii="Arial" w:hAnsi="Arial" w:eastAsia="仿宋_GB2312" w:cs="Arial"/>
          <w:color w:val="auto"/>
          <w:sz w:val="28"/>
        </w:rPr>
        <w:t>不动产总价</w:t>
      </w:r>
      <w:r>
        <w:rPr>
          <w:rFonts w:hint="eastAsia" w:ascii="Arial" w:hAnsi="Arial" w:eastAsia="仿宋_GB2312" w:cs="Arial"/>
          <w:color w:val="auto"/>
          <w:sz w:val="28"/>
        </w:rPr>
        <w:t>－</w:t>
      </w:r>
      <w:r>
        <w:rPr>
          <w:rFonts w:ascii="Arial" w:hAnsi="Arial" w:eastAsia="仿宋_GB2312" w:cs="Arial"/>
          <w:color w:val="auto"/>
          <w:sz w:val="28"/>
        </w:rPr>
        <w:t>开发项目整体的开发成本</w:t>
      </w:r>
      <w:r>
        <w:rPr>
          <w:rFonts w:hint="eastAsia" w:ascii="Arial" w:hAnsi="Arial" w:eastAsia="仿宋_GB2312" w:cs="Arial"/>
          <w:color w:val="auto"/>
          <w:sz w:val="28"/>
        </w:rPr>
        <w:t>－</w:t>
      </w:r>
      <w:r>
        <w:rPr>
          <w:rFonts w:ascii="Arial" w:hAnsi="Arial" w:eastAsia="仿宋_GB2312" w:cs="Arial"/>
          <w:color w:val="auto"/>
          <w:sz w:val="28"/>
        </w:rPr>
        <w:t xml:space="preserve">客观开发利润    </w:t>
      </w:r>
    </w:p>
    <w:p w14:paraId="2CD997D6">
      <w:pPr>
        <w:adjustRightInd/>
        <w:spacing w:line="300" w:lineRule="auto"/>
        <w:ind w:firstLine="560" w:firstLineChars="200"/>
        <w:rPr>
          <w:rFonts w:ascii="Arial" w:hAnsi="Arial" w:eastAsia="仿宋_GB2312" w:cs="Arial"/>
          <w:color w:val="auto"/>
          <w:sz w:val="28"/>
        </w:rPr>
      </w:pPr>
      <w:r>
        <w:rPr>
          <w:rFonts w:ascii="Arial" w:hAnsi="Arial" w:eastAsia="仿宋_GB2312" w:cs="Arial"/>
          <w:color w:val="auto"/>
          <w:sz w:val="28"/>
        </w:rPr>
        <w:t>2）评估现有不动产中所含土地价格的公式为：</w:t>
      </w:r>
    </w:p>
    <w:p w14:paraId="315C3E43">
      <w:pPr>
        <w:adjustRightInd/>
        <w:spacing w:line="300" w:lineRule="auto"/>
        <w:ind w:firstLine="560" w:firstLineChars="200"/>
        <w:rPr>
          <w:rFonts w:ascii="Arial" w:hAnsi="Arial" w:eastAsia="仿宋_GB2312" w:cs="Arial"/>
          <w:color w:val="auto"/>
          <w:sz w:val="28"/>
        </w:rPr>
      </w:pPr>
      <w:r>
        <w:rPr>
          <w:rFonts w:ascii="Arial" w:hAnsi="Arial" w:eastAsia="仿宋_GB2312" w:cs="Arial"/>
          <w:color w:val="auto"/>
          <w:sz w:val="28"/>
        </w:rPr>
        <w:t>待估宗地价格</w:t>
      </w:r>
      <w:r>
        <w:rPr>
          <w:rFonts w:hint="eastAsia" w:ascii="Arial" w:hAnsi="Arial" w:eastAsia="仿宋_GB2312" w:cs="Arial"/>
          <w:color w:val="auto"/>
          <w:sz w:val="28"/>
        </w:rPr>
        <w:t>＝</w:t>
      </w:r>
      <w:r>
        <w:rPr>
          <w:rFonts w:ascii="Arial" w:hAnsi="Arial" w:eastAsia="仿宋_GB2312" w:cs="Arial"/>
          <w:color w:val="auto"/>
          <w:sz w:val="28"/>
        </w:rPr>
        <w:t>不动产交易价格</w:t>
      </w:r>
      <w:r>
        <w:rPr>
          <w:rFonts w:hint="eastAsia" w:ascii="Arial" w:hAnsi="Arial" w:eastAsia="仿宋_GB2312" w:cs="Arial"/>
          <w:color w:val="auto"/>
          <w:sz w:val="28"/>
        </w:rPr>
        <w:t>－</w:t>
      </w:r>
      <w:r>
        <w:rPr>
          <w:rFonts w:ascii="Arial" w:hAnsi="Arial" w:eastAsia="仿宋_GB2312" w:cs="Arial"/>
          <w:color w:val="auto"/>
          <w:sz w:val="28"/>
        </w:rPr>
        <w:t>房屋现值</w:t>
      </w:r>
      <w:r>
        <w:rPr>
          <w:rFonts w:hint="eastAsia" w:ascii="Arial" w:hAnsi="Arial" w:eastAsia="仿宋_GB2312" w:cs="Arial"/>
          <w:color w:val="auto"/>
          <w:sz w:val="28"/>
        </w:rPr>
        <w:t>－</w:t>
      </w:r>
      <w:r>
        <w:rPr>
          <w:rFonts w:ascii="Arial" w:hAnsi="Arial" w:eastAsia="仿宋_GB2312" w:cs="Arial"/>
          <w:color w:val="auto"/>
          <w:sz w:val="28"/>
        </w:rPr>
        <w:t>交易税费</w:t>
      </w:r>
    </w:p>
    <w:p w14:paraId="5932540E">
      <w:pPr>
        <w:adjustRightInd/>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估价对象属于待开发的项目，规划指标明确，符合城市规划要求，与周边环境相协调，估价对象作为R2二类居住用地</w:t>
      </w:r>
      <w:r>
        <w:rPr>
          <w:rFonts w:hint="eastAsia" w:ascii="Arial" w:hAnsi="Arial" w:eastAsia="仿宋_GB2312" w:cs="Arial"/>
          <w:color w:val="auto"/>
          <w:sz w:val="28"/>
          <w:lang w:eastAsia="zh-CN"/>
        </w:rPr>
        <w:t>、</w:t>
      </w:r>
      <w:r>
        <w:rPr>
          <w:rFonts w:hint="eastAsia" w:ascii="Arial" w:hAnsi="Arial" w:eastAsia="仿宋_GB2312" w:cs="Arial"/>
          <w:color w:val="auto"/>
          <w:sz w:val="28"/>
          <w:lang w:val="en-US" w:eastAsia="zh-CN"/>
        </w:rPr>
        <w:t>A334托幼用地</w:t>
      </w:r>
      <w:r>
        <w:rPr>
          <w:rFonts w:hint="eastAsia" w:ascii="Arial" w:hAnsi="Arial" w:eastAsia="仿宋_GB2312" w:cs="Arial"/>
          <w:color w:val="auto"/>
          <w:sz w:val="28"/>
        </w:rPr>
        <w:t>属于该宗地土地的最佳利用</w:t>
      </w:r>
      <w:r>
        <w:rPr>
          <w:rFonts w:hint="eastAsia" w:ascii="Arial" w:hAnsi="Arial" w:eastAsia="仿宋_GB2312" w:cs="Arial"/>
          <w:color w:val="auto"/>
          <w:sz w:val="28"/>
          <w:lang w:eastAsia="zh-CN"/>
        </w:rPr>
        <w:t>（</w:t>
      </w:r>
      <w:r>
        <w:rPr>
          <w:rFonts w:hint="eastAsia" w:ascii="Arial" w:hAnsi="Arial" w:eastAsia="仿宋_GB2312" w:cs="Arial"/>
          <w:color w:val="auto"/>
          <w:sz w:val="28"/>
        </w:rPr>
        <w:t>最有效利用</w:t>
      </w:r>
      <w:r>
        <w:rPr>
          <w:rFonts w:hint="eastAsia" w:ascii="Arial" w:hAnsi="Arial" w:eastAsia="仿宋_GB2312" w:cs="Arial"/>
          <w:color w:val="auto"/>
          <w:sz w:val="28"/>
          <w:lang w:eastAsia="zh-CN"/>
        </w:rPr>
        <w:t>）</w:t>
      </w:r>
      <w:r>
        <w:rPr>
          <w:rFonts w:hint="eastAsia" w:ascii="Arial" w:hAnsi="Arial" w:eastAsia="仿宋_GB2312" w:cs="Arial"/>
          <w:color w:val="auto"/>
          <w:sz w:val="28"/>
        </w:rPr>
        <w:t>，且本次评估所需的数据资料和参数都是可以获取和确定的，符合剩余法使用范围。估价人员根据估价目的、遵循估价原则、按照估价工作程序、利用科学的估价方法，在认真分析现有资料的基础上，经过周密的测算，并结合估价经验详细考虑了影响土地价格的各项因素确定的估价结果是科学可信的。故本次评估选用剩余法</w:t>
      </w:r>
      <w:r>
        <w:rPr>
          <w:rFonts w:hint="eastAsia" w:ascii="Arial" w:hAnsi="Arial" w:eastAsia="仿宋_GB2312" w:cs="Arial"/>
          <w:color w:val="auto"/>
          <w:sz w:val="28"/>
          <w:lang w:eastAsia="zh-CN"/>
        </w:rPr>
        <w:t>（</w:t>
      </w:r>
      <w:r>
        <w:rPr>
          <w:rFonts w:hint="eastAsia" w:ascii="Arial" w:hAnsi="Arial" w:eastAsia="仿宋_GB2312" w:cs="Arial"/>
          <w:color w:val="auto"/>
          <w:sz w:val="28"/>
          <w:lang w:val="en-US" w:eastAsia="zh-CN"/>
        </w:rPr>
        <w:t>待开发）</w:t>
      </w:r>
      <w:r>
        <w:rPr>
          <w:rFonts w:hint="eastAsia" w:ascii="Arial" w:hAnsi="Arial" w:eastAsia="仿宋_GB2312" w:cs="Arial"/>
          <w:color w:val="auto"/>
          <w:sz w:val="28"/>
        </w:rPr>
        <w:t>。</w:t>
      </w:r>
    </w:p>
    <w:p w14:paraId="2915BD4D">
      <w:pPr>
        <w:adjustRightInd/>
        <w:spacing w:line="300" w:lineRule="auto"/>
        <w:ind w:firstLine="560" w:firstLineChars="200"/>
        <w:rPr>
          <w:rFonts w:ascii="Arial" w:hAnsi="Arial" w:eastAsia="仿宋_GB2312" w:cs="Arial"/>
          <w:color w:val="auto"/>
          <w:sz w:val="28"/>
        </w:rPr>
      </w:pPr>
      <w:r>
        <w:rPr>
          <w:rFonts w:ascii="Arial" w:hAnsi="Arial" w:eastAsia="仿宋_GB2312" w:cs="Arial"/>
          <w:color w:val="auto"/>
          <w:sz w:val="28"/>
        </w:rPr>
        <w:t>3.未选取的估价方法以及理由如下：</w:t>
      </w:r>
    </w:p>
    <w:p w14:paraId="298E48F0">
      <w:pPr>
        <w:adjustRightInd/>
        <w:spacing w:line="300" w:lineRule="auto"/>
        <w:ind w:firstLine="560" w:firstLineChars="200"/>
        <w:rPr>
          <w:rFonts w:ascii="Arial" w:hAnsi="Arial" w:eastAsia="仿宋_GB2312" w:cs="Arial"/>
          <w:color w:val="auto"/>
          <w:sz w:val="28"/>
        </w:rPr>
      </w:pPr>
      <w:r>
        <w:rPr>
          <w:rFonts w:ascii="Arial" w:hAnsi="Arial" w:eastAsia="仿宋_GB2312" w:cs="Arial"/>
          <w:color w:val="auto"/>
          <w:sz w:val="28"/>
        </w:rPr>
        <w:t>市场比较法是以在估价期日近期有过交易的类似土地成交价格为基础，选取适当的因素，并根据因素条件对成交价格进行相应修正以求取估价对象房地产客观价格或价值的一种估价方法。但由于每个项目配建的情况不一致，难以统一价格基础，故不选用市场比较法。</w:t>
      </w:r>
    </w:p>
    <w:p w14:paraId="309E9476">
      <w:pPr>
        <w:adjustRightInd/>
        <w:spacing w:line="300" w:lineRule="auto"/>
        <w:ind w:firstLine="560" w:firstLineChars="200"/>
        <w:rPr>
          <w:rFonts w:ascii="Arial" w:hAnsi="Arial" w:eastAsia="仿宋_GB2312" w:cs="Arial"/>
          <w:color w:val="auto"/>
          <w:sz w:val="28"/>
        </w:rPr>
      </w:pPr>
      <w:r>
        <w:rPr>
          <w:rFonts w:ascii="Arial" w:hAnsi="Arial" w:eastAsia="仿宋_GB2312" w:cs="Arial"/>
          <w:color w:val="auto"/>
          <w:sz w:val="28"/>
        </w:rPr>
        <w:t>由于估价对象现状为空地，难以找到土地租赁案例，故未采用收益还原法。</w:t>
      </w:r>
    </w:p>
    <w:p w14:paraId="57D3D712">
      <w:pPr>
        <w:adjustRightInd/>
        <w:spacing w:line="300" w:lineRule="auto"/>
        <w:ind w:firstLine="560" w:firstLineChars="200"/>
        <w:rPr>
          <w:rFonts w:ascii="Arial" w:hAnsi="Arial" w:eastAsia="仿宋_GB2312" w:cs="Arial"/>
          <w:color w:val="auto"/>
          <w:sz w:val="28"/>
        </w:rPr>
      </w:pPr>
      <w:r>
        <w:rPr>
          <w:rFonts w:ascii="Arial" w:hAnsi="Arial" w:eastAsia="仿宋_GB2312" w:cs="Arial"/>
          <w:color w:val="auto"/>
          <w:sz w:val="28"/>
        </w:rPr>
        <w:t>成本逼近法是将构成土地成本的各项费用累加来测算土地的价值，估价对象成本资料不易获得，各项目成本内涵不一致，且土地增值额的确定没有权威依据，故未采用成本逼近法。</w:t>
      </w:r>
    </w:p>
    <w:p w14:paraId="2B552B15">
      <w:pPr>
        <w:rPr>
          <w:rFonts w:ascii="Arial" w:hAnsi="Arial" w:eastAsia="仿宋_GB2312" w:cs="Arial"/>
          <w:color w:val="auto"/>
          <w:sz w:val="28"/>
        </w:rPr>
      </w:pPr>
      <w:r>
        <w:rPr>
          <w:rFonts w:ascii="Arial" w:hAnsi="Arial" w:eastAsia="仿宋_GB2312" w:cs="Arial"/>
          <w:color w:val="auto"/>
          <w:sz w:val="28"/>
        </w:rPr>
        <w:br w:type="page"/>
      </w:r>
    </w:p>
    <w:p w14:paraId="2303D6DB">
      <w:pPr>
        <w:spacing w:line="300" w:lineRule="auto"/>
        <w:ind w:left="260" w:leftChars="50" w:hanging="140" w:hangingChars="50"/>
        <w:rPr>
          <w:rFonts w:ascii="Arial" w:hAnsi="Arial" w:eastAsia="仿宋_GB2312" w:cs="Arial"/>
          <w:color w:val="auto"/>
          <w:sz w:val="28"/>
        </w:rPr>
      </w:pPr>
      <w:r>
        <w:rPr>
          <w:rFonts w:ascii="Arial" w:hAnsi="Arial" w:eastAsia="仿宋_GB2312" w:cs="Arial"/>
          <w:color w:val="auto"/>
          <w:sz w:val="28"/>
        </w:rPr>
        <w:t>（三）估价结果</w:t>
      </w:r>
    </w:p>
    <w:p w14:paraId="2AEBC0B1">
      <w:pPr>
        <w:spacing w:line="300" w:lineRule="auto"/>
        <w:ind w:firstLine="562" w:firstLineChars="200"/>
        <w:rPr>
          <w:rFonts w:ascii="Arial" w:hAnsi="Arial" w:eastAsia="仿宋_GB2312" w:cs="Arial"/>
          <w:color w:val="auto"/>
          <w:kern w:val="2"/>
          <w:sz w:val="28"/>
        </w:rPr>
      </w:pPr>
      <w:r>
        <w:rPr>
          <w:rFonts w:ascii="黑体" w:hAnsi="黑体" w:eastAsia="黑体" w:cs="Arial"/>
          <w:b/>
          <w:color w:val="auto"/>
          <w:sz w:val="28"/>
        </w:rPr>
        <w:t>估价对象位于北京市基准地价住宅</w:t>
      </w:r>
      <w:r>
        <w:rPr>
          <w:rFonts w:hint="eastAsia" w:ascii="黑体" w:hAnsi="黑体" w:eastAsia="黑体" w:cs="Arial"/>
          <w:b/>
          <w:color w:val="auto"/>
          <w:sz w:val="28"/>
        </w:rPr>
        <w:t>九级（IX－顺5）</w:t>
      </w:r>
      <w:r>
        <w:rPr>
          <w:rFonts w:ascii="黑体" w:hAnsi="黑体" w:eastAsia="黑体" w:cs="Arial"/>
          <w:b/>
          <w:color w:val="auto"/>
          <w:sz w:val="28"/>
        </w:rPr>
        <w:t>、</w:t>
      </w:r>
      <w:r>
        <w:rPr>
          <w:rFonts w:hint="eastAsia" w:ascii="黑体" w:hAnsi="黑体" w:eastAsia="黑体" w:cs="Arial"/>
          <w:b/>
          <w:color w:val="auto"/>
          <w:sz w:val="28"/>
        </w:rPr>
        <w:t>其他商业服务业用地九级（IX－顺5）</w:t>
      </w:r>
      <w:r>
        <w:rPr>
          <w:rFonts w:ascii="黑体" w:hAnsi="黑体" w:eastAsia="黑体" w:cs="Arial"/>
          <w:b/>
          <w:color w:val="auto"/>
          <w:sz w:val="28"/>
        </w:rPr>
        <w:t>、</w:t>
      </w:r>
      <w:r>
        <w:rPr>
          <w:rFonts w:hint="eastAsia" w:ascii="黑体" w:hAnsi="黑体" w:eastAsia="黑体" w:cs="Arial"/>
          <w:b/>
          <w:color w:val="auto"/>
          <w:sz w:val="28"/>
        </w:rPr>
        <w:t>公共服务九级（IX－顺5）</w:t>
      </w:r>
      <w:r>
        <w:rPr>
          <w:rFonts w:ascii="黑体" w:hAnsi="黑体" w:eastAsia="黑体" w:cs="Arial"/>
          <w:b/>
          <w:color w:val="auto"/>
          <w:sz w:val="28"/>
        </w:rPr>
        <w:t>范围内</w:t>
      </w:r>
      <w:r>
        <w:rPr>
          <w:rFonts w:ascii="Arial" w:hAnsi="Arial" w:eastAsia="黑体" w:cs="Arial"/>
          <w:b/>
          <w:color w:val="auto"/>
          <w:sz w:val="28"/>
        </w:rPr>
        <w:t>。</w:t>
      </w:r>
      <w:r>
        <w:rPr>
          <w:rFonts w:ascii="Arial" w:hAnsi="Arial" w:eastAsia="仿宋_GB2312" w:cs="Arial"/>
          <w:color w:val="auto"/>
          <w:kern w:val="2"/>
          <w:sz w:val="28"/>
        </w:rPr>
        <w:t>土地估价专业评估师根据估价的目的，</w:t>
      </w:r>
      <w:r>
        <w:rPr>
          <w:rFonts w:ascii="Arial" w:hAnsi="Arial" w:eastAsia="仿宋_GB2312" w:cs="Arial"/>
          <w:color w:val="auto"/>
          <w:sz w:val="28"/>
        </w:rPr>
        <w:t>按照</w:t>
      </w:r>
      <w:r>
        <w:rPr>
          <w:rFonts w:ascii="Arial" w:hAnsi="Arial" w:eastAsia="仿宋_GB2312" w:cs="Arial"/>
          <w:color w:val="auto"/>
          <w:kern w:val="2"/>
          <w:sz w:val="28"/>
        </w:rPr>
        <w:t>估价的程序，采用科学的估价方法（基准地价系数修正法和剩余法），在认真分析现有资料的基础上，通过仔细测算</w:t>
      </w:r>
      <w:r>
        <w:rPr>
          <w:rFonts w:hint="eastAsia" w:ascii="Arial" w:hAnsi="Arial" w:eastAsia="仿宋_GB2312" w:cs="Arial"/>
          <w:color w:val="auto"/>
          <w:kern w:val="2"/>
          <w:sz w:val="28"/>
        </w:rPr>
        <w:t>，</w:t>
      </w:r>
      <w:r>
        <w:rPr>
          <w:rFonts w:ascii="Arial" w:hAnsi="Arial" w:eastAsia="仿宋_GB2312" w:cs="Arial"/>
          <w:color w:val="auto"/>
          <w:kern w:val="2"/>
          <w:sz w:val="28"/>
        </w:rPr>
        <w:t>得出估价对象各用途</w:t>
      </w:r>
      <w:r>
        <w:rPr>
          <w:rFonts w:hint="eastAsia" w:ascii="Arial" w:hAnsi="Arial" w:eastAsia="仿宋_GB2312" w:cs="Arial"/>
          <w:color w:val="auto"/>
          <w:kern w:val="2"/>
          <w:sz w:val="28"/>
        </w:rPr>
        <w:t>楼面地价，</w:t>
      </w:r>
      <w:r>
        <w:rPr>
          <w:rFonts w:ascii="Arial" w:hAnsi="Arial" w:eastAsia="仿宋_GB2312" w:cs="Arial"/>
          <w:color w:val="auto"/>
          <w:kern w:val="2"/>
          <w:sz w:val="28"/>
        </w:rPr>
        <w:t>如下表所示</w:t>
      </w:r>
      <w:r>
        <w:rPr>
          <w:rFonts w:hint="eastAsia" w:ascii="Arial" w:hAnsi="Arial" w:eastAsia="仿宋_GB2312" w:cs="Arial"/>
          <w:color w:val="auto"/>
          <w:kern w:val="2"/>
          <w:sz w:val="28"/>
        </w:rPr>
        <w:t>：</w:t>
      </w:r>
    </w:p>
    <w:tbl>
      <w:tblPr>
        <w:tblStyle w:val="34"/>
        <w:tblW w:w="9072" w:type="dxa"/>
        <w:jc w:val="center"/>
        <w:tblLayout w:type="fixed"/>
        <w:tblCellMar>
          <w:top w:w="57" w:type="dxa"/>
          <w:left w:w="28" w:type="dxa"/>
          <w:bottom w:w="57" w:type="dxa"/>
          <w:right w:w="28" w:type="dxa"/>
        </w:tblCellMar>
      </w:tblPr>
      <w:tblGrid>
        <w:gridCol w:w="1867"/>
        <w:gridCol w:w="3237"/>
        <w:gridCol w:w="3968"/>
      </w:tblGrid>
      <w:tr w14:paraId="20331943">
        <w:tblPrEx>
          <w:tblCellMar>
            <w:top w:w="57" w:type="dxa"/>
            <w:left w:w="28" w:type="dxa"/>
            <w:bottom w:w="57" w:type="dxa"/>
            <w:right w:w="28" w:type="dxa"/>
          </w:tblCellMar>
        </w:tblPrEx>
        <w:trPr>
          <w:cantSplit/>
          <w:jc w:val="center"/>
        </w:trPr>
        <w:tc>
          <w:tcPr>
            <w:tcW w:w="1867" w:type="dxa"/>
            <w:tcBorders>
              <w:top w:val="single" w:color="auto" w:sz="4" w:space="0"/>
              <w:left w:val="single" w:color="auto" w:sz="4" w:space="0"/>
              <w:bottom w:val="single" w:color="auto" w:sz="4" w:space="0"/>
              <w:right w:val="single" w:color="auto" w:sz="4" w:space="0"/>
            </w:tcBorders>
            <w:shd w:val="clear" w:color="auto" w:fill="auto"/>
            <w:vAlign w:val="center"/>
          </w:tcPr>
          <w:p w14:paraId="6BBC0CDC">
            <w:pPr>
              <w:widowControl/>
              <w:adjustRightInd/>
              <w:spacing w:line="240" w:lineRule="atLeast"/>
              <w:jc w:val="center"/>
              <w:textAlignment w:val="auto"/>
              <w:rPr>
                <w:rFonts w:ascii="Arial" w:hAnsi="Arial" w:cs="Arial"/>
                <w:b/>
                <w:bCs/>
                <w:color w:val="auto"/>
                <w:szCs w:val="24"/>
              </w:rPr>
            </w:pPr>
            <w:r>
              <w:rPr>
                <w:rFonts w:ascii="Arial" w:hAnsi="Arial" w:eastAsia="仿宋_GB2312" w:cs="Arial"/>
                <w:b/>
                <w:bCs/>
                <w:color w:val="auto"/>
                <w:szCs w:val="24"/>
              </w:rPr>
              <w:t>用途</w:t>
            </w:r>
          </w:p>
        </w:tc>
        <w:tc>
          <w:tcPr>
            <w:tcW w:w="3237" w:type="dxa"/>
            <w:tcBorders>
              <w:top w:val="single" w:color="auto" w:sz="4" w:space="0"/>
              <w:left w:val="nil"/>
              <w:bottom w:val="single" w:color="auto" w:sz="4" w:space="0"/>
              <w:right w:val="single" w:color="auto" w:sz="4" w:space="0"/>
            </w:tcBorders>
            <w:shd w:val="clear" w:color="auto" w:fill="auto"/>
            <w:vAlign w:val="center"/>
          </w:tcPr>
          <w:p w14:paraId="379E82F6">
            <w:pPr>
              <w:widowControl/>
              <w:adjustRightInd/>
              <w:spacing w:line="240" w:lineRule="atLeast"/>
              <w:jc w:val="center"/>
              <w:textAlignment w:val="auto"/>
              <w:rPr>
                <w:rFonts w:ascii="Arial" w:hAnsi="Arial" w:cs="Arial"/>
                <w:b/>
                <w:bCs/>
                <w:color w:val="auto"/>
                <w:szCs w:val="24"/>
              </w:rPr>
            </w:pPr>
            <w:r>
              <w:rPr>
                <w:rFonts w:ascii="Arial" w:hAnsi="Arial" w:eastAsia="仿宋_GB2312" w:cs="Arial"/>
                <w:b/>
                <w:bCs/>
                <w:color w:val="auto"/>
                <w:szCs w:val="24"/>
              </w:rPr>
              <w:t>方法</w:t>
            </w:r>
          </w:p>
        </w:tc>
        <w:tc>
          <w:tcPr>
            <w:tcW w:w="3968" w:type="dxa"/>
            <w:tcBorders>
              <w:top w:val="single" w:color="auto" w:sz="4" w:space="0"/>
              <w:left w:val="nil"/>
              <w:bottom w:val="single" w:color="auto" w:sz="4" w:space="0"/>
              <w:right w:val="single" w:color="auto" w:sz="4" w:space="0"/>
            </w:tcBorders>
            <w:shd w:val="clear" w:color="auto" w:fill="auto"/>
            <w:vAlign w:val="center"/>
          </w:tcPr>
          <w:p w14:paraId="12E92D19">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熟地价</w:t>
            </w:r>
            <w:r>
              <w:rPr>
                <w:rFonts w:hint="eastAsia" w:ascii="Arial" w:hAnsi="Arial" w:eastAsia="仿宋_GB2312" w:cs="Arial"/>
                <w:b/>
                <w:bCs/>
                <w:color w:val="auto"/>
                <w:szCs w:val="24"/>
              </w:rPr>
              <w:t>楼面地价</w:t>
            </w:r>
          </w:p>
          <w:p w14:paraId="5303DFB3">
            <w:pPr>
              <w:widowControl/>
              <w:adjustRightInd/>
              <w:spacing w:line="240" w:lineRule="atLeast"/>
              <w:jc w:val="center"/>
              <w:textAlignment w:val="auto"/>
              <w:rPr>
                <w:rFonts w:ascii="Arial" w:hAnsi="Arial" w:cs="Arial"/>
                <w:b/>
                <w:bCs/>
                <w:color w:val="auto"/>
                <w:szCs w:val="24"/>
              </w:rPr>
            </w:pPr>
            <w:r>
              <w:rPr>
                <w:rFonts w:ascii="Arial" w:hAnsi="Arial" w:eastAsia="仿宋_GB2312" w:cs="Arial"/>
                <w:b/>
                <w:bCs/>
                <w:color w:val="auto"/>
                <w:szCs w:val="24"/>
              </w:rPr>
              <w:t>（元/平方米）</w:t>
            </w:r>
          </w:p>
        </w:tc>
      </w:tr>
      <w:tr w14:paraId="0E6A9645">
        <w:tblPrEx>
          <w:tblCellMar>
            <w:top w:w="57" w:type="dxa"/>
            <w:left w:w="28" w:type="dxa"/>
            <w:bottom w:w="57" w:type="dxa"/>
            <w:right w:w="28" w:type="dxa"/>
          </w:tblCellMar>
        </w:tblPrEx>
        <w:trPr>
          <w:cantSplit/>
          <w:jc w:val="center"/>
        </w:trPr>
        <w:tc>
          <w:tcPr>
            <w:tcW w:w="1867" w:type="dxa"/>
            <w:vMerge w:val="restart"/>
            <w:tcBorders>
              <w:top w:val="nil"/>
              <w:left w:val="single" w:color="auto" w:sz="4" w:space="0"/>
              <w:bottom w:val="single" w:color="auto" w:sz="4" w:space="0"/>
              <w:right w:val="single" w:color="auto" w:sz="4" w:space="0"/>
            </w:tcBorders>
            <w:shd w:val="clear" w:color="auto" w:fill="auto"/>
            <w:vAlign w:val="center"/>
          </w:tcPr>
          <w:p w14:paraId="39ADA465">
            <w:pPr>
              <w:widowControl/>
              <w:adjustRightInd/>
              <w:spacing w:line="240" w:lineRule="atLeast"/>
              <w:jc w:val="center"/>
              <w:textAlignment w:val="auto"/>
              <w:rPr>
                <w:rFonts w:ascii="Arial" w:hAnsi="Arial" w:cs="Arial"/>
                <w:color w:val="auto"/>
                <w:szCs w:val="24"/>
              </w:rPr>
            </w:pPr>
            <w:r>
              <w:rPr>
                <w:rFonts w:hint="eastAsia" w:ascii="Arial" w:hAnsi="Arial" w:eastAsia="仿宋_GB2312" w:cs="Arial"/>
                <w:color w:val="auto"/>
                <w:szCs w:val="24"/>
              </w:rPr>
              <w:t>城镇住宅用地</w:t>
            </w:r>
          </w:p>
        </w:tc>
        <w:tc>
          <w:tcPr>
            <w:tcW w:w="3237" w:type="dxa"/>
            <w:tcBorders>
              <w:top w:val="nil"/>
              <w:left w:val="nil"/>
              <w:bottom w:val="single" w:color="auto" w:sz="4" w:space="0"/>
              <w:right w:val="single" w:color="auto" w:sz="4" w:space="0"/>
            </w:tcBorders>
            <w:shd w:val="clear" w:color="auto" w:fill="auto"/>
            <w:vAlign w:val="center"/>
          </w:tcPr>
          <w:p w14:paraId="7894C039">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3968" w:type="dxa"/>
            <w:tcBorders>
              <w:top w:val="nil"/>
              <w:left w:val="nil"/>
              <w:bottom w:val="single" w:color="auto" w:sz="4" w:space="0"/>
              <w:right w:val="single" w:color="auto" w:sz="4" w:space="0"/>
            </w:tcBorders>
            <w:shd w:val="clear" w:color="auto" w:fill="auto"/>
            <w:vAlign w:val="center"/>
          </w:tcPr>
          <w:p w14:paraId="41083367">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6689</w:t>
            </w:r>
          </w:p>
        </w:tc>
      </w:tr>
      <w:tr w14:paraId="0827AB2B">
        <w:tblPrEx>
          <w:tblCellMar>
            <w:top w:w="57" w:type="dxa"/>
            <w:left w:w="28" w:type="dxa"/>
            <w:bottom w:w="57" w:type="dxa"/>
            <w:right w:w="28" w:type="dxa"/>
          </w:tblCellMar>
        </w:tblPrEx>
        <w:trPr>
          <w:cantSplit/>
          <w:jc w:val="center"/>
        </w:trPr>
        <w:tc>
          <w:tcPr>
            <w:tcW w:w="1867" w:type="dxa"/>
            <w:vMerge w:val="continue"/>
            <w:tcBorders>
              <w:top w:val="nil"/>
              <w:left w:val="single" w:color="auto" w:sz="4" w:space="0"/>
              <w:bottom w:val="single" w:color="auto" w:sz="4" w:space="0"/>
              <w:right w:val="single" w:color="auto" w:sz="4" w:space="0"/>
            </w:tcBorders>
            <w:vAlign w:val="center"/>
          </w:tcPr>
          <w:p w14:paraId="38677B29">
            <w:pPr>
              <w:widowControl/>
              <w:adjustRightInd/>
              <w:spacing w:line="240" w:lineRule="atLeast"/>
              <w:textAlignment w:val="auto"/>
              <w:rPr>
                <w:rFonts w:ascii="Arial" w:hAnsi="Arial" w:cs="Arial"/>
                <w:color w:val="auto"/>
                <w:szCs w:val="24"/>
              </w:rPr>
            </w:pPr>
          </w:p>
        </w:tc>
        <w:tc>
          <w:tcPr>
            <w:tcW w:w="3237" w:type="dxa"/>
            <w:tcBorders>
              <w:top w:val="nil"/>
              <w:left w:val="nil"/>
              <w:bottom w:val="single" w:color="auto" w:sz="4" w:space="0"/>
              <w:right w:val="single" w:color="auto" w:sz="4" w:space="0"/>
            </w:tcBorders>
            <w:shd w:val="clear" w:color="auto" w:fill="auto"/>
            <w:vAlign w:val="center"/>
          </w:tcPr>
          <w:p w14:paraId="05FC97F1">
            <w:pPr>
              <w:widowControl/>
              <w:adjustRightInd/>
              <w:spacing w:line="240" w:lineRule="atLeast"/>
              <w:jc w:val="center"/>
              <w:textAlignment w:val="auto"/>
              <w:rPr>
                <w:rFonts w:ascii="Arial" w:hAnsi="Arial" w:cs="Arial"/>
                <w:color w:val="auto"/>
                <w:szCs w:val="24"/>
              </w:rPr>
            </w:pPr>
            <w:r>
              <w:rPr>
                <w:rFonts w:ascii="Arial" w:hAnsi="Arial" w:eastAsia="仿宋_GB2312" w:cs="Arial"/>
                <w:color w:val="auto"/>
                <w:szCs w:val="24"/>
              </w:rPr>
              <w:t>剩余法</w:t>
            </w:r>
          </w:p>
        </w:tc>
        <w:tc>
          <w:tcPr>
            <w:tcW w:w="3968" w:type="dxa"/>
            <w:tcBorders>
              <w:top w:val="nil"/>
              <w:left w:val="nil"/>
              <w:bottom w:val="single" w:color="auto" w:sz="4" w:space="0"/>
              <w:right w:val="single" w:color="auto" w:sz="4" w:space="0"/>
            </w:tcBorders>
            <w:shd w:val="clear" w:color="auto" w:fill="auto"/>
            <w:vAlign w:val="center"/>
          </w:tcPr>
          <w:p w14:paraId="115CFD6F">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12765</w:t>
            </w:r>
          </w:p>
        </w:tc>
      </w:tr>
      <w:tr w14:paraId="391945D0">
        <w:tblPrEx>
          <w:tblCellMar>
            <w:top w:w="57" w:type="dxa"/>
            <w:left w:w="28" w:type="dxa"/>
            <w:bottom w:w="57" w:type="dxa"/>
            <w:right w:w="28" w:type="dxa"/>
          </w:tblCellMar>
        </w:tblPrEx>
        <w:trPr>
          <w:cantSplit/>
          <w:jc w:val="center"/>
        </w:trPr>
        <w:tc>
          <w:tcPr>
            <w:tcW w:w="1867" w:type="dxa"/>
            <w:vMerge w:val="restart"/>
            <w:tcBorders>
              <w:top w:val="nil"/>
              <w:left w:val="single" w:color="auto" w:sz="4" w:space="0"/>
              <w:bottom w:val="single" w:color="auto" w:sz="4" w:space="0"/>
              <w:right w:val="single" w:color="auto" w:sz="4" w:space="0"/>
            </w:tcBorders>
            <w:shd w:val="clear" w:color="auto" w:fill="auto"/>
            <w:vAlign w:val="center"/>
          </w:tcPr>
          <w:p w14:paraId="0980C59A">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商业服务业用地</w:t>
            </w:r>
          </w:p>
        </w:tc>
        <w:tc>
          <w:tcPr>
            <w:tcW w:w="3237" w:type="dxa"/>
            <w:tcBorders>
              <w:top w:val="nil"/>
              <w:left w:val="nil"/>
              <w:bottom w:val="single" w:color="auto" w:sz="4" w:space="0"/>
              <w:right w:val="single" w:color="auto" w:sz="4" w:space="0"/>
            </w:tcBorders>
            <w:shd w:val="clear" w:color="auto" w:fill="auto"/>
            <w:vAlign w:val="center"/>
          </w:tcPr>
          <w:p w14:paraId="4D0E8100">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3968" w:type="dxa"/>
            <w:tcBorders>
              <w:top w:val="nil"/>
              <w:left w:val="nil"/>
              <w:bottom w:val="single" w:color="auto" w:sz="4" w:space="0"/>
              <w:right w:val="single" w:color="auto" w:sz="4" w:space="0"/>
            </w:tcBorders>
            <w:shd w:val="clear" w:color="auto" w:fill="auto"/>
            <w:vAlign w:val="center"/>
          </w:tcPr>
          <w:p w14:paraId="517DA631">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4762</w:t>
            </w:r>
          </w:p>
        </w:tc>
      </w:tr>
      <w:tr w14:paraId="70E0567B">
        <w:tblPrEx>
          <w:tblCellMar>
            <w:top w:w="57" w:type="dxa"/>
            <w:left w:w="28" w:type="dxa"/>
            <w:bottom w:w="57" w:type="dxa"/>
            <w:right w:w="28" w:type="dxa"/>
          </w:tblCellMar>
        </w:tblPrEx>
        <w:trPr>
          <w:cantSplit/>
          <w:jc w:val="center"/>
        </w:trPr>
        <w:tc>
          <w:tcPr>
            <w:tcW w:w="1867" w:type="dxa"/>
            <w:vMerge w:val="continue"/>
            <w:tcBorders>
              <w:top w:val="nil"/>
              <w:left w:val="single" w:color="auto" w:sz="4" w:space="0"/>
              <w:bottom w:val="single" w:color="auto" w:sz="4" w:space="0"/>
              <w:right w:val="single" w:color="auto" w:sz="4" w:space="0"/>
            </w:tcBorders>
            <w:vAlign w:val="center"/>
          </w:tcPr>
          <w:p w14:paraId="6212B917">
            <w:pPr>
              <w:widowControl/>
              <w:adjustRightInd/>
              <w:spacing w:line="240" w:lineRule="atLeast"/>
              <w:jc w:val="center"/>
              <w:textAlignment w:val="auto"/>
              <w:rPr>
                <w:rFonts w:ascii="Arial" w:hAnsi="Arial" w:eastAsia="仿宋_GB2312" w:cs="Arial"/>
                <w:color w:val="auto"/>
                <w:szCs w:val="24"/>
              </w:rPr>
            </w:pPr>
          </w:p>
        </w:tc>
        <w:tc>
          <w:tcPr>
            <w:tcW w:w="3237" w:type="dxa"/>
            <w:tcBorders>
              <w:top w:val="nil"/>
              <w:left w:val="nil"/>
              <w:bottom w:val="single" w:color="auto" w:sz="4" w:space="0"/>
              <w:right w:val="single" w:color="auto" w:sz="4" w:space="0"/>
            </w:tcBorders>
            <w:shd w:val="clear" w:color="auto" w:fill="auto"/>
            <w:vAlign w:val="center"/>
          </w:tcPr>
          <w:p w14:paraId="31A98082">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剩余法</w:t>
            </w:r>
          </w:p>
        </w:tc>
        <w:tc>
          <w:tcPr>
            <w:tcW w:w="3968" w:type="dxa"/>
            <w:tcBorders>
              <w:top w:val="nil"/>
              <w:left w:val="nil"/>
              <w:bottom w:val="single" w:color="auto" w:sz="4" w:space="0"/>
              <w:right w:val="single" w:color="auto" w:sz="4" w:space="0"/>
            </w:tcBorders>
            <w:shd w:val="clear" w:color="auto" w:fill="auto"/>
            <w:vAlign w:val="center"/>
          </w:tcPr>
          <w:p w14:paraId="1E8DA1C9">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5524</w:t>
            </w:r>
          </w:p>
        </w:tc>
      </w:tr>
      <w:tr w14:paraId="32DE4573">
        <w:tblPrEx>
          <w:tblCellMar>
            <w:top w:w="57" w:type="dxa"/>
            <w:left w:w="28" w:type="dxa"/>
            <w:bottom w:w="57" w:type="dxa"/>
            <w:right w:w="28" w:type="dxa"/>
          </w:tblCellMar>
        </w:tblPrEx>
        <w:trPr>
          <w:cantSplit/>
          <w:jc w:val="center"/>
        </w:trPr>
        <w:tc>
          <w:tcPr>
            <w:tcW w:w="1867" w:type="dxa"/>
            <w:vMerge w:val="restart"/>
            <w:tcBorders>
              <w:top w:val="single" w:color="auto" w:sz="4" w:space="0"/>
              <w:left w:val="single" w:color="auto" w:sz="4" w:space="0"/>
              <w:right w:val="single" w:color="auto" w:sz="4" w:space="0"/>
            </w:tcBorders>
            <w:vAlign w:val="center"/>
          </w:tcPr>
          <w:p w14:paraId="547F8DC7">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公共管理与公共服务用地</w:t>
            </w:r>
          </w:p>
        </w:tc>
        <w:tc>
          <w:tcPr>
            <w:tcW w:w="3237" w:type="dxa"/>
            <w:tcBorders>
              <w:top w:val="single" w:color="auto" w:sz="4" w:space="0"/>
              <w:left w:val="nil"/>
              <w:bottom w:val="single" w:color="auto" w:sz="4" w:space="0"/>
              <w:right w:val="single" w:color="auto" w:sz="4" w:space="0"/>
            </w:tcBorders>
            <w:shd w:val="clear" w:color="auto" w:fill="auto"/>
            <w:vAlign w:val="center"/>
          </w:tcPr>
          <w:p w14:paraId="34A65ADB">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3968" w:type="dxa"/>
            <w:tcBorders>
              <w:top w:val="single" w:color="auto" w:sz="4" w:space="0"/>
              <w:left w:val="nil"/>
              <w:bottom w:val="single" w:color="auto" w:sz="4" w:space="0"/>
              <w:right w:val="single" w:color="auto" w:sz="4" w:space="0"/>
            </w:tcBorders>
            <w:shd w:val="clear" w:color="auto" w:fill="auto"/>
            <w:vAlign w:val="center"/>
          </w:tcPr>
          <w:p w14:paraId="094F2F38">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3197</w:t>
            </w:r>
          </w:p>
        </w:tc>
      </w:tr>
      <w:tr w14:paraId="06DAE13F">
        <w:tblPrEx>
          <w:tblCellMar>
            <w:top w:w="57" w:type="dxa"/>
            <w:left w:w="28" w:type="dxa"/>
            <w:bottom w:w="57" w:type="dxa"/>
            <w:right w:w="28" w:type="dxa"/>
          </w:tblCellMar>
        </w:tblPrEx>
        <w:trPr>
          <w:cantSplit/>
          <w:jc w:val="center"/>
        </w:trPr>
        <w:tc>
          <w:tcPr>
            <w:tcW w:w="1867" w:type="dxa"/>
            <w:vMerge w:val="continue"/>
            <w:tcBorders>
              <w:left w:val="single" w:color="auto" w:sz="4" w:space="0"/>
              <w:bottom w:val="single" w:color="auto" w:sz="4" w:space="0"/>
              <w:right w:val="single" w:color="auto" w:sz="4" w:space="0"/>
            </w:tcBorders>
            <w:vAlign w:val="center"/>
          </w:tcPr>
          <w:p w14:paraId="1B4A62CA">
            <w:pPr>
              <w:spacing w:line="240" w:lineRule="atLeast"/>
              <w:jc w:val="center"/>
              <w:rPr>
                <w:rFonts w:ascii="Arial" w:hAnsi="Arial" w:eastAsia="仿宋_GB2312" w:cs="Arial"/>
                <w:color w:val="auto"/>
                <w:szCs w:val="24"/>
              </w:rPr>
            </w:pPr>
          </w:p>
        </w:tc>
        <w:tc>
          <w:tcPr>
            <w:tcW w:w="3237" w:type="dxa"/>
            <w:tcBorders>
              <w:top w:val="single" w:color="auto" w:sz="4" w:space="0"/>
              <w:left w:val="nil"/>
              <w:bottom w:val="single" w:color="auto" w:sz="4" w:space="0"/>
              <w:right w:val="single" w:color="auto" w:sz="4" w:space="0"/>
            </w:tcBorders>
            <w:shd w:val="clear" w:color="auto" w:fill="auto"/>
            <w:vAlign w:val="center"/>
          </w:tcPr>
          <w:p w14:paraId="15B4AB59">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剩余法</w:t>
            </w:r>
          </w:p>
        </w:tc>
        <w:tc>
          <w:tcPr>
            <w:tcW w:w="3968" w:type="dxa"/>
            <w:tcBorders>
              <w:top w:val="single" w:color="auto" w:sz="4" w:space="0"/>
              <w:left w:val="nil"/>
              <w:bottom w:val="single" w:color="auto" w:sz="4" w:space="0"/>
              <w:right w:val="single" w:color="auto" w:sz="4" w:space="0"/>
            </w:tcBorders>
            <w:shd w:val="clear" w:color="auto" w:fill="auto"/>
            <w:vAlign w:val="center"/>
          </w:tcPr>
          <w:p w14:paraId="5F34C888">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3301</w:t>
            </w:r>
          </w:p>
        </w:tc>
      </w:tr>
    </w:tbl>
    <w:p w14:paraId="7F5AE385">
      <w:pPr>
        <w:spacing w:before="120" w:beforeLines="50" w:line="300" w:lineRule="auto"/>
        <w:ind w:firstLine="556"/>
        <w:jc w:val="both"/>
        <w:rPr>
          <w:rFonts w:ascii="Arial" w:hAnsi="Arial" w:eastAsia="仿宋_GB2312" w:cs="Arial"/>
          <w:color w:val="auto"/>
          <w:sz w:val="28"/>
          <w:szCs w:val="28"/>
        </w:rPr>
      </w:pPr>
      <w:r>
        <w:rPr>
          <w:rFonts w:ascii="Arial" w:hAnsi="Arial" w:eastAsia="仿宋_GB2312" w:cs="Arial"/>
          <w:color w:val="auto"/>
          <w:sz w:val="28"/>
          <w:szCs w:val="28"/>
        </w:rPr>
        <w:t>根据区域土地市场情况，并结合估价对象的具体特点及估价目的等，此次评估采用了基准地价系数修正法和剩余法确定估价对象</w:t>
      </w:r>
      <w:r>
        <w:rPr>
          <w:rFonts w:hint="eastAsia" w:ascii="Arial" w:hAnsi="Arial" w:eastAsia="仿宋" w:cs="Arial"/>
          <w:color w:val="auto"/>
          <w:sz w:val="28"/>
          <w:szCs w:val="28"/>
        </w:rPr>
        <w:t>城镇住宅用地、其他商业服务业用地、公共管理与公共服务用地</w:t>
      </w:r>
      <w:r>
        <w:rPr>
          <w:rFonts w:ascii="Arial" w:hAnsi="Arial" w:eastAsia="仿宋_GB2312" w:cs="Arial"/>
          <w:color w:val="auto"/>
          <w:sz w:val="28"/>
          <w:szCs w:val="28"/>
        </w:rPr>
        <w:t>用途</w:t>
      </w:r>
      <w:r>
        <w:rPr>
          <w:rFonts w:hint="eastAsia" w:ascii="Arial" w:hAnsi="Arial" w:eastAsia="仿宋_GB2312" w:cs="Arial"/>
          <w:color w:val="auto"/>
          <w:sz w:val="28"/>
          <w:szCs w:val="28"/>
        </w:rPr>
        <w:t>楼面地价</w:t>
      </w:r>
      <w:r>
        <w:rPr>
          <w:rFonts w:ascii="Arial" w:hAnsi="Arial" w:eastAsia="仿宋_GB2312" w:cs="Arial"/>
          <w:color w:val="auto"/>
          <w:sz w:val="28"/>
          <w:szCs w:val="28"/>
        </w:rPr>
        <w:t>水平，由于目前北京市以基准地价作为重要参考依据，要求地价评估必须采用基准地价系数修正法，故基准地价系数修正法是确定</w:t>
      </w:r>
      <w:r>
        <w:rPr>
          <w:rFonts w:hint="eastAsia" w:ascii="Arial" w:hAnsi="Arial" w:eastAsia="仿宋_GB2312" w:cs="Arial"/>
          <w:color w:val="auto"/>
          <w:sz w:val="28"/>
          <w:szCs w:val="28"/>
        </w:rPr>
        <w:t>熟地价水平</w:t>
      </w:r>
      <w:r>
        <w:rPr>
          <w:rFonts w:ascii="Arial" w:hAnsi="Arial" w:eastAsia="仿宋_GB2312" w:cs="Arial"/>
          <w:color w:val="auto"/>
          <w:sz w:val="28"/>
          <w:szCs w:val="28"/>
        </w:rPr>
        <w:t>的重要依据之一；剩余法是从房地产的角度反应土地价格水平，属于对设定开发条件下的的地价单独评估的情况，能够体现土地的价格，故剩余法也是判断</w:t>
      </w:r>
      <w:r>
        <w:rPr>
          <w:rFonts w:hint="eastAsia" w:ascii="Arial" w:hAnsi="Arial" w:eastAsia="仿宋_GB2312" w:cs="Arial"/>
          <w:color w:val="auto"/>
          <w:sz w:val="28"/>
          <w:szCs w:val="28"/>
        </w:rPr>
        <w:t>熟地价水平</w:t>
      </w:r>
      <w:r>
        <w:rPr>
          <w:rFonts w:ascii="Arial" w:hAnsi="Arial" w:eastAsia="仿宋_GB2312" w:cs="Arial"/>
          <w:color w:val="auto"/>
          <w:sz w:val="28"/>
          <w:szCs w:val="28"/>
        </w:rPr>
        <w:t>的重要依据；</w:t>
      </w:r>
      <w:r>
        <w:rPr>
          <w:rFonts w:hint="eastAsia" w:ascii="Arial" w:hAnsi="Arial" w:eastAsia="仿宋_GB2312" w:cs="Arial"/>
          <w:color w:val="auto"/>
          <w:sz w:val="28"/>
          <w:szCs w:val="28"/>
        </w:rPr>
        <w:t>二</w:t>
      </w:r>
      <w:r>
        <w:rPr>
          <w:rFonts w:ascii="Arial" w:hAnsi="Arial" w:eastAsia="仿宋_GB2312" w:cs="Arial"/>
          <w:color w:val="auto"/>
          <w:sz w:val="28"/>
          <w:szCs w:val="28"/>
        </w:rPr>
        <w:t>种评估方法各有其侧重，从不同的角度反映了估价对象的地价水平，定量分析如下：</w:t>
      </w:r>
    </w:p>
    <w:p w14:paraId="4E2E548F">
      <w:pPr>
        <w:spacing w:line="300" w:lineRule="auto"/>
        <w:ind w:firstLine="556"/>
        <w:jc w:val="both"/>
        <w:rPr>
          <w:rFonts w:ascii="Arial" w:hAnsi="Arial" w:eastAsia="仿宋_GB2312" w:cs="Arial"/>
          <w:color w:val="auto"/>
          <w:sz w:val="28"/>
          <w:szCs w:val="28"/>
        </w:rPr>
      </w:pPr>
      <w:r>
        <w:rPr>
          <w:rFonts w:hint="eastAsia" w:ascii="Arial" w:hAnsi="Arial" w:eastAsia="仿宋_GB2312" w:cs="Arial"/>
          <w:color w:val="auto"/>
          <w:sz w:val="28"/>
          <w:szCs w:val="28"/>
        </w:rPr>
        <w:t>根据《北京市国有建设用地使用权出让地价评估技术导则》（2026年2月10日实施），各方法估价结果权重建议如下表:</w:t>
      </w:r>
    </w:p>
    <w:p w14:paraId="38B36C41">
      <w:pPr>
        <w:widowControl/>
        <w:adjustRightInd/>
        <w:spacing w:line="240" w:lineRule="auto"/>
        <w:textAlignment w:val="auto"/>
        <w:rPr>
          <w:rFonts w:ascii="Arial" w:hAnsi="Arial" w:eastAsia="仿宋_GB2312" w:cs="Arial"/>
          <w:color w:val="auto"/>
          <w:sz w:val="28"/>
          <w:szCs w:val="28"/>
        </w:rPr>
      </w:pPr>
      <w:r>
        <w:rPr>
          <w:rFonts w:ascii="Arial" w:hAnsi="Arial" w:eastAsia="仿宋_GB2312" w:cs="Arial"/>
          <w:color w:val="auto"/>
          <w:sz w:val="28"/>
          <w:szCs w:val="28"/>
        </w:rPr>
        <w:br w:type="page"/>
      </w:r>
    </w:p>
    <w:p w14:paraId="1D9FD52D">
      <w:pPr>
        <w:spacing w:line="300" w:lineRule="auto"/>
        <w:jc w:val="center"/>
        <w:rPr>
          <w:rFonts w:ascii="Arial" w:hAnsi="Arial" w:eastAsia="仿宋_GB2312" w:cs="Arial"/>
          <w:color w:val="auto"/>
          <w:sz w:val="28"/>
          <w:szCs w:val="28"/>
        </w:rPr>
      </w:pPr>
      <w:r>
        <w:rPr>
          <w:rFonts w:hint="eastAsia" w:ascii="Arial" w:hAnsi="Arial" w:eastAsia="仿宋_GB2312" w:cs="Arial"/>
          <w:b/>
          <w:bCs/>
          <w:color w:val="auto"/>
          <w:szCs w:val="24"/>
        </w:rPr>
        <w:t>各方法估价结果权重建议表</w:t>
      </w:r>
    </w:p>
    <w:tbl>
      <w:tblPr>
        <w:tblStyle w:val="35"/>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944"/>
        <w:gridCol w:w="1762"/>
        <w:gridCol w:w="5577"/>
      </w:tblGrid>
      <w:tr w14:paraId="276B6B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047" w:type="pct"/>
            <w:tcMar>
              <w:top w:w="0" w:type="dxa"/>
              <w:left w:w="108" w:type="dxa"/>
              <w:bottom w:w="0" w:type="dxa"/>
              <w:right w:w="108" w:type="dxa"/>
            </w:tcMar>
            <w:vAlign w:val="center"/>
          </w:tcPr>
          <w:p w14:paraId="7A3BF95D">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各方法测算结果差异率</w:t>
            </w:r>
          </w:p>
        </w:tc>
        <w:tc>
          <w:tcPr>
            <w:tcW w:w="949" w:type="pct"/>
            <w:tcMar>
              <w:top w:w="0" w:type="dxa"/>
              <w:left w:w="108" w:type="dxa"/>
              <w:bottom w:w="0" w:type="dxa"/>
              <w:right w:w="108" w:type="dxa"/>
            </w:tcMar>
            <w:vAlign w:val="center"/>
          </w:tcPr>
          <w:p w14:paraId="1909189B">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估价结果确定可采用的方法</w:t>
            </w:r>
          </w:p>
        </w:tc>
        <w:tc>
          <w:tcPr>
            <w:tcW w:w="3004" w:type="pct"/>
            <w:tcMar>
              <w:top w:w="0" w:type="dxa"/>
              <w:left w:w="108" w:type="dxa"/>
              <w:bottom w:w="0" w:type="dxa"/>
              <w:right w:w="108" w:type="dxa"/>
            </w:tcMar>
            <w:vAlign w:val="center"/>
          </w:tcPr>
          <w:p w14:paraId="6B54E7C7">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权重取值可采取比例</w:t>
            </w:r>
          </w:p>
        </w:tc>
      </w:tr>
      <w:tr w14:paraId="75447C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047" w:type="pct"/>
            <w:tcMar>
              <w:top w:w="0" w:type="dxa"/>
              <w:left w:w="108" w:type="dxa"/>
              <w:bottom w:w="0" w:type="dxa"/>
              <w:right w:w="108" w:type="dxa"/>
            </w:tcMar>
            <w:vAlign w:val="center"/>
          </w:tcPr>
          <w:p w14:paraId="7E3289A1">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小于等于10</w:t>
            </w:r>
            <w:r>
              <w:rPr>
                <w:rFonts w:hint="eastAsia" w:ascii="Arial" w:hAnsi="Arial" w:eastAsia="仿宋_GB2312" w:cs="Arial"/>
                <w:color w:val="auto"/>
                <w:sz w:val="21"/>
                <w:szCs w:val="21"/>
              </w:rPr>
              <w:t>%</w:t>
            </w:r>
          </w:p>
        </w:tc>
        <w:tc>
          <w:tcPr>
            <w:tcW w:w="949" w:type="pct"/>
            <w:tcMar>
              <w:top w:w="0" w:type="dxa"/>
              <w:left w:w="108" w:type="dxa"/>
              <w:bottom w:w="0" w:type="dxa"/>
              <w:right w:w="108" w:type="dxa"/>
            </w:tcMar>
            <w:vAlign w:val="center"/>
          </w:tcPr>
          <w:p w14:paraId="3CF8DFC3">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原则</w:t>
            </w:r>
            <w:r>
              <w:rPr>
                <w:rFonts w:ascii="Arial" w:hAnsi="Arial" w:eastAsia="仿宋_GB2312" w:cs="Arial"/>
                <w:color w:val="auto"/>
                <w:sz w:val="21"/>
                <w:szCs w:val="21"/>
              </w:rPr>
              <w:t>上采用简单算术平均</w:t>
            </w:r>
          </w:p>
        </w:tc>
        <w:tc>
          <w:tcPr>
            <w:tcW w:w="3004" w:type="pct"/>
            <w:tcMar>
              <w:top w:w="0" w:type="dxa"/>
              <w:left w:w="108" w:type="dxa"/>
              <w:bottom w:w="0" w:type="dxa"/>
              <w:right w:w="108" w:type="dxa"/>
            </w:tcMar>
            <w:vAlign w:val="center"/>
          </w:tcPr>
          <w:p w14:paraId="7BABFC10">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采用两种</w:t>
            </w:r>
            <w:r>
              <w:rPr>
                <w:rFonts w:hint="eastAsia" w:ascii="Arial" w:hAnsi="Arial" w:eastAsia="仿宋_GB2312" w:cs="Arial"/>
                <w:color w:val="auto"/>
                <w:sz w:val="21"/>
                <w:szCs w:val="21"/>
              </w:rPr>
              <w:t>估价方法</w:t>
            </w:r>
            <w:r>
              <w:rPr>
                <w:rFonts w:ascii="Arial" w:hAnsi="Arial" w:eastAsia="仿宋_GB2312" w:cs="Arial"/>
                <w:color w:val="auto"/>
                <w:sz w:val="21"/>
                <w:szCs w:val="21"/>
              </w:rPr>
              <w:t>时，权重各取50</w:t>
            </w:r>
            <w:r>
              <w:rPr>
                <w:rFonts w:hint="eastAsia" w:ascii="Arial" w:hAnsi="Arial" w:eastAsia="仿宋_GB2312" w:cs="Arial"/>
                <w:color w:val="auto"/>
                <w:sz w:val="21"/>
                <w:szCs w:val="21"/>
              </w:rPr>
              <w:t>%</w:t>
            </w:r>
          </w:p>
        </w:tc>
      </w:tr>
      <w:tr w14:paraId="47085A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047" w:type="pct"/>
            <w:tcMar>
              <w:top w:w="0" w:type="dxa"/>
              <w:left w:w="108" w:type="dxa"/>
              <w:bottom w:w="0" w:type="dxa"/>
              <w:right w:w="108" w:type="dxa"/>
            </w:tcMar>
            <w:vAlign w:val="center"/>
          </w:tcPr>
          <w:p w14:paraId="71B171A8">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大于10</w:t>
            </w:r>
            <w:r>
              <w:rPr>
                <w:rFonts w:hint="eastAsia" w:ascii="Arial" w:hAnsi="Arial" w:eastAsia="仿宋_GB2312" w:cs="Arial"/>
                <w:color w:val="auto"/>
                <w:sz w:val="21"/>
                <w:szCs w:val="21"/>
              </w:rPr>
              <w:t>%</w:t>
            </w:r>
            <w:r>
              <w:rPr>
                <w:rFonts w:ascii="Arial" w:hAnsi="Arial" w:eastAsia="仿宋_GB2312" w:cs="Arial"/>
                <w:color w:val="auto"/>
                <w:sz w:val="21"/>
                <w:szCs w:val="21"/>
              </w:rPr>
              <w:t>，小于等于30</w:t>
            </w:r>
            <w:r>
              <w:rPr>
                <w:rFonts w:hint="eastAsia" w:ascii="Arial" w:hAnsi="Arial" w:eastAsia="仿宋_GB2312" w:cs="Arial"/>
                <w:color w:val="auto"/>
                <w:sz w:val="21"/>
                <w:szCs w:val="21"/>
              </w:rPr>
              <w:t>%</w:t>
            </w:r>
          </w:p>
        </w:tc>
        <w:tc>
          <w:tcPr>
            <w:tcW w:w="949" w:type="pct"/>
            <w:tcMar>
              <w:top w:w="0" w:type="dxa"/>
              <w:left w:w="108" w:type="dxa"/>
              <w:bottom w:w="0" w:type="dxa"/>
              <w:right w:w="108" w:type="dxa"/>
            </w:tcMar>
            <w:vAlign w:val="center"/>
          </w:tcPr>
          <w:p w14:paraId="19E93C42">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原则上采用加权算术平均</w:t>
            </w:r>
            <w:r>
              <w:rPr>
                <w:rFonts w:hint="eastAsia" w:ascii="Arial" w:hAnsi="Arial" w:eastAsia="仿宋_GB2312" w:cs="Arial"/>
                <w:color w:val="auto"/>
                <w:sz w:val="21"/>
                <w:szCs w:val="21"/>
              </w:rPr>
              <w:t>，</w:t>
            </w:r>
            <w:r>
              <w:rPr>
                <w:rFonts w:ascii="Arial" w:hAnsi="Arial" w:eastAsia="仿宋_GB2312" w:cs="Arial"/>
                <w:color w:val="auto"/>
                <w:sz w:val="21"/>
                <w:szCs w:val="21"/>
              </w:rPr>
              <w:t>当采用简单算术平均时</w:t>
            </w:r>
            <w:r>
              <w:rPr>
                <w:rFonts w:hint="eastAsia" w:ascii="Arial" w:hAnsi="Arial" w:eastAsia="仿宋_GB2312" w:cs="Arial"/>
                <w:color w:val="auto"/>
                <w:sz w:val="21"/>
                <w:szCs w:val="21"/>
              </w:rPr>
              <w:t>，</w:t>
            </w:r>
            <w:r>
              <w:rPr>
                <w:rFonts w:ascii="Arial" w:hAnsi="Arial" w:eastAsia="仿宋_GB2312" w:cs="Arial"/>
                <w:color w:val="auto"/>
                <w:sz w:val="21"/>
                <w:szCs w:val="21"/>
              </w:rPr>
              <w:t>应说明理由</w:t>
            </w:r>
          </w:p>
        </w:tc>
        <w:tc>
          <w:tcPr>
            <w:tcW w:w="3004" w:type="pct"/>
            <w:tcMar>
              <w:top w:w="0" w:type="dxa"/>
              <w:left w:w="108" w:type="dxa"/>
              <w:bottom w:w="0" w:type="dxa"/>
              <w:right w:w="108" w:type="dxa"/>
            </w:tcMar>
            <w:vAlign w:val="center"/>
          </w:tcPr>
          <w:p w14:paraId="2013F7EE">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采用加权算术平均时，</w:t>
            </w:r>
            <w:r>
              <w:rPr>
                <w:rFonts w:ascii="Arial" w:hAnsi="Arial" w:eastAsia="仿宋_GB2312" w:cs="Arial"/>
                <w:color w:val="auto"/>
                <w:sz w:val="21"/>
                <w:szCs w:val="21"/>
              </w:rPr>
              <w:t>土地估价专业评估师</w:t>
            </w:r>
            <w:r>
              <w:rPr>
                <w:rFonts w:hint="eastAsia" w:ascii="Arial" w:hAnsi="Arial" w:eastAsia="仿宋_GB2312" w:cs="Arial"/>
                <w:color w:val="auto"/>
                <w:sz w:val="21"/>
                <w:szCs w:val="21"/>
              </w:rPr>
              <w:t>要对权重加以分析，</w:t>
            </w:r>
            <w:r>
              <w:rPr>
                <w:rFonts w:ascii="Arial" w:hAnsi="Arial" w:eastAsia="仿宋_GB2312" w:cs="Arial"/>
                <w:color w:val="auto"/>
                <w:sz w:val="21"/>
                <w:szCs w:val="21"/>
              </w:rPr>
              <w:t>在对每种方法的</w:t>
            </w:r>
            <w:r>
              <w:rPr>
                <w:rFonts w:hint="eastAsia" w:ascii="Arial" w:hAnsi="Arial" w:eastAsia="仿宋_GB2312" w:cs="Arial"/>
                <w:color w:val="auto"/>
                <w:sz w:val="21"/>
                <w:szCs w:val="21"/>
              </w:rPr>
              <w:t>测算</w:t>
            </w:r>
            <w:r>
              <w:rPr>
                <w:rFonts w:ascii="Arial" w:hAnsi="Arial" w:eastAsia="仿宋_GB2312" w:cs="Arial"/>
                <w:color w:val="auto"/>
                <w:sz w:val="21"/>
                <w:szCs w:val="21"/>
              </w:rPr>
              <w:t>结果可信度分析基础上，合理确定每种方法的权重，</w:t>
            </w:r>
            <w:r>
              <w:rPr>
                <w:rFonts w:hint="eastAsia" w:ascii="Arial" w:hAnsi="Arial" w:eastAsia="仿宋_GB2312" w:cs="Arial"/>
                <w:color w:val="auto"/>
                <w:sz w:val="21"/>
                <w:szCs w:val="21"/>
              </w:rPr>
              <w:t>任一方法测算结果的权重不宜为0。</w:t>
            </w:r>
          </w:p>
          <w:p w14:paraId="449A9B16">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其中商业类、办公类、公共服务类、工业类用地每种方法的权重不宜低于20%，住宅类用地每种方法的权重不宜低于30%。</w:t>
            </w:r>
          </w:p>
        </w:tc>
      </w:tr>
      <w:tr w14:paraId="5BAFF0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047" w:type="pct"/>
            <w:tcMar>
              <w:top w:w="0" w:type="dxa"/>
              <w:left w:w="108" w:type="dxa"/>
              <w:bottom w:w="0" w:type="dxa"/>
              <w:right w:w="108" w:type="dxa"/>
            </w:tcMar>
            <w:vAlign w:val="center"/>
          </w:tcPr>
          <w:p w14:paraId="43098E47">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大于30</w:t>
            </w:r>
            <w:r>
              <w:rPr>
                <w:rFonts w:hint="eastAsia" w:ascii="Arial" w:hAnsi="Arial" w:eastAsia="仿宋_GB2312" w:cs="Arial"/>
                <w:color w:val="auto"/>
                <w:sz w:val="21"/>
                <w:szCs w:val="21"/>
              </w:rPr>
              <w:t>%</w:t>
            </w:r>
          </w:p>
        </w:tc>
        <w:tc>
          <w:tcPr>
            <w:tcW w:w="949" w:type="pct"/>
            <w:tcMar>
              <w:top w:w="0" w:type="dxa"/>
              <w:left w:w="108" w:type="dxa"/>
              <w:bottom w:w="0" w:type="dxa"/>
              <w:right w:w="108" w:type="dxa"/>
            </w:tcMar>
            <w:vAlign w:val="center"/>
          </w:tcPr>
          <w:p w14:paraId="77D61A8F">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w:t>
            </w:r>
          </w:p>
        </w:tc>
        <w:tc>
          <w:tcPr>
            <w:tcW w:w="3004" w:type="pct"/>
            <w:tcMar>
              <w:top w:w="0" w:type="dxa"/>
              <w:left w:w="108" w:type="dxa"/>
              <w:bottom w:w="0" w:type="dxa"/>
              <w:right w:w="108" w:type="dxa"/>
            </w:tcMar>
            <w:vAlign w:val="center"/>
          </w:tcPr>
          <w:p w14:paraId="24E8EC36">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对</w:t>
            </w:r>
            <w:r>
              <w:rPr>
                <w:rFonts w:ascii="Arial" w:hAnsi="Arial" w:eastAsia="仿宋_GB2312" w:cs="Arial"/>
                <w:color w:val="auto"/>
                <w:sz w:val="21"/>
                <w:szCs w:val="21"/>
              </w:rPr>
              <w:t>权重进行充分论证后使用</w:t>
            </w:r>
          </w:p>
        </w:tc>
      </w:tr>
      <w:tr w14:paraId="5F6FC2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047" w:type="pct"/>
            <w:tcMar>
              <w:top w:w="0" w:type="dxa"/>
              <w:left w:w="108" w:type="dxa"/>
              <w:bottom w:w="0" w:type="dxa"/>
              <w:right w:w="108" w:type="dxa"/>
            </w:tcMar>
            <w:vAlign w:val="center"/>
          </w:tcPr>
          <w:p w14:paraId="602C2F9F">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备注</w:t>
            </w:r>
          </w:p>
        </w:tc>
        <w:tc>
          <w:tcPr>
            <w:tcW w:w="3953" w:type="pct"/>
            <w:gridSpan w:val="2"/>
            <w:tcMar>
              <w:top w:w="0" w:type="dxa"/>
              <w:left w:w="108" w:type="dxa"/>
              <w:bottom w:w="0" w:type="dxa"/>
              <w:right w:w="108" w:type="dxa"/>
            </w:tcMar>
            <w:vAlign w:val="center"/>
          </w:tcPr>
          <w:p w14:paraId="3CB84949">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测算</w:t>
            </w:r>
            <w:r>
              <w:rPr>
                <w:rFonts w:ascii="Arial" w:hAnsi="Arial" w:eastAsia="仿宋_GB2312" w:cs="Arial"/>
                <w:color w:val="auto"/>
                <w:sz w:val="21"/>
                <w:szCs w:val="21"/>
              </w:rPr>
              <w:t>结果差异率=（高值－低值）/低值</w:t>
            </w:r>
          </w:p>
        </w:tc>
      </w:tr>
    </w:tbl>
    <w:p w14:paraId="4CFB211B">
      <w:pPr>
        <w:spacing w:before="240" w:beforeLines="100" w:line="300" w:lineRule="auto"/>
        <w:ind w:firstLine="560" w:firstLineChars="200"/>
        <w:jc w:val="both"/>
        <w:rPr>
          <w:rFonts w:ascii="Arial" w:hAnsi="Arial" w:eastAsia="仿宋" w:cs="Arial"/>
          <w:color w:val="auto"/>
          <w:sz w:val="28"/>
          <w:szCs w:val="28"/>
        </w:rPr>
      </w:pPr>
      <w:r>
        <w:rPr>
          <w:rFonts w:hint="eastAsia" w:ascii="Arial" w:hAnsi="Arial" w:eastAsia="仿宋_GB2312" w:cs="Arial"/>
          <w:color w:val="auto"/>
          <w:sz w:val="28"/>
          <w:szCs w:val="28"/>
        </w:rPr>
        <w:t>根据上述原则，通过测算，本次评估估价对象城镇住宅用地，基准地价系数修正法、剩余法两种评估方法结果差异率为91%，需对权重进行论证；其他商业服务业用地基准地价系数修正法、剩余法两种评估方法结果差异率为16%，需对权重进行论证；公共管理与公共服务用地基准地价系数修正法、剩余法两种评估方法结果差异率为3%，采用简单算术平均法。在确认两种方法的测算结果无误的情况下，各用途方法权重确定过程具体如下：</w:t>
      </w:r>
      <w:r>
        <w:rPr>
          <w:rFonts w:hint="eastAsia" w:ascii="Arial" w:hAnsi="Arial" w:eastAsia="仿宋" w:cs="Arial"/>
          <w:color w:val="auto"/>
          <w:sz w:val="28"/>
          <w:szCs w:val="28"/>
        </w:rPr>
        <w:br w:type="page"/>
      </w:r>
    </w:p>
    <w:p w14:paraId="274DFDD1">
      <w:pPr>
        <w:spacing w:line="300" w:lineRule="auto"/>
        <w:ind w:left="260" w:leftChars="50" w:hanging="140" w:hangingChars="50"/>
        <w:jc w:val="center"/>
        <w:rPr>
          <w:rFonts w:ascii="Arial" w:hAnsi="Arial" w:eastAsia="仿宋_GB2312" w:cs="Arial"/>
          <w:color w:val="auto"/>
          <w:sz w:val="28"/>
          <w:szCs w:val="28"/>
        </w:rPr>
      </w:pPr>
      <w:r>
        <w:rPr>
          <w:rFonts w:hint="eastAsia" w:ascii="Arial" w:hAnsi="Arial" w:eastAsia="仿宋" w:cs="Arial"/>
          <w:color w:val="auto"/>
          <w:sz w:val="28"/>
          <w:szCs w:val="28"/>
        </w:rPr>
        <w:t>城镇住宅用地、其他商业服务业用地</w:t>
      </w:r>
      <w:r>
        <w:rPr>
          <w:rFonts w:ascii="Arial" w:hAnsi="Arial" w:eastAsia="仿宋_GB2312" w:cs="Arial"/>
          <w:color w:val="auto"/>
          <w:sz w:val="28"/>
          <w:szCs w:val="28"/>
        </w:rPr>
        <w:t>用途权重确定打分评价体系</w:t>
      </w:r>
    </w:p>
    <w:tbl>
      <w:tblPr>
        <w:tblStyle w:val="34"/>
        <w:tblW w:w="9072"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990"/>
        <w:gridCol w:w="708"/>
        <w:gridCol w:w="5529"/>
        <w:gridCol w:w="992"/>
        <w:gridCol w:w="853"/>
      </w:tblGrid>
      <w:tr w14:paraId="10D0964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blHeader/>
          <w:jc w:val="center"/>
        </w:trPr>
        <w:tc>
          <w:tcPr>
            <w:tcW w:w="990" w:type="dxa"/>
            <w:vMerge w:val="restart"/>
            <w:shd w:val="clear" w:color="auto" w:fill="auto"/>
            <w:noWrap/>
            <w:vAlign w:val="center"/>
          </w:tcPr>
          <w:p w14:paraId="306FECBB">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评价因素</w:t>
            </w:r>
          </w:p>
        </w:tc>
        <w:tc>
          <w:tcPr>
            <w:tcW w:w="708" w:type="dxa"/>
            <w:vMerge w:val="restart"/>
            <w:shd w:val="clear" w:color="auto" w:fill="auto"/>
            <w:noWrap/>
            <w:vAlign w:val="center"/>
          </w:tcPr>
          <w:p w14:paraId="39D37C20">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标准分值</w:t>
            </w:r>
          </w:p>
        </w:tc>
        <w:tc>
          <w:tcPr>
            <w:tcW w:w="5529" w:type="dxa"/>
            <w:vMerge w:val="restart"/>
            <w:shd w:val="clear" w:color="auto" w:fill="auto"/>
            <w:noWrap/>
            <w:vAlign w:val="center"/>
          </w:tcPr>
          <w:p w14:paraId="780E6912">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打分考虑因素</w:t>
            </w:r>
          </w:p>
        </w:tc>
        <w:tc>
          <w:tcPr>
            <w:tcW w:w="1845" w:type="dxa"/>
            <w:gridSpan w:val="2"/>
            <w:shd w:val="clear" w:color="auto" w:fill="auto"/>
            <w:noWrap/>
            <w:vAlign w:val="center"/>
          </w:tcPr>
          <w:p w14:paraId="38E3D38E">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估价对象</w:t>
            </w:r>
          </w:p>
        </w:tc>
      </w:tr>
      <w:tr w14:paraId="683ADEE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03" w:hRule="atLeast"/>
          <w:tblHeader/>
          <w:jc w:val="center"/>
        </w:trPr>
        <w:tc>
          <w:tcPr>
            <w:tcW w:w="990" w:type="dxa"/>
            <w:vMerge w:val="continue"/>
            <w:vAlign w:val="center"/>
          </w:tcPr>
          <w:p w14:paraId="4CE698CD">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3FF1C98E">
            <w:pPr>
              <w:widowControl/>
              <w:adjustRightInd/>
              <w:spacing w:line="240" w:lineRule="atLeast"/>
              <w:textAlignment w:val="auto"/>
              <w:rPr>
                <w:rFonts w:ascii="Arial" w:hAnsi="Arial" w:eastAsia="仿宋_GB2312" w:cs="Arial"/>
                <w:color w:val="auto"/>
                <w:szCs w:val="24"/>
              </w:rPr>
            </w:pPr>
          </w:p>
        </w:tc>
        <w:tc>
          <w:tcPr>
            <w:tcW w:w="5529" w:type="dxa"/>
            <w:vMerge w:val="continue"/>
            <w:vAlign w:val="center"/>
          </w:tcPr>
          <w:p w14:paraId="52CCED78">
            <w:pPr>
              <w:widowControl/>
              <w:adjustRightInd/>
              <w:spacing w:line="240" w:lineRule="atLeast"/>
              <w:textAlignment w:val="auto"/>
              <w:rPr>
                <w:rFonts w:ascii="Arial" w:hAnsi="Arial" w:eastAsia="仿宋_GB2312" w:cs="Arial"/>
                <w:color w:val="auto"/>
                <w:szCs w:val="24"/>
              </w:rPr>
            </w:pPr>
          </w:p>
        </w:tc>
        <w:tc>
          <w:tcPr>
            <w:tcW w:w="992" w:type="dxa"/>
            <w:shd w:val="clear" w:color="auto" w:fill="auto"/>
            <w:noWrap/>
            <w:vAlign w:val="center"/>
          </w:tcPr>
          <w:p w14:paraId="09FEE155">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853" w:type="dxa"/>
            <w:shd w:val="clear" w:color="auto" w:fill="auto"/>
            <w:noWrap/>
            <w:vAlign w:val="center"/>
          </w:tcPr>
          <w:p w14:paraId="6BDB7B3B">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剩余法</w:t>
            </w:r>
          </w:p>
        </w:tc>
      </w:tr>
      <w:tr w14:paraId="34217FF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71A3C982">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估价方法的代表性</w:t>
            </w:r>
          </w:p>
        </w:tc>
        <w:tc>
          <w:tcPr>
            <w:tcW w:w="708" w:type="dxa"/>
            <w:vMerge w:val="restart"/>
            <w:shd w:val="clear" w:color="auto" w:fill="auto"/>
            <w:noWrap/>
            <w:vAlign w:val="center"/>
          </w:tcPr>
          <w:p w14:paraId="77B942A8">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25</w:t>
            </w:r>
          </w:p>
        </w:tc>
        <w:tc>
          <w:tcPr>
            <w:tcW w:w="5529" w:type="dxa"/>
            <w:shd w:val="clear" w:color="auto" w:fill="auto"/>
            <w:noWrap/>
            <w:vAlign w:val="center"/>
          </w:tcPr>
          <w:p w14:paraId="781B73B2">
            <w:pPr>
              <w:spacing w:line="240" w:lineRule="atLeast"/>
              <w:rPr>
                <w:rFonts w:ascii="Arial" w:hAnsi="Arial" w:eastAsia="仿宋_GB2312" w:cs="Arial"/>
                <w:color w:val="auto"/>
                <w:szCs w:val="24"/>
              </w:rPr>
            </w:pPr>
            <w:r>
              <w:rPr>
                <w:rFonts w:ascii="Arial" w:hAnsi="Arial" w:eastAsia="仿宋_GB2312" w:cs="Arial"/>
                <w:color w:val="auto"/>
                <w:szCs w:val="24"/>
              </w:rPr>
              <w:t>1.估价方法选取分析充分、合理，取20～25分；</w:t>
            </w:r>
          </w:p>
        </w:tc>
        <w:tc>
          <w:tcPr>
            <w:tcW w:w="992" w:type="dxa"/>
            <w:vMerge w:val="restart"/>
            <w:shd w:val="clear" w:color="auto" w:fill="auto"/>
            <w:noWrap/>
            <w:vAlign w:val="center"/>
          </w:tcPr>
          <w:p w14:paraId="647589FB">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11</w:t>
            </w:r>
          </w:p>
        </w:tc>
        <w:tc>
          <w:tcPr>
            <w:tcW w:w="853" w:type="dxa"/>
            <w:vMerge w:val="restart"/>
            <w:shd w:val="clear" w:color="auto" w:fill="auto"/>
            <w:noWrap/>
            <w:vAlign w:val="center"/>
          </w:tcPr>
          <w:p w14:paraId="27EB6A80">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20</w:t>
            </w:r>
          </w:p>
        </w:tc>
      </w:tr>
      <w:tr w14:paraId="2213B3B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2F33F1A8">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0EF7BC39">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1F76C1AF">
            <w:pPr>
              <w:spacing w:line="240" w:lineRule="atLeast"/>
              <w:rPr>
                <w:rFonts w:ascii="Arial" w:hAnsi="Arial" w:eastAsia="仿宋_GB2312" w:cs="Arial"/>
                <w:color w:val="auto"/>
                <w:szCs w:val="24"/>
              </w:rPr>
            </w:pPr>
            <w:r>
              <w:rPr>
                <w:rFonts w:ascii="Arial" w:hAnsi="Arial" w:eastAsia="仿宋_GB2312" w:cs="Arial"/>
                <w:color w:val="auto"/>
                <w:szCs w:val="24"/>
              </w:rPr>
              <w:t>2.估价方法选取分析较充分、合理，取10～19分；</w:t>
            </w:r>
          </w:p>
        </w:tc>
        <w:tc>
          <w:tcPr>
            <w:tcW w:w="992" w:type="dxa"/>
            <w:vMerge w:val="continue"/>
            <w:vAlign w:val="center"/>
          </w:tcPr>
          <w:p w14:paraId="651CED64">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1FB3133A">
            <w:pPr>
              <w:widowControl/>
              <w:adjustRightInd/>
              <w:spacing w:line="240" w:lineRule="atLeast"/>
              <w:textAlignment w:val="auto"/>
              <w:rPr>
                <w:rFonts w:ascii="Arial" w:hAnsi="Arial" w:eastAsia="仿宋_GB2312" w:cs="Arial"/>
                <w:color w:val="auto"/>
                <w:szCs w:val="24"/>
              </w:rPr>
            </w:pPr>
          </w:p>
        </w:tc>
      </w:tr>
      <w:tr w14:paraId="6177090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0FFF8F60">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34053AAB">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501E04EB">
            <w:pPr>
              <w:spacing w:line="240" w:lineRule="atLeast"/>
              <w:rPr>
                <w:rFonts w:ascii="Arial" w:hAnsi="Arial" w:eastAsia="仿宋_GB2312" w:cs="Arial"/>
                <w:color w:val="auto"/>
                <w:szCs w:val="24"/>
              </w:rPr>
            </w:pPr>
            <w:r>
              <w:rPr>
                <w:rFonts w:ascii="Arial" w:hAnsi="Arial" w:eastAsia="仿宋_GB2312" w:cs="Arial"/>
                <w:color w:val="auto"/>
                <w:szCs w:val="24"/>
              </w:rPr>
              <w:t>3.估价方法选取分析较不充分，取0～9分；</w:t>
            </w:r>
          </w:p>
        </w:tc>
        <w:tc>
          <w:tcPr>
            <w:tcW w:w="992" w:type="dxa"/>
            <w:vMerge w:val="continue"/>
            <w:vAlign w:val="center"/>
          </w:tcPr>
          <w:p w14:paraId="65C3BFE3">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2C447D70">
            <w:pPr>
              <w:widowControl/>
              <w:adjustRightInd/>
              <w:spacing w:line="240" w:lineRule="atLeast"/>
              <w:textAlignment w:val="auto"/>
              <w:rPr>
                <w:rFonts w:ascii="Arial" w:hAnsi="Arial" w:eastAsia="仿宋_GB2312" w:cs="Arial"/>
                <w:color w:val="auto"/>
                <w:szCs w:val="24"/>
              </w:rPr>
            </w:pPr>
          </w:p>
        </w:tc>
      </w:tr>
      <w:tr w14:paraId="77DEDE1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5F3F929F">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估价方法所要求的估价资料的完整性</w:t>
            </w:r>
          </w:p>
        </w:tc>
        <w:tc>
          <w:tcPr>
            <w:tcW w:w="708" w:type="dxa"/>
            <w:vMerge w:val="restart"/>
            <w:shd w:val="clear" w:color="auto" w:fill="auto"/>
            <w:vAlign w:val="center"/>
          </w:tcPr>
          <w:p w14:paraId="6C5D4B16">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c>
          <w:tcPr>
            <w:tcW w:w="5529" w:type="dxa"/>
            <w:shd w:val="clear" w:color="auto" w:fill="auto"/>
            <w:noWrap/>
            <w:vAlign w:val="center"/>
          </w:tcPr>
          <w:p w14:paraId="0C305B0F">
            <w:pPr>
              <w:spacing w:line="240" w:lineRule="atLeast"/>
              <w:rPr>
                <w:rFonts w:ascii="Arial" w:hAnsi="Arial" w:eastAsia="仿宋_GB2312" w:cs="Arial"/>
                <w:color w:val="auto"/>
                <w:szCs w:val="24"/>
              </w:rPr>
            </w:pPr>
            <w:r>
              <w:rPr>
                <w:rFonts w:ascii="Arial" w:hAnsi="Arial" w:eastAsia="仿宋_GB2312" w:cs="Arial"/>
                <w:color w:val="auto"/>
                <w:szCs w:val="24"/>
              </w:rPr>
              <w:t>1.估价资料完整，来源依据充分，取10～15分；</w:t>
            </w:r>
          </w:p>
        </w:tc>
        <w:tc>
          <w:tcPr>
            <w:tcW w:w="992" w:type="dxa"/>
            <w:vMerge w:val="restart"/>
            <w:shd w:val="clear" w:color="auto" w:fill="auto"/>
            <w:noWrap/>
            <w:vAlign w:val="center"/>
          </w:tcPr>
          <w:p w14:paraId="0B34B55F">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7</w:t>
            </w:r>
          </w:p>
        </w:tc>
        <w:tc>
          <w:tcPr>
            <w:tcW w:w="853" w:type="dxa"/>
            <w:vMerge w:val="restart"/>
            <w:shd w:val="clear" w:color="auto" w:fill="auto"/>
            <w:noWrap/>
            <w:vAlign w:val="center"/>
          </w:tcPr>
          <w:p w14:paraId="4324FF83">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r>
      <w:tr w14:paraId="3A4DDB2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1B2CFAB9">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5201556E">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384FA5D5">
            <w:pPr>
              <w:spacing w:line="240" w:lineRule="atLeast"/>
              <w:rPr>
                <w:rFonts w:ascii="Arial" w:hAnsi="Arial" w:eastAsia="仿宋_GB2312" w:cs="Arial"/>
                <w:color w:val="auto"/>
                <w:szCs w:val="24"/>
              </w:rPr>
            </w:pPr>
            <w:r>
              <w:rPr>
                <w:rFonts w:ascii="Arial" w:hAnsi="Arial" w:eastAsia="仿宋_GB2312" w:cs="Arial"/>
                <w:color w:val="auto"/>
                <w:szCs w:val="24"/>
              </w:rPr>
              <w:t>2.估价资料有欠缺，来源依据较不充分，取0～9分；</w:t>
            </w:r>
          </w:p>
        </w:tc>
        <w:tc>
          <w:tcPr>
            <w:tcW w:w="992" w:type="dxa"/>
            <w:vMerge w:val="continue"/>
            <w:vAlign w:val="center"/>
          </w:tcPr>
          <w:p w14:paraId="3FAAC15D">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0CB1B427">
            <w:pPr>
              <w:widowControl/>
              <w:adjustRightInd/>
              <w:spacing w:line="240" w:lineRule="atLeast"/>
              <w:textAlignment w:val="auto"/>
              <w:rPr>
                <w:rFonts w:ascii="Arial" w:hAnsi="Arial" w:eastAsia="仿宋_GB2312" w:cs="Arial"/>
                <w:color w:val="auto"/>
                <w:szCs w:val="24"/>
              </w:rPr>
            </w:pPr>
          </w:p>
        </w:tc>
      </w:tr>
      <w:tr w14:paraId="430E2F4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604950C9">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参数选取的客观性</w:t>
            </w:r>
          </w:p>
        </w:tc>
        <w:tc>
          <w:tcPr>
            <w:tcW w:w="708" w:type="dxa"/>
            <w:vMerge w:val="restart"/>
            <w:shd w:val="clear" w:color="auto" w:fill="auto"/>
            <w:vAlign w:val="center"/>
          </w:tcPr>
          <w:p w14:paraId="6B544F55">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c>
          <w:tcPr>
            <w:tcW w:w="5529" w:type="dxa"/>
            <w:shd w:val="clear" w:color="auto" w:fill="auto"/>
            <w:noWrap/>
            <w:vAlign w:val="center"/>
          </w:tcPr>
          <w:p w14:paraId="06FF67EC">
            <w:pPr>
              <w:spacing w:line="240" w:lineRule="atLeast"/>
              <w:rPr>
                <w:rFonts w:ascii="Arial" w:hAnsi="Arial" w:eastAsia="仿宋_GB2312" w:cs="Arial"/>
                <w:color w:val="auto"/>
                <w:szCs w:val="24"/>
              </w:rPr>
            </w:pPr>
            <w:r>
              <w:rPr>
                <w:rFonts w:ascii="Arial" w:hAnsi="Arial" w:eastAsia="仿宋_GB2312" w:cs="Arial"/>
                <w:color w:val="auto"/>
                <w:szCs w:val="24"/>
              </w:rPr>
              <w:t>1.参数从市场上获取，或从权威机构发布的信息上获取，取10～15分；</w:t>
            </w:r>
          </w:p>
        </w:tc>
        <w:tc>
          <w:tcPr>
            <w:tcW w:w="992" w:type="dxa"/>
            <w:vMerge w:val="restart"/>
            <w:shd w:val="clear" w:color="auto" w:fill="auto"/>
            <w:noWrap/>
            <w:vAlign w:val="center"/>
          </w:tcPr>
          <w:p w14:paraId="0008D61C">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8</w:t>
            </w:r>
          </w:p>
        </w:tc>
        <w:tc>
          <w:tcPr>
            <w:tcW w:w="853" w:type="dxa"/>
            <w:vMerge w:val="restart"/>
            <w:shd w:val="clear" w:color="auto" w:fill="auto"/>
            <w:noWrap/>
            <w:vAlign w:val="center"/>
          </w:tcPr>
          <w:p w14:paraId="56EB4509">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r>
      <w:tr w14:paraId="5E6A595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3BB9B642">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1FDCAFF8">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3E1C52A7">
            <w:pPr>
              <w:spacing w:line="240" w:lineRule="atLeast"/>
              <w:rPr>
                <w:rFonts w:ascii="Arial" w:hAnsi="Arial" w:eastAsia="仿宋_GB2312" w:cs="Arial"/>
                <w:color w:val="auto"/>
                <w:szCs w:val="24"/>
              </w:rPr>
            </w:pPr>
            <w:r>
              <w:rPr>
                <w:rFonts w:ascii="Arial" w:hAnsi="Arial" w:eastAsia="仿宋_GB2312" w:cs="Arial"/>
                <w:color w:val="auto"/>
                <w:szCs w:val="24"/>
              </w:rPr>
              <w:t>2.部分参数为自行分析取得，理由较充分，取0～9分；</w:t>
            </w:r>
          </w:p>
        </w:tc>
        <w:tc>
          <w:tcPr>
            <w:tcW w:w="992" w:type="dxa"/>
            <w:vMerge w:val="continue"/>
            <w:vAlign w:val="center"/>
          </w:tcPr>
          <w:p w14:paraId="6A189832">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1A1D05D6">
            <w:pPr>
              <w:widowControl/>
              <w:adjustRightInd/>
              <w:spacing w:line="240" w:lineRule="atLeast"/>
              <w:textAlignment w:val="auto"/>
              <w:rPr>
                <w:rFonts w:ascii="Arial" w:hAnsi="Arial" w:eastAsia="仿宋_GB2312" w:cs="Arial"/>
                <w:color w:val="auto"/>
                <w:szCs w:val="24"/>
              </w:rPr>
            </w:pPr>
          </w:p>
        </w:tc>
      </w:tr>
      <w:tr w14:paraId="27F298C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7C6A2BDD">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参数确定的时效性</w:t>
            </w:r>
          </w:p>
        </w:tc>
        <w:tc>
          <w:tcPr>
            <w:tcW w:w="708" w:type="dxa"/>
            <w:vMerge w:val="restart"/>
            <w:shd w:val="clear" w:color="auto" w:fill="auto"/>
            <w:vAlign w:val="center"/>
          </w:tcPr>
          <w:p w14:paraId="5928EF70">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c>
          <w:tcPr>
            <w:tcW w:w="5529" w:type="dxa"/>
            <w:shd w:val="clear" w:color="auto" w:fill="auto"/>
            <w:noWrap/>
            <w:vAlign w:val="center"/>
          </w:tcPr>
          <w:p w14:paraId="79F1F3E1">
            <w:pPr>
              <w:spacing w:line="240" w:lineRule="atLeast"/>
              <w:rPr>
                <w:rFonts w:ascii="Arial" w:hAnsi="Arial" w:eastAsia="仿宋_GB2312" w:cs="Arial"/>
                <w:color w:val="auto"/>
                <w:szCs w:val="24"/>
              </w:rPr>
            </w:pPr>
            <w:r>
              <w:rPr>
                <w:rFonts w:ascii="Arial" w:hAnsi="Arial" w:eastAsia="仿宋_GB2312" w:cs="Arial"/>
                <w:color w:val="auto"/>
                <w:szCs w:val="24"/>
              </w:rPr>
              <w:t>1.参数在规定的时效范围内，且距估价期日未超过1年，取10～15分；</w:t>
            </w:r>
          </w:p>
        </w:tc>
        <w:tc>
          <w:tcPr>
            <w:tcW w:w="992" w:type="dxa"/>
            <w:vMerge w:val="restart"/>
            <w:shd w:val="clear" w:color="auto" w:fill="auto"/>
            <w:noWrap/>
            <w:vAlign w:val="center"/>
          </w:tcPr>
          <w:p w14:paraId="6FB7F69E">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8</w:t>
            </w:r>
          </w:p>
        </w:tc>
        <w:tc>
          <w:tcPr>
            <w:tcW w:w="853" w:type="dxa"/>
            <w:vMerge w:val="restart"/>
            <w:shd w:val="clear" w:color="auto" w:fill="auto"/>
            <w:noWrap/>
            <w:vAlign w:val="center"/>
          </w:tcPr>
          <w:p w14:paraId="4A657CED">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r>
      <w:tr w14:paraId="05AF503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0B329F49">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541BC0F0">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0C77ECD1">
            <w:pPr>
              <w:spacing w:line="240" w:lineRule="atLeast"/>
              <w:rPr>
                <w:rFonts w:ascii="Arial" w:hAnsi="Arial" w:eastAsia="仿宋_GB2312" w:cs="Arial"/>
                <w:color w:val="auto"/>
                <w:szCs w:val="24"/>
              </w:rPr>
            </w:pPr>
            <w:r>
              <w:rPr>
                <w:rFonts w:ascii="Arial" w:hAnsi="Arial" w:eastAsia="仿宋_GB2312" w:cs="Arial"/>
                <w:color w:val="auto"/>
                <w:szCs w:val="24"/>
              </w:rPr>
              <w:t>2.参数在规定的时效范围内，但距估价期日超过1年，取0～9分；</w:t>
            </w:r>
          </w:p>
        </w:tc>
        <w:tc>
          <w:tcPr>
            <w:tcW w:w="992" w:type="dxa"/>
            <w:vMerge w:val="continue"/>
            <w:vAlign w:val="center"/>
          </w:tcPr>
          <w:p w14:paraId="22778BC7">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0D6D32A0">
            <w:pPr>
              <w:widowControl/>
              <w:adjustRightInd/>
              <w:spacing w:line="240" w:lineRule="atLeast"/>
              <w:textAlignment w:val="auto"/>
              <w:rPr>
                <w:rFonts w:ascii="Arial" w:hAnsi="Arial" w:eastAsia="仿宋_GB2312" w:cs="Arial"/>
                <w:color w:val="auto"/>
                <w:szCs w:val="24"/>
              </w:rPr>
            </w:pPr>
          </w:p>
        </w:tc>
      </w:tr>
      <w:tr w14:paraId="4B3D4D3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5A76FB78">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估价结果的现势性</w:t>
            </w:r>
          </w:p>
        </w:tc>
        <w:tc>
          <w:tcPr>
            <w:tcW w:w="708" w:type="dxa"/>
            <w:vMerge w:val="restart"/>
            <w:shd w:val="clear" w:color="auto" w:fill="auto"/>
            <w:noWrap/>
            <w:vAlign w:val="center"/>
          </w:tcPr>
          <w:p w14:paraId="3CDF3D59">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30</w:t>
            </w:r>
          </w:p>
        </w:tc>
        <w:tc>
          <w:tcPr>
            <w:tcW w:w="5529" w:type="dxa"/>
            <w:shd w:val="clear" w:color="auto" w:fill="auto"/>
            <w:noWrap/>
            <w:vAlign w:val="center"/>
          </w:tcPr>
          <w:p w14:paraId="177299ED">
            <w:pPr>
              <w:spacing w:line="240" w:lineRule="atLeast"/>
              <w:rPr>
                <w:rFonts w:ascii="Arial" w:hAnsi="Arial" w:eastAsia="仿宋_GB2312" w:cs="Arial"/>
                <w:color w:val="auto"/>
                <w:szCs w:val="24"/>
              </w:rPr>
            </w:pPr>
            <w:r>
              <w:rPr>
                <w:rFonts w:ascii="Arial" w:hAnsi="Arial" w:eastAsia="仿宋_GB2312" w:cs="Arial"/>
                <w:color w:val="auto"/>
                <w:szCs w:val="24"/>
              </w:rPr>
              <w:t>1.估价结果与同类用途房地产市场价格水平一致，且考虑了房地产市场发展趋势，取20～30分；</w:t>
            </w:r>
          </w:p>
        </w:tc>
        <w:tc>
          <w:tcPr>
            <w:tcW w:w="992" w:type="dxa"/>
            <w:vMerge w:val="restart"/>
            <w:shd w:val="clear" w:color="auto" w:fill="auto"/>
            <w:noWrap/>
            <w:vAlign w:val="center"/>
          </w:tcPr>
          <w:p w14:paraId="15A91653">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5</w:t>
            </w:r>
          </w:p>
        </w:tc>
        <w:tc>
          <w:tcPr>
            <w:tcW w:w="853" w:type="dxa"/>
            <w:vMerge w:val="restart"/>
            <w:shd w:val="clear" w:color="auto" w:fill="auto"/>
            <w:noWrap/>
            <w:vAlign w:val="center"/>
          </w:tcPr>
          <w:p w14:paraId="2F079132">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2</w:t>
            </w:r>
            <w:r>
              <w:rPr>
                <w:rFonts w:hint="eastAsia" w:ascii="Arial" w:hAnsi="Arial" w:eastAsia="仿宋_GB2312" w:cs="Arial"/>
                <w:color w:val="auto"/>
                <w:szCs w:val="24"/>
              </w:rPr>
              <w:t>6</w:t>
            </w:r>
          </w:p>
        </w:tc>
      </w:tr>
      <w:tr w14:paraId="7A67007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13339352">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0FEF97DF">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0301A289">
            <w:pPr>
              <w:spacing w:line="240" w:lineRule="atLeast"/>
              <w:rPr>
                <w:rFonts w:ascii="Arial" w:hAnsi="Arial" w:eastAsia="仿宋_GB2312" w:cs="Arial"/>
                <w:color w:val="auto"/>
                <w:szCs w:val="24"/>
              </w:rPr>
            </w:pPr>
            <w:r>
              <w:rPr>
                <w:rFonts w:ascii="Arial" w:hAnsi="Arial" w:eastAsia="仿宋_GB2312" w:cs="Arial"/>
                <w:color w:val="auto"/>
                <w:szCs w:val="24"/>
              </w:rPr>
              <w:t>2.估价结果与同类用途房地产价格水平基本一致，且适当考虑了房地产市场发展趋势，取10～19分；</w:t>
            </w:r>
          </w:p>
        </w:tc>
        <w:tc>
          <w:tcPr>
            <w:tcW w:w="992" w:type="dxa"/>
            <w:vMerge w:val="continue"/>
            <w:vAlign w:val="center"/>
          </w:tcPr>
          <w:p w14:paraId="75875904">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796F1FDD">
            <w:pPr>
              <w:widowControl/>
              <w:adjustRightInd/>
              <w:spacing w:line="240" w:lineRule="atLeast"/>
              <w:textAlignment w:val="auto"/>
              <w:rPr>
                <w:rFonts w:ascii="Arial" w:hAnsi="Arial" w:eastAsia="仿宋_GB2312" w:cs="Arial"/>
                <w:color w:val="auto"/>
                <w:szCs w:val="24"/>
              </w:rPr>
            </w:pPr>
          </w:p>
        </w:tc>
      </w:tr>
      <w:tr w14:paraId="739FBA6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5E47611D">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1595D139">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549AEDB9">
            <w:pPr>
              <w:spacing w:line="240" w:lineRule="atLeast"/>
              <w:rPr>
                <w:rFonts w:ascii="Arial" w:hAnsi="Arial" w:eastAsia="仿宋_GB2312" w:cs="Arial"/>
                <w:color w:val="auto"/>
                <w:szCs w:val="24"/>
              </w:rPr>
            </w:pPr>
            <w:r>
              <w:rPr>
                <w:rFonts w:ascii="Arial" w:hAnsi="Arial" w:eastAsia="仿宋_GB2312" w:cs="Arial"/>
                <w:color w:val="auto"/>
                <w:szCs w:val="24"/>
              </w:rPr>
              <w:t>3.估价结果与同类用途房地产价格水平有一定差距，且适当考虑房地产市场发展趋势，取0～9分；</w:t>
            </w:r>
          </w:p>
        </w:tc>
        <w:tc>
          <w:tcPr>
            <w:tcW w:w="992" w:type="dxa"/>
            <w:vMerge w:val="continue"/>
            <w:vAlign w:val="center"/>
          </w:tcPr>
          <w:p w14:paraId="03AF8267">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6541D171">
            <w:pPr>
              <w:widowControl/>
              <w:adjustRightInd/>
              <w:spacing w:line="240" w:lineRule="atLeast"/>
              <w:textAlignment w:val="auto"/>
              <w:rPr>
                <w:rFonts w:ascii="Arial" w:hAnsi="Arial" w:eastAsia="仿宋_GB2312" w:cs="Arial"/>
                <w:color w:val="auto"/>
                <w:szCs w:val="24"/>
              </w:rPr>
            </w:pPr>
          </w:p>
        </w:tc>
      </w:tr>
      <w:tr w14:paraId="16BBC5B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7227" w:type="dxa"/>
            <w:gridSpan w:val="3"/>
            <w:shd w:val="clear" w:color="auto" w:fill="auto"/>
            <w:noWrap/>
            <w:vAlign w:val="center"/>
          </w:tcPr>
          <w:p w14:paraId="13C3F758">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分值</w:t>
            </w:r>
          </w:p>
        </w:tc>
        <w:tc>
          <w:tcPr>
            <w:tcW w:w="992" w:type="dxa"/>
            <w:shd w:val="clear" w:color="auto" w:fill="auto"/>
            <w:noWrap/>
            <w:vAlign w:val="center"/>
          </w:tcPr>
          <w:p w14:paraId="351C4A83">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39</w:t>
            </w:r>
          </w:p>
        </w:tc>
        <w:tc>
          <w:tcPr>
            <w:tcW w:w="853" w:type="dxa"/>
            <w:shd w:val="clear" w:color="auto" w:fill="auto"/>
            <w:noWrap/>
            <w:vAlign w:val="center"/>
          </w:tcPr>
          <w:p w14:paraId="1A35374C">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9</w:t>
            </w:r>
            <w:r>
              <w:rPr>
                <w:rFonts w:hint="eastAsia" w:ascii="Arial" w:hAnsi="Arial" w:eastAsia="仿宋_GB2312" w:cs="Arial"/>
                <w:color w:val="auto"/>
                <w:szCs w:val="24"/>
              </w:rPr>
              <w:t>1</w:t>
            </w:r>
          </w:p>
        </w:tc>
      </w:tr>
      <w:tr w14:paraId="526A7DC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7227" w:type="dxa"/>
            <w:gridSpan w:val="3"/>
            <w:shd w:val="clear" w:color="auto" w:fill="auto"/>
            <w:noWrap/>
            <w:vAlign w:val="center"/>
          </w:tcPr>
          <w:p w14:paraId="7B60DEED">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权重</w:t>
            </w:r>
          </w:p>
        </w:tc>
        <w:tc>
          <w:tcPr>
            <w:tcW w:w="992" w:type="dxa"/>
            <w:shd w:val="clear" w:color="auto" w:fill="auto"/>
            <w:noWrap/>
            <w:vAlign w:val="center"/>
          </w:tcPr>
          <w:p w14:paraId="6F1AFD9C">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3</w:t>
            </w:r>
            <w:r>
              <w:rPr>
                <w:rFonts w:ascii="Arial" w:hAnsi="Arial" w:eastAsia="仿宋_GB2312" w:cs="Arial"/>
                <w:color w:val="auto"/>
                <w:szCs w:val="24"/>
              </w:rPr>
              <w:t>0%</w:t>
            </w:r>
          </w:p>
        </w:tc>
        <w:tc>
          <w:tcPr>
            <w:tcW w:w="853" w:type="dxa"/>
            <w:shd w:val="clear" w:color="auto" w:fill="auto"/>
            <w:noWrap/>
            <w:vAlign w:val="center"/>
          </w:tcPr>
          <w:p w14:paraId="30CEFECA">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7</w:t>
            </w:r>
            <w:r>
              <w:rPr>
                <w:rFonts w:ascii="Arial" w:hAnsi="Arial" w:eastAsia="仿宋_GB2312" w:cs="Arial"/>
                <w:color w:val="auto"/>
                <w:szCs w:val="24"/>
              </w:rPr>
              <w:t>0%</w:t>
            </w:r>
          </w:p>
        </w:tc>
      </w:tr>
    </w:tbl>
    <w:p w14:paraId="3D91BA51">
      <w:pPr>
        <w:spacing w:before="120" w:beforeLines="50" w:line="300" w:lineRule="auto"/>
        <w:jc w:val="center"/>
        <w:rPr>
          <w:rFonts w:ascii="仿宋" w:hAnsi="仿宋" w:eastAsia="仿宋" w:cs="Arial"/>
          <w:color w:val="auto"/>
          <w:sz w:val="28"/>
          <w:szCs w:val="28"/>
        </w:rPr>
      </w:pPr>
      <w:r>
        <w:rPr>
          <w:rFonts w:ascii="Arial" w:hAnsi="Arial" w:eastAsia="仿宋_GB2312" w:cs="Arial"/>
          <w:b/>
          <w:color w:val="auto"/>
          <w:sz w:val="28"/>
        </w:rPr>
        <w:br w:type="page"/>
      </w:r>
      <w:r>
        <w:rPr>
          <w:rFonts w:hint="eastAsia" w:ascii="仿宋" w:hAnsi="仿宋" w:eastAsia="仿宋" w:cs="Arial"/>
          <w:color w:val="auto"/>
          <w:sz w:val="28"/>
          <w:szCs w:val="28"/>
        </w:rPr>
        <w:t>公共管理与公共服务用地</w:t>
      </w:r>
      <w:r>
        <w:rPr>
          <w:rFonts w:ascii="仿宋" w:hAnsi="仿宋" w:eastAsia="仿宋" w:cs="Arial"/>
          <w:color w:val="auto"/>
          <w:sz w:val="28"/>
          <w:szCs w:val="28"/>
        </w:rPr>
        <w:t>权重确定打分评价体系</w:t>
      </w:r>
    </w:p>
    <w:tbl>
      <w:tblPr>
        <w:tblStyle w:val="34"/>
        <w:tblW w:w="9382"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1149"/>
        <w:gridCol w:w="708"/>
        <w:gridCol w:w="5387"/>
        <w:gridCol w:w="1334"/>
        <w:gridCol w:w="804"/>
      </w:tblGrid>
      <w:tr w14:paraId="25A7955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09" w:hRule="atLeast"/>
          <w:tblHeader/>
          <w:jc w:val="center"/>
        </w:trPr>
        <w:tc>
          <w:tcPr>
            <w:tcW w:w="1149" w:type="dxa"/>
            <w:vMerge w:val="restart"/>
            <w:noWrap/>
            <w:vAlign w:val="center"/>
          </w:tcPr>
          <w:p w14:paraId="61D04388">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评价因素</w:t>
            </w:r>
          </w:p>
        </w:tc>
        <w:tc>
          <w:tcPr>
            <w:tcW w:w="708" w:type="dxa"/>
            <w:vMerge w:val="restart"/>
            <w:noWrap/>
            <w:vAlign w:val="center"/>
          </w:tcPr>
          <w:p w14:paraId="2384C4CC">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标准分值</w:t>
            </w:r>
          </w:p>
        </w:tc>
        <w:tc>
          <w:tcPr>
            <w:tcW w:w="5387" w:type="dxa"/>
            <w:vMerge w:val="restart"/>
            <w:noWrap/>
            <w:vAlign w:val="center"/>
          </w:tcPr>
          <w:p w14:paraId="1F0B5770">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打分考虑因素</w:t>
            </w:r>
          </w:p>
        </w:tc>
        <w:tc>
          <w:tcPr>
            <w:tcW w:w="2138" w:type="dxa"/>
            <w:gridSpan w:val="2"/>
            <w:noWrap/>
            <w:vAlign w:val="center"/>
          </w:tcPr>
          <w:p w14:paraId="108E4899">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估价对象</w:t>
            </w:r>
          </w:p>
        </w:tc>
      </w:tr>
      <w:tr w14:paraId="03EE562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63" w:hRule="atLeast"/>
          <w:tblHeader/>
          <w:jc w:val="center"/>
        </w:trPr>
        <w:tc>
          <w:tcPr>
            <w:tcW w:w="1149" w:type="dxa"/>
            <w:vMerge w:val="continue"/>
            <w:vAlign w:val="center"/>
          </w:tcPr>
          <w:p w14:paraId="62EFDF36">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432CB76D">
            <w:pPr>
              <w:widowControl/>
              <w:adjustRightInd/>
              <w:spacing w:line="240" w:lineRule="atLeast"/>
              <w:textAlignment w:val="auto"/>
              <w:rPr>
                <w:rFonts w:ascii="Arial" w:hAnsi="Arial" w:eastAsia="仿宋" w:cs="Arial"/>
                <w:color w:val="auto"/>
                <w:szCs w:val="24"/>
              </w:rPr>
            </w:pPr>
          </w:p>
        </w:tc>
        <w:tc>
          <w:tcPr>
            <w:tcW w:w="5387" w:type="dxa"/>
            <w:vMerge w:val="continue"/>
            <w:vAlign w:val="center"/>
          </w:tcPr>
          <w:p w14:paraId="24F3A9C1">
            <w:pPr>
              <w:widowControl/>
              <w:adjustRightInd/>
              <w:spacing w:line="240" w:lineRule="atLeast"/>
              <w:textAlignment w:val="auto"/>
              <w:rPr>
                <w:rFonts w:ascii="Arial" w:hAnsi="Arial" w:eastAsia="仿宋" w:cs="Arial"/>
                <w:color w:val="auto"/>
                <w:szCs w:val="24"/>
              </w:rPr>
            </w:pPr>
          </w:p>
        </w:tc>
        <w:tc>
          <w:tcPr>
            <w:tcW w:w="1334" w:type="dxa"/>
            <w:noWrap/>
            <w:vAlign w:val="center"/>
          </w:tcPr>
          <w:p w14:paraId="244F0A38">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基准地价系数修正法</w:t>
            </w:r>
          </w:p>
        </w:tc>
        <w:tc>
          <w:tcPr>
            <w:tcW w:w="804" w:type="dxa"/>
            <w:noWrap/>
            <w:vAlign w:val="center"/>
          </w:tcPr>
          <w:p w14:paraId="63489E1C">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剩余法</w:t>
            </w:r>
          </w:p>
        </w:tc>
      </w:tr>
      <w:tr w14:paraId="2738AF7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9" w:hRule="atLeast"/>
          <w:jc w:val="center"/>
        </w:trPr>
        <w:tc>
          <w:tcPr>
            <w:tcW w:w="1149" w:type="dxa"/>
            <w:vMerge w:val="restart"/>
            <w:vAlign w:val="center"/>
          </w:tcPr>
          <w:p w14:paraId="5C22CAA8">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估价方法的代表性</w:t>
            </w:r>
          </w:p>
        </w:tc>
        <w:tc>
          <w:tcPr>
            <w:tcW w:w="708" w:type="dxa"/>
            <w:vMerge w:val="restart"/>
            <w:noWrap/>
            <w:vAlign w:val="center"/>
          </w:tcPr>
          <w:p w14:paraId="4970B9E9">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25</w:t>
            </w:r>
          </w:p>
        </w:tc>
        <w:tc>
          <w:tcPr>
            <w:tcW w:w="5387" w:type="dxa"/>
            <w:noWrap/>
            <w:vAlign w:val="center"/>
          </w:tcPr>
          <w:p w14:paraId="34E327CB">
            <w:pPr>
              <w:spacing w:line="240" w:lineRule="atLeast"/>
              <w:rPr>
                <w:rFonts w:ascii="Arial" w:hAnsi="Arial" w:eastAsia="仿宋" w:cs="Arial"/>
                <w:color w:val="auto"/>
                <w:szCs w:val="24"/>
              </w:rPr>
            </w:pPr>
            <w:r>
              <w:rPr>
                <w:rFonts w:ascii="Arial" w:hAnsi="Arial" w:eastAsia="仿宋" w:cs="Arial"/>
                <w:color w:val="auto"/>
                <w:szCs w:val="24"/>
              </w:rPr>
              <w:t>1.估价方法选取分析充分、合理，取20～25分；</w:t>
            </w:r>
          </w:p>
        </w:tc>
        <w:tc>
          <w:tcPr>
            <w:tcW w:w="1334" w:type="dxa"/>
            <w:vMerge w:val="restart"/>
            <w:noWrap/>
            <w:vAlign w:val="center"/>
          </w:tcPr>
          <w:p w14:paraId="496ED81F">
            <w:pPr>
              <w:spacing w:line="240" w:lineRule="atLeast"/>
              <w:jc w:val="center"/>
              <w:rPr>
                <w:rFonts w:ascii="Arial" w:hAnsi="Arial" w:eastAsia="仿宋" w:cs="Arial"/>
                <w:color w:val="auto"/>
                <w:szCs w:val="24"/>
              </w:rPr>
            </w:pPr>
            <w:r>
              <w:rPr>
                <w:rFonts w:hint="eastAsia" w:ascii="Arial" w:hAnsi="Arial" w:eastAsia="仿宋" w:cs="Arial"/>
                <w:color w:val="auto"/>
                <w:szCs w:val="24"/>
              </w:rPr>
              <w:t>20</w:t>
            </w:r>
          </w:p>
        </w:tc>
        <w:tc>
          <w:tcPr>
            <w:tcW w:w="804" w:type="dxa"/>
            <w:vMerge w:val="restart"/>
            <w:noWrap/>
            <w:vAlign w:val="center"/>
          </w:tcPr>
          <w:p w14:paraId="48ADFA93">
            <w:pPr>
              <w:spacing w:line="240" w:lineRule="atLeast"/>
              <w:jc w:val="center"/>
              <w:rPr>
                <w:rFonts w:ascii="Arial" w:hAnsi="Arial" w:eastAsia="仿宋" w:cs="Arial"/>
                <w:color w:val="auto"/>
                <w:szCs w:val="24"/>
              </w:rPr>
            </w:pPr>
            <w:r>
              <w:rPr>
                <w:rFonts w:ascii="Arial" w:hAnsi="Arial" w:eastAsia="仿宋" w:cs="Arial"/>
                <w:color w:val="auto"/>
                <w:szCs w:val="24"/>
              </w:rPr>
              <w:t>20</w:t>
            </w:r>
          </w:p>
        </w:tc>
      </w:tr>
      <w:tr w14:paraId="12A14E7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432" w:hRule="atLeast"/>
          <w:jc w:val="center"/>
        </w:trPr>
        <w:tc>
          <w:tcPr>
            <w:tcW w:w="1149" w:type="dxa"/>
            <w:vMerge w:val="continue"/>
            <w:vAlign w:val="center"/>
          </w:tcPr>
          <w:p w14:paraId="168E5939">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41D08184">
            <w:pPr>
              <w:widowControl/>
              <w:adjustRightInd/>
              <w:spacing w:line="240" w:lineRule="atLeast"/>
              <w:textAlignment w:val="auto"/>
              <w:rPr>
                <w:rFonts w:ascii="Arial" w:hAnsi="Arial" w:eastAsia="仿宋" w:cs="Arial"/>
                <w:color w:val="auto"/>
                <w:szCs w:val="24"/>
              </w:rPr>
            </w:pPr>
          </w:p>
        </w:tc>
        <w:tc>
          <w:tcPr>
            <w:tcW w:w="5387" w:type="dxa"/>
            <w:noWrap/>
            <w:vAlign w:val="center"/>
          </w:tcPr>
          <w:p w14:paraId="5A86230C">
            <w:pPr>
              <w:spacing w:line="240" w:lineRule="atLeast"/>
              <w:rPr>
                <w:rFonts w:ascii="Arial" w:hAnsi="Arial" w:eastAsia="仿宋" w:cs="Arial"/>
                <w:color w:val="auto"/>
                <w:szCs w:val="24"/>
              </w:rPr>
            </w:pPr>
            <w:r>
              <w:rPr>
                <w:rFonts w:ascii="Arial" w:hAnsi="Arial" w:eastAsia="仿宋" w:cs="Arial"/>
                <w:color w:val="auto"/>
                <w:szCs w:val="24"/>
              </w:rPr>
              <w:t>2.估价方法选取分析较充分、合理，取10～19分；</w:t>
            </w:r>
          </w:p>
        </w:tc>
        <w:tc>
          <w:tcPr>
            <w:tcW w:w="1334" w:type="dxa"/>
            <w:vMerge w:val="continue"/>
            <w:vAlign w:val="center"/>
          </w:tcPr>
          <w:p w14:paraId="676606DF">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136641EA">
            <w:pPr>
              <w:widowControl/>
              <w:adjustRightInd/>
              <w:spacing w:line="240" w:lineRule="atLeast"/>
              <w:textAlignment w:val="auto"/>
              <w:rPr>
                <w:rFonts w:ascii="Arial" w:hAnsi="Arial" w:eastAsia="仿宋" w:cs="Arial"/>
                <w:color w:val="auto"/>
                <w:szCs w:val="24"/>
              </w:rPr>
            </w:pPr>
          </w:p>
        </w:tc>
      </w:tr>
      <w:tr w14:paraId="67A1EBC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432" w:hRule="atLeast"/>
          <w:jc w:val="center"/>
        </w:trPr>
        <w:tc>
          <w:tcPr>
            <w:tcW w:w="1149" w:type="dxa"/>
            <w:vMerge w:val="continue"/>
            <w:vAlign w:val="center"/>
          </w:tcPr>
          <w:p w14:paraId="4ADC7C76">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49A48385">
            <w:pPr>
              <w:widowControl/>
              <w:adjustRightInd/>
              <w:spacing w:line="240" w:lineRule="atLeast"/>
              <w:textAlignment w:val="auto"/>
              <w:rPr>
                <w:rFonts w:ascii="Arial" w:hAnsi="Arial" w:eastAsia="仿宋" w:cs="Arial"/>
                <w:color w:val="auto"/>
                <w:szCs w:val="24"/>
              </w:rPr>
            </w:pPr>
          </w:p>
        </w:tc>
        <w:tc>
          <w:tcPr>
            <w:tcW w:w="5387" w:type="dxa"/>
            <w:noWrap/>
            <w:vAlign w:val="center"/>
          </w:tcPr>
          <w:p w14:paraId="162578A9">
            <w:pPr>
              <w:spacing w:line="240" w:lineRule="atLeast"/>
              <w:rPr>
                <w:rFonts w:ascii="Arial" w:hAnsi="Arial" w:eastAsia="仿宋" w:cs="Arial"/>
                <w:color w:val="auto"/>
                <w:szCs w:val="24"/>
              </w:rPr>
            </w:pPr>
            <w:r>
              <w:rPr>
                <w:rFonts w:ascii="Arial" w:hAnsi="Arial" w:eastAsia="仿宋" w:cs="Arial"/>
                <w:color w:val="auto"/>
                <w:szCs w:val="24"/>
              </w:rPr>
              <w:t>3.估价方法选取分析较不充分，取0～9分；</w:t>
            </w:r>
          </w:p>
        </w:tc>
        <w:tc>
          <w:tcPr>
            <w:tcW w:w="1334" w:type="dxa"/>
            <w:vMerge w:val="continue"/>
            <w:vAlign w:val="center"/>
          </w:tcPr>
          <w:p w14:paraId="7EA5B1F1">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6D436DB7">
            <w:pPr>
              <w:widowControl/>
              <w:adjustRightInd/>
              <w:spacing w:line="240" w:lineRule="atLeast"/>
              <w:textAlignment w:val="auto"/>
              <w:rPr>
                <w:rFonts w:ascii="Arial" w:hAnsi="Arial" w:eastAsia="仿宋" w:cs="Arial"/>
                <w:color w:val="auto"/>
                <w:szCs w:val="24"/>
              </w:rPr>
            </w:pPr>
          </w:p>
        </w:tc>
      </w:tr>
      <w:tr w14:paraId="7056D18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09" w:hRule="atLeast"/>
          <w:jc w:val="center"/>
        </w:trPr>
        <w:tc>
          <w:tcPr>
            <w:tcW w:w="1149" w:type="dxa"/>
            <w:vMerge w:val="restart"/>
            <w:vAlign w:val="center"/>
          </w:tcPr>
          <w:p w14:paraId="07822717">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估价方法所要求的估价资料的完整性</w:t>
            </w:r>
          </w:p>
        </w:tc>
        <w:tc>
          <w:tcPr>
            <w:tcW w:w="708" w:type="dxa"/>
            <w:vMerge w:val="restart"/>
            <w:vAlign w:val="center"/>
          </w:tcPr>
          <w:p w14:paraId="0EC98ADC">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15</w:t>
            </w:r>
          </w:p>
        </w:tc>
        <w:tc>
          <w:tcPr>
            <w:tcW w:w="5387" w:type="dxa"/>
            <w:noWrap/>
            <w:vAlign w:val="center"/>
          </w:tcPr>
          <w:p w14:paraId="5B0D24B9">
            <w:pPr>
              <w:spacing w:line="240" w:lineRule="atLeast"/>
              <w:rPr>
                <w:rFonts w:ascii="Arial" w:hAnsi="Arial" w:eastAsia="仿宋" w:cs="Arial"/>
                <w:color w:val="auto"/>
                <w:szCs w:val="24"/>
              </w:rPr>
            </w:pPr>
            <w:r>
              <w:rPr>
                <w:rFonts w:ascii="Arial" w:hAnsi="Arial" w:eastAsia="仿宋" w:cs="Arial"/>
                <w:color w:val="auto"/>
                <w:szCs w:val="24"/>
              </w:rPr>
              <w:t>1.估价资料完整，来源依据充分，取10～15分；</w:t>
            </w:r>
          </w:p>
        </w:tc>
        <w:tc>
          <w:tcPr>
            <w:tcW w:w="1334" w:type="dxa"/>
            <w:vMerge w:val="restart"/>
            <w:noWrap/>
            <w:vAlign w:val="center"/>
          </w:tcPr>
          <w:p w14:paraId="7DF51BA0">
            <w:pPr>
              <w:spacing w:line="240" w:lineRule="atLeast"/>
              <w:jc w:val="center"/>
              <w:rPr>
                <w:rFonts w:ascii="Arial" w:hAnsi="Arial" w:eastAsia="仿宋" w:cs="Arial"/>
                <w:color w:val="auto"/>
                <w:szCs w:val="24"/>
              </w:rPr>
            </w:pPr>
            <w:r>
              <w:rPr>
                <w:rFonts w:hint="eastAsia" w:ascii="Arial" w:hAnsi="Arial" w:eastAsia="仿宋" w:cs="Arial"/>
                <w:color w:val="auto"/>
                <w:szCs w:val="24"/>
              </w:rPr>
              <w:t>15</w:t>
            </w:r>
          </w:p>
        </w:tc>
        <w:tc>
          <w:tcPr>
            <w:tcW w:w="804" w:type="dxa"/>
            <w:vMerge w:val="restart"/>
            <w:noWrap/>
            <w:vAlign w:val="center"/>
          </w:tcPr>
          <w:p w14:paraId="0CCE7845">
            <w:pPr>
              <w:spacing w:line="240" w:lineRule="atLeast"/>
              <w:jc w:val="center"/>
              <w:rPr>
                <w:rFonts w:ascii="Arial" w:hAnsi="Arial" w:eastAsia="仿宋" w:cs="Arial"/>
                <w:color w:val="auto"/>
                <w:szCs w:val="24"/>
              </w:rPr>
            </w:pPr>
            <w:r>
              <w:rPr>
                <w:rFonts w:ascii="Arial" w:hAnsi="Arial" w:eastAsia="仿宋" w:cs="Arial"/>
                <w:color w:val="auto"/>
                <w:szCs w:val="24"/>
              </w:rPr>
              <w:t>15</w:t>
            </w:r>
          </w:p>
        </w:tc>
      </w:tr>
      <w:tr w14:paraId="69420CF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732" w:hRule="atLeast"/>
          <w:jc w:val="center"/>
        </w:trPr>
        <w:tc>
          <w:tcPr>
            <w:tcW w:w="1149" w:type="dxa"/>
            <w:vMerge w:val="continue"/>
            <w:vAlign w:val="center"/>
          </w:tcPr>
          <w:p w14:paraId="2900D089">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684DDCCA">
            <w:pPr>
              <w:widowControl/>
              <w:adjustRightInd/>
              <w:spacing w:line="240" w:lineRule="atLeast"/>
              <w:textAlignment w:val="auto"/>
              <w:rPr>
                <w:rFonts w:ascii="Arial" w:hAnsi="Arial" w:eastAsia="仿宋" w:cs="Arial"/>
                <w:color w:val="auto"/>
                <w:szCs w:val="24"/>
              </w:rPr>
            </w:pPr>
          </w:p>
        </w:tc>
        <w:tc>
          <w:tcPr>
            <w:tcW w:w="5387" w:type="dxa"/>
            <w:noWrap/>
            <w:vAlign w:val="center"/>
          </w:tcPr>
          <w:p w14:paraId="6D51CA67">
            <w:pPr>
              <w:spacing w:line="240" w:lineRule="atLeast"/>
              <w:rPr>
                <w:rFonts w:ascii="Arial" w:hAnsi="Arial" w:eastAsia="仿宋" w:cs="Arial"/>
                <w:color w:val="auto"/>
                <w:szCs w:val="24"/>
              </w:rPr>
            </w:pPr>
            <w:r>
              <w:rPr>
                <w:rFonts w:ascii="Arial" w:hAnsi="Arial" w:eastAsia="仿宋" w:cs="Arial"/>
                <w:color w:val="auto"/>
                <w:szCs w:val="24"/>
              </w:rPr>
              <w:t>2.估价资料有欠缺，来源依据较不充分，取0～9分；</w:t>
            </w:r>
          </w:p>
        </w:tc>
        <w:tc>
          <w:tcPr>
            <w:tcW w:w="1334" w:type="dxa"/>
            <w:vMerge w:val="continue"/>
            <w:vAlign w:val="center"/>
          </w:tcPr>
          <w:p w14:paraId="446C84DE">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48989131">
            <w:pPr>
              <w:widowControl/>
              <w:adjustRightInd/>
              <w:spacing w:line="240" w:lineRule="atLeast"/>
              <w:textAlignment w:val="auto"/>
              <w:rPr>
                <w:rFonts w:ascii="Arial" w:hAnsi="Arial" w:eastAsia="仿宋" w:cs="Arial"/>
                <w:color w:val="auto"/>
                <w:szCs w:val="24"/>
              </w:rPr>
            </w:pPr>
          </w:p>
        </w:tc>
      </w:tr>
      <w:tr w14:paraId="5C562B1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restart"/>
            <w:vAlign w:val="center"/>
          </w:tcPr>
          <w:p w14:paraId="796C0749">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参数选取的客观性</w:t>
            </w:r>
          </w:p>
        </w:tc>
        <w:tc>
          <w:tcPr>
            <w:tcW w:w="708" w:type="dxa"/>
            <w:vMerge w:val="restart"/>
            <w:vAlign w:val="center"/>
          </w:tcPr>
          <w:p w14:paraId="736679EA">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15</w:t>
            </w:r>
          </w:p>
        </w:tc>
        <w:tc>
          <w:tcPr>
            <w:tcW w:w="5387" w:type="dxa"/>
            <w:noWrap/>
            <w:vAlign w:val="center"/>
          </w:tcPr>
          <w:p w14:paraId="12AE0FC8">
            <w:pPr>
              <w:spacing w:line="240" w:lineRule="atLeast"/>
              <w:rPr>
                <w:rFonts w:ascii="Arial" w:hAnsi="Arial" w:eastAsia="仿宋" w:cs="Arial"/>
                <w:color w:val="auto"/>
                <w:szCs w:val="24"/>
              </w:rPr>
            </w:pPr>
            <w:r>
              <w:rPr>
                <w:rFonts w:ascii="Arial" w:hAnsi="Arial" w:eastAsia="仿宋" w:cs="Arial"/>
                <w:color w:val="auto"/>
                <w:szCs w:val="24"/>
              </w:rPr>
              <w:t>1.参数从市场上获取，或从权威机构发布的信息上获取，取10～15分；</w:t>
            </w:r>
          </w:p>
        </w:tc>
        <w:tc>
          <w:tcPr>
            <w:tcW w:w="1334" w:type="dxa"/>
            <w:vMerge w:val="restart"/>
            <w:noWrap/>
            <w:vAlign w:val="center"/>
          </w:tcPr>
          <w:p w14:paraId="7305E5FF">
            <w:pPr>
              <w:spacing w:line="240" w:lineRule="atLeast"/>
              <w:jc w:val="center"/>
              <w:rPr>
                <w:rFonts w:ascii="Arial" w:hAnsi="Arial" w:eastAsia="仿宋" w:cs="Arial"/>
                <w:color w:val="auto"/>
                <w:szCs w:val="24"/>
              </w:rPr>
            </w:pPr>
            <w:r>
              <w:rPr>
                <w:rFonts w:hint="eastAsia" w:ascii="Arial" w:hAnsi="Arial" w:eastAsia="仿宋" w:cs="Arial"/>
                <w:color w:val="auto"/>
                <w:szCs w:val="24"/>
              </w:rPr>
              <w:t>15</w:t>
            </w:r>
          </w:p>
        </w:tc>
        <w:tc>
          <w:tcPr>
            <w:tcW w:w="804" w:type="dxa"/>
            <w:vMerge w:val="restart"/>
            <w:noWrap/>
            <w:vAlign w:val="center"/>
          </w:tcPr>
          <w:p w14:paraId="640A6E35">
            <w:pPr>
              <w:spacing w:line="240" w:lineRule="atLeast"/>
              <w:jc w:val="center"/>
              <w:rPr>
                <w:rFonts w:ascii="Arial" w:hAnsi="Arial" w:eastAsia="仿宋" w:cs="Arial"/>
                <w:color w:val="auto"/>
                <w:szCs w:val="24"/>
              </w:rPr>
            </w:pPr>
            <w:r>
              <w:rPr>
                <w:rFonts w:ascii="Arial" w:hAnsi="Arial" w:eastAsia="仿宋" w:cs="Arial"/>
                <w:color w:val="auto"/>
                <w:szCs w:val="24"/>
              </w:rPr>
              <w:t>15</w:t>
            </w:r>
          </w:p>
        </w:tc>
      </w:tr>
      <w:tr w14:paraId="4604DB2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09" w:hRule="atLeast"/>
          <w:jc w:val="center"/>
        </w:trPr>
        <w:tc>
          <w:tcPr>
            <w:tcW w:w="1149" w:type="dxa"/>
            <w:vMerge w:val="continue"/>
            <w:vAlign w:val="center"/>
          </w:tcPr>
          <w:p w14:paraId="6E2E025E">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447E7FF3">
            <w:pPr>
              <w:widowControl/>
              <w:adjustRightInd/>
              <w:spacing w:line="240" w:lineRule="atLeast"/>
              <w:textAlignment w:val="auto"/>
              <w:rPr>
                <w:rFonts w:ascii="Arial" w:hAnsi="Arial" w:eastAsia="仿宋" w:cs="Arial"/>
                <w:color w:val="auto"/>
                <w:szCs w:val="24"/>
              </w:rPr>
            </w:pPr>
          </w:p>
        </w:tc>
        <w:tc>
          <w:tcPr>
            <w:tcW w:w="5387" w:type="dxa"/>
            <w:noWrap/>
            <w:vAlign w:val="center"/>
          </w:tcPr>
          <w:p w14:paraId="15309B8C">
            <w:pPr>
              <w:spacing w:line="240" w:lineRule="atLeast"/>
              <w:rPr>
                <w:rFonts w:ascii="Arial" w:hAnsi="Arial" w:eastAsia="仿宋" w:cs="Arial"/>
                <w:color w:val="auto"/>
                <w:szCs w:val="24"/>
              </w:rPr>
            </w:pPr>
            <w:r>
              <w:rPr>
                <w:rFonts w:ascii="Arial" w:hAnsi="Arial" w:eastAsia="仿宋" w:cs="Arial"/>
                <w:color w:val="auto"/>
                <w:szCs w:val="24"/>
              </w:rPr>
              <w:t>2.部分参数为自行分析取得，理由较充分，取0～9分；</w:t>
            </w:r>
          </w:p>
        </w:tc>
        <w:tc>
          <w:tcPr>
            <w:tcW w:w="1334" w:type="dxa"/>
            <w:vMerge w:val="continue"/>
            <w:vAlign w:val="center"/>
          </w:tcPr>
          <w:p w14:paraId="3A7B0D1B">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1A55C3F6">
            <w:pPr>
              <w:widowControl/>
              <w:adjustRightInd/>
              <w:spacing w:line="240" w:lineRule="atLeast"/>
              <w:textAlignment w:val="auto"/>
              <w:rPr>
                <w:rFonts w:ascii="Arial" w:hAnsi="Arial" w:eastAsia="仿宋" w:cs="Arial"/>
                <w:color w:val="auto"/>
                <w:szCs w:val="24"/>
              </w:rPr>
            </w:pPr>
          </w:p>
        </w:tc>
      </w:tr>
      <w:tr w14:paraId="1F4781F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restart"/>
            <w:vAlign w:val="center"/>
          </w:tcPr>
          <w:p w14:paraId="602D6074">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参数确定的时效性</w:t>
            </w:r>
          </w:p>
        </w:tc>
        <w:tc>
          <w:tcPr>
            <w:tcW w:w="708" w:type="dxa"/>
            <w:vMerge w:val="restart"/>
            <w:vAlign w:val="center"/>
          </w:tcPr>
          <w:p w14:paraId="080057D4">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15</w:t>
            </w:r>
          </w:p>
        </w:tc>
        <w:tc>
          <w:tcPr>
            <w:tcW w:w="5387" w:type="dxa"/>
            <w:noWrap/>
            <w:vAlign w:val="center"/>
          </w:tcPr>
          <w:p w14:paraId="0FC6A35C">
            <w:pPr>
              <w:spacing w:line="240" w:lineRule="atLeast"/>
              <w:rPr>
                <w:rFonts w:ascii="Arial" w:hAnsi="Arial" w:eastAsia="仿宋" w:cs="Arial"/>
                <w:color w:val="auto"/>
                <w:szCs w:val="24"/>
              </w:rPr>
            </w:pPr>
            <w:r>
              <w:rPr>
                <w:rFonts w:ascii="Arial" w:hAnsi="Arial" w:eastAsia="仿宋" w:cs="Arial"/>
                <w:color w:val="auto"/>
                <w:szCs w:val="24"/>
              </w:rPr>
              <w:t>1.参数在规定的时效范围内，且距估价期日未超过1年，取10～15分；</w:t>
            </w:r>
          </w:p>
        </w:tc>
        <w:tc>
          <w:tcPr>
            <w:tcW w:w="1334" w:type="dxa"/>
            <w:vMerge w:val="restart"/>
            <w:noWrap/>
            <w:vAlign w:val="center"/>
          </w:tcPr>
          <w:p w14:paraId="2CD222A6">
            <w:pPr>
              <w:spacing w:line="240" w:lineRule="atLeast"/>
              <w:jc w:val="center"/>
              <w:rPr>
                <w:rFonts w:ascii="Arial" w:hAnsi="Arial" w:eastAsia="仿宋" w:cs="Arial"/>
                <w:color w:val="auto"/>
                <w:szCs w:val="24"/>
              </w:rPr>
            </w:pPr>
            <w:r>
              <w:rPr>
                <w:rFonts w:hint="eastAsia" w:ascii="Arial" w:hAnsi="Arial" w:eastAsia="仿宋" w:cs="Arial"/>
                <w:color w:val="auto"/>
                <w:szCs w:val="24"/>
              </w:rPr>
              <w:t>15</w:t>
            </w:r>
          </w:p>
        </w:tc>
        <w:tc>
          <w:tcPr>
            <w:tcW w:w="804" w:type="dxa"/>
            <w:vMerge w:val="restart"/>
            <w:noWrap/>
            <w:vAlign w:val="center"/>
          </w:tcPr>
          <w:p w14:paraId="428FBF32">
            <w:pPr>
              <w:spacing w:line="240" w:lineRule="atLeast"/>
              <w:jc w:val="center"/>
              <w:rPr>
                <w:rFonts w:ascii="Arial" w:hAnsi="Arial" w:eastAsia="仿宋" w:cs="Arial"/>
                <w:color w:val="auto"/>
                <w:szCs w:val="24"/>
              </w:rPr>
            </w:pPr>
            <w:r>
              <w:rPr>
                <w:rFonts w:ascii="Arial" w:hAnsi="Arial" w:eastAsia="仿宋" w:cs="Arial"/>
                <w:color w:val="auto"/>
                <w:szCs w:val="24"/>
              </w:rPr>
              <w:t>15</w:t>
            </w:r>
          </w:p>
        </w:tc>
      </w:tr>
      <w:tr w14:paraId="0845C4C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continue"/>
            <w:vAlign w:val="center"/>
          </w:tcPr>
          <w:p w14:paraId="532834F7">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3248FAC6">
            <w:pPr>
              <w:widowControl/>
              <w:adjustRightInd/>
              <w:spacing w:line="240" w:lineRule="atLeast"/>
              <w:textAlignment w:val="auto"/>
              <w:rPr>
                <w:rFonts w:ascii="Arial" w:hAnsi="Arial" w:eastAsia="仿宋" w:cs="Arial"/>
                <w:color w:val="auto"/>
                <w:szCs w:val="24"/>
              </w:rPr>
            </w:pPr>
          </w:p>
        </w:tc>
        <w:tc>
          <w:tcPr>
            <w:tcW w:w="5387" w:type="dxa"/>
            <w:noWrap/>
            <w:vAlign w:val="center"/>
          </w:tcPr>
          <w:p w14:paraId="07F06C47">
            <w:pPr>
              <w:spacing w:line="240" w:lineRule="atLeast"/>
              <w:rPr>
                <w:rFonts w:ascii="Arial" w:hAnsi="Arial" w:eastAsia="仿宋" w:cs="Arial"/>
                <w:color w:val="auto"/>
                <w:szCs w:val="24"/>
              </w:rPr>
            </w:pPr>
            <w:r>
              <w:rPr>
                <w:rFonts w:ascii="Arial" w:hAnsi="Arial" w:eastAsia="仿宋" w:cs="Arial"/>
                <w:color w:val="auto"/>
                <w:szCs w:val="24"/>
              </w:rPr>
              <w:t>2.参数在规定的时效范围内，但距估价期日超过1年，取0～9分；</w:t>
            </w:r>
          </w:p>
        </w:tc>
        <w:tc>
          <w:tcPr>
            <w:tcW w:w="1334" w:type="dxa"/>
            <w:vMerge w:val="continue"/>
            <w:vAlign w:val="center"/>
          </w:tcPr>
          <w:p w14:paraId="6CC3D476">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5538A870">
            <w:pPr>
              <w:widowControl/>
              <w:adjustRightInd/>
              <w:spacing w:line="240" w:lineRule="atLeast"/>
              <w:textAlignment w:val="auto"/>
              <w:rPr>
                <w:rFonts w:ascii="Arial" w:hAnsi="Arial" w:eastAsia="仿宋" w:cs="Arial"/>
                <w:color w:val="auto"/>
                <w:szCs w:val="24"/>
              </w:rPr>
            </w:pPr>
          </w:p>
        </w:tc>
      </w:tr>
      <w:tr w14:paraId="6BFE236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restart"/>
            <w:vAlign w:val="center"/>
          </w:tcPr>
          <w:p w14:paraId="3CCE7F03">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估价结果的现势性</w:t>
            </w:r>
          </w:p>
        </w:tc>
        <w:tc>
          <w:tcPr>
            <w:tcW w:w="708" w:type="dxa"/>
            <w:vMerge w:val="restart"/>
            <w:noWrap/>
            <w:vAlign w:val="center"/>
          </w:tcPr>
          <w:p w14:paraId="57152EA0">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30</w:t>
            </w:r>
          </w:p>
        </w:tc>
        <w:tc>
          <w:tcPr>
            <w:tcW w:w="5387" w:type="dxa"/>
            <w:noWrap/>
            <w:vAlign w:val="center"/>
          </w:tcPr>
          <w:p w14:paraId="69351358">
            <w:pPr>
              <w:spacing w:line="240" w:lineRule="atLeast"/>
              <w:rPr>
                <w:rFonts w:ascii="Arial" w:hAnsi="Arial" w:eastAsia="仿宋" w:cs="Arial"/>
                <w:color w:val="auto"/>
                <w:szCs w:val="24"/>
              </w:rPr>
            </w:pPr>
            <w:r>
              <w:rPr>
                <w:rFonts w:ascii="Arial" w:hAnsi="Arial" w:eastAsia="仿宋" w:cs="Arial"/>
                <w:color w:val="auto"/>
                <w:szCs w:val="24"/>
              </w:rPr>
              <w:t>1.估价结果与同类用途房地产市场价格水平一致，且考虑了房地产市场发展趋势，取20～30分；</w:t>
            </w:r>
          </w:p>
        </w:tc>
        <w:tc>
          <w:tcPr>
            <w:tcW w:w="1334" w:type="dxa"/>
            <w:vMerge w:val="restart"/>
            <w:noWrap/>
            <w:vAlign w:val="center"/>
          </w:tcPr>
          <w:p w14:paraId="0ADC6838">
            <w:pPr>
              <w:spacing w:line="240" w:lineRule="atLeast"/>
              <w:jc w:val="center"/>
              <w:rPr>
                <w:rFonts w:ascii="Arial" w:hAnsi="Arial" w:eastAsia="仿宋" w:cs="Arial"/>
                <w:color w:val="auto"/>
                <w:szCs w:val="24"/>
              </w:rPr>
            </w:pPr>
            <w:r>
              <w:rPr>
                <w:rFonts w:hint="eastAsia" w:ascii="Arial" w:hAnsi="Arial" w:eastAsia="仿宋" w:cs="Arial"/>
                <w:color w:val="auto"/>
                <w:szCs w:val="24"/>
              </w:rPr>
              <w:t>25</w:t>
            </w:r>
          </w:p>
        </w:tc>
        <w:tc>
          <w:tcPr>
            <w:tcW w:w="804" w:type="dxa"/>
            <w:vMerge w:val="restart"/>
            <w:noWrap/>
            <w:vAlign w:val="center"/>
          </w:tcPr>
          <w:p w14:paraId="543D8162">
            <w:pPr>
              <w:spacing w:line="240" w:lineRule="atLeast"/>
              <w:jc w:val="center"/>
              <w:rPr>
                <w:rFonts w:ascii="Arial" w:hAnsi="Arial" w:eastAsia="仿宋" w:cs="Arial"/>
                <w:color w:val="auto"/>
                <w:szCs w:val="24"/>
              </w:rPr>
            </w:pPr>
            <w:r>
              <w:rPr>
                <w:rFonts w:ascii="Arial" w:hAnsi="Arial" w:eastAsia="仿宋" w:cs="Arial"/>
                <w:color w:val="auto"/>
                <w:szCs w:val="24"/>
              </w:rPr>
              <w:t>25</w:t>
            </w:r>
          </w:p>
        </w:tc>
      </w:tr>
      <w:tr w14:paraId="492DCE6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602" w:hRule="atLeast"/>
          <w:jc w:val="center"/>
        </w:trPr>
        <w:tc>
          <w:tcPr>
            <w:tcW w:w="1149" w:type="dxa"/>
            <w:vMerge w:val="continue"/>
            <w:vAlign w:val="center"/>
          </w:tcPr>
          <w:p w14:paraId="5EE59955">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1F74D114">
            <w:pPr>
              <w:widowControl/>
              <w:adjustRightInd/>
              <w:spacing w:line="240" w:lineRule="atLeast"/>
              <w:textAlignment w:val="auto"/>
              <w:rPr>
                <w:rFonts w:ascii="Arial" w:hAnsi="Arial" w:eastAsia="仿宋" w:cs="Arial"/>
                <w:color w:val="auto"/>
                <w:szCs w:val="24"/>
              </w:rPr>
            </w:pPr>
          </w:p>
        </w:tc>
        <w:tc>
          <w:tcPr>
            <w:tcW w:w="5387" w:type="dxa"/>
            <w:noWrap/>
            <w:vAlign w:val="center"/>
          </w:tcPr>
          <w:p w14:paraId="7BF886A3">
            <w:pPr>
              <w:spacing w:line="240" w:lineRule="atLeast"/>
              <w:rPr>
                <w:rFonts w:ascii="Arial" w:hAnsi="Arial" w:eastAsia="仿宋" w:cs="Arial"/>
                <w:color w:val="auto"/>
                <w:szCs w:val="24"/>
              </w:rPr>
            </w:pPr>
            <w:r>
              <w:rPr>
                <w:rFonts w:ascii="Arial" w:hAnsi="Arial" w:eastAsia="仿宋" w:cs="Arial"/>
                <w:color w:val="auto"/>
                <w:szCs w:val="24"/>
              </w:rPr>
              <w:t>2.估价结果与同类用途房地产价格水平基本一致，且适当考虑了房地产市场发展趋势，取10～19分；</w:t>
            </w:r>
          </w:p>
        </w:tc>
        <w:tc>
          <w:tcPr>
            <w:tcW w:w="1334" w:type="dxa"/>
            <w:vMerge w:val="continue"/>
            <w:vAlign w:val="center"/>
          </w:tcPr>
          <w:p w14:paraId="18AB7B52">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4FD6A9AE">
            <w:pPr>
              <w:widowControl/>
              <w:adjustRightInd/>
              <w:spacing w:line="240" w:lineRule="atLeast"/>
              <w:textAlignment w:val="auto"/>
              <w:rPr>
                <w:rFonts w:ascii="Arial" w:hAnsi="Arial" w:eastAsia="仿宋" w:cs="Arial"/>
                <w:color w:val="auto"/>
                <w:szCs w:val="24"/>
              </w:rPr>
            </w:pPr>
          </w:p>
        </w:tc>
      </w:tr>
      <w:tr w14:paraId="3A91807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continue"/>
            <w:vAlign w:val="center"/>
          </w:tcPr>
          <w:p w14:paraId="251AEBB7">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628AB78E">
            <w:pPr>
              <w:widowControl/>
              <w:adjustRightInd/>
              <w:spacing w:line="240" w:lineRule="atLeast"/>
              <w:textAlignment w:val="auto"/>
              <w:rPr>
                <w:rFonts w:ascii="Arial" w:hAnsi="Arial" w:eastAsia="仿宋" w:cs="Arial"/>
                <w:color w:val="auto"/>
                <w:szCs w:val="24"/>
              </w:rPr>
            </w:pPr>
          </w:p>
        </w:tc>
        <w:tc>
          <w:tcPr>
            <w:tcW w:w="5387" w:type="dxa"/>
            <w:noWrap/>
            <w:vAlign w:val="center"/>
          </w:tcPr>
          <w:p w14:paraId="1C3B80FF">
            <w:pPr>
              <w:spacing w:line="240" w:lineRule="atLeast"/>
              <w:rPr>
                <w:rFonts w:ascii="Arial" w:hAnsi="Arial" w:eastAsia="仿宋" w:cs="Arial"/>
                <w:color w:val="auto"/>
                <w:szCs w:val="24"/>
              </w:rPr>
            </w:pPr>
            <w:r>
              <w:rPr>
                <w:rFonts w:ascii="Arial" w:hAnsi="Arial" w:eastAsia="仿宋" w:cs="Arial"/>
                <w:color w:val="auto"/>
                <w:szCs w:val="24"/>
              </w:rPr>
              <w:t>3.估价结果与同类用途房地产价格水平有一定差距，且适当考虑房地产市场发展趋势，取0～9分；</w:t>
            </w:r>
          </w:p>
        </w:tc>
        <w:tc>
          <w:tcPr>
            <w:tcW w:w="1334" w:type="dxa"/>
            <w:vMerge w:val="continue"/>
            <w:vAlign w:val="center"/>
          </w:tcPr>
          <w:p w14:paraId="238A3DAE">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0FD5BE9A">
            <w:pPr>
              <w:widowControl/>
              <w:adjustRightInd/>
              <w:spacing w:line="240" w:lineRule="atLeast"/>
              <w:textAlignment w:val="auto"/>
              <w:rPr>
                <w:rFonts w:ascii="Arial" w:hAnsi="Arial" w:eastAsia="仿宋" w:cs="Arial"/>
                <w:color w:val="auto"/>
                <w:szCs w:val="24"/>
              </w:rPr>
            </w:pPr>
          </w:p>
        </w:tc>
      </w:tr>
      <w:tr w14:paraId="4EB9A71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247" w:hRule="atLeast"/>
          <w:jc w:val="center"/>
        </w:trPr>
        <w:tc>
          <w:tcPr>
            <w:tcW w:w="7244" w:type="dxa"/>
            <w:gridSpan w:val="3"/>
            <w:noWrap/>
            <w:vAlign w:val="center"/>
          </w:tcPr>
          <w:p w14:paraId="65BE310A">
            <w:pPr>
              <w:widowControl/>
              <w:adjustRightInd/>
              <w:spacing w:line="240" w:lineRule="atLeast"/>
              <w:jc w:val="center"/>
              <w:textAlignment w:val="auto"/>
              <w:rPr>
                <w:rFonts w:ascii="Arial" w:hAnsi="Arial" w:eastAsia="仿宋" w:cs="Arial"/>
                <w:b/>
                <w:bCs/>
                <w:color w:val="auto"/>
                <w:szCs w:val="24"/>
              </w:rPr>
            </w:pPr>
            <w:r>
              <w:rPr>
                <w:rFonts w:ascii="Arial" w:hAnsi="Arial" w:eastAsia="仿宋" w:cs="Arial"/>
                <w:b/>
                <w:bCs/>
                <w:color w:val="auto"/>
                <w:szCs w:val="24"/>
              </w:rPr>
              <w:t>分值</w:t>
            </w:r>
          </w:p>
        </w:tc>
        <w:tc>
          <w:tcPr>
            <w:tcW w:w="1334" w:type="dxa"/>
            <w:noWrap/>
            <w:vAlign w:val="center"/>
          </w:tcPr>
          <w:p w14:paraId="1B11C1CA">
            <w:pPr>
              <w:spacing w:line="240" w:lineRule="atLeast"/>
              <w:jc w:val="center"/>
              <w:rPr>
                <w:rFonts w:ascii="Arial" w:hAnsi="Arial" w:eastAsia="仿宋" w:cs="Arial"/>
                <w:color w:val="auto"/>
                <w:szCs w:val="24"/>
              </w:rPr>
            </w:pPr>
            <w:r>
              <w:rPr>
                <w:rFonts w:hint="eastAsia" w:ascii="Arial" w:hAnsi="Arial" w:eastAsia="仿宋" w:cs="Arial"/>
                <w:color w:val="auto"/>
                <w:szCs w:val="24"/>
              </w:rPr>
              <w:t>90</w:t>
            </w:r>
          </w:p>
        </w:tc>
        <w:tc>
          <w:tcPr>
            <w:tcW w:w="804" w:type="dxa"/>
            <w:noWrap/>
            <w:vAlign w:val="center"/>
          </w:tcPr>
          <w:p w14:paraId="72678882">
            <w:pPr>
              <w:spacing w:line="240" w:lineRule="atLeast"/>
              <w:jc w:val="center"/>
              <w:rPr>
                <w:rFonts w:ascii="Arial" w:hAnsi="Arial" w:eastAsia="仿宋" w:cs="Arial"/>
                <w:color w:val="auto"/>
                <w:szCs w:val="24"/>
              </w:rPr>
            </w:pPr>
            <w:r>
              <w:rPr>
                <w:rFonts w:ascii="Arial" w:hAnsi="Arial" w:eastAsia="仿宋" w:cs="Arial"/>
                <w:color w:val="auto"/>
                <w:szCs w:val="24"/>
              </w:rPr>
              <w:t>90</w:t>
            </w:r>
          </w:p>
        </w:tc>
      </w:tr>
      <w:tr w14:paraId="25E290F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262" w:hRule="atLeast"/>
          <w:jc w:val="center"/>
        </w:trPr>
        <w:tc>
          <w:tcPr>
            <w:tcW w:w="7244" w:type="dxa"/>
            <w:gridSpan w:val="3"/>
            <w:noWrap/>
            <w:vAlign w:val="center"/>
          </w:tcPr>
          <w:p w14:paraId="4EA63F53">
            <w:pPr>
              <w:widowControl/>
              <w:adjustRightInd/>
              <w:spacing w:line="240" w:lineRule="atLeast"/>
              <w:jc w:val="center"/>
              <w:textAlignment w:val="auto"/>
              <w:rPr>
                <w:rFonts w:ascii="Arial" w:hAnsi="Arial" w:eastAsia="仿宋" w:cs="Arial"/>
                <w:b/>
                <w:bCs/>
                <w:color w:val="auto"/>
                <w:szCs w:val="24"/>
              </w:rPr>
            </w:pPr>
            <w:r>
              <w:rPr>
                <w:rFonts w:ascii="Arial" w:hAnsi="Arial" w:eastAsia="仿宋" w:cs="Arial"/>
                <w:b/>
                <w:bCs/>
                <w:color w:val="auto"/>
                <w:szCs w:val="24"/>
              </w:rPr>
              <w:t>权重</w:t>
            </w:r>
          </w:p>
        </w:tc>
        <w:tc>
          <w:tcPr>
            <w:tcW w:w="1334" w:type="dxa"/>
            <w:noWrap/>
            <w:vAlign w:val="center"/>
          </w:tcPr>
          <w:p w14:paraId="58B16ACA">
            <w:pPr>
              <w:spacing w:line="240" w:lineRule="atLeast"/>
              <w:jc w:val="center"/>
              <w:rPr>
                <w:rFonts w:ascii="Arial" w:hAnsi="Arial" w:eastAsia="仿宋" w:cs="Arial"/>
                <w:color w:val="auto"/>
                <w:szCs w:val="24"/>
              </w:rPr>
            </w:pPr>
            <w:r>
              <w:rPr>
                <w:rFonts w:hint="eastAsia" w:ascii="Arial" w:hAnsi="Arial" w:eastAsia="仿宋" w:cs="Arial"/>
                <w:color w:val="auto"/>
                <w:szCs w:val="24"/>
              </w:rPr>
              <w:t>5</w:t>
            </w:r>
            <w:r>
              <w:rPr>
                <w:rFonts w:ascii="Arial" w:hAnsi="Arial" w:eastAsia="仿宋" w:cs="Arial"/>
                <w:color w:val="auto"/>
                <w:szCs w:val="24"/>
              </w:rPr>
              <w:t>0%</w:t>
            </w:r>
          </w:p>
        </w:tc>
        <w:tc>
          <w:tcPr>
            <w:tcW w:w="804" w:type="dxa"/>
            <w:noWrap/>
            <w:vAlign w:val="center"/>
          </w:tcPr>
          <w:p w14:paraId="3478FF4F">
            <w:pPr>
              <w:spacing w:line="240" w:lineRule="atLeast"/>
              <w:jc w:val="center"/>
              <w:rPr>
                <w:rFonts w:ascii="Arial" w:hAnsi="Arial" w:eastAsia="仿宋" w:cs="Arial"/>
                <w:color w:val="auto"/>
                <w:szCs w:val="24"/>
              </w:rPr>
            </w:pPr>
            <w:r>
              <w:rPr>
                <w:rFonts w:hint="eastAsia" w:ascii="Arial" w:hAnsi="Arial" w:eastAsia="仿宋" w:cs="Arial"/>
                <w:color w:val="auto"/>
                <w:szCs w:val="24"/>
              </w:rPr>
              <w:t>5</w:t>
            </w:r>
            <w:r>
              <w:rPr>
                <w:rFonts w:ascii="Arial" w:hAnsi="Arial" w:eastAsia="仿宋" w:cs="Arial"/>
                <w:color w:val="auto"/>
                <w:szCs w:val="24"/>
              </w:rPr>
              <w:t>0%</w:t>
            </w:r>
          </w:p>
        </w:tc>
      </w:tr>
    </w:tbl>
    <w:p w14:paraId="646120CA">
      <w:pPr>
        <w:spacing w:before="120" w:beforeLines="50" w:line="300" w:lineRule="auto"/>
        <w:jc w:val="both"/>
        <w:rPr>
          <w:rFonts w:ascii="Arial" w:hAnsi="Arial" w:eastAsia="仿宋_GB2312" w:cs="Arial"/>
          <w:b/>
          <w:color w:val="auto"/>
          <w:sz w:val="28"/>
        </w:rPr>
      </w:pPr>
    </w:p>
    <w:p w14:paraId="280372C3">
      <w:pPr>
        <w:spacing w:before="120" w:beforeLines="50" w:line="300" w:lineRule="auto"/>
        <w:jc w:val="both"/>
        <w:rPr>
          <w:rFonts w:ascii="Arial" w:hAnsi="Arial" w:eastAsia="仿宋_GB2312" w:cs="Arial"/>
          <w:b/>
          <w:color w:val="auto"/>
          <w:sz w:val="28"/>
        </w:rPr>
      </w:pPr>
    </w:p>
    <w:p w14:paraId="7298335B">
      <w:pPr>
        <w:spacing w:before="120" w:beforeLines="50" w:line="300" w:lineRule="auto"/>
        <w:jc w:val="both"/>
        <w:rPr>
          <w:rFonts w:ascii="Arial" w:hAnsi="Arial" w:eastAsia="仿宋_GB2312" w:cs="Arial"/>
          <w:b/>
          <w:color w:val="auto"/>
          <w:sz w:val="28"/>
        </w:rPr>
      </w:pPr>
    </w:p>
    <w:p w14:paraId="69AC477C">
      <w:pPr>
        <w:spacing w:before="120" w:beforeLines="50" w:line="300" w:lineRule="auto"/>
        <w:jc w:val="both"/>
        <w:rPr>
          <w:rFonts w:ascii="Arial" w:hAnsi="Arial" w:eastAsia="仿宋_GB2312" w:cs="Arial"/>
          <w:b/>
          <w:color w:val="auto"/>
          <w:sz w:val="28"/>
        </w:rPr>
      </w:pPr>
    </w:p>
    <w:p w14:paraId="543B2AA8">
      <w:pPr>
        <w:spacing w:before="120" w:beforeLines="50" w:line="300" w:lineRule="auto"/>
        <w:jc w:val="both"/>
        <w:rPr>
          <w:rFonts w:ascii="Arial" w:hAnsi="Arial" w:eastAsia="仿宋_GB2312" w:cs="Arial"/>
          <w:b/>
          <w:color w:val="auto"/>
          <w:sz w:val="28"/>
        </w:rPr>
      </w:pPr>
    </w:p>
    <w:p w14:paraId="7CD0B5BA">
      <w:pPr>
        <w:spacing w:before="120" w:beforeLines="50" w:line="300" w:lineRule="auto"/>
        <w:jc w:val="both"/>
        <w:rPr>
          <w:rFonts w:ascii="Arial" w:hAnsi="Arial" w:eastAsia="仿宋_GB2312" w:cs="Arial"/>
          <w:color w:val="auto"/>
          <w:sz w:val="28"/>
        </w:rPr>
      </w:pPr>
      <w:r>
        <w:rPr>
          <w:rFonts w:hint="eastAsia" w:ascii="Arial" w:hAnsi="Arial" w:eastAsia="仿宋_GB2312" w:cs="Arial"/>
          <w:b/>
          <w:color w:val="auto"/>
          <w:sz w:val="28"/>
        </w:rPr>
        <w:t>则：</w:t>
      </w:r>
    </w:p>
    <w:tbl>
      <w:tblPr>
        <w:tblStyle w:val="34"/>
        <w:tblW w:w="9072" w:type="dxa"/>
        <w:jc w:val="center"/>
        <w:tblLayout w:type="fixed"/>
        <w:tblCellMar>
          <w:top w:w="57" w:type="dxa"/>
          <w:left w:w="28" w:type="dxa"/>
          <w:bottom w:w="57" w:type="dxa"/>
          <w:right w:w="28" w:type="dxa"/>
        </w:tblCellMar>
      </w:tblPr>
      <w:tblGrid>
        <w:gridCol w:w="852"/>
        <w:gridCol w:w="2551"/>
        <w:gridCol w:w="1786"/>
        <w:gridCol w:w="1375"/>
        <w:gridCol w:w="2508"/>
      </w:tblGrid>
      <w:tr w14:paraId="37BA7623">
        <w:tblPrEx>
          <w:tblCellMar>
            <w:top w:w="57" w:type="dxa"/>
            <w:left w:w="28" w:type="dxa"/>
            <w:bottom w:w="57" w:type="dxa"/>
            <w:right w:w="28" w:type="dxa"/>
          </w:tblCellMar>
        </w:tblPrEx>
        <w:trPr>
          <w:cantSplit/>
          <w:jc w:val="center"/>
        </w:trPr>
        <w:tc>
          <w:tcPr>
            <w:tcW w:w="852" w:type="dxa"/>
            <w:tcBorders>
              <w:top w:val="single" w:color="auto" w:sz="4" w:space="0"/>
              <w:left w:val="single" w:color="auto" w:sz="4" w:space="0"/>
              <w:bottom w:val="single" w:color="auto" w:sz="4" w:space="0"/>
              <w:right w:val="single" w:color="auto" w:sz="4" w:space="0"/>
            </w:tcBorders>
            <w:shd w:val="clear" w:color="auto" w:fill="auto"/>
            <w:vAlign w:val="center"/>
          </w:tcPr>
          <w:p w14:paraId="0BA94C0A">
            <w:pPr>
              <w:widowControl/>
              <w:adjustRightInd/>
              <w:spacing w:line="300" w:lineRule="auto"/>
              <w:jc w:val="center"/>
              <w:textAlignment w:val="auto"/>
              <w:rPr>
                <w:rFonts w:ascii="Arial" w:hAnsi="Arial" w:cs="Arial"/>
                <w:b/>
                <w:bCs/>
                <w:color w:val="auto"/>
                <w:szCs w:val="24"/>
              </w:rPr>
            </w:pPr>
            <w:r>
              <w:rPr>
                <w:rFonts w:ascii="Arial" w:hAnsi="Arial" w:eastAsia="仿宋_GB2312" w:cs="Arial"/>
                <w:b/>
                <w:bCs/>
                <w:color w:val="auto"/>
                <w:szCs w:val="24"/>
              </w:rPr>
              <w:t>用途</w:t>
            </w:r>
          </w:p>
        </w:tc>
        <w:tc>
          <w:tcPr>
            <w:tcW w:w="2551" w:type="dxa"/>
            <w:tcBorders>
              <w:top w:val="single" w:color="auto" w:sz="4" w:space="0"/>
              <w:left w:val="nil"/>
              <w:bottom w:val="single" w:color="auto" w:sz="4" w:space="0"/>
              <w:right w:val="single" w:color="auto" w:sz="4" w:space="0"/>
            </w:tcBorders>
            <w:shd w:val="clear" w:color="auto" w:fill="auto"/>
            <w:vAlign w:val="center"/>
          </w:tcPr>
          <w:p w14:paraId="07A70D7A">
            <w:pPr>
              <w:widowControl/>
              <w:adjustRightInd/>
              <w:spacing w:line="300" w:lineRule="auto"/>
              <w:jc w:val="center"/>
              <w:textAlignment w:val="auto"/>
              <w:rPr>
                <w:rFonts w:ascii="Arial" w:hAnsi="Arial" w:cs="Arial"/>
                <w:b/>
                <w:bCs/>
                <w:color w:val="auto"/>
                <w:szCs w:val="24"/>
              </w:rPr>
            </w:pPr>
            <w:r>
              <w:rPr>
                <w:rFonts w:ascii="Arial" w:hAnsi="Arial" w:eastAsia="仿宋_GB2312" w:cs="Arial"/>
                <w:b/>
                <w:bCs/>
                <w:color w:val="auto"/>
                <w:szCs w:val="24"/>
              </w:rPr>
              <w:t>方法</w:t>
            </w:r>
          </w:p>
        </w:tc>
        <w:tc>
          <w:tcPr>
            <w:tcW w:w="1786" w:type="dxa"/>
            <w:tcBorders>
              <w:top w:val="single" w:color="auto" w:sz="4" w:space="0"/>
              <w:left w:val="nil"/>
              <w:bottom w:val="single" w:color="auto" w:sz="4" w:space="0"/>
              <w:right w:val="single" w:color="auto" w:sz="4" w:space="0"/>
            </w:tcBorders>
            <w:shd w:val="clear" w:color="auto" w:fill="auto"/>
            <w:vAlign w:val="center"/>
          </w:tcPr>
          <w:p w14:paraId="19A9D73B">
            <w:pPr>
              <w:widowControl/>
              <w:adjustRightInd/>
              <w:spacing w:line="300" w:lineRule="auto"/>
              <w:jc w:val="center"/>
              <w:textAlignment w:val="auto"/>
              <w:rPr>
                <w:rFonts w:ascii="Arial" w:hAnsi="Arial" w:eastAsia="仿宋_GB2312" w:cs="Arial"/>
                <w:b/>
                <w:bCs/>
                <w:color w:val="auto"/>
                <w:szCs w:val="24"/>
              </w:rPr>
            </w:pPr>
            <w:r>
              <w:rPr>
                <w:rFonts w:ascii="Arial" w:hAnsi="Arial" w:eastAsia="仿宋_GB2312" w:cs="Arial"/>
                <w:b/>
                <w:bCs/>
                <w:color w:val="auto"/>
                <w:szCs w:val="24"/>
              </w:rPr>
              <w:t>熟地价</w:t>
            </w:r>
            <w:r>
              <w:rPr>
                <w:rFonts w:hint="eastAsia" w:ascii="Arial" w:hAnsi="Arial" w:eastAsia="仿宋_GB2312" w:cs="Arial"/>
                <w:b/>
                <w:bCs/>
                <w:color w:val="auto"/>
                <w:szCs w:val="24"/>
              </w:rPr>
              <w:t>楼面地价</w:t>
            </w:r>
          </w:p>
          <w:p w14:paraId="57292FCF">
            <w:pPr>
              <w:widowControl/>
              <w:adjustRightInd/>
              <w:spacing w:line="300" w:lineRule="auto"/>
              <w:jc w:val="center"/>
              <w:textAlignment w:val="auto"/>
              <w:rPr>
                <w:rFonts w:ascii="Arial" w:hAnsi="Arial" w:cs="Arial"/>
                <w:b/>
                <w:bCs/>
                <w:color w:val="auto"/>
                <w:szCs w:val="24"/>
              </w:rPr>
            </w:pPr>
            <w:r>
              <w:rPr>
                <w:rFonts w:ascii="Arial" w:hAnsi="Arial" w:eastAsia="仿宋_GB2312" w:cs="Arial"/>
                <w:b/>
                <w:bCs/>
                <w:color w:val="auto"/>
                <w:szCs w:val="24"/>
              </w:rPr>
              <w:t>（元/平方米）</w:t>
            </w:r>
          </w:p>
        </w:tc>
        <w:tc>
          <w:tcPr>
            <w:tcW w:w="1375" w:type="dxa"/>
            <w:tcBorders>
              <w:top w:val="single" w:color="auto" w:sz="4" w:space="0"/>
              <w:left w:val="nil"/>
              <w:bottom w:val="single" w:color="auto" w:sz="4" w:space="0"/>
              <w:right w:val="single" w:color="auto" w:sz="4" w:space="0"/>
            </w:tcBorders>
            <w:shd w:val="clear" w:color="auto" w:fill="auto"/>
            <w:vAlign w:val="center"/>
          </w:tcPr>
          <w:p w14:paraId="61A30D34">
            <w:pPr>
              <w:widowControl/>
              <w:adjustRightInd/>
              <w:spacing w:line="300" w:lineRule="auto"/>
              <w:jc w:val="center"/>
              <w:textAlignment w:val="auto"/>
              <w:rPr>
                <w:rFonts w:ascii="Arial" w:hAnsi="Arial" w:cs="Arial"/>
                <w:b/>
                <w:bCs/>
                <w:color w:val="auto"/>
                <w:szCs w:val="24"/>
              </w:rPr>
            </w:pPr>
            <w:r>
              <w:rPr>
                <w:rFonts w:ascii="Arial" w:hAnsi="Arial" w:eastAsia="仿宋_GB2312" w:cs="Arial"/>
                <w:b/>
                <w:bCs/>
                <w:color w:val="auto"/>
                <w:szCs w:val="24"/>
              </w:rPr>
              <w:t>权重</w:t>
            </w:r>
          </w:p>
        </w:tc>
        <w:tc>
          <w:tcPr>
            <w:tcW w:w="2508" w:type="dxa"/>
            <w:tcBorders>
              <w:top w:val="single" w:color="auto" w:sz="4" w:space="0"/>
              <w:left w:val="nil"/>
              <w:bottom w:val="single" w:color="auto" w:sz="4" w:space="0"/>
              <w:right w:val="single" w:color="auto" w:sz="4" w:space="0"/>
            </w:tcBorders>
            <w:shd w:val="clear" w:color="auto" w:fill="auto"/>
            <w:vAlign w:val="center"/>
          </w:tcPr>
          <w:p w14:paraId="71679C65">
            <w:pPr>
              <w:widowControl/>
              <w:adjustRightInd/>
              <w:spacing w:line="300" w:lineRule="auto"/>
              <w:jc w:val="center"/>
              <w:textAlignment w:val="auto"/>
              <w:rPr>
                <w:rFonts w:ascii="Arial" w:hAnsi="Arial" w:eastAsia="仿宋_GB2312" w:cs="Arial"/>
                <w:b/>
                <w:bCs/>
                <w:color w:val="auto"/>
                <w:szCs w:val="24"/>
              </w:rPr>
            </w:pPr>
            <w:r>
              <w:rPr>
                <w:rFonts w:ascii="Arial" w:hAnsi="Arial" w:eastAsia="仿宋_GB2312" w:cs="Arial"/>
                <w:b/>
                <w:bCs/>
                <w:color w:val="auto"/>
                <w:szCs w:val="24"/>
              </w:rPr>
              <w:t>权重后熟地价</w:t>
            </w:r>
            <w:r>
              <w:rPr>
                <w:rFonts w:hint="eastAsia" w:ascii="Arial" w:hAnsi="Arial" w:eastAsia="仿宋_GB2312" w:cs="Arial"/>
                <w:b/>
                <w:bCs/>
                <w:color w:val="auto"/>
                <w:szCs w:val="24"/>
              </w:rPr>
              <w:t>楼面地价</w:t>
            </w:r>
          </w:p>
          <w:p w14:paraId="672CE504">
            <w:pPr>
              <w:widowControl/>
              <w:adjustRightInd/>
              <w:spacing w:line="300" w:lineRule="auto"/>
              <w:jc w:val="center"/>
              <w:textAlignment w:val="auto"/>
              <w:rPr>
                <w:rFonts w:ascii="Arial" w:hAnsi="Arial" w:eastAsia="仿宋_GB2312" w:cs="Arial"/>
                <w:b/>
                <w:bCs/>
                <w:color w:val="auto"/>
                <w:szCs w:val="24"/>
              </w:rPr>
            </w:pPr>
            <w:r>
              <w:rPr>
                <w:rFonts w:ascii="Arial" w:hAnsi="Arial" w:eastAsia="仿宋_GB2312" w:cs="Arial"/>
                <w:b/>
                <w:bCs/>
                <w:color w:val="auto"/>
                <w:szCs w:val="24"/>
              </w:rPr>
              <w:t>（元/平方米）</w:t>
            </w:r>
          </w:p>
        </w:tc>
      </w:tr>
      <w:tr w14:paraId="16A85A31">
        <w:tblPrEx>
          <w:tblCellMar>
            <w:top w:w="57" w:type="dxa"/>
            <w:left w:w="28" w:type="dxa"/>
            <w:bottom w:w="57" w:type="dxa"/>
            <w:right w:w="28" w:type="dxa"/>
          </w:tblCellMar>
        </w:tblPrEx>
        <w:trPr>
          <w:cantSplit/>
          <w:jc w:val="center"/>
        </w:trPr>
        <w:tc>
          <w:tcPr>
            <w:tcW w:w="852" w:type="dxa"/>
            <w:vMerge w:val="restart"/>
            <w:tcBorders>
              <w:top w:val="nil"/>
              <w:left w:val="single" w:color="auto" w:sz="4" w:space="0"/>
              <w:bottom w:val="single" w:color="auto" w:sz="4" w:space="0"/>
              <w:right w:val="single" w:color="auto" w:sz="4" w:space="0"/>
            </w:tcBorders>
            <w:shd w:val="clear" w:color="auto" w:fill="auto"/>
            <w:vAlign w:val="center"/>
          </w:tcPr>
          <w:p w14:paraId="5EC31DAF">
            <w:pPr>
              <w:widowControl/>
              <w:adjustRightInd/>
              <w:spacing w:line="300" w:lineRule="auto"/>
              <w:jc w:val="center"/>
              <w:textAlignment w:val="auto"/>
              <w:rPr>
                <w:rFonts w:ascii="Arial" w:hAnsi="Arial" w:cs="Arial"/>
                <w:color w:val="auto"/>
                <w:szCs w:val="24"/>
              </w:rPr>
            </w:pPr>
            <w:r>
              <w:rPr>
                <w:rFonts w:ascii="Arial" w:hAnsi="Arial" w:eastAsia="仿宋_GB2312" w:cs="Arial"/>
                <w:color w:val="auto"/>
                <w:szCs w:val="24"/>
              </w:rPr>
              <w:t>住宅</w:t>
            </w:r>
          </w:p>
        </w:tc>
        <w:tc>
          <w:tcPr>
            <w:tcW w:w="2551" w:type="dxa"/>
            <w:tcBorders>
              <w:top w:val="nil"/>
              <w:left w:val="nil"/>
              <w:bottom w:val="single" w:color="auto" w:sz="4" w:space="0"/>
              <w:right w:val="single" w:color="auto" w:sz="4" w:space="0"/>
            </w:tcBorders>
            <w:shd w:val="clear" w:color="auto" w:fill="auto"/>
            <w:vAlign w:val="center"/>
          </w:tcPr>
          <w:p w14:paraId="56B4CE37">
            <w:pPr>
              <w:widowControl/>
              <w:adjustRightInd/>
              <w:spacing w:line="300" w:lineRule="auto"/>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1786" w:type="dxa"/>
            <w:tcBorders>
              <w:top w:val="nil"/>
              <w:left w:val="nil"/>
              <w:bottom w:val="single" w:color="auto" w:sz="4" w:space="0"/>
              <w:right w:val="single" w:color="auto" w:sz="4" w:space="0"/>
            </w:tcBorders>
            <w:shd w:val="clear" w:color="auto" w:fill="auto"/>
            <w:vAlign w:val="center"/>
          </w:tcPr>
          <w:p w14:paraId="4228F393">
            <w:pPr>
              <w:widowControl/>
              <w:adjustRightInd/>
              <w:spacing w:line="300" w:lineRule="auto"/>
              <w:jc w:val="center"/>
              <w:textAlignment w:val="auto"/>
              <w:rPr>
                <w:rFonts w:ascii="Arial" w:hAnsi="Arial" w:cs="Arial"/>
                <w:color w:val="auto"/>
                <w:szCs w:val="24"/>
              </w:rPr>
            </w:pPr>
            <w:r>
              <w:rPr>
                <w:rFonts w:hint="eastAsia" w:ascii="Arial" w:hAnsi="Arial" w:cs="Arial"/>
                <w:color w:val="auto"/>
                <w:szCs w:val="24"/>
              </w:rPr>
              <w:t>6689</w:t>
            </w:r>
          </w:p>
        </w:tc>
        <w:tc>
          <w:tcPr>
            <w:tcW w:w="1375" w:type="dxa"/>
            <w:tcBorders>
              <w:top w:val="nil"/>
              <w:left w:val="nil"/>
              <w:bottom w:val="single" w:color="auto" w:sz="4" w:space="0"/>
              <w:right w:val="single" w:color="auto" w:sz="4" w:space="0"/>
            </w:tcBorders>
            <w:shd w:val="clear" w:color="auto" w:fill="auto"/>
            <w:vAlign w:val="center"/>
          </w:tcPr>
          <w:p w14:paraId="452B380C">
            <w:pPr>
              <w:widowControl/>
              <w:adjustRightInd/>
              <w:spacing w:line="300" w:lineRule="auto"/>
              <w:jc w:val="center"/>
              <w:textAlignment w:val="auto"/>
              <w:rPr>
                <w:rFonts w:ascii="Arial" w:hAnsi="Arial" w:cs="Arial"/>
                <w:color w:val="auto"/>
                <w:szCs w:val="24"/>
              </w:rPr>
            </w:pPr>
            <w:r>
              <w:rPr>
                <w:rFonts w:hint="eastAsia" w:ascii="Arial" w:hAnsi="Arial" w:cs="Arial"/>
                <w:color w:val="auto"/>
                <w:szCs w:val="24"/>
              </w:rPr>
              <w:t>3</w:t>
            </w:r>
            <w:r>
              <w:rPr>
                <w:rFonts w:ascii="Arial" w:hAnsi="Arial" w:cs="Arial"/>
                <w:color w:val="auto"/>
                <w:szCs w:val="24"/>
              </w:rPr>
              <w:t>0.00%</w:t>
            </w:r>
          </w:p>
        </w:tc>
        <w:tc>
          <w:tcPr>
            <w:tcW w:w="2508" w:type="dxa"/>
            <w:vMerge w:val="restart"/>
            <w:tcBorders>
              <w:top w:val="nil"/>
              <w:left w:val="single" w:color="auto" w:sz="4" w:space="0"/>
              <w:bottom w:val="single" w:color="000000" w:sz="4" w:space="0"/>
              <w:right w:val="single" w:color="auto" w:sz="4" w:space="0"/>
            </w:tcBorders>
            <w:shd w:val="clear" w:color="auto" w:fill="auto"/>
            <w:vAlign w:val="center"/>
          </w:tcPr>
          <w:p w14:paraId="2BD23B95">
            <w:pPr>
              <w:widowControl/>
              <w:adjustRightInd/>
              <w:spacing w:line="300" w:lineRule="auto"/>
              <w:jc w:val="center"/>
              <w:textAlignment w:val="auto"/>
              <w:rPr>
                <w:rFonts w:ascii="Arial" w:hAnsi="Arial" w:cs="Arial"/>
                <w:b/>
                <w:color w:val="auto"/>
                <w:szCs w:val="24"/>
              </w:rPr>
            </w:pPr>
            <w:r>
              <w:rPr>
                <w:rFonts w:hint="eastAsia" w:ascii="Arial" w:hAnsi="Arial" w:cs="Arial"/>
                <w:b/>
                <w:color w:val="auto"/>
                <w:szCs w:val="24"/>
              </w:rPr>
              <w:t>10942</w:t>
            </w:r>
          </w:p>
        </w:tc>
      </w:tr>
      <w:tr w14:paraId="3E3EB00E">
        <w:tblPrEx>
          <w:tblCellMar>
            <w:top w:w="57" w:type="dxa"/>
            <w:left w:w="28" w:type="dxa"/>
            <w:bottom w:w="57" w:type="dxa"/>
            <w:right w:w="28" w:type="dxa"/>
          </w:tblCellMar>
        </w:tblPrEx>
        <w:trPr>
          <w:cantSplit/>
          <w:jc w:val="center"/>
        </w:trPr>
        <w:tc>
          <w:tcPr>
            <w:tcW w:w="852" w:type="dxa"/>
            <w:vMerge w:val="continue"/>
            <w:tcBorders>
              <w:top w:val="nil"/>
              <w:left w:val="single" w:color="auto" w:sz="4" w:space="0"/>
              <w:bottom w:val="single" w:color="auto" w:sz="4" w:space="0"/>
              <w:right w:val="single" w:color="auto" w:sz="4" w:space="0"/>
            </w:tcBorders>
            <w:vAlign w:val="center"/>
          </w:tcPr>
          <w:p w14:paraId="7EB9E31C">
            <w:pPr>
              <w:widowControl/>
              <w:adjustRightInd/>
              <w:spacing w:line="300" w:lineRule="auto"/>
              <w:textAlignment w:val="auto"/>
              <w:rPr>
                <w:rFonts w:ascii="Arial" w:hAnsi="Arial" w:cs="Arial"/>
                <w:color w:val="auto"/>
                <w:szCs w:val="24"/>
              </w:rPr>
            </w:pPr>
          </w:p>
        </w:tc>
        <w:tc>
          <w:tcPr>
            <w:tcW w:w="2551" w:type="dxa"/>
            <w:tcBorders>
              <w:top w:val="nil"/>
              <w:left w:val="nil"/>
              <w:bottom w:val="single" w:color="auto" w:sz="4" w:space="0"/>
              <w:right w:val="single" w:color="auto" w:sz="4" w:space="0"/>
            </w:tcBorders>
            <w:shd w:val="clear" w:color="auto" w:fill="auto"/>
            <w:vAlign w:val="center"/>
          </w:tcPr>
          <w:p w14:paraId="450D255A">
            <w:pPr>
              <w:widowControl/>
              <w:adjustRightInd/>
              <w:spacing w:line="300" w:lineRule="auto"/>
              <w:textAlignment w:val="auto"/>
              <w:rPr>
                <w:rFonts w:ascii="Arial" w:hAnsi="Arial" w:cs="Arial"/>
                <w:color w:val="auto"/>
                <w:szCs w:val="24"/>
              </w:rPr>
            </w:pPr>
            <w:r>
              <w:rPr>
                <w:rFonts w:ascii="Arial" w:hAnsi="Arial" w:eastAsia="仿宋_GB2312" w:cs="Arial"/>
                <w:color w:val="auto"/>
                <w:szCs w:val="24"/>
              </w:rPr>
              <w:t>剩余法</w:t>
            </w:r>
          </w:p>
        </w:tc>
        <w:tc>
          <w:tcPr>
            <w:tcW w:w="1786" w:type="dxa"/>
            <w:tcBorders>
              <w:top w:val="nil"/>
              <w:left w:val="nil"/>
              <w:bottom w:val="single" w:color="auto" w:sz="4" w:space="0"/>
              <w:right w:val="single" w:color="auto" w:sz="4" w:space="0"/>
            </w:tcBorders>
            <w:shd w:val="clear" w:color="auto" w:fill="auto"/>
            <w:vAlign w:val="center"/>
          </w:tcPr>
          <w:p w14:paraId="6F81AC8B">
            <w:pPr>
              <w:widowControl/>
              <w:adjustRightInd/>
              <w:spacing w:line="300" w:lineRule="auto"/>
              <w:jc w:val="center"/>
              <w:textAlignment w:val="auto"/>
              <w:rPr>
                <w:rFonts w:ascii="Arial" w:hAnsi="Arial" w:cs="Arial"/>
                <w:color w:val="auto"/>
                <w:szCs w:val="24"/>
              </w:rPr>
            </w:pPr>
            <w:r>
              <w:rPr>
                <w:rFonts w:hint="eastAsia" w:ascii="Arial" w:hAnsi="Arial" w:cs="Arial"/>
                <w:color w:val="auto"/>
                <w:szCs w:val="24"/>
              </w:rPr>
              <w:t>12765</w:t>
            </w:r>
          </w:p>
        </w:tc>
        <w:tc>
          <w:tcPr>
            <w:tcW w:w="1375" w:type="dxa"/>
            <w:tcBorders>
              <w:top w:val="nil"/>
              <w:left w:val="nil"/>
              <w:bottom w:val="single" w:color="auto" w:sz="4" w:space="0"/>
              <w:right w:val="single" w:color="auto" w:sz="4" w:space="0"/>
            </w:tcBorders>
            <w:shd w:val="clear" w:color="auto" w:fill="auto"/>
            <w:vAlign w:val="center"/>
          </w:tcPr>
          <w:p w14:paraId="551792D4">
            <w:pPr>
              <w:widowControl/>
              <w:adjustRightInd/>
              <w:spacing w:line="300" w:lineRule="auto"/>
              <w:jc w:val="center"/>
              <w:textAlignment w:val="auto"/>
              <w:rPr>
                <w:rFonts w:ascii="Arial" w:hAnsi="Arial" w:cs="Arial"/>
                <w:color w:val="auto"/>
                <w:szCs w:val="24"/>
              </w:rPr>
            </w:pPr>
            <w:r>
              <w:rPr>
                <w:rFonts w:hint="eastAsia" w:ascii="Arial" w:hAnsi="Arial" w:cs="Arial"/>
                <w:color w:val="auto"/>
                <w:szCs w:val="24"/>
              </w:rPr>
              <w:t>7</w:t>
            </w:r>
            <w:r>
              <w:rPr>
                <w:rFonts w:ascii="Arial" w:hAnsi="Arial" w:cs="Arial"/>
                <w:color w:val="auto"/>
                <w:szCs w:val="24"/>
              </w:rPr>
              <w:t>0.00%</w:t>
            </w:r>
          </w:p>
        </w:tc>
        <w:tc>
          <w:tcPr>
            <w:tcW w:w="2508" w:type="dxa"/>
            <w:vMerge w:val="continue"/>
            <w:tcBorders>
              <w:top w:val="nil"/>
              <w:left w:val="single" w:color="auto" w:sz="4" w:space="0"/>
              <w:bottom w:val="single" w:color="000000" w:sz="4" w:space="0"/>
              <w:right w:val="single" w:color="auto" w:sz="4" w:space="0"/>
            </w:tcBorders>
            <w:vAlign w:val="center"/>
          </w:tcPr>
          <w:p w14:paraId="18D1DF0D">
            <w:pPr>
              <w:widowControl/>
              <w:adjustRightInd/>
              <w:spacing w:line="300" w:lineRule="auto"/>
              <w:textAlignment w:val="auto"/>
              <w:rPr>
                <w:rFonts w:ascii="Arial" w:hAnsi="Arial" w:cs="Arial"/>
                <w:b/>
                <w:color w:val="auto"/>
                <w:szCs w:val="24"/>
              </w:rPr>
            </w:pPr>
          </w:p>
        </w:tc>
      </w:tr>
      <w:tr w14:paraId="40C27A83">
        <w:tblPrEx>
          <w:tblCellMar>
            <w:top w:w="57" w:type="dxa"/>
            <w:left w:w="28" w:type="dxa"/>
            <w:bottom w:w="57" w:type="dxa"/>
            <w:right w:w="28" w:type="dxa"/>
          </w:tblCellMar>
        </w:tblPrEx>
        <w:trPr>
          <w:cantSplit/>
          <w:jc w:val="center"/>
        </w:trPr>
        <w:tc>
          <w:tcPr>
            <w:tcW w:w="852" w:type="dxa"/>
            <w:vMerge w:val="restart"/>
            <w:tcBorders>
              <w:top w:val="nil"/>
              <w:left w:val="single" w:color="auto" w:sz="4" w:space="0"/>
              <w:bottom w:val="single" w:color="auto" w:sz="4" w:space="0"/>
              <w:right w:val="single" w:color="auto" w:sz="4" w:space="0"/>
            </w:tcBorders>
            <w:shd w:val="clear" w:color="auto" w:fill="auto"/>
            <w:vAlign w:val="center"/>
          </w:tcPr>
          <w:p w14:paraId="5F1735C8">
            <w:pPr>
              <w:widowControl/>
              <w:adjustRightInd/>
              <w:spacing w:line="300" w:lineRule="auto"/>
              <w:jc w:val="center"/>
              <w:textAlignment w:val="auto"/>
              <w:rPr>
                <w:rFonts w:ascii="Arial" w:hAnsi="Arial" w:cs="Arial"/>
                <w:color w:val="auto"/>
                <w:szCs w:val="24"/>
              </w:rPr>
            </w:pPr>
            <w:r>
              <w:rPr>
                <w:rFonts w:ascii="Arial" w:hAnsi="Arial" w:eastAsia="仿宋_GB2312" w:cs="Arial"/>
                <w:color w:val="auto"/>
                <w:szCs w:val="24"/>
              </w:rPr>
              <w:t>商业</w:t>
            </w:r>
          </w:p>
        </w:tc>
        <w:tc>
          <w:tcPr>
            <w:tcW w:w="2551" w:type="dxa"/>
            <w:tcBorders>
              <w:top w:val="nil"/>
              <w:left w:val="nil"/>
              <w:bottom w:val="single" w:color="auto" w:sz="4" w:space="0"/>
              <w:right w:val="single" w:color="auto" w:sz="4" w:space="0"/>
            </w:tcBorders>
            <w:shd w:val="clear" w:color="auto" w:fill="auto"/>
            <w:vAlign w:val="center"/>
          </w:tcPr>
          <w:p w14:paraId="0152D94D">
            <w:pPr>
              <w:widowControl/>
              <w:adjustRightInd/>
              <w:spacing w:line="300" w:lineRule="auto"/>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1786" w:type="dxa"/>
            <w:tcBorders>
              <w:top w:val="nil"/>
              <w:left w:val="nil"/>
              <w:bottom w:val="single" w:color="auto" w:sz="4" w:space="0"/>
              <w:right w:val="single" w:color="auto" w:sz="4" w:space="0"/>
            </w:tcBorders>
            <w:shd w:val="clear" w:color="auto" w:fill="auto"/>
            <w:vAlign w:val="center"/>
          </w:tcPr>
          <w:p w14:paraId="20C20939">
            <w:pPr>
              <w:widowControl/>
              <w:adjustRightInd/>
              <w:spacing w:line="300" w:lineRule="auto"/>
              <w:jc w:val="center"/>
              <w:textAlignment w:val="auto"/>
              <w:rPr>
                <w:rFonts w:ascii="Arial" w:hAnsi="Arial" w:cs="Arial"/>
                <w:color w:val="auto"/>
                <w:szCs w:val="24"/>
              </w:rPr>
            </w:pPr>
            <w:r>
              <w:rPr>
                <w:rFonts w:hint="eastAsia" w:ascii="Arial" w:hAnsi="Arial" w:cs="Arial"/>
                <w:color w:val="auto"/>
                <w:szCs w:val="24"/>
              </w:rPr>
              <w:t>4762</w:t>
            </w:r>
          </w:p>
        </w:tc>
        <w:tc>
          <w:tcPr>
            <w:tcW w:w="1375" w:type="dxa"/>
            <w:tcBorders>
              <w:top w:val="nil"/>
              <w:left w:val="nil"/>
              <w:bottom w:val="single" w:color="auto" w:sz="4" w:space="0"/>
              <w:right w:val="single" w:color="auto" w:sz="4" w:space="0"/>
            </w:tcBorders>
            <w:shd w:val="clear" w:color="auto" w:fill="auto"/>
            <w:vAlign w:val="center"/>
          </w:tcPr>
          <w:p w14:paraId="7080FA95">
            <w:pPr>
              <w:widowControl/>
              <w:adjustRightInd/>
              <w:spacing w:line="300" w:lineRule="auto"/>
              <w:jc w:val="center"/>
              <w:textAlignment w:val="auto"/>
              <w:rPr>
                <w:rFonts w:ascii="Arial" w:hAnsi="Arial" w:cs="Arial"/>
                <w:color w:val="auto"/>
                <w:szCs w:val="24"/>
              </w:rPr>
            </w:pPr>
            <w:r>
              <w:rPr>
                <w:rFonts w:hint="eastAsia" w:ascii="Arial" w:hAnsi="Arial" w:cs="Arial"/>
                <w:color w:val="auto"/>
                <w:szCs w:val="24"/>
              </w:rPr>
              <w:t>30</w:t>
            </w:r>
            <w:r>
              <w:rPr>
                <w:rFonts w:ascii="Arial" w:hAnsi="Arial" w:cs="Arial"/>
                <w:color w:val="auto"/>
                <w:szCs w:val="24"/>
              </w:rPr>
              <w:t>.00%</w:t>
            </w:r>
          </w:p>
        </w:tc>
        <w:tc>
          <w:tcPr>
            <w:tcW w:w="2508" w:type="dxa"/>
            <w:vMerge w:val="restart"/>
            <w:tcBorders>
              <w:top w:val="nil"/>
              <w:left w:val="single" w:color="auto" w:sz="4" w:space="0"/>
              <w:bottom w:val="single" w:color="000000" w:sz="4" w:space="0"/>
              <w:right w:val="single" w:color="auto" w:sz="4" w:space="0"/>
            </w:tcBorders>
            <w:shd w:val="clear" w:color="auto" w:fill="auto"/>
            <w:vAlign w:val="center"/>
          </w:tcPr>
          <w:p w14:paraId="6863ED42">
            <w:pPr>
              <w:widowControl/>
              <w:adjustRightInd/>
              <w:spacing w:line="300" w:lineRule="auto"/>
              <w:jc w:val="center"/>
              <w:textAlignment w:val="auto"/>
              <w:rPr>
                <w:rFonts w:ascii="Arial" w:hAnsi="Arial" w:cs="Arial"/>
                <w:b/>
                <w:color w:val="auto"/>
                <w:szCs w:val="24"/>
              </w:rPr>
            </w:pPr>
            <w:r>
              <w:rPr>
                <w:rFonts w:hint="eastAsia" w:ascii="Arial" w:hAnsi="Arial" w:cs="Arial"/>
                <w:b/>
                <w:color w:val="auto"/>
                <w:szCs w:val="24"/>
              </w:rPr>
              <w:t>5295</w:t>
            </w:r>
          </w:p>
        </w:tc>
      </w:tr>
      <w:tr w14:paraId="5B39371E">
        <w:tblPrEx>
          <w:tblCellMar>
            <w:top w:w="57" w:type="dxa"/>
            <w:left w:w="28" w:type="dxa"/>
            <w:bottom w:w="57" w:type="dxa"/>
            <w:right w:w="28" w:type="dxa"/>
          </w:tblCellMar>
        </w:tblPrEx>
        <w:trPr>
          <w:cantSplit/>
          <w:jc w:val="center"/>
        </w:trPr>
        <w:tc>
          <w:tcPr>
            <w:tcW w:w="852" w:type="dxa"/>
            <w:vMerge w:val="continue"/>
            <w:tcBorders>
              <w:top w:val="nil"/>
              <w:left w:val="single" w:color="auto" w:sz="4" w:space="0"/>
              <w:bottom w:val="single" w:color="auto" w:sz="4" w:space="0"/>
              <w:right w:val="single" w:color="auto" w:sz="4" w:space="0"/>
            </w:tcBorders>
            <w:vAlign w:val="center"/>
          </w:tcPr>
          <w:p w14:paraId="6AC98385">
            <w:pPr>
              <w:widowControl/>
              <w:adjustRightInd/>
              <w:spacing w:line="300" w:lineRule="auto"/>
              <w:textAlignment w:val="auto"/>
              <w:rPr>
                <w:rFonts w:ascii="Arial" w:hAnsi="Arial" w:cs="Arial"/>
                <w:color w:val="auto"/>
                <w:szCs w:val="24"/>
              </w:rPr>
            </w:pPr>
          </w:p>
        </w:tc>
        <w:tc>
          <w:tcPr>
            <w:tcW w:w="2551" w:type="dxa"/>
            <w:tcBorders>
              <w:top w:val="nil"/>
              <w:left w:val="nil"/>
              <w:bottom w:val="single" w:color="auto" w:sz="4" w:space="0"/>
              <w:right w:val="single" w:color="auto" w:sz="4" w:space="0"/>
            </w:tcBorders>
            <w:shd w:val="clear" w:color="auto" w:fill="auto"/>
            <w:vAlign w:val="center"/>
          </w:tcPr>
          <w:p w14:paraId="276D440B">
            <w:pPr>
              <w:widowControl/>
              <w:adjustRightInd/>
              <w:spacing w:line="300" w:lineRule="auto"/>
              <w:textAlignment w:val="auto"/>
              <w:rPr>
                <w:rFonts w:ascii="Arial" w:hAnsi="Arial" w:eastAsia="仿宋_GB2312" w:cs="Arial"/>
                <w:color w:val="auto"/>
                <w:szCs w:val="24"/>
              </w:rPr>
            </w:pPr>
            <w:r>
              <w:rPr>
                <w:rFonts w:ascii="Arial" w:hAnsi="Arial" w:eastAsia="仿宋_GB2312" w:cs="Arial"/>
                <w:color w:val="auto"/>
                <w:szCs w:val="24"/>
              </w:rPr>
              <w:t>剩余法</w:t>
            </w:r>
          </w:p>
        </w:tc>
        <w:tc>
          <w:tcPr>
            <w:tcW w:w="1786" w:type="dxa"/>
            <w:tcBorders>
              <w:top w:val="nil"/>
              <w:left w:val="nil"/>
              <w:bottom w:val="single" w:color="auto" w:sz="4" w:space="0"/>
              <w:right w:val="single" w:color="auto" w:sz="4" w:space="0"/>
            </w:tcBorders>
            <w:shd w:val="clear" w:color="auto" w:fill="auto"/>
            <w:vAlign w:val="center"/>
          </w:tcPr>
          <w:p w14:paraId="5B0170D7">
            <w:pPr>
              <w:widowControl/>
              <w:adjustRightInd/>
              <w:spacing w:line="300" w:lineRule="auto"/>
              <w:jc w:val="center"/>
              <w:textAlignment w:val="auto"/>
              <w:rPr>
                <w:rFonts w:ascii="Arial" w:hAnsi="Arial" w:cs="Arial"/>
                <w:color w:val="auto"/>
                <w:szCs w:val="24"/>
              </w:rPr>
            </w:pPr>
            <w:r>
              <w:rPr>
                <w:rFonts w:hint="eastAsia" w:ascii="Arial" w:hAnsi="Arial" w:cs="Arial"/>
                <w:color w:val="auto"/>
                <w:szCs w:val="24"/>
              </w:rPr>
              <w:t>5524</w:t>
            </w:r>
          </w:p>
        </w:tc>
        <w:tc>
          <w:tcPr>
            <w:tcW w:w="1375" w:type="dxa"/>
            <w:tcBorders>
              <w:top w:val="nil"/>
              <w:left w:val="nil"/>
              <w:bottom w:val="single" w:color="auto" w:sz="4" w:space="0"/>
              <w:right w:val="single" w:color="auto" w:sz="4" w:space="0"/>
            </w:tcBorders>
            <w:shd w:val="clear" w:color="auto" w:fill="auto"/>
            <w:vAlign w:val="center"/>
          </w:tcPr>
          <w:p w14:paraId="692269F0">
            <w:pPr>
              <w:widowControl/>
              <w:adjustRightInd/>
              <w:spacing w:line="300" w:lineRule="auto"/>
              <w:jc w:val="center"/>
              <w:textAlignment w:val="auto"/>
              <w:rPr>
                <w:rFonts w:ascii="Arial" w:hAnsi="Arial" w:cs="Arial"/>
                <w:color w:val="auto"/>
                <w:szCs w:val="24"/>
              </w:rPr>
            </w:pPr>
            <w:r>
              <w:rPr>
                <w:rFonts w:hint="eastAsia" w:ascii="Arial" w:hAnsi="Arial" w:cs="Arial"/>
                <w:color w:val="auto"/>
                <w:szCs w:val="24"/>
              </w:rPr>
              <w:t>7</w:t>
            </w:r>
            <w:r>
              <w:rPr>
                <w:rFonts w:ascii="Arial" w:hAnsi="Arial" w:cs="Arial"/>
                <w:color w:val="auto"/>
                <w:szCs w:val="24"/>
              </w:rPr>
              <w:t>0.00%</w:t>
            </w:r>
          </w:p>
        </w:tc>
        <w:tc>
          <w:tcPr>
            <w:tcW w:w="2508" w:type="dxa"/>
            <w:vMerge w:val="continue"/>
            <w:tcBorders>
              <w:top w:val="nil"/>
              <w:left w:val="single" w:color="auto" w:sz="4" w:space="0"/>
              <w:bottom w:val="single" w:color="auto" w:sz="4" w:space="0"/>
              <w:right w:val="single" w:color="auto" w:sz="4" w:space="0"/>
            </w:tcBorders>
            <w:vAlign w:val="center"/>
          </w:tcPr>
          <w:p w14:paraId="1001CBCB">
            <w:pPr>
              <w:widowControl/>
              <w:adjustRightInd/>
              <w:spacing w:line="300" w:lineRule="auto"/>
              <w:textAlignment w:val="auto"/>
              <w:rPr>
                <w:rFonts w:ascii="Arial" w:hAnsi="Arial" w:cs="Arial"/>
                <w:b/>
                <w:color w:val="auto"/>
                <w:szCs w:val="24"/>
              </w:rPr>
            </w:pPr>
          </w:p>
        </w:tc>
      </w:tr>
      <w:tr w14:paraId="553EBC1A">
        <w:tblPrEx>
          <w:tblCellMar>
            <w:top w:w="57" w:type="dxa"/>
            <w:left w:w="28" w:type="dxa"/>
            <w:bottom w:w="57" w:type="dxa"/>
            <w:right w:w="28" w:type="dxa"/>
          </w:tblCellMar>
        </w:tblPrEx>
        <w:trPr>
          <w:cantSplit/>
          <w:jc w:val="center"/>
        </w:trPr>
        <w:tc>
          <w:tcPr>
            <w:tcW w:w="852" w:type="dxa"/>
            <w:vMerge w:val="restart"/>
            <w:tcBorders>
              <w:top w:val="single" w:color="auto" w:sz="4" w:space="0"/>
              <w:left w:val="single" w:color="auto" w:sz="4" w:space="0"/>
              <w:right w:val="single" w:color="auto" w:sz="4" w:space="0"/>
            </w:tcBorders>
            <w:vAlign w:val="center"/>
          </w:tcPr>
          <w:p w14:paraId="577D8302">
            <w:pPr>
              <w:spacing w:line="300" w:lineRule="auto"/>
              <w:jc w:val="center"/>
              <w:rPr>
                <w:rFonts w:ascii="Arial" w:hAnsi="Arial" w:eastAsia="仿宋_GB2312" w:cs="Arial"/>
                <w:color w:val="auto"/>
                <w:szCs w:val="24"/>
              </w:rPr>
            </w:pPr>
            <w:r>
              <w:rPr>
                <w:rFonts w:ascii="Arial" w:hAnsi="Arial" w:eastAsia="仿宋_GB2312" w:cs="Arial"/>
                <w:color w:val="auto"/>
                <w:szCs w:val="24"/>
              </w:rPr>
              <w:t>办公</w:t>
            </w:r>
          </w:p>
        </w:tc>
        <w:tc>
          <w:tcPr>
            <w:tcW w:w="2551" w:type="dxa"/>
            <w:tcBorders>
              <w:top w:val="single" w:color="auto" w:sz="4" w:space="0"/>
              <w:left w:val="nil"/>
              <w:bottom w:val="single" w:color="auto" w:sz="4" w:space="0"/>
              <w:right w:val="single" w:color="auto" w:sz="4" w:space="0"/>
            </w:tcBorders>
            <w:shd w:val="clear" w:color="auto" w:fill="auto"/>
            <w:vAlign w:val="center"/>
          </w:tcPr>
          <w:p w14:paraId="7D26AF07">
            <w:pPr>
              <w:widowControl/>
              <w:adjustRightInd/>
              <w:spacing w:line="300" w:lineRule="auto"/>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1786" w:type="dxa"/>
            <w:tcBorders>
              <w:top w:val="single" w:color="auto" w:sz="4" w:space="0"/>
              <w:left w:val="nil"/>
              <w:bottom w:val="single" w:color="auto" w:sz="4" w:space="0"/>
              <w:right w:val="single" w:color="auto" w:sz="4" w:space="0"/>
            </w:tcBorders>
            <w:shd w:val="clear" w:color="auto" w:fill="auto"/>
            <w:vAlign w:val="center"/>
          </w:tcPr>
          <w:p w14:paraId="2C80FC5D">
            <w:pPr>
              <w:widowControl/>
              <w:adjustRightInd/>
              <w:spacing w:line="300" w:lineRule="auto"/>
              <w:jc w:val="center"/>
              <w:textAlignment w:val="auto"/>
              <w:rPr>
                <w:rFonts w:ascii="Arial" w:hAnsi="Arial" w:cs="Arial"/>
                <w:color w:val="auto"/>
                <w:szCs w:val="24"/>
              </w:rPr>
            </w:pPr>
            <w:r>
              <w:rPr>
                <w:rFonts w:hint="eastAsia" w:ascii="Arial" w:hAnsi="Arial" w:cs="Arial"/>
                <w:color w:val="auto"/>
                <w:szCs w:val="24"/>
              </w:rPr>
              <w:t>3197</w:t>
            </w:r>
          </w:p>
        </w:tc>
        <w:tc>
          <w:tcPr>
            <w:tcW w:w="1375" w:type="dxa"/>
            <w:tcBorders>
              <w:top w:val="single" w:color="auto" w:sz="4" w:space="0"/>
              <w:left w:val="nil"/>
              <w:bottom w:val="single" w:color="auto" w:sz="4" w:space="0"/>
              <w:right w:val="single" w:color="auto" w:sz="4" w:space="0"/>
            </w:tcBorders>
            <w:shd w:val="clear" w:color="auto" w:fill="auto"/>
            <w:vAlign w:val="center"/>
          </w:tcPr>
          <w:p w14:paraId="5220BFBC">
            <w:pPr>
              <w:widowControl/>
              <w:adjustRightInd/>
              <w:spacing w:line="300" w:lineRule="auto"/>
              <w:jc w:val="center"/>
              <w:textAlignment w:val="auto"/>
              <w:rPr>
                <w:rFonts w:ascii="Arial" w:hAnsi="Arial" w:cs="Arial"/>
                <w:color w:val="auto"/>
                <w:szCs w:val="24"/>
              </w:rPr>
            </w:pPr>
            <w:r>
              <w:rPr>
                <w:rFonts w:ascii="Arial" w:hAnsi="Arial" w:cs="Arial"/>
                <w:color w:val="auto"/>
                <w:szCs w:val="24"/>
              </w:rPr>
              <w:t>50.00%</w:t>
            </w:r>
          </w:p>
        </w:tc>
        <w:tc>
          <w:tcPr>
            <w:tcW w:w="2508" w:type="dxa"/>
            <w:vMerge w:val="restart"/>
            <w:tcBorders>
              <w:top w:val="single" w:color="auto" w:sz="4" w:space="0"/>
              <w:left w:val="single" w:color="auto" w:sz="4" w:space="0"/>
              <w:right w:val="single" w:color="auto" w:sz="4" w:space="0"/>
            </w:tcBorders>
            <w:vAlign w:val="center"/>
          </w:tcPr>
          <w:p w14:paraId="7764B122">
            <w:pPr>
              <w:spacing w:line="300" w:lineRule="auto"/>
              <w:jc w:val="center"/>
              <w:rPr>
                <w:rFonts w:ascii="Arial" w:hAnsi="Arial" w:cs="Arial"/>
                <w:b/>
                <w:color w:val="auto"/>
                <w:szCs w:val="24"/>
              </w:rPr>
            </w:pPr>
            <w:r>
              <w:rPr>
                <w:rFonts w:hint="eastAsia" w:ascii="Arial" w:hAnsi="Arial" w:cs="Arial"/>
                <w:b/>
                <w:color w:val="auto"/>
                <w:szCs w:val="24"/>
              </w:rPr>
              <w:t>3249</w:t>
            </w:r>
          </w:p>
        </w:tc>
      </w:tr>
      <w:tr w14:paraId="782CE2F2">
        <w:tblPrEx>
          <w:tblCellMar>
            <w:top w:w="57" w:type="dxa"/>
            <w:left w:w="28" w:type="dxa"/>
            <w:bottom w:w="57" w:type="dxa"/>
            <w:right w:w="28" w:type="dxa"/>
          </w:tblCellMar>
        </w:tblPrEx>
        <w:trPr>
          <w:cantSplit/>
          <w:jc w:val="center"/>
        </w:trPr>
        <w:tc>
          <w:tcPr>
            <w:tcW w:w="852" w:type="dxa"/>
            <w:vMerge w:val="continue"/>
            <w:tcBorders>
              <w:left w:val="single" w:color="auto" w:sz="4" w:space="0"/>
              <w:bottom w:val="single" w:color="auto" w:sz="4" w:space="0"/>
              <w:right w:val="single" w:color="auto" w:sz="4" w:space="0"/>
            </w:tcBorders>
            <w:vAlign w:val="center"/>
          </w:tcPr>
          <w:p w14:paraId="604E7F0A">
            <w:pPr>
              <w:spacing w:line="300" w:lineRule="auto"/>
              <w:jc w:val="center"/>
              <w:rPr>
                <w:rFonts w:ascii="Arial" w:hAnsi="Arial" w:eastAsia="仿宋_GB2312" w:cs="Arial"/>
                <w:color w:val="auto"/>
                <w:szCs w:val="24"/>
              </w:rPr>
            </w:pPr>
          </w:p>
        </w:tc>
        <w:tc>
          <w:tcPr>
            <w:tcW w:w="2551" w:type="dxa"/>
            <w:tcBorders>
              <w:top w:val="single" w:color="auto" w:sz="4" w:space="0"/>
              <w:left w:val="nil"/>
              <w:bottom w:val="single" w:color="auto" w:sz="4" w:space="0"/>
              <w:right w:val="single" w:color="auto" w:sz="4" w:space="0"/>
            </w:tcBorders>
            <w:shd w:val="clear" w:color="auto" w:fill="auto"/>
            <w:vAlign w:val="center"/>
          </w:tcPr>
          <w:p w14:paraId="6C3E617F">
            <w:pPr>
              <w:widowControl/>
              <w:adjustRightInd/>
              <w:spacing w:line="300" w:lineRule="auto"/>
              <w:textAlignment w:val="auto"/>
              <w:rPr>
                <w:rFonts w:ascii="Arial" w:hAnsi="Arial" w:eastAsia="仿宋_GB2312" w:cs="Arial"/>
                <w:color w:val="auto"/>
                <w:szCs w:val="24"/>
              </w:rPr>
            </w:pPr>
            <w:r>
              <w:rPr>
                <w:rFonts w:ascii="Arial" w:hAnsi="Arial" w:eastAsia="仿宋_GB2312" w:cs="Arial"/>
                <w:color w:val="auto"/>
                <w:szCs w:val="24"/>
              </w:rPr>
              <w:t>剩余法</w:t>
            </w:r>
          </w:p>
        </w:tc>
        <w:tc>
          <w:tcPr>
            <w:tcW w:w="1786" w:type="dxa"/>
            <w:tcBorders>
              <w:top w:val="single" w:color="auto" w:sz="4" w:space="0"/>
              <w:left w:val="nil"/>
              <w:bottom w:val="single" w:color="auto" w:sz="4" w:space="0"/>
              <w:right w:val="single" w:color="auto" w:sz="4" w:space="0"/>
            </w:tcBorders>
            <w:shd w:val="clear" w:color="auto" w:fill="auto"/>
            <w:vAlign w:val="center"/>
          </w:tcPr>
          <w:p w14:paraId="0541F3C4">
            <w:pPr>
              <w:widowControl/>
              <w:adjustRightInd/>
              <w:spacing w:line="300" w:lineRule="auto"/>
              <w:jc w:val="center"/>
              <w:textAlignment w:val="auto"/>
              <w:rPr>
                <w:rFonts w:ascii="Arial" w:hAnsi="Arial" w:cs="Arial"/>
                <w:color w:val="auto"/>
                <w:szCs w:val="24"/>
              </w:rPr>
            </w:pPr>
            <w:r>
              <w:rPr>
                <w:rFonts w:hint="eastAsia" w:ascii="Arial" w:hAnsi="Arial" w:cs="Arial"/>
                <w:color w:val="auto"/>
                <w:szCs w:val="24"/>
              </w:rPr>
              <w:t>3301</w:t>
            </w:r>
          </w:p>
        </w:tc>
        <w:tc>
          <w:tcPr>
            <w:tcW w:w="1375" w:type="dxa"/>
            <w:tcBorders>
              <w:top w:val="single" w:color="auto" w:sz="4" w:space="0"/>
              <w:left w:val="nil"/>
              <w:bottom w:val="single" w:color="auto" w:sz="4" w:space="0"/>
              <w:right w:val="single" w:color="auto" w:sz="4" w:space="0"/>
            </w:tcBorders>
            <w:shd w:val="clear" w:color="auto" w:fill="auto"/>
            <w:vAlign w:val="center"/>
          </w:tcPr>
          <w:p w14:paraId="6CD7AB06">
            <w:pPr>
              <w:widowControl/>
              <w:adjustRightInd/>
              <w:spacing w:line="300" w:lineRule="auto"/>
              <w:jc w:val="center"/>
              <w:textAlignment w:val="auto"/>
              <w:rPr>
                <w:rFonts w:ascii="Arial" w:hAnsi="Arial" w:cs="Arial"/>
                <w:color w:val="auto"/>
                <w:szCs w:val="24"/>
              </w:rPr>
            </w:pPr>
            <w:r>
              <w:rPr>
                <w:rFonts w:ascii="Arial" w:hAnsi="Arial" w:cs="Arial"/>
                <w:color w:val="auto"/>
                <w:szCs w:val="24"/>
              </w:rPr>
              <w:t>50.00%</w:t>
            </w:r>
          </w:p>
        </w:tc>
        <w:tc>
          <w:tcPr>
            <w:tcW w:w="2508" w:type="dxa"/>
            <w:vMerge w:val="continue"/>
            <w:tcBorders>
              <w:left w:val="single" w:color="auto" w:sz="4" w:space="0"/>
              <w:bottom w:val="single" w:color="auto" w:sz="4" w:space="0"/>
              <w:right w:val="single" w:color="auto" w:sz="4" w:space="0"/>
            </w:tcBorders>
            <w:vAlign w:val="center"/>
          </w:tcPr>
          <w:p w14:paraId="45CF1629">
            <w:pPr>
              <w:spacing w:line="300" w:lineRule="auto"/>
              <w:jc w:val="center"/>
              <w:rPr>
                <w:rFonts w:ascii="Arial" w:hAnsi="Arial" w:cs="Arial"/>
                <w:b/>
                <w:color w:val="auto"/>
                <w:szCs w:val="24"/>
              </w:rPr>
            </w:pPr>
          </w:p>
        </w:tc>
      </w:tr>
    </w:tbl>
    <w:p w14:paraId="58B9A02A">
      <w:pPr>
        <w:spacing w:line="300" w:lineRule="auto"/>
        <w:ind w:firstLine="560" w:firstLineChars="200"/>
        <w:jc w:val="both"/>
        <w:rPr>
          <w:rFonts w:ascii="Arial" w:hAnsi="Arial" w:eastAsia="仿宋_GB2312" w:cs="Arial"/>
          <w:color w:val="auto"/>
          <w:sz w:val="28"/>
        </w:rPr>
      </w:pPr>
    </w:p>
    <w:p w14:paraId="29834AB0">
      <w:pPr>
        <w:spacing w:line="300" w:lineRule="auto"/>
        <w:ind w:firstLine="562" w:firstLineChars="200"/>
        <w:jc w:val="both"/>
        <w:rPr>
          <w:rFonts w:ascii="Arial" w:hAnsi="Arial" w:eastAsia="仿宋_GB2312" w:cs="Arial"/>
          <w:color w:val="auto"/>
          <w:kern w:val="2"/>
          <w:sz w:val="28"/>
        </w:rPr>
      </w:pPr>
      <w:bookmarkStart w:id="198" w:name="_Toc531701572"/>
      <w:bookmarkStart w:id="199" w:name="_Toc469066320"/>
      <w:bookmarkStart w:id="200" w:name="_Toc520261150"/>
      <w:bookmarkStart w:id="201" w:name="_Toc416783537"/>
      <w:bookmarkStart w:id="202" w:name="_Toc425250322"/>
      <w:bookmarkStart w:id="203" w:name="_Toc418750900"/>
      <w:bookmarkStart w:id="204" w:name="_Toc515458377"/>
      <w:bookmarkStart w:id="205" w:name="_Toc418750901"/>
      <w:bookmarkStart w:id="206" w:name="_Toc469066321"/>
      <w:bookmarkStart w:id="207" w:name="_Toc425250323"/>
      <w:bookmarkStart w:id="208" w:name="_Toc416783538"/>
      <w:r>
        <w:rPr>
          <w:rFonts w:ascii="黑体" w:hAnsi="黑体" w:eastAsia="黑体" w:cs="Arial"/>
          <w:b/>
          <w:color w:val="auto"/>
          <w:sz w:val="28"/>
        </w:rPr>
        <w:t>估价对象位于北京市基准地价住宅</w:t>
      </w:r>
      <w:r>
        <w:rPr>
          <w:rFonts w:hint="eastAsia" w:ascii="黑体" w:hAnsi="黑体" w:eastAsia="黑体" w:cs="Arial"/>
          <w:b/>
          <w:color w:val="auto"/>
          <w:sz w:val="28"/>
        </w:rPr>
        <w:t>九级（IX－顺5）</w:t>
      </w:r>
      <w:r>
        <w:rPr>
          <w:rFonts w:ascii="黑体" w:hAnsi="黑体" w:eastAsia="黑体" w:cs="Arial"/>
          <w:b/>
          <w:color w:val="auto"/>
          <w:sz w:val="28"/>
        </w:rPr>
        <w:t>、</w:t>
      </w:r>
      <w:r>
        <w:rPr>
          <w:rFonts w:hint="eastAsia" w:ascii="黑体" w:hAnsi="黑体" w:eastAsia="黑体" w:cs="Arial"/>
          <w:b/>
          <w:color w:val="auto"/>
          <w:sz w:val="28"/>
        </w:rPr>
        <w:t>其他商业服务业用地九级（IX－顺5）</w:t>
      </w:r>
      <w:r>
        <w:rPr>
          <w:rFonts w:ascii="黑体" w:hAnsi="黑体" w:eastAsia="黑体" w:cs="Arial"/>
          <w:b/>
          <w:color w:val="auto"/>
          <w:sz w:val="28"/>
        </w:rPr>
        <w:t>、</w:t>
      </w:r>
      <w:r>
        <w:rPr>
          <w:rFonts w:hint="eastAsia" w:ascii="黑体" w:hAnsi="黑体" w:eastAsia="黑体" w:cs="Arial"/>
          <w:b/>
          <w:color w:val="auto"/>
          <w:sz w:val="28"/>
        </w:rPr>
        <w:t>公共服务九级（IX－顺5）</w:t>
      </w:r>
      <w:r>
        <w:rPr>
          <w:rFonts w:ascii="黑体" w:hAnsi="黑体" w:eastAsia="黑体" w:cs="Arial"/>
          <w:b/>
          <w:color w:val="auto"/>
          <w:sz w:val="28"/>
        </w:rPr>
        <w:t>范围内</w:t>
      </w:r>
      <w:r>
        <w:rPr>
          <w:rFonts w:ascii="Arial" w:hAnsi="Arial" w:eastAsia="黑体" w:cs="Arial"/>
          <w:b/>
          <w:color w:val="auto"/>
          <w:sz w:val="28"/>
        </w:rPr>
        <w:t>。</w:t>
      </w:r>
      <w:r>
        <w:rPr>
          <w:rFonts w:ascii="Arial" w:hAnsi="Arial" w:eastAsia="仿宋_GB2312" w:cs="Arial"/>
          <w:color w:val="auto"/>
          <w:kern w:val="2"/>
          <w:sz w:val="28"/>
        </w:rPr>
        <w:t>土地估价专业评估师根据估价的目的，按照估价的程序，采用科学的估价方法（基准地价系数修正法和剩余法），在认真分析现有资料的基础上，通过仔细测算和认真分析各种影响</w:t>
      </w:r>
      <w:r>
        <w:rPr>
          <w:rFonts w:ascii="Arial" w:hAnsi="Arial" w:eastAsia="仿宋_GB2312" w:cs="Arial"/>
          <w:color w:val="auto"/>
          <w:sz w:val="28"/>
        </w:rPr>
        <w:t>土地</w:t>
      </w:r>
      <w:r>
        <w:rPr>
          <w:rFonts w:ascii="Arial" w:hAnsi="Arial" w:eastAsia="仿宋_GB2312" w:cs="Arial"/>
          <w:color w:val="auto"/>
          <w:kern w:val="2"/>
          <w:sz w:val="28"/>
        </w:rPr>
        <w:t>价格的因素，确定</w:t>
      </w:r>
      <w:r>
        <w:rPr>
          <w:rFonts w:ascii="Arial" w:hAnsi="Arial" w:eastAsia="仿宋_GB2312" w:cs="Arial"/>
          <w:color w:val="auto"/>
          <w:sz w:val="28"/>
        </w:rPr>
        <w:t>估价对象于估价期日</w:t>
      </w:r>
      <w:r>
        <w:rPr>
          <w:rFonts w:hint="eastAsia" w:ascii="Arial" w:hAnsi="Arial" w:eastAsia="仿宋_GB2312" w:cs="Arial"/>
          <w:color w:val="auto"/>
          <w:sz w:val="28"/>
        </w:rPr>
        <w:t>2026年3月26日</w:t>
      </w:r>
      <w:r>
        <w:rPr>
          <w:rFonts w:ascii="Arial" w:hAnsi="Arial" w:eastAsia="仿宋_GB2312" w:cs="Arial"/>
          <w:color w:val="auto"/>
          <w:sz w:val="28"/>
        </w:rPr>
        <w:t>的</w:t>
      </w:r>
      <w:r>
        <w:rPr>
          <w:rFonts w:hint="eastAsia" w:ascii="Arial" w:hAnsi="Arial" w:eastAsia="仿宋_GB2312" w:cs="Arial"/>
          <w:color w:val="auto"/>
          <w:kern w:val="2"/>
          <w:sz w:val="28"/>
        </w:rPr>
        <w:t>地价结果</w:t>
      </w:r>
      <w:r>
        <w:rPr>
          <w:rFonts w:ascii="Arial" w:hAnsi="Arial" w:eastAsia="仿宋_GB2312" w:cs="Arial"/>
          <w:color w:val="auto"/>
          <w:kern w:val="2"/>
          <w:sz w:val="28"/>
        </w:rPr>
        <w:t>为：</w:t>
      </w:r>
      <w:r>
        <w:rPr>
          <w:rFonts w:hint="eastAsia" w:ascii="Arial" w:hAnsi="Arial" w:eastAsia="仿宋_GB2312" w:cs="Arial"/>
          <w:color w:val="auto"/>
          <w:kern w:val="2"/>
          <w:sz w:val="28"/>
        </w:rPr>
        <w:t>（币种：人民币）</w:t>
      </w:r>
    </w:p>
    <w:p w14:paraId="11EDC72A">
      <w:pPr>
        <w:snapToGrid w:val="0"/>
        <w:spacing w:before="120" w:beforeLines="50" w:line="288" w:lineRule="auto"/>
        <w:ind w:firstLine="562" w:firstLineChars="200"/>
        <w:rPr>
          <w:rFonts w:ascii="Arial" w:hAnsi="Arial" w:eastAsia="仿宋_GB2312" w:cs="Arial"/>
          <w:color w:val="auto"/>
          <w:kern w:val="2"/>
          <w:sz w:val="28"/>
        </w:rPr>
      </w:pPr>
      <w:r>
        <w:rPr>
          <w:rFonts w:hint="eastAsia" w:ascii="Arial" w:hAnsi="Arial" w:eastAsia="仿宋_GB2312" w:cs="Arial"/>
          <w:b/>
          <w:bCs/>
          <w:color w:val="auto"/>
          <w:kern w:val="2"/>
          <w:sz w:val="28"/>
        </w:rPr>
        <w:t>规划总建设用地面积：</w:t>
      </w:r>
      <w:r>
        <w:rPr>
          <w:rFonts w:hint="eastAsia" w:ascii="Arial" w:hAnsi="Arial" w:eastAsia="仿宋_GB2312" w:cs="Arial"/>
          <w:color w:val="auto"/>
          <w:kern w:val="2"/>
          <w:sz w:val="28"/>
        </w:rPr>
        <w:t>60990.43平方米</w:t>
      </w:r>
    </w:p>
    <w:p w14:paraId="343A8441">
      <w:pPr>
        <w:snapToGrid w:val="0"/>
        <w:spacing w:before="120" w:beforeLines="50" w:line="288" w:lineRule="auto"/>
        <w:ind w:firstLine="562" w:firstLineChars="200"/>
        <w:rPr>
          <w:rFonts w:ascii="Arial" w:hAnsi="Arial" w:eastAsia="仿宋_GB2312" w:cs="Arial"/>
          <w:color w:val="auto"/>
          <w:kern w:val="2"/>
          <w:sz w:val="28"/>
        </w:rPr>
      </w:pPr>
      <w:r>
        <w:rPr>
          <w:rFonts w:hint="eastAsia" w:ascii="Arial" w:hAnsi="Arial" w:eastAsia="仿宋_GB2312" w:cs="Arial"/>
          <w:b/>
          <w:bCs/>
          <w:color w:val="auto"/>
          <w:kern w:val="2"/>
          <w:sz w:val="28"/>
        </w:rPr>
        <w:t>规划总建筑面积：</w:t>
      </w:r>
      <w:r>
        <w:rPr>
          <w:rFonts w:hint="eastAsia" w:ascii="Arial" w:hAnsi="Arial" w:eastAsia="仿宋_GB2312" w:cs="Arial"/>
          <w:color w:val="auto"/>
          <w:kern w:val="2"/>
          <w:sz w:val="28"/>
        </w:rPr>
        <w:t>71508.52平方米</w:t>
      </w:r>
    </w:p>
    <w:p w14:paraId="51A455F4">
      <w:pPr>
        <w:snapToGrid w:val="0"/>
        <w:spacing w:before="120" w:beforeLines="50" w:line="288" w:lineRule="auto"/>
        <w:ind w:firstLine="840" w:firstLineChars="300"/>
        <w:rPr>
          <w:rFonts w:ascii="Arial" w:hAnsi="Arial" w:eastAsia="仿宋_GB2312" w:cs="Arial"/>
          <w:b/>
          <w:color w:val="auto"/>
          <w:kern w:val="2"/>
          <w:sz w:val="28"/>
        </w:rPr>
      </w:pPr>
      <w:r>
        <w:rPr>
          <w:rFonts w:hint="eastAsia" w:ascii="Arial" w:hAnsi="Arial" w:eastAsia="仿宋_GB2312" w:cs="Arial"/>
          <w:color w:val="auto"/>
          <w:kern w:val="2"/>
          <w:sz w:val="28"/>
        </w:rPr>
        <w:t>其中，经营性建筑面积：68148.54平方米</w:t>
      </w:r>
    </w:p>
    <w:p w14:paraId="436AEEAD">
      <w:pPr>
        <w:snapToGrid w:val="0"/>
        <w:spacing w:line="288" w:lineRule="auto"/>
        <w:ind w:firstLine="562" w:firstLineChars="200"/>
        <w:rPr>
          <w:rFonts w:ascii="Arial" w:hAnsi="Arial" w:eastAsia="仿宋_GB2312" w:cs="Arial"/>
          <w:b/>
          <w:color w:val="auto"/>
          <w:kern w:val="2"/>
          <w:sz w:val="28"/>
        </w:rPr>
      </w:pPr>
      <w:r>
        <w:rPr>
          <w:rFonts w:ascii="Arial" w:hAnsi="Arial" w:eastAsia="仿宋_GB2312" w:cs="Arial"/>
          <w:b/>
          <w:color w:val="auto"/>
          <w:kern w:val="2"/>
          <w:sz w:val="28"/>
        </w:rPr>
        <w:t>熟地</w:t>
      </w:r>
      <w:r>
        <w:rPr>
          <w:rFonts w:hint="eastAsia" w:ascii="Arial" w:hAnsi="Arial" w:eastAsia="仿宋_GB2312" w:cs="Arial"/>
          <w:b/>
          <w:color w:val="auto"/>
          <w:kern w:val="2"/>
          <w:sz w:val="28"/>
        </w:rPr>
        <w:t>总</w:t>
      </w:r>
      <w:r>
        <w:rPr>
          <w:rFonts w:ascii="Arial" w:hAnsi="Arial" w:eastAsia="仿宋_GB2312" w:cs="Arial"/>
          <w:b/>
          <w:color w:val="auto"/>
          <w:kern w:val="2"/>
          <w:sz w:val="28"/>
        </w:rPr>
        <w:t>价：</w:t>
      </w:r>
    </w:p>
    <w:p w14:paraId="08FEB6AB">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熟地价总额：</w:t>
      </w:r>
      <w:r>
        <w:rPr>
          <w:rFonts w:hint="eastAsia" w:ascii="Arial" w:hAnsi="Arial" w:eastAsia="仿宋_GB2312" w:cs="Arial"/>
          <w:color w:val="auto"/>
          <w:kern w:val="2"/>
          <w:sz w:val="28"/>
        </w:rPr>
        <w:t>74568.1325</w:t>
      </w:r>
      <w:r>
        <w:rPr>
          <w:rFonts w:ascii="Arial" w:hAnsi="Arial" w:eastAsia="仿宋_GB2312" w:cs="Arial"/>
          <w:color w:val="auto"/>
          <w:kern w:val="2"/>
          <w:sz w:val="28"/>
        </w:rPr>
        <w:t xml:space="preserve"> 万元</w:t>
      </w:r>
    </w:p>
    <w:p w14:paraId="596B60EC">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大写金额：</w:t>
      </w:r>
      <w:r>
        <w:rPr>
          <w:rFonts w:hint="eastAsia" w:ascii="Arial" w:hAnsi="Arial" w:eastAsia="仿宋_GB2312" w:cs="Arial"/>
          <w:color w:val="auto"/>
          <w:kern w:val="2"/>
          <w:sz w:val="28"/>
        </w:rPr>
        <w:t>柒亿肆仟伍佰陆拾捌万壹仟叁佰贰拾伍</w:t>
      </w:r>
      <w:r>
        <w:rPr>
          <w:rFonts w:ascii="Arial" w:hAnsi="Arial" w:eastAsia="仿宋_GB2312" w:cs="Arial"/>
          <w:color w:val="auto"/>
          <w:kern w:val="2"/>
          <w:sz w:val="28"/>
        </w:rPr>
        <w:t>元整</w:t>
      </w:r>
    </w:p>
    <w:p w14:paraId="23B1B8DA">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楼面地价：10942元/平方米</w:t>
      </w:r>
    </w:p>
    <w:p w14:paraId="2D8487A4">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城镇住宅用地：</w:t>
      </w:r>
    </w:p>
    <w:p w14:paraId="2ACCC5A6">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熟地价总额：</w:t>
      </w:r>
      <w:r>
        <w:rPr>
          <w:rFonts w:hint="eastAsia" w:ascii="Arial" w:hAnsi="Arial" w:eastAsia="仿宋_GB2312" w:cs="Arial"/>
          <w:color w:val="auto"/>
          <w:kern w:val="2"/>
          <w:sz w:val="28"/>
        </w:rPr>
        <w:t>74568.1325</w:t>
      </w:r>
      <w:r>
        <w:rPr>
          <w:rFonts w:ascii="Arial" w:hAnsi="Arial" w:eastAsia="仿宋_GB2312" w:cs="Arial"/>
          <w:color w:val="auto"/>
          <w:kern w:val="2"/>
          <w:sz w:val="28"/>
        </w:rPr>
        <w:t xml:space="preserve"> 万元</w:t>
      </w:r>
    </w:p>
    <w:p w14:paraId="71CB1B3F">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大写金额：</w:t>
      </w:r>
      <w:r>
        <w:rPr>
          <w:rFonts w:hint="eastAsia" w:ascii="Arial" w:hAnsi="Arial" w:eastAsia="仿宋_GB2312" w:cs="Arial"/>
          <w:color w:val="auto"/>
          <w:kern w:val="2"/>
          <w:sz w:val="28"/>
        </w:rPr>
        <w:t>柒亿肆仟伍佰陆拾捌万壹仟叁佰贰拾伍</w:t>
      </w:r>
      <w:r>
        <w:rPr>
          <w:rFonts w:ascii="Arial" w:hAnsi="Arial" w:eastAsia="仿宋_GB2312" w:cs="Arial"/>
          <w:color w:val="auto"/>
          <w:kern w:val="2"/>
          <w:sz w:val="28"/>
        </w:rPr>
        <w:t>元整</w:t>
      </w:r>
    </w:p>
    <w:p w14:paraId="2E762633">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楼面地价：10942元/平方米</w:t>
      </w:r>
    </w:p>
    <w:p w14:paraId="00AE5728">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其他商业服务业用地</w:t>
      </w:r>
    </w:p>
    <w:p w14:paraId="0B3F307C">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楼面地价：5295元/平方米</w:t>
      </w:r>
    </w:p>
    <w:p w14:paraId="09706B6D">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公共管理与公共服务用地</w:t>
      </w:r>
    </w:p>
    <w:p w14:paraId="10613BA6">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楼面地价：3249元/平方米</w:t>
      </w:r>
    </w:p>
    <w:p w14:paraId="4E6A63F3">
      <w:pPr>
        <w:snapToGrid w:val="0"/>
        <w:spacing w:before="120" w:beforeLines="50" w:line="288" w:lineRule="auto"/>
        <w:ind w:firstLine="560" w:firstLineChars="200"/>
        <w:rPr>
          <w:rFonts w:ascii="Arial" w:hAnsi="Arial" w:eastAsia="仿宋_GB2312" w:cs="Arial"/>
          <w:color w:val="auto"/>
          <w:kern w:val="2"/>
          <w:sz w:val="28"/>
        </w:rPr>
      </w:pPr>
      <w:r>
        <w:rPr>
          <w:rFonts w:ascii="Arial" w:hAnsi="Arial" w:eastAsia="仿宋_GB2312" w:cs="Arial"/>
          <w:color w:val="auto"/>
          <w:kern w:val="2"/>
          <w:sz w:val="28"/>
        </w:rPr>
        <w:t>详见《估价结果汇总表》</w:t>
      </w:r>
    </w:p>
    <w:p w14:paraId="58BF2398">
      <w:pPr>
        <w:snapToGrid w:val="0"/>
        <w:spacing w:before="120" w:beforeLines="50" w:line="300"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根据北京市顺义区人民政府《北京市顺义区人民政府关于顺义区高丽营镇夏县营村棚户区改造土地开发项目01－008、01－016、01－026－1、01－020地块提请地价审核有关事宜的函》，本项目不存在回迁、回购等实物补偿内容。</w:t>
      </w:r>
    </w:p>
    <w:p w14:paraId="601A6A4C">
      <w:pPr>
        <w:snapToGrid w:val="0"/>
        <w:spacing w:before="120" w:beforeLines="50" w:line="288" w:lineRule="auto"/>
        <w:ind w:firstLine="560" w:firstLineChars="200"/>
        <w:rPr>
          <w:rFonts w:ascii="Arial" w:hAnsi="Arial" w:eastAsia="仿宋_GB2312" w:cs="Arial"/>
          <w:color w:val="auto"/>
          <w:sz w:val="28"/>
          <w:szCs w:val="28"/>
        </w:rPr>
      </w:pPr>
      <w:r>
        <w:rPr>
          <w:rFonts w:hint="eastAsia" w:ascii="Arial" w:hAnsi="Arial" w:eastAsia="仿宋_GB2312" w:cs="Arial"/>
          <w:color w:val="auto"/>
          <w:sz w:val="28"/>
          <w:szCs w:val="28"/>
        </w:rPr>
        <w:t>根据《自然资源部 国家林业和草原局关于进一步做好自然资源要素保障的通知》（自然资办发（2026）38号），通过强化国土空间规划弹性、优化审批流程、优先保障国家重大项目及重点领域新增用地指标，并严格执行耕地占补平衡，旨在提升自然资源要素配置效率。其对新增供地市场的影响在于：在严守资源安全底线前提下，为有效投资和合理建设需求开辟“绿色通道”，推动土地供应更加精准、高效地向高质量发展领域倾斜，促进土地节约集约利用，实现“保护”与“保障”的动态平衡，推动行业从粗放规模扩张转向高质量内涵式发展。</w:t>
      </w:r>
    </w:p>
    <w:p w14:paraId="262C83EF">
      <w:pPr>
        <w:snapToGrid w:val="0"/>
        <w:spacing w:before="120" w:beforeLines="50" w:line="288" w:lineRule="auto"/>
        <w:ind w:firstLine="560" w:firstLineChars="200"/>
        <w:rPr>
          <w:rFonts w:ascii="Arial" w:hAnsi="Arial" w:eastAsia="仿宋_GB2312" w:cs="Arial"/>
          <w:color w:val="auto"/>
          <w:sz w:val="28"/>
        </w:rPr>
      </w:pPr>
      <w:r>
        <w:rPr>
          <w:rFonts w:hint="eastAsia" w:ascii="Arial" w:hAnsi="Arial" w:eastAsia="仿宋_GB2312" w:cs="Arial"/>
          <w:color w:val="auto"/>
          <w:kern w:val="2"/>
          <w:sz w:val="28"/>
        </w:rPr>
        <w:t>根据《北京市国有建设用地使用权出让地价评估技术导则》（2026年2月10日实施）</w:t>
      </w:r>
      <w:r>
        <w:rPr>
          <w:rFonts w:hint="eastAsia" w:ascii="Arial" w:hAnsi="Arial" w:eastAsia="仿宋" w:cs="Arial"/>
          <w:color w:val="auto"/>
          <w:sz w:val="28"/>
          <w:szCs w:val="28"/>
        </w:rPr>
        <w:t>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_GB2312" w:cs="Arial"/>
          <w:color w:val="auto"/>
          <w:kern w:val="2"/>
          <w:sz w:val="28"/>
        </w:rPr>
        <w:t>其他商服、公共服务用途统一地价水平确定其配套服务设施部分的熟地单价，按就高原则确定价格水平，后续也不涉及其他商服及公共服务用途之间地价款调整问题。</w:t>
      </w:r>
      <w:r>
        <w:rPr>
          <w:rFonts w:hint="eastAsia" w:ascii="Arial" w:hAnsi="Arial" w:eastAsia="仿宋" w:cs="Arial"/>
          <w:color w:val="auto"/>
          <w:sz w:val="28"/>
        </w:rPr>
        <w:t>”</w:t>
      </w:r>
    </w:p>
    <w:p w14:paraId="35CC3692">
      <w:pPr>
        <w:snapToGrid w:val="0"/>
        <w:spacing w:before="120" w:beforeLines="50" w:after="240" w:afterLines="100" w:line="288" w:lineRule="auto"/>
        <w:ind w:firstLine="560" w:firstLineChars="200"/>
        <w:rPr>
          <w:rFonts w:ascii="Arial" w:hAnsi="Arial" w:eastAsia="仿宋_GB2312" w:cs="Arial"/>
          <w:color w:val="auto"/>
          <w:kern w:val="2"/>
          <w:sz w:val="28"/>
        </w:rPr>
      </w:pPr>
      <w:r>
        <w:rPr>
          <w:rFonts w:hint="eastAsia" w:ascii="Arial" w:hAnsi="Arial" w:eastAsia="仿宋_GB2312" w:cs="Arial"/>
          <w:color w:val="auto"/>
          <w:kern w:val="2"/>
          <w:sz w:val="28"/>
        </w:rPr>
        <w:t>根据本次估价目的和出让评估要求，本次评估估价对象熟地总价时按城镇住宅用地测算结果作为最终估价结果，其他商业服务业用地、公共管理与公共服务用地仅测算列示楼面地价。具体估价结果如下表所示：</w:t>
      </w:r>
    </w:p>
    <w:p w14:paraId="28E3BAEC">
      <w:pPr>
        <w:rPr>
          <w:rFonts w:ascii="Arial" w:hAnsi="Arial" w:eastAsia="仿宋_GB2312" w:cs="Arial"/>
          <w:color w:val="auto"/>
          <w:kern w:val="2"/>
          <w:sz w:val="28"/>
        </w:rPr>
      </w:pPr>
      <w:r>
        <w:rPr>
          <w:rFonts w:hint="eastAsia" w:ascii="Arial" w:hAnsi="Arial" w:eastAsia="仿宋_GB2312" w:cs="Arial"/>
          <w:color w:val="auto"/>
          <w:kern w:val="2"/>
          <w:sz w:val="28"/>
        </w:rPr>
        <w:br w:type="page"/>
      </w:r>
    </w:p>
    <w:tbl>
      <w:tblPr>
        <w:tblStyle w:val="34"/>
        <w:tblW w:w="9072" w:type="dxa"/>
        <w:jc w:val="center"/>
        <w:tblLayout w:type="fixed"/>
        <w:tblCellMar>
          <w:top w:w="0" w:type="dxa"/>
          <w:left w:w="108" w:type="dxa"/>
          <w:bottom w:w="0" w:type="dxa"/>
          <w:right w:w="108" w:type="dxa"/>
        </w:tblCellMar>
      </w:tblPr>
      <w:tblGrid>
        <w:gridCol w:w="3792"/>
        <w:gridCol w:w="1728"/>
        <w:gridCol w:w="1980"/>
        <w:gridCol w:w="1572"/>
      </w:tblGrid>
      <w:tr w14:paraId="1E4D1799">
        <w:tblPrEx>
          <w:tblCellMar>
            <w:top w:w="0" w:type="dxa"/>
            <w:left w:w="108" w:type="dxa"/>
            <w:bottom w:w="0" w:type="dxa"/>
            <w:right w:w="108" w:type="dxa"/>
          </w:tblCellMar>
        </w:tblPrEx>
        <w:trPr>
          <w:trHeight w:val="1125" w:hRule="atLeast"/>
          <w:jc w:val="center"/>
        </w:trPr>
        <w:tc>
          <w:tcPr>
            <w:tcW w:w="9072" w:type="dxa"/>
            <w:gridSpan w:val="4"/>
            <w:tcBorders>
              <w:top w:val="nil"/>
              <w:left w:val="nil"/>
              <w:bottom w:val="single" w:color="auto" w:sz="4" w:space="0"/>
              <w:right w:val="nil"/>
            </w:tcBorders>
            <w:shd w:val="clear" w:color="auto" w:fill="auto"/>
            <w:vAlign w:val="center"/>
          </w:tcPr>
          <w:p w14:paraId="2DFC5832">
            <w:pPr>
              <w:widowControl/>
              <w:adjustRightInd/>
              <w:spacing w:line="300" w:lineRule="auto"/>
              <w:jc w:val="center"/>
              <w:textAlignment w:val="auto"/>
              <w:rPr>
                <w:rFonts w:ascii="Arial" w:hAnsi="Arial" w:eastAsia="黑体" w:cs="Arial"/>
                <w:color w:val="auto"/>
                <w:sz w:val="28"/>
                <w:szCs w:val="28"/>
              </w:rPr>
            </w:pPr>
            <w:r>
              <w:rPr>
                <w:rFonts w:hint="eastAsia" w:ascii="Arial" w:hAnsi="Arial" w:eastAsia="仿宋_GB2312" w:cs="Arial"/>
                <w:b/>
                <w:bCs/>
                <w:color w:val="auto"/>
                <w:sz w:val="28"/>
              </w:rPr>
              <w:t>北京市顺义区高丽营镇夏县营村棚户区改造土地开发项目01－008、01－016、01－026－1、01－020地块R2二类居住用地、A334托幼用地国有建设用地使用权</w:t>
            </w:r>
            <w:r>
              <w:rPr>
                <w:rFonts w:ascii="Arial" w:hAnsi="Arial" w:eastAsia="仿宋_GB2312" w:cs="Arial"/>
                <w:b/>
                <w:bCs/>
                <w:color w:val="auto"/>
                <w:sz w:val="28"/>
              </w:rPr>
              <w:t>估价结果汇总表</w:t>
            </w:r>
          </w:p>
        </w:tc>
      </w:tr>
      <w:tr w14:paraId="788C5478">
        <w:tblPrEx>
          <w:tblCellMar>
            <w:top w:w="0" w:type="dxa"/>
            <w:left w:w="108" w:type="dxa"/>
            <w:bottom w:w="0" w:type="dxa"/>
            <w:right w:w="108" w:type="dxa"/>
          </w:tblCellMar>
        </w:tblPrEx>
        <w:trPr>
          <w:trHeight w:val="675" w:hRule="atLeast"/>
          <w:jc w:val="center"/>
        </w:trPr>
        <w:tc>
          <w:tcPr>
            <w:tcW w:w="3792" w:type="dxa"/>
            <w:tcBorders>
              <w:top w:val="nil"/>
              <w:left w:val="single" w:color="auto" w:sz="4" w:space="0"/>
              <w:bottom w:val="single" w:color="auto" w:sz="4" w:space="0"/>
              <w:right w:val="single" w:color="auto" w:sz="4" w:space="0"/>
            </w:tcBorders>
            <w:shd w:val="clear" w:color="auto" w:fill="auto"/>
            <w:vAlign w:val="center"/>
          </w:tcPr>
          <w:p w14:paraId="7F69932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地价类型</w:t>
            </w:r>
            <w:r>
              <w:rPr>
                <w:rFonts w:ascii="Arial" w:hAnsi="Arial" w:eastAsia="仿宋_GB2312" w:cs="Arial"/>
                <w:color w:val="auto"/>
                <w:szCs w:val="24"/>
              </w:rPr>
              <w:t>　</w:t>
            </w:r>
          </w:p>
        </w:tc>
        <w:tc>
          <w:tcPr>
            <w:tcW w:w="1728" w:type="dxa"/>
            <w:tcBorders>
              <w:top w:val="nil"/>
              <w:left w:val="nil"/>
              <w:bottom w:val="single" w:color="auto" w:sz="4" w:space="0"/>
              <w:right w:val="single" w:color="auto" w:sz="4" w:space="0"/>
            </w:tcBorders>
            <w:shd w:val="clear" w:color="auto" w:fill="auto"/>
            <w:vAlign w:val="center"/>
          </w:tcPr>
          <w:p w14:paraId="4F5359C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楼面地价</w:t>
            </w:r>
            <w:r>
              <w:rPr>
                <w:rFonts w:ascii="Arial" w:hAnsi="Arial" w:eastAsia="仿宋_GB2312" w:cs="Arial"/>
                <w:color w:val="auto"/>
                <w:szCs w:val="24"/>
              </w:rPr>
              <w:br w:type="textWrapping"/>
            </w:r>
            <w:r>
              <w:rPr>
                <w:rFonts w:ascii="Arial" w:hAnsi="Arial" w:eastAsia="仿宋_GB2312" w:cs="Arial"/>
                <w:color w:val="auto"/>
                <w:szCs w:val="24"/>
              </w:rPr>
              <w:t>（元/平方米）</w:t>
            </w:r>
          </w:p>
        </w:tc>
        <w:tc>
          <w:tcPr>
            <w:tcW w:w="1980" w:type="dxa"/>
            <w:tcBorders>
              <w:top w:val="nil"/>
              <w:left w:val="nil"/>
              <w:bottom w:val="single" w:color="auto" w:sz="4" w:space="0"/>
              <w:right w:val="single" w:color="auto" w:sz="4" w:space="0"/>
            </w:tcBorders>
            <w:shd w:val="clear" w:color="auto" w:fill="auto"/>
            <w:vAlign w:val="center"/>
          </w:tcPr>
          <w:p w14:paraId="0F0F558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经营性</w:t>
            </w:r>
            <w:r>
              <w:rPr>
                <w:rFonts w:ascii="Arial" w:hAnsi="Arial" w:eastAsia="仿宋_GB2312" w:cs="Arial"/>
                <w:color w:val="auto"/>
                <w:szCs w:val="24"/>
              </w:rPr>
              <w:t>建筑规模</w:t>
            </w:r>
            <w:r>
              <w:rPr>
                <w:rFonts w:ascii="Arial" w:hAnsi="Arial" w:eastAsia="仿宋_GB2312" w:cs="Arial"/>
                <w:color w:val="auto"/>
                <w:szCs w:val="24"/>
              </w:rPr>
              <w:br w:type="textWrapping"/>
            </w:r>
            <w:r>
              <w:rPr>
                <w:rFonts w:ascii="Arial" w:hAnsi="Arial" w:eastAsia="仿宋_GB2312" w:cs="Arial"/>
                <w:color w:val="auto"/>
                <w:szCs w:val="24"/>
              </w:rPr>
              <w:t>（平方米）</w:t>
            </w:r>
          </w:p>
        </w:tc>
        <w:tc>
          <w:tcPr>
            <w:tcW w:w="1572" w:type="dxa"/>
            <w:tcBorders>
              <w:top w:val="nil"/>
              <w:left w:val="nil"/>
              <w:bottom w:val="single" w:color="auto" w:sz="4" w:space="0"/>
              <w:right w:val="single" w:color="auto" w:sz="4" w:space="0"/>
            </w:tcBorders>
            <w:shd w:val="clear" w:color="auto" w:fill="auto"/>
            <w:vAlign w:val="center"/>
          </w:tcPr>
          <w:p w14:paraId="4609333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熟地</w:t>
            </w:r>
            <w:r>
              <w:rPr>
                <w:rFonts w:ascii="Arial" w:hAnsi="Arial" w:eastAsia="仿宋_GB2312" w:cs="Arial"/>
                <w:color w:val="auto"/>
                <w:szCs w:val="24"/>
              </w:rPr>
              <w:t>总价</w:t>
            </w:r>
            <w:r>
              <w:rPr>
                <w:rFonts w:ascii="Arial" w:hAnsi="Arial" w:eastAsia="仿宋_GB2312" w:cs="Arial"/>
                <w:color w:val="auto"/>
                <w:szCs w:val="24"/>
              </w:rPr>
              <w:br w:type="textWrapping"/>
            </w:r>
            <w:r>
              <w:rPr>
                <w:rFonts w:ascii="Arial" w:hAnsi="Arial" w:eastAsia="仿宋_GB2312" w:cs="Arial"/>
                <w:color w:val="auto"/>
                <w:szCs w:val="24"/>
              </w:rPr>
              <w:t>（万元）</w:t>
            </w:r>
          </w:p>
        </w:tc>
      </w:tr>
      <w:tr w14:paraId="63EFD164">
        <w:tblPrEx>
          <w:tblCellMar>
            <w:top w:w="0" w:type="dxa"/>
            <w:left w:w="108" w:type="dxa"/>
            <w:bottom w:w="0" w:type="dxa"/>
            <w:right w:w="108" w:type="dxa"/>
          </w:tblCellMar>
        </w:tblPrEx>
        <w:trPr>
          <w:trHeight w:val="565" w:hRule="atLeast"/>
          <w:jc w:val="center"/>
        </w:trPr>
        <w:tc>
          <w:tcPr>
            <w:tcW w:w="3792" w:type="dxa"/>
            <w:tcBorders>
              <w:top w:val="nil"/>
              <w:left w:val="single" w:color="auto" w:sz="4" w:space="0"/>
              <w:bottom w:val="single" w:color="auto" w:sz="4" w:space="0"/>
              <w:right w:val="single" w:color="auto" w:sz="4" w:space="0"/>
            </w:tcBorders>
            <w:shd w:val="clear" w:color="auto" w:fill="auto"/>
            <w:vAlign w:val="center"/>
          </w:tcPr>
          <w:p w14:paraId="3EE0076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城镇住宅用地熟地价</w:t>
            </w:r>
          </w:p>
        </w:tc>
        <w:tc>
          <w:tcPr>
            <w:tcW w:w="1728" w:type="dxa"/>
            <w:tcBorders>
              <w:top w:val="nil"/>
              <w:left w:val="nil"/>
              <w:bottom w:val="single" w:color="auto" w:sz="4" w:space="0"/>
              <w:right w:val="single" w:color="auto" w:sz="4" w:space="0"/>
            </w:tcBorders>
            <w:shd w:val="clear" w:color="auto" w:fill="auto"/>
            <w:vAlign w:val="center"/>
          </w:tcPr>
          <w:p w14:paraId="4CF7F71C">
            <w:pPr>
              <w:spacing w:line="300" w:lineRule="auto"/>
              <w:jc w:val="center"/>
              <w:rPr>
                <w:rFonts w:ascii="黑体" w:hAnsi="黑体" w:eastAsia="黑体" w:cs="宋体"/>
                <w:color w:val="auto"/>
                <w:szCs w:val="24"/>
              </w:rPr>
            </w:pPr>
            <w:r>
              <w:rPr>
                <w:rFonts w:hint="eastAsia" w:ascii="黑体" w:hAnsi="黑体" w:eastAsia="黑体" w:cs="宋体"/>
                <w:color w:val="auto"/>
                <w:szCs w:val="24"/>
              </w:rPr>
              <w:t>10942</w:t>
            </w:r>
          </w:p>
        </w:tc>
        <w:tc>
          <w:tcPr>
            <w:tcW w:w="1980" w:type="dxa"/>
            <w:tcBorders>
              <w:top w:val="nil"/>
              <w:left w:val="nil"/>
              <w:bottom w:val="single" w:color="auto" w:sz="4" w:space="0"/>
              <w:right w:val="single" w:color="auto" w:sz="4" w:space="0"/>
            </w:tcBorders>
            <w:shd w:val="clear" w:color="auto" w:fill="auto"/>
            <w:vAlign w:val="center"/>
          </w:tcPr>
          <w:p w14:paraId="558592C4">
            <w:pPr>
              <w:spacing w:line="300" w:lineRule="auto"/>
              <w:jc w:val="center"/>
              <w:rPr>
                <w:rFonts w:ascii="黑体" w:hAnsi="黑体" w:eastAsia="黑体"/>
                <w:color w:val="auto"/>
              </w:rPr>
            </w:pPr>
            <w:r>
              <w:rPr>
                <w:rFonts w:ascii="黑体" w:hAnsi="黑体" w:eastAsia="黑体"/>
                <w:color w:val="auto"/>
              </w:rPr>
              <w:t>68148.54</w:t>
            </w:r>
          </w:p>
        </w:tc>
        <w:tc>
          <w:tcPr>
            <w:tcW w:w="1572" w:type="dxa"/>
            <w:tcBorders>
              <w:top w:val="nil"/>
              <w:left w:val="nil"/>
              <w:bottom w:val="single" w:color="auto" w:sz="4" w:space="0"/>
              <w:right w:val="single" w:color="auto" w:sz="4" w:space="0"/>
            </w:tcBorders>
            <w:shd w:val="clear" w:color="auto" w:fill="auto"/>
            <w:vAlign w:val="center"/>
          </w:tcPr>
          <w:p w14:paraId="73161060">
            <w:pPr>
              <w:spacing w:line="300" w:lineRule="auto"/>
              <w:jc w:val="center"/>
              <w:rPr>
                <w:rFonts w:ascii="黑体" w:hAnsi="黑体" w:eastAsia="黑体" w:cs="宋体"/>
                <w:color w:val="auto"/>
                <w:szCs w:val="24"/>
              </w:rPr>
            </w:pPr>
            <w:r>
              <w:rPr>
                <w:rFonts w:hint="eastAsia" w:ascii="黑体" w:hAnsi="黑体" w:eastAsia="黑体"/>
                <w:color w:val="auto"/>
              </w:rPr>
              <w:t>74568.1325</w:t>
            </w:r>
            <w:r>
              <w:rPr>
                <w:rFonts w:ascii="黑体" w:hAnsi="黑体" w:eastAsia="黑体"/>
                <w:color w:val="auto"/>
              </w:rPr>
              <w:t xml:space="preserve"> </w:t>
            </w:r>
          </w:p>
        </w:tc>
      </w:tr>
      <w:tr w14:paraId="0B18B1DD">
        <w:tblPrEx>
          <w:tblCellMar>
            <w:top w:w="0" w:type="dxa"/>
            <w:left w:w="108" w:type="dxa"/>
            <w:bottom w:w="0" w:type="dxa"/>
            <w:right w:w="108" w:type="dxa"/>
          </w:tblCellMar>
        </w:tblPrEx>
        <w:trPr>
          <w:trHeight w:val="525" w:hRule="atLeast"/>
          <w:jc w:val="center"/>
        </w:trPr>
        <w:tc>
          <w:tcPr>
            <w:tcW w:w="3792" w:type="dxa"/>
            <w:tcBorders>
              <w:top w:val="nil"/>
              <w:left w:val="single" w:color="auto" w:sz="4" w:space="0"/>
              <w:bottom w:val="single" w:color="auto" w:sz="4" w:space="0"/>
              <w:right w:val="single" w:color="auto" w:sz="4" w:space="0"/>
            </w:tcBorders>
            <w:shd w:val="clear" w:color="auto" w:fill="auto"/>
            <w:vAlign w:val="center"/>
          </w:tcPr>
          <w:p w14:paraId="17EB600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其他商业服务业用地用途熟地价</w:t>
            </w:r>
          </w:p>
        </w:tc>
        <w:tc>
          <w:tcPr>
            <w:tcW w:w="1728" w:type="dxa"/>
            <w:tcBorders>
              <w:top w:val="nil"/>
              <w:left w:val="nil"/>
              <w:bottom w:val="single" w:color="auto" w:sz="4" w:space="0"/>
              <w:right w:val="single" w:color="auto" w:sz="4" w:space="0"/>
            </w:tcBorders>
            <w:shd w:val="clear" w:color="auto" w:fill="auto"/>
            <w:vAlign w:val="center"/>
          </w:tcPr>
          <w:p w14:paraId="14BEDB6C">
            <w:pPr>
              <w:spacing w:line="300" w:lineRule="auto"/>
              <w:jc w:val="center"/>
              <w:rPr>
                <w:rFonts w:ascii="黑体" w:hAnsi="黑体" w:eastAsia="黑体" w:cs="宋体"/>
                <w:color w:val="auto"/>
                <w:szCs w:val="24"/>
              </w:rPr>
            </w:pPr>
            <w:r>
              <w:rPr>
                <w:rFonts w:hint="eastAsia" w:ascii="黑体" w:hAnsi="黑体" w:eastAsia="黑体" w:cs="宋体"/>
                <w:color w:val="auto"/>
                <w:szCs w:val="24"/>
              </w:rPr>
              <w:t>5295</w:t>
            </w:r>
          </w:p>
        </w:tc>
        <w:tc>
          <w:tcPr>
            <w:tcW w:w="1980" w:type="dxa"/>
            <w:tcBorders>
              <w:top w:val="nil"/>
              <w:left w:val="nil"/>
              <w:bottom w:val="single" w:color="auto" w:sz="4" w:space="0"/>
              <w:right w:val="single" w:color="auto" w:sz="4" w:space="0"/>
            </w:tcBorders>
            <w:shd w:val="clear" w:color="auto" w:fill="auto"/>
            <w:vAlign w:val="center"/>
          </w:tcPr>
          <w:p w14:paraId="6BEDDD54">
            <w:pPr>
              <w:spacing w:line="300" w:lineRule="auto"/>
              <w:jc w:val="center"/>
              <w:rPr>
                <w:rFonts w:ascii="黑体" w:hAnsi="黑体" w:eastAsia="黑体"/>
                <w:color w:val="auto"/>
              </w:rPr>
            </w:pPr>
            <w:r>
              <w:rPr>
                <w:rFonts w:hint="eastAsia" w:ascii="黑体" w:hAnsi="黑体" w:eastAsia="黑体"/>
                <w:color w:val="auto"/>
              </w:rPr>
              <w:t>－</w:t>
            </w:r>
          </w:p>
        </w:tc>
        <w:tc>
          <w:tcPr>
            <w:tcW w:w="1572" w:type="dxa"/>
            <w:tcBorders>
              <w:top w:val="nil"/>
              <w:left w:val="nil"/>
              <w:bottom w:val="single" w:color="auto" w:sz="4" w:space="0"/>
              <w:right w:val="single" w:color="auto" w:sz="4" w:space="0"/>
            </w:tcBorders>
            <w:shd w:val="clear" w:color="auto" w:fill="auto"/>
            <w:vAlign w:val="center"/>
          </w:tcPr>
          <w:p w14:paraId="2648441F">
            <w:pPr>
              <w:spacing w:line="300" w:lineRule="auto"/>
              <w:jc w:val="center"/>
              <w:rPr>
                <w:rFonts w:ascii="黑体" w:hAnsi="黑体" w:eastAsia="黑体" w:cs="宋体"/>
                <w:color w:val="auto"/>
                <w:szCs w:val="24"/>
              </w:rPr>
            </w:pPr>
            <w:r>
              <w:rPr>
                <w:rFonts w:hint="eastAsia" w:ascii="黑体" w:hAnsi="黑体" w:eastAsia="黑体"/>
                <w:color w:val="auto"/>
              </w:rPr>
              <w:t>－</w:t>
            </w:r>
          </w:p>
        </w:tc>
      </w:tr>
      <w:tr w14:paraId="75B85703">
        <w:tblPrEx>
          <w:tblCellMar>
            <w:top w:w="0" w:type="dxa"/>
            <w:left w:w="108" w:type="dxa"/>
            <w:bottom w:w="0" w:type="dxa"/>
            <w:right w:w="108" w:type="dxa"/>
          </w:tblCellMar>
        </w:tblPrEx>
        <w:trPr>
          <w:trHeight w:val="525" w:hRule="atLeast"/>
          <w:jc w:val="center"/>
        </w:trPr>
        <w:tc>
          <w:tcPr>
            <w:tcW w:w="3792" w:type="dxa"/>
            <w:tcBorders>
              <w:top w:val="nil"/>
              <w:left w:val="single" w:color="auto" w:sz="4" w:space="0"/>
              <w:bottom w:val="nil"/>
              <w:right w:val="single" w:color="auto" w:sz="4" w:space="0"/>
            </w:tcBorders>
            <w:shd w:val="clear" w:color="auto" w:fill="auto"/>
            <w:vAlign w:val="center"/>
          </w:tcPr>
          <w:p w14:paraId="33EC37F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公共服务用途熟地价</w:t>
            </w:r>
          </w:p>
        </w:tc>
        <w:tc>
          <w:tcPr>
            <w:tcW w:w="1728" w:type="dxa"/>
            <w:tcBorders>
              <w:top w:val="nil"/>
              <w:left w:val="nil"/>
              <w:bottom w:val="nil"/>
              <w:right w:val="single" w:color="auto" w:sz="4" w:space="0"/>
            </w:tcBorders>
            <w:shd w:val="clear" w:color="auto" w:fill="auto"/>
            <w:vAlign w:val="center"/>
          </w:tcPr>
          <w:p w14:paraId="29F1B821">
            <w:pPr>
              <w:spacing w:line="300" w:lineRule="auto"/>
              <w:jc w:val="center"/>
              <w:rPr>
                <w:rFonts w:ascii="黑体" w:hAnsi="黑体" w:eastAsia="黑体" w:cs="宋体"/>
                <w:color w:val="auto"/>
                <w:szCs w:val="24"/>
              </w:rPr>
            </w:pPr>
            <w:r>
              <w:rPr>
                <w:rFonts w:hint="eastAsia" w:ascii="黑体" w:hAnsi="黑体" w:eastAsia="黑体" w:cs="宋体"/>
                <w:color w:val="auto"/>
                <w:szCs w:val="24"/>
              </w:rPr>
              <w:t>3249</w:t>
            </w:r>
          </w:p>
        </w:tc>
        <w:tc>
          <w:tcPr>
            <w:tcW w:w="1980" w:type="dxa"/>
            <w:tcBorders>
              <w:top w:val="nil"/>
              <w:left w:val="nil"/>
              <w:bottom w:val="nil"/>
              <w:right w:val="single" w:color="auto" w:sz="4" w:space="0"/>
            </w:tcBorders>
            <w:shd w:val="clear" w:color="auto" w:fill="auto"/>
            <w:vAlign w:val="center"/>
          </w:tcPr>
          <w:p w14:paraId="2A06E6E5">
            <w:pPr>
              <w:spacing w:line="300" w:lineRule="auto"/>
              <w:jc w:val="center"/>
              <w:rPr>
                <w:rFonts w:ascii="黑体" w:hAnsi="黑体" w:eastAsia="黑体"/>
                <w:color w:val="auto"/>
              </w:rPr>
            </w:pPr>
            <w:r>
              <w:rPr>
                <w:rFonts w:hint="eastAsia" w:ascii="黑体" w:hAnsi="黑体" w:eastAsia="黑体"/>
                <w:color w:val="auto"/>
              </w:rPr>
              <w:t>－</w:t>
            </w:r>
          </w:p>
        </w:tc>
        <w:tc>
          <w:tcPr>
            <w:tcW w:w="1572" w:type="dxa"/>
            <w:tcBorders>
              <w:top w:val="nil"/>
              <w:left w:val="nil"/>
              <w:bottom w:val="nil"/>
              <w:right w:val="single" w:color="auto" w:sz="4" w:space="0"/>
            </w:tcBorders>
            <w:shd w:val="clear" w:color="auto" w:fill="auto"/>
            <w:vAlign w:val="center"/>
          </w:tcPr>
          <w:p w14:paraId="3E65A372">
            <w:pPr>
              <w:spacing w:line="300" w:lineRule="auto"/>
              <w:jc w:val="center"/>
              <w:rPr>
                <w:rFonts w:ascii="黑体" w:hAnsi="黑体" w:eastAsia="黑体" w:cs="宋体"/>
                <w:color w:val="auto"/>
                <w:szCs w:val="24"/>
              </w:rPr>
            </w:pPr>
            <w:r>
              <w:rPr>
                <w:rFonts w:hint="eastAsia" w:ascii="黑体" w:hAnsi="黑体" w:eastAsia="黑体"/>
                <w:color w:val="auto"/>
              </w:rPr>
              <w:t>－</w:t>
            </w:r>
          </w:p>
        </w:tc>
      </w:tr>
      <w:tr w14:paraId="708FD74D">
        <w:tblPrEx>
          <w:tblCellMar>
            <w:top w:w="0" w:type="dxa"/>
            <w:left w:w="108" w:type="dxa"/>
            <w:bottom w:w="0" w:type="dxa"/>
            <w:right w:w="108" w:type="dxa"/>
          </w:tblCellMar>
        </w:tblPrEx>
        <w:trPr>
          <w:trHeight w:val="525" w:hRule="atLeast"/>
          <w:jc w:val="center"/>
        </w:trPr>
        <w:tc>
          <w:tcPr>
            <w:tcW w:w="3792" w:type="dxa"/>
            <w:tcBorders>
              <w:top w:val="nil"/>
              <w:left w:val="single" w:color="auto" w:sz="4" w:space="0"/>
              <w:bottom w:val="single" w:color="auto" w:sz="4" w:space="0"/>
              <w:right w:val="single" w:color="auto" w:sz="4" w:space="0"/>
            </w:tcBorders>
            <w:shd w:val="clear" w:color="auto" w:fill="auto"/>
            <w:vAlign w:val="center"/>
          </w:tcPr>
          <w:p w14:paraId="14091B0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小计</w:t>
            </w:r>
          </w:p>
        </w:tc>
        <w:tc>
          <w:tcPr>
            <w:tcW w:w="1728" w:type="dxa"/>
            <w:tcBorders>
              <w:top w:val="nil"/>
              <w:left w:val="nil"/>
              <w:bottom w:val="single" w:color="auto" w:sz="4" w:space="0"/>
              <w:right w:val="single" w:color="auto" w:sz="4" w:space="0"/>
            </w:tcBorders>
            <w:shd w:val="clear" w:color="auto" w:fill="auto"/>
            <w:vAlign w:val="center"/>
          </w:tcPr>
          <w:p w14:paraId="4BEEC7C5">
            <w:pPr>
              <w:spacing w:line="300" w:lineRule="auto"/>
              <w:jc w:val="center"/>
              <w:rPr>
                <w:rFonts w:ascii="黑体" w:hAnsi="黑体" w:eastAsia="黑体"/>
                <w:color w:val="auto"/>
              </w:rPr>
            </w:pPr>
            <w:r>
              <w:rPr>
                <w:rFonts w:hint="eastAsia" w:ascii="黑体" w:hAnsi="黑体" w:eastAsia="黑体"/>
                <w:color w:val="auto"/>
              </w:rPr>
              <w:t>－</w:t>
            </w:r>
          </w:p>
        </w:tc>
        <w:tc>
          <w:tcPr>
            <w:tcW w:w="1980" w:type="dxa"/>
            <w:tcBorders>
              <w:top w:val="nil"/>
              <w:left w:val="nil"/>
              <w:bottom w:val="single" w:color="auto" w:sz="4" w:space="0"/>
              <w:right w:val="single" w:color="auto" w:sz="4" w:space="0"/>
            </w:tcBorders>
            <w:shd w:val="clear" w:color="auto" w:fill="auto"/>
            <w:vAlign w:val="center"/>
          </w:tcPr>
          <w:p w14:paraId="2BF03BEA">
            <w:pPr>
              <w:spacing w:line="300" w:lineRule="auto"/>
              <w:jc w:val="center"/>
              <w:rPr>
                <w:rFonts w:ascii="黑体" w:hAnsi="黑体" w:eastAsia="黑体"/>
                <w:color w:val="auto"/>
              </w:rPr>
            </w:pPr>
            <w:r>
              <w:rPr>
                <w:rFonts w:hint="eastAsia" w:ascii="黑体" w:hAnsi="黑体" w:eastAsia="黑体"/>
                <w:color w:val="auto"/>
              </w:rPr>
              <w:t>68148.54</w:t>
            </w:r>
          </w:p>
        </w:tc>
        <w:tc>
          <w:tcPr>
            <w:tcW w:w="1572" w:type="dxa"/>
            <w:tcBorders>
              <w:top w:val="nil"/>
              <w:left w:val="nil"/>
              <w:bottom w:val="single" w:color="auto" w:sz="4" w:space="0"/>
              <w:right w:val="single" w:color="auto" w:sz="4" w:space="0"/>
            </w:tcBorders>
            <w:shd w:val="clear" w:color="auto" w:fill="auto"/>
            <w:vAlign w:val="center"/>
          </w:tcPr>
          <w:p w14:paraId="0786C7A3">
            <w:pPr>
              <w:spacing w:line="300" w:lineRule="auto"/>
              <w:jc w:val="center"/>
              <w:rPr>
                <w:rFonts w:ascii="黑体" w:hAnsi="黑体" w:eastAsia="黑体"/>
                <w:color w:val="auto"/>
              </w:rPr>
            </w:pPr>
            <w:r>
              <w:rPr>
                <w:rFonts w:hint="eastAsia" w:ascii="黑体" w:hAnsi="黑体" w:eastAsia="黑体"/>
                <w:color w:val="auto"/>
              </w:rPr>
              <w:t>74568.1325</w:t>
            </w:r>
            <w:r>
              <w:rPr>
                <w:rFonts w:ascii="黑体" w:hAnsi="黑体" w:eastAsia="黑体"/>
                <w:color w:val="auto"/>
              </w:rPr>
              <w:t xml:space="preserve"> </w:t>
            </w:r>
          </w:p>
        </w:tc>
      </w:tr>
    </w:tbl>
    <w:p w14:paraId="08AB03E2">
      <w:pPr>
        <w:rPr>
          <w:rFonts w:ascii="Arial" w:hAnsi="Arial" w:eastAsia="仿宋_GB2312" w:cs="Arial"/>
          <w:b/>
          <w:color w:val="auto"/>
          <w:kern w:val="2"/>
          <w:sz w:val="28"/>
        </w:rPr>
      </w:pPr>
    </w:p>
    <w:p w14:paraId="67DA5EA9">
      <w:pPr>
        <w:snapToGrid w:val="0"/>
        <w:spacing w:before="240" w:beforeLines="100" w:line="288" w:lineRule="auto"/>
        <w:rPr>
          <w:rFonts w:ascii="Arial" w:hAnsi="Arial" w:eastAsia="仿宋_GB2312" w:cs="Arial"/>
          <w:b/>
          <w:color w:val="auto"/>
          <w:kern w:val="2"/>
          <w:sz w:val="28"/>
        </w:rPr>
      </w:pPr>
      <w:r>
        <w:rPr>
          <w:rFonts w:hint="eastAsia" w:ascii="Arial" w:hAnsi="Arial" w:eastAsia="仿宋_GB2312" w:cs="Arial"/>
          <w:b/>
          <w:color w:val="auto"/>
          <w:kern w:val="2"/>
          <w:sz w:val="28"/>
        </w:rPr>
        <w:t>出让底价建议：</w:t>
      </w:r>
    </w:p>
    <w:p w14:paraId="17074640">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1.估价方法适用性及评估结果可信度分析</w:t>
      </w:r>
    </w:p>
    <w:p w14:paraId="4D5DD375">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 xml:space="preserve"> （1）估价方法适用性</w:t>
      </w:r>
    </w:p>
    <w:p w14:paraId="6D135548">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根据《城镇土地估价规程》（以下简称《规程》），地价估价方法有 市场比较法、收益还原法、剩余法、成本逼近法、基准地价系数修正法等。 估价方法的选择应按照《规程》的要求，并依照原国土资源部办公厅关于 发布《国有建设用地使用权出让地价评估技术规范》的通知（国土资厅发 〔2018〕4号）、</w:t>
      </w:r>
      <w:r>
        <w:rPr>
          <w:rFonts w:hint="eastAsia" w:ascii="Arial" w:hAnsi="Arial" w:eastAsia="仿宋" w:cs="Arial"/>
          <w:color w:val="auto"/>
          <w:sz w:val="28"/>
          <w:lang w:eastAsia="zh-CN"/>
        </w:rPr>
        <w:t>《北京市国有建设用地使用权出让地价评估技术导则》（2026年2月10日实施）</w:t>
      </w:r>
      <w:r>
        <w:rPr>
          <w:rFonts w:ascii="Arial" w:hAnsi="Arial" w:eastAsia="仿宋" w:cs="Arial"/>
          <w:color w:val="auto"/>
          <w:sz w:val="28"/>
        </w:rPr>
        <w:t>中规定，出让地价评估，应至少采用两种评估方法，且成本逼近法和基准地价系数修正法选择其一，市场比较法、剩余法、收益还原法选择其一。其中城镇住宅用地、商服类用地宜在成本逼近法和基准地价系数修正法二选一时，优先选用基准地价系数修正法，慎选成本逼近法，在市场比较法、剩余法、收益还原法三选一时，优先选用剩余法，其次选择市场比较法、收益还原法。公共管理与公共服务用地和交通运输用地价格，宜在</w:t>
      </w:r>
      <w:r>
        <w:rPr>
          <w:rFonts w:hint="eastAsia" w:ascii="Arial" w:hAnsi="Arial" w:eastAsia="仿宋" w:cs="Arial"/>
          <w:color w:val="auto"/>
          <w:sz w:val="28"/>
        </w:rPr>
        <w:t>“</w:t>
      </w:r>
      <w:r>
        <w:rPr>
          <w:rFonts w:ascii="Arial" w:hAnsi="Arial" w:eastAsia="仿宋" w:cs="Arial"/>
          <w:color w:val="auto"/>
          <w:sz w:val="28"/>
        </w:rPr>
        <w:t>二选一</w:t>
      </w:r>
      <w:r>
        <w:rPr>
          <w:rFonts w:hint="eastAsia" w:ascii="Arial" w:hAnsi="Arial" w:eastAsia="仿宋" w:cs="Arial"/>
          <w:color w:val="auto"/>
          <w:sz w:val="28"/>
        </w:rPr>
        <w:t>”</w:t>
      </w:r>
      <w:r>
        <w:rPr>
          <w:rFonts w:ascii="Arial" w:hAnsi="Arial" w:eastAsia="仿宋" w:cs="Arial"/>
          <w:color w:val="auto"/>
          <w:sz w:val="28"/>
        </w:rPr>
        <w:t>时，优先选择基准地价系数修正法，慎选成本逼近法</w:t>
      </w:r>
      <w:r>
        <w:rPr>
          <w:rFonts w:hint="eastAsia" w:ascii="Arial" w:hAnsi="Arial" w:eastAsia="仿宋" w:cs="Arial"/>
          <w:color w:val="auto"/>
          <w:sz w:val="28"/>
        </w:rPr>
        <w:t>；</w:t>
      </w:r>
      <w:r>
        <w:rPr>
          <w:rFonts w:ascii="Arial" w:hAnsi="Arial" w:eastAsia="仿宋" w:cs="Arial"/>
          <w:color w:val="auto"/>
          <w:sz w:val="28"/>
        </w:rPr>
        <w:t>在</w:t>
      </w:r>
      <w:r>
        <w:rPr>
          <w:rFonts w:hint="eastAsia" w:ascii="Arial" w:hAnsi="Arial" w:eastAsia="仿宋" w:cs="Arial"/>
          <w:color w:val="auto"/>
          <w:sz w:val="28"/>
        </w:rPr>
        <w:t>“</w:t>
      </w:r>
      <w:r>
        <w:rPr>
          <w:rFonts w:ascii="Arial" w:hAnsi="Arial" w:eastAsia="仿宋" w:cs="Arial"/>
          <w:color w:val="auto"/>
          <w:sz w:val="28"/>
        </w:rPr>
        <w:t>三选一</w:t>
      </w:r>
      <w:r>
        <w:rPr>
          <w:rFonts w:hint="eastAsia" w:ascii="Arial" w:hAnsi="Arial" w:eastAsia="仿宋" w:cs="Arial"/>
          <w:color w:val="auto"/>
          <w:sz w:val="28"/>
        </w:rPr>
        <w:t>”</w:t>
      </w:r>
      <w:r>
        <w:rPr>
          <w:rFonts w:ascii="Arial" w:hAnsi="Arial" w:eastAsia="仿宋" w:cs="Arial"/>
          <w:color w:val="auto"/>
          <w:sz w:val="28"/>
        </w:rPr>
        <w:t>时，优先选择市场比较法，如缺少市场可比案例，可酌情选用剩余法、收益还原法。</w:t>
      </w:r>
    </w:p>
    <w:p w14:paraId="0372F60A">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 xml:space="preserve">本次估价为土地出让价格评估，估价目的为出让方通过集体决策确定土地出让底价提供参考依据，根据估价对象当地地产市场情况，并根据估价对象的具体特点和估价目的，本次评估选择采用基准地价系数修正法、剩余法评估得出估价对象出让土地使用权价格，方法应用符合相关政策、标准要求。 </w:t>
      </w:r>
    </w:p>
    <w:p w14:paraId="0347B3A6">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（2）评估结果可信度分析</w:t>
      </w:r>
    </w:p>
    <w:p w14:paraId="5A472F81">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1）基准地价系数修正法</w:t>
      </w:r>
    </w:p>
    <w:p w14:paraId="11054F88">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首先</w:t>
      </w:r>
      <w:r>
        <w:rPr>
          <w:rFonts w:hint="eastAsia" w:ascii="Arial" w:hAnsi="Arial" w:eastAsia="仿宋" w:cs="Arial"/>
          <w:color w:val="auto"/>
          <w:sz w:val="28"/>
        </w:rPr>
        <w:t>，</w:t>
      </w:r>
      <w:r>
        <w:rPr>
          <w:rFonts w:ascii="Arial" w:hAnsi="Arial" w:eastAsia="仿宋" w:cs="Arial"/>
          <w:color w:val="auto"/>
          <w:sz w:val="28"/>
        </w:rPr>
        <w:t>北京市人民政府于2022年3月14日发布了北京市基准地价更 新成果，基准地价基准期日为2021年1月1日。北京市基准地价更新成果作为政府公示价格，在现行土地估价实际工作中起着重要指导意义，是确定国有建设用地使用权出让价格审定、国有建设用地租赁租金审定、企业改制土地资产价格处置等依据之一。本次评估估价目的为出让方通过集体 决策确定土地出让底价提供参考依据，其估价目的与基准地价系数修正法 适用范围完全吻合。其次，估价对象位于</w:t>
      </w:r>
      <w:r>
        <w:rPr>
          <w:rFonts w:hint="eastAsia" w:ascii="Arial" w:hAnsi="Arial" w:eastAsia="仿宋" w:cs="Arial"/>
          <w:color w:val="auto"/>
          <w:sz w:val="28"/>
        </w:rPr>
        <w:t>顺义区高丽营镇</w:t>
      </w:r>
      <w:r>
        <w:rPr>
          <w:rFonts w:ascii="Arial" w:hAnsi="Arial" w:eastAsia="仿宋" w:cs="Arial"/>
          <w:color w:val="auto"/>
          <w:sz w:val="28"/>
        </w:rPr>
        <w:t>，属于北京市基准地价覆盖范围内，可直观获取基准地价系数修正法所需评估参数，基准地价基准期日（2021年1月1日）距本次估价期日时间虽超过五年，但可通过北京市地价动态监测成果公布的地价指数进行修正以确保在客观市场的适用度，且本次估价在已完成更新的基准地价成果基础上，根据估价对象所在区域实际情况及特点，进行相应因素修正得出</w:t>
      </w:r>
      <w:r>
        <w:rPr>
          <w:rFonts w:hint="eastAsia" w:ascii="Arial" w:hAnsi="Arial" w:eastAsia="仿宋" w:cs="Arial"/>
          <w:color w:val="auto"/>
          <w:sz w:val="28"/>
          <w:lang w:eastAsia="zh-CN"/>
        </w:rPr>
        <w:t>基准地价系数修正法</w:t>
      </w:r>
      <w:r>
        <w:rPr>
          <w:rFonts w:ascii="Arial" w:hAnsi="Arial" w:eastAsia="仿宋" w:cs="Arial"/>
          <w:color w:val="auto"/>
          <w:sz w:val="28"/>
        </w:rPr>
        <w:t>结果，其估价结果具有参考性。</w:t>
      </w:r>
    </w:p>
    <w:p w14:paraId="26A1F123">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2）剩余法</w:t>
      </w:r>
    </w:p>
    <w:p w14:paraId="5CCCD0F1">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剩余法是在预计开发完成后不动产正常交易价格的基础上，扣除预计 的正常开发成本及有关专业费用、利息、利润和税收等，以价格余额来估 算待估土地价格的方法。</w:t>
      </w:r>
    </w:p>
    <w:p w14:paraId="35043967">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估价对象属于待开发的项目，规划指标明确，符合城市规划要求，与周边环境相协调，估价对象作为</w:t>
      </w:r>
      <w:r>
        <w:rPr>
          <w:rFonts w:hint="eastAsia" w:ascii="Arial" w:hAnsi="Arial" w:eastAsia="仿宋" w:cs="Arial"/>
          <w:color w:val="auto"/>
          <w:sz w:val="28"/>
        </w:rPr>
        <w:t>R2二类居住用地、A334托幼用地</w:t>
      </w:r>
      <w:r>
        <w:rPr>
          <w:rFonts w:ascii="Arial" w:hAnsi="Arial" w:eastAsia="仿宋" w:cs="Arial"/>
          <w:color w:val="auto"/>
          <w:sz w:val="28"/>
        </w:rPr>
        <w:t>属于该宗地土地的最佳利用（最有效利用），且本次评估所需的数据资料和参数都是可以获取和确定的，符合剩余法使用范围。估价人员根据估价目的、遵循估价原则、按照估价工作程序、利用科学的估价方法，在认真分析现有资料的基础上，经过周密的测算，并结合估价经验详细考虑了影响土地价格的各 项因素确定的估价结果是科学可信的。</w:t>
      </w:r>
    </w:p>
    <w:p w14:paraId="4E2428DA">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w:t>
      </w:r>
      <w:r>
        <w:rPr>
          <w:rFonts w:hint="eastAsia" w:ascii="Arial" w:hAnsi="Arial" w:eastAsia="仿宋" w:cs="Arial"/>
          <w:b/>
          <w:bCs/>
          <w:color w:val="auto"/>
          <w:sz w:val="28"/>
        </w:rPr>
        <w:t>.</w:t>
      </w:r>
      <w:r>
        <w:rPr>
          <w:rFonts w:ascii="Arial" w:hAnsi="Arial" w:eastAsia="仿宋" w:cs="Arial"/>
          <w:b/>
          <w:bCs/>
          <w:color w:val="auto"/>
          <w:sz w:val="28"/>
        </w:rPr>
        <w:t>评估熟地价与级别基准地价的70%比较分析</w:t>
      </w:r>
    </w:p>
    <w:p w14:paraId="2CC77E09">
      <w:pPr>
        <w:snapToGrid w:val="0"/>
        <w:spacing w:before="120" w:beforeLines="50" w:line="288" w:lineRule="auto"/>
        <w:ind w:firstLine="560" w:firstLineChars="200"/>
        <w:jc w:val="both"/>
        <w:rPr>
          <w:rFonts w:ascii="Arial" w:hAnsi="Arial" w:eastAsia="仿宋" w:cs="Arial"/>
          <w:color w:val="auto"/>
          <w:sz w:val="28"/>
        </w:rPr>
      </w:pPr>
      <w:r>
        <w:rPr>
          <w:rFonts w:hint="eastAsia" w:ascii="Arial" w:hAnsi="Arial" w:eastAsia="仿宋" w:cs="Arial"/>
          <w:color w:val="auto"/>
          <w:sz w:val="28"/>
        </w:rPr>
        <w:t>根据国土资源部办公厅《关于印发&lt;国有建设用地使用权出让底价评估技术规范&gt;的通知》（国土资厅发（2018）4号）文中相关规定：对应当实行有偿使用，且可以不采用招标拍卖挂牌方式出让的。应按本规范评估其在设定开发建设条件下的正常市场价格，并提出建议的出让底价。同时还应在土地估价报告中测算并对比说明该建议出让底价是否符合当地的协议出让最低价标准。</w:t>
      </w:r>
    </w:p>
    <w:p w14:paraId="15CA15C9">
      <w:pPr>
        <w:snapToGrid w:val="0"/>
        <w:spacing w:before="120" w:beforeLines="50" w:line="288" w:lineRule="auto"/>
        <w:ind w:firstLine="560" w:firstLineChars="200"/>
        <w:jc w:val="both"/>
        <w:rPr>
          <w:rFonts w:ascii="Arial" w:hAnsi="Arial" w:eastAsia="仿宋" w:cs="Arial"/>
          <w:b/>
          <w:bCs/>
          <w:color w:val="auto"/>
          <w:sz w:val="28"/>
        </w:rPr>
      </w:pPr>
      <w:r>
        <w:rPr>
          <w:rFonts w:ascii="Arial" w:hAnsi="Arial" w:eastAsia="仿宋" w:cs="Arial"/>
          <w:color w:val="auto"/>
          <w:sz w:val="28"/>
        </w:rPr>
        <w:t>根据《北京市国有建设用地使用权出让地价评估技术导则》 （</w:t>
      </w:r>
      <w:r>
        <w:rPr>
          <w:rFonts w:hint="eastAsia" w:ascii="Arial" w:hAnsi="Arial" w:eastAsia="仿宋" w:cs="Arial"/>
          <w:color w:val="auto"/>
          <w:sz w:val="28"/>
        </w:rPr>
        <w:t>2026年2月10日实施</w:t>
      </w:r>
      <w:r>
        <w:rPr>
          <w:rFonts w:ascii="Arial" w:hAnsi="Arial" w:eastAsia="仿宋" w:cs="Arial"/>
          <w:color w:val="auto"/>
          <w:sz w:val="28"/>
        </w:rPr>
        <w:t>），</w:t>
      </w:r>
      <w:r>
        <w:rPr>
          <w:rFonts w:hint="eastAsia" w:ascii="Arial" w:hAnsi="Arial" w:eastAsia="仿宋" w:cs="Arial"/>
          <w:color w:val="auto"/>
          <w:sz w:val="28"/>
        </w:rPr>
        <w:t>“本市出让最低价标准：地上、地下国有建设用地使用权出让地价水平不得低于该宗地所在级别基准地价经除因素修正以外的其他因素修正后的70%。”</w:t>
      </w:r>
      <w:r>
        <w:rPr>
          <w:rFonts w:ascii="Arial" w:hAnsi="Arial" w:eastAsia="仿宋" w:cs="Arial"/>
          <w:color w:val="auto"/>
          <w:sz w:val="28"/>
        </w:rPr>
        <w:t>；同时《协议出让国有土地使用权规定》（中华人民共和国国土资源部21号令，2003年8月1日实施）规定，</w:t>
      </w:r>
      <w:r>
        <w:rPr>
          <w:rFonts w:hint="eastAsia" w:ascii="Arial" w:hAnsi="Arial" w:eastAsia="仿宋" w:cs="Arial"/>
          <w:color w:val="auto"/>
          <w:sz w:val="28"/>
        </w:rPr>
        <w:t>“</w:t>
      </w:r>
      <w:r>
        <w:rPr>
          <w:rFonts w:ascii="Arial" w:hAnsi="Arial" w:eastAsia="仿宋" w:cs="Arial"/>
          <w:color w:val="auto"/>
          <w:sz w:val="28"/>
        </w:rPr>
        <w:t>有基准地价的地区，协议出让最低价不得低于出让地块所在级别基准地价的70%。</w:t>
      </w:r>
      <w:r>
        <w:rPr>
          <w:rFonts w:hint="eastAsia" w:ascii="Arial" w:hAnsi="Arial" w:eastAsia="仿宋" w:cs="Arial"/>
          <w:color w:val="auto"/>
          <w:sz w:val="28"/>
        </w:rPr>
        <w:t>”</w:t>
      </w:r>
      <w:r>
        <w:rPr>
          <w:rFonts w:ascii="Arial" w:hAnsi="Arial" w:eastAsia="仿宋" w:cs="Arial"/>
          <w:color w:val="auto"/>
          <w:sz w:val="28"/>
        </w:rPr>
        <w:t>北京市已公布基准地价，未公布协议出让最低价标准， 因此，本次估价将熟地价与</w:t>
      </w:r>
      <w:r>
        <w:rPr>
          <w:rFonts w:hint="eastAsia" w:ascii="Arial" w:hAnsi="Arial" w:eastAsia="仿宋" w:cs="Arial"/>
          <w:color w:val="auto"/>
          <w:sz w:val="28"/>
        </w:rPr>
        <w:t>所在级别基准地价经除因素修正以外的其他因素修正后的70%</w:t>
      </w:r>
      <w:r>
        <w:rPr>
          <w:rFonts w:ascii="Arial" w:hAnsi="Arial" w:eastAsia="仿宋" w:cs="Arial"/>
          <w:color w:val="auto"/>
          <w:sz w:val="28"/>
        </w:rPr>
        <w:t>进行对比分析。</w:t>
      </w:r>
    </w:p>
    <w:p w14:paraId="61A13271">
      <w:pPr>
        <w:snapToGrid w:val="0"/>
        <w:spacing w:before="120" w:beforeLines="50" w:line="288" w:lineRule="auto"/>
        <w:ind w:firstLine="562" w:firstLineChars="200"/>
        <w:jc w:val="both"/>
        <w:rPr>
          <w:rFonts w:ascii="Arial" w:hAnsi="Arial" w:eastAsia="仿宋" w:cs="Arial"/>
          <w:b/>
          <w:bCs/>
          <w:color w:val="auto"/>
          <w:sz w:val="28"/>
        </w:rPr>
      </w:pPr>
      <w:r>
        <w:rPr>
          <w:rFonts w:hint="eastAsia" w:ascii="Arial" w:hAnsi="Arial" w:eastAsia="仿宋" w:cs="Arial"/>
          <w:b/>
          <w:bCs/>
          <w:color w:val="auto"/>
          <w:sz w:val="28"/>
        </w:rPr>
        <w:t>估价对象所在地区属于北京市基准地价住宅、商业、公共服务类九级地价区，具体计算公式如下:</w:t>
      </w:r>
    </w:p>
    <w:p w14:paraId="60429703">
      <w:pPr>
        <w:snapToGrid w:val="0"/>
        <w:spacing w:before="120" w:beforeLines="50" w:line="288" w:lineRule="auto"/>
        <w:ind w:firstLine="560" w:firstLineChars="200"/>
        <w:rPr>
          <w:rFonts w:ascii="Arial" w:hAnsi="Arial" w:eastAsia="仿宋" w:cs="Arial"/>
          <w:color w:val="auto"/>
          <w:sz w:val="28"/>
        </w:rPr>
      </w:pPr>
      <w:r>
        <w:rPr>
          <w:rFonts w:hint="eastAsia" w:ascii="Arial" w:hAnsi="Arial" w:eastAsia="仿宋" w:cs="Arial"/>
          <w:color w:val="auto"/>
          <w:sz w:val="28"/>
        </w:rPr>
        <w:t>楼面地价（所在级别基准地价经除因素修正以外的其他因素修正后的70%）＝适用的基准地价×用途修正系数×期日修正系数×年期修正系数×容积率修正系数×70%</w:t>
      </w:r>
    </w:p>
    <w:p w14:paraId="749FB933">
      <w:pPr>
        <w:snapToGrid w:val="0"/>
        <w:spacing w:before="120" w:beforeLines="50" w:line="288" w:lineRule="auto"/>
        <w:ind w:firstLine="560" w:firstLineChars="200"/>
        <w:rPr>
          <w:rFonts w:ascii="Arial" w:hAnsi="Arial" w:eastAsia="仿宋" w:cs="Arial"/>
          <w:color w:val="auto"/>
          <w:sz w:val="28"/>
        </w:rPr>
      </w:pPr>
      <w:r>
        <w:rPr>
          <w:rFonts w:hint="eastAsia" w:ascii="Arial" w:hAnsi="Arial" w:eastAsia="仿宋" w:cs="Arial"/>
          <w:color w:val="auto"/>
          <w:sz w:val="28"/>
        </w:rPr>
        <w:t>各用途估价结果详见下表:</w:t>
      </w:r>
    </w:p>
    <w:tbl>
      <w:tblPr>
        <w:tblStyle w:val="34"/>
        <w:tblW w:w="0" w:type="auto"/>
        <w:tblInd w:w="96" w:type="dxa"/>
        <w:tblLayout w:type="autofit"/>
        <w:tblCellMar>
          <w:top w:w="0" w:type="dxa"/>
          <w:left w:w="108" w:type="dxa"/>
          <w:bottom w:w="0" w:type="dxa"/>
          <w:right w:w="108" w:type="dxa"/>
        </w:tblCellMar>
      </w:tblPr>
      <w:tblGrid>
        <w:gridCol w:w="696"/>
        <w:gridCol w:w="2220"/>
        <w:gridCol w:w="2050"/>
        <w:gridCol w:w="1964"/>
        <w:gridCol w:w="2106"/>
      </w:tblGrid>
      <w:tr w14:paraId="0FE8AAA7">
        <w:tblPrEx>
          <w:tblCellMar>
            <w:top w:w="0" w:type="dxa"/>
            <w:left w:w="108" w:type="dxa"/>
            <w:bottom w:w="0" w:type="dxa"/>
            <w:right w:w="108" w:type="dxa"/>
          </w:tblCellMar>
        </w:tblPrEx>
        <w:trPr>
          <w:trHeight w:val="864"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455C91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序号</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C1226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项目名称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992D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住宅</w:t>
            </w:r>
          </w:p>
          <w:p w14:paraId="72E5EE5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12D13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商业</w:t>
            </w:r>
          </w:p>
          <w:p w14:paraId="636E9C5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ADD47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公共服务</w:t>
            </w:r>
          </w:p>
          <w:p w14:paraId="2EAD940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r>
      <w:tr w14:paraId="3E4CFFAE">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072A80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B41CD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级别基准地价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516AF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6160</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8DC20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5320</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1CA09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3170</w:t>
            </w:r>
          </w:p>
        </w:tc>
      </w:tr>
      <w:tr w14:paraId="7B2A1276">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591889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A04E2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开发程度修正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F9C52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46.67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0C717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F01D5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46.67</w:t>
            </w:r>
          </w:p>
        </w:tc>
      </w:tr>
      <w:tr w14:paraId="5C56C3D3">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1FE828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322BD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自持限制修正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5BBAD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C53A7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4F1C5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19BB99F0">
        <w:tblPrEx>
          <w:tblCellMar>
            <w:top w:w="0" w:type="dxa"/>
            <w:left w:w="108" w:type="dxa"/>
            <w:bottom w:w="0" w:type="dxa"/>
            <w:right w:w="108" w:type="dxa"/>
          </w:tblCellMar>
        </w:tblPrEx>
        <w:trPr>
          <w:trHeight w:val="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AD534B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D364B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特殊情况修正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FB7FB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1.05</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2495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0900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799C4697">
        <w:tblPrEx>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76EF39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5CD1E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用途修正系数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CFB7E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73A05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68F2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30E4191A">
        <w:tblPrEx>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E69B60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D568C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期日修正系数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42195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1.0049</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2357A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0.9723</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52DCC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0.9388</w:t>
            </w:r>
          </w:p>
        </w:tc>
      </w:tr>
      <w:tr w14:paraId="566F3E64">
        <w:tblPrEx>
          <w:tblCellMar>
            <w:top w:w="0" w:type="dxa"/>
            <w:left w:w="108" w:type="dxa"/>
            <w:bottom w:w="0" w:type="dxa"/>
            <w:right w:w="108" w:type="dxa"/>
          </w:tblCellMar>
        </w:tblPrEx>
        <w:trPr>
          <w:trHeight w:val="38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AEF2A0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18883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年期修正系数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A942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A3C34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75FAA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13FB49F4">
        <w:tblPrEx>
          <w:tblCellMar>
            <w:top w:w="0" w:type="dxa"/>
            <w:left w:w="108" w:type="dxa"/>
            <w:bottom w:w="0" w:type="dxa"/>
            <w:right w:w="108" w:type="dxa"/>
          </w:tblCellMar>
        </w:tblPrEx>
        <w:trPr>
          <w:trHeight w:val="374"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D6F870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5E2C8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容积率修正系数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9C82F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1.0597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6D62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1.1528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2907A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1.0678</w:t>
            </w:r>
          </w:p>
        </w:tc>
      </w:tr>
      <w:tr w14:paraId="47882D1D">
        <w:tblPrEx>
          <w:tblCellMar>
            <w:top w:w="0" w:type="dxa"/>
            <w:left w:w="108" w:type="dxa"/>
            <w:bottom w:w="0" w:type="dxa"/>
            <w:right w:w="108" w:type="dxa"/>
          </w:tblCellMar>
        </w:tblPrEx>
        <w:trPr>
          <w:trHeight w:val="41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49261C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B50BB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基准地价修正结果</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A08F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6937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E5F19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4802</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0CC2E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3225</w:t>
            </w:r>
          </w:p>
        </w:tc>
      </w:tr>
      <w:tr w14:paraId="29160A30">
        <w:tblPrEx>
          <w:tblCellMar>
            <w:top w:w="0" w:type="dxa"/>
            <w:left w:w="108" w:type="dxa"/>
            <w:bottom w:w="0" w:type="dxa"/>
            <w:right w:w="108" w:type="dxa"/>
          </w:tblCellMar>
        </w:tblPrEx>
        <w:trPr>
          <w:trHeight w:val="8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83A8DE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7</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BC29A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级别基准地价修正结果的70%</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F6A01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4856</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86C35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3361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18969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2258</w:t>
            </w:r>
          </w:p>
        </w:tc>
      </w:tr>
      <w:tr w14:paraId="2161A5E9">
        <w:tblPrEx>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6CCBEB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8</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E1B28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熟地价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93282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10942</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FC461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5295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98436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3249</w:t>
            </w:r>
          </w:p>
        </w:tc>
      </w:tr>
    </w:tbl>
    <w:p w14:paraId="50625D7F">
      <w:pPr>
        <w:snapToGrid w:val="0"/>
        <w:spacing w:before="120" w:beforeLines="50" w:line="288" w:lineRule="auto"/>
        <w:ind w:firstLine="560" w:firstLineChars="200"/>
        <w:jc w:val="both"/>
        <w:rPr>
          <w:rFonts w:ascii="Arial" w:hAnsi="Arial" w:eastAsia="仿宋" w:cs="Arial"/>
          <w:color w:val="auto"/>
          <w:sz w:val="28"/>
        </w:rPr>
      </w:pPr>
      <w:r>
        <w:rPr>
          <w:rFonts w:hint="eastAsia" w:ascii="Arial" w:hAnsi="Arial" w:eastAsia="仿宋" w:cs="Arial"/>
          <w:color w:val="auto"/>
          <w:sz w:val="28"/>
        </w:rPr>
        <w:t>经测算，本次估价求取估价对象各用途熟地价均高于协议出让最低价标准（所在级别基准地价经除因素修正以外的其他因素修正后的70%），因此建议该宗地以评估熟地价作为入市底价，即74568.1325万元，建议出让楼面地价为10942元/平方米（折合经营性建筑面积）。</w:t>
      </w:r>
    </w:p>
    <w:p w14:paraId="7D068813">
      <w:pPr>
        <w:snapToGrid w:val="0"/>
        <w:spacing w:before="120" w:beforeLines="50" w:line="288" w:lineRule="auto"/>
        <w:ind w:firstLine="562" w:firstLineChars="200"/>
        <w:rPr>
          <w:rFonts w:ascii="Arial" w:hAnsi="Arial" w:eastAsia="仿宋" w:cs="Arial"/>
          <w:b/>
          <w:bCs/>
          <w:color w:val="auto"/>
          <w:sz w:val="28"/>
        </w:rPr>
      </w:pPr>
      <w:r>
        <w:rPr>
          <w:rFonts w:hint="eastAsia" w:ascii="Arial" w:hAnsi="Arial" w:eastAsia="仿宋" w:cs="Arial"/>
          <w:b/>
          <w:bCs/>
          <w:color w:val="auto"/>
          <w:sz w:val="28"/>
        </w:rPr>
        <w:t>建议出让底价：74568.1325万元</w:t>
      </w:r>
    </w:p>
    <w:p w14:paraId="4C12144D">
      <w:pPr>
        <w:snapToGrid w:val="0"/>
        <w:spacing w:before="120" w:beforeLines="50" w:line="288" w:lineRule="auto"/>
        <w:ind w:firstLine="562" w:firstLineChars="200"/>
        <w:rPr>
          <w:rFonts w:ascii="Arial" w:hAnsi="Arial" w:eastAsia="仿宋" w:cs="Arial"/>
          <w:b/>
          <w:bCs/>
          <w:color w:val="auto"/>
          <w:sz w:val="28"/>
        </w:rPr>
      </w:pPr>
      <w:r>
        <w:rPr>
          <w:rFonts w:hint="eastAsia" w:ascii="Arial" w:hAnsi="Arial" w:eastAsia="仿宋" w:cs="Arial"/>
          <w:b/>
          <w:bCs/>
          <w:color w:val="auto"/>
          <w:sz w:val="28"/>
        </w:rPr>
        <w:t>大写金额：柒亿肆仟伍佰陆拾捌万壹仟叁佰贰拾伍元整</w:t>
      </w:r>
    </w:p>
    <w:p w14:paraId="5859CAE0">
      <w:pPr>
        <w:snapToGrid w:val="0"/>
        <w:spacing w:before="120" w:beforeLines="50" w:line="288" w:lineRule="auto"/>
        <w:ind w:firstLine="562" w:firstLineChars="200"/>
        <w:rPr>
          <w:rFonts w:ascii="Arial" w:hAnsi="Arial" w:eastAsia="仿宋" w:cs="Arial"/>
          <w:b/>
          <w:bCs/>
          <w:color w:val="auto"/>
          <w:sz w:val="28"/>
        </w:rPr>
      </w:pPr>
      <w:r>
        <w:rPr>
          <w:rFonts w:hint="eastAsia" w:ascii="Arial" w:hAnsi="Arial" w:eastAsia="仿宋" w:cs="Arial"/>
          <w:b/>
          <w:bCs/>
          <w:color w:val="auto"/>
          <w:sz w:val="28"/>
        </w:rPr>
        <w:t>折合经营性建筑面积楼面地价：10942元/平方米。</w:t>
      </w:r>
    </w:p>
    <w:p w14:paraId="1F1D0CE2">
      <w:pPr>
        <w:spacing w:line="300" w:lineRule="auto"/>
        <w:ind w:firstLine="560" w:firstLineChars="200"/>
        <w:jc w:val="both"/>
        <w:rPr>
          <w:rFonts w:ascii="Arial" w:hAnsi="Arial" w:eastAsia="仿宋_GB2312" w:cs="Arial"/>
          <w:color w:val="auto"/>
          <w:kern w:val="2"/>
          <w:sz w:val="28"/>
        </w:rPr>
      </w:pPr>
    </w:p>
    <w:p w14:paraId="3E4086E6">
      <w:pPr>
        <w:snapToGrid w:val="0"/>
        <w:spacing w:before="120" w:beforeLines="50" w:line="300" w:lineRule="auto"/>
        <w:ind w:firstLine="560" w:firstLineChars="200"/>
        <w:rPr>
          <w:rFonts w:ascii="Arial" w:hAnsi="Arial" w:eastAsia="仿宋_GB2312" w:cs="Arial"/>
          <w:color w:val="auto"/>
          <w:kern w:val="2"/>
          <w:sz w:val="28"/>
        </w:rPr>
      </w:pPr>
    </w:p>
    <w:p w14:paraId="15D71553">
      <w:pPr>
        <w:adjustRightInd/>
        <w:spacing w:line="300" w:lineRule="auto"/>
        <w:ind w:firstLine="560" w:firstLineChars="200"/>
        <w:rPr>
          <w:rFonts w:ascii="Arial" w:hAnsi="Arial" w:eastAsia="仿宋" w:cs="Arial"/>
          <w:b/>
          <w:bCs/>
          <w:color w:val="auto"/>
          <w:sz w:val="28"/>
        </w:rPr>
      </w:pPr>
      <w:r>
        <w:rPr>
          <w:rFonts w:ascii="Arial" w:hAnsi="Arial" w:eastAsia="仿宋_GB2312" w:cs="Arial"/>
          <w:color w:val="auto"/>
          <w:sz w:val="28"/>
        </w:rPr>
        <w:br w:type="page"/>
      </w:r>
      <w:r>
        <w:rPr>
          <w:rFonts w:ascii="Arial" w:hAnsi="Arial" w:eastAsia="仿宋" w:cs="Arial"/>
          <w:b/>
          <w:bCs/>
          <w:color w:val="auto"/>
          <w:sz w:val="28"/>
        </w:rPr>
        <w:t>三、估价结果和估价报告的使用</w:t>
      </w:r>
      <w:bookmarkEnd w:id="198"/>
      <w:bookmarkEnd w:id="199"/>
      <w:bookmarkEnd w:id="200"/>
      <w:bookmarkEnd w:id="201"/>
      <w:bookmarkEnd w:id="202"/>
      <w:bookmarkEnd w:id="203"/>
      <w:bookmarkEnd w:id="204"/>
    </w:p>
    <w:p w14:paraId="15088CA0">
      <w:pPr>
        <w:adjustRightInd/>
        <w:spacing w:line="300" w:lineRule="auto"/>
        <w:ind w:firstLine="562" w:firstLineChars="200"/>
        <w:jc w:val="both"/>
        <w:textAlignment w:val="bottom"/>
        <w:rPr>
          <w:rFonts w:ascii="Arial" w:hAnsi="Arial" w:eastAsia="仿宋" w:cs="Arial"/>
          <w:b/>
          <w:bCs/>
          <w:color w:val="auto"/>
          <w:sz w:val="28"/>
        </w:rPr>
      </w:pPr>
      <w:bookmarkStart w:id="209" w:name="_Toc515458378"/>
      <w:bookmarkStart w:id="210" w:name="_Toc531701573"/>
      <w:bookmarkStart w:id="211" w:name="_Toc520261151"/>
      <w:r>
        <w:rPr>
          <w:rFonts w:ascii="Arial" w:hAnsi="Arial" w:eastAsia="仿宋" w:cs="Arial"/>
          <w:b/>
          <w:bCs/>
          <w:color w:val="auto"/>
          <w:sz w:val="28"/>
        </w:rPr>
        <w:t>（一）估价的前提条件和假设条件</w:t>
      </w:r>
    </w:p>
    <w:p w14:paraId="5AA33961">
      <w:pPr>
        <w:adjustRightInd/>
        <w:spacing w:line="300" w:lineRule="auto"/>
        <w:ind w:firstLine="562" w:firstLineChars="200"/>
        <w:jc w:val="both"/>
        <w:textAlignment w:val="bottom"/>
        <w:rPr>
          <w:rFonts w:ascii="Arial" w:hAnsi="Arial" w:eastAsia="仿宋" w:cs="Arial"/>
          <w:b/>
          <w:bCs/>
          <w:color w:val="auto"/>
          <w:sz w:val="28"/>
        </w:rPr>
      </w:pPr>
      <w:r>
        <w:rPr>
          <w:rFonts w:ascii="Arial" w:hAnsi="Arial" w:eastAsia="仿宋" w:cs="Arial"/>
          <w:b/>
          <w:bCs/>
          <w:color w:val="auto"/>
          <w:sz w:val="28"/>
        </w:rPr>
        <w:t>1.估价的前提条件</w:t>
      </w:r>
    </w:p>
    <w:p w14:paraId="3BCCB148">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（1）委托估价方提供的资料属实，没有保留及隐瞒。</w:t>
      </w:r>
    </w:p>
    <w:p w14:paraId="4A002E9F">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（2）在估价期日的房地产市场为公开、平等、自愿的交易市场。</w:t>
      </w:r>
    </w:p>
    <w:p w14:paraId="69817114">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（3）任何有关估价对象的运作方式、程序符合国家、地方的有关法律、法规。</w:t>
      </w:r>
    </w:p>
    <w:p w14:paraId="33C527CD">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（4）估价对象规划用途和周边环境维持不变，且估价对象得到最有效利用，并产生相应的土地收益。</w:t>
      </w:r>
    </w:p>
    <w:p w14:paraId="06A687A6">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（5）本次估价设定估价对象地上建筑物可按照预测的合理工期建设完毕。</w:t>
      </w:r>
    </w:p>
    <w:p w14:paraId="0D0DE467">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6）委托估价方对所提供的资料负完全的法律责任，对所提供资料（含陈述）的完整性、合法性和真实性负责。关于估价对象的权属状况等均根据委托估价方提供的有关资料复印件得出，本估价机构未向有关部门进行核实、考证。如因委托估价方提供的资料不实，引起评估结论有误，评估机构不承担相应的法律责任。</w:t>
      </w:r>
    </w:p>
    <w:p w14:paraId="452C215A">
      <w:pPr>
        <w:adjustRightInd/>
        <w:spacing w:line="300"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2.估价的假设条件</w:t>
      </w:r>
    </w:p>
    <w:p w14:paraId="48E82E08">
      <w:pPr>
        <w:widowControl/>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（1）土地权利限制：无他项权利。</w:t>
      </w:r>
    </w:p>
    <w:p w14:paraId="529C9553">
      <w:pPr>
        <w:widowControl/>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（2）土地用途设定：按规划用途设定本次评估的使用用途。</w:t>
      </w:r>
    </w:p>
    <w:p w14:paraId="0092781E">
      <w:pPr>
        <w:widowControl/>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（3）土地使用年期设定：法定最高出让年限。</w:t>
      </w:r>
    </w:p>
    <w:p w14:paraId="7DDCE9B6">
      <w:pPr>
        <w:widowControl/>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（4）评估设定土地开发程度红线外市政基础设施达</w:t>
      </w:r>
      <w:r>
        <w:rPr>
          <w:rFonts w:hint="eastAsia" w:ascii="Arial" w:hAnsi="Arial" w:eastAsia="仿宋" w:cs="Arial"/>
          <w:color w:val="auto"/>
          <w:sz w:val="28"/>
          <w:szCs w:val="28"/>
        </w:rPr>
        <w:t>“七通”（通路、通上水（自来水、中水）、通下水（雨水、污水）、通电（管沟、电缆）、通讯、通燃气、通热力）</w:t>
      </w:r>
      <w:r>
        <w:rPr>
          <w:rFonts w:ascii="Arial" w:hAnsi="Arial" w:eastAsia="仿宋" w:cs="Arial"/>
          <w:color w:val="auto"/>
          <w:sz w:val="28"/>
        </w:rPr>
        <w:t>、宗地红线内场地平整。</w:t>
      </w:r>
    </w:p>
    <w:p w14:paraId="0AEBCF2C">
      <w:pPr>
        <w:widowControl/>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（5）估价期日设定：按委托估价方要求的地价时点设定。</w:t>
      </w:r>
    </w:p>
    <w:p w14:paraId="0AC5B79B">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（二）估价结果和估价报告的使用</w:t>
      </w:r>
    </w:p>
    <w:p w14:paraId="4B20CCC1">
      <w:pPr>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1.本估价报告的依据为国务院、自然资源部、住建部、北京市人民政府及有关部门颁布的有关法律、法规、政策文件、委托估价方提供的资料、受托估价方掌握的有关资料以及土地估价专业评估师实地勘察所获取的资料。</w:t>
      </w:r>
    </w:p>
    <w:p w14:paraId="0B3521A1">
      <w:pPr>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2.委托估价方应对其提供的权属证明以及其他资料的真实性、完整性和合法性负责。如因资料失实或资料提供人有所隐匿而导致估价结果失真，估价机构不承担相应的责任。</w:t>
      </w:r>
    </w:p>
    <w:p w14:paraId="2114A0D7">
      <w:pPr>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3.本报告估价结果为估价期日下的正常市场价格，随着时间的推移，该价格需要做相应的调整直至重新评估。</w:t>
      </w:r>
    </w:p>
    <w:p w14:paraId="60F23D91">
      <w:pPr>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4.本估价报告在估价机构盖章和土地估价师签字的条件下有效。</w:t>
      </w:r>
    </w:p>
    <w:p w14:paraId="48843382">
      <w:pPr>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5.本次评估估价报告分为</w:t>
      </w:r>
      <w:r>
        <w:rPr>
          <w:rFonts w:hint="eastAsia" w:ascii="Arial" w:hAnsi="Arial" w:eastAsia="仿宋" w:cs="Arial"/>
          <w:color w:val="auto"/>
          <w:sz w:val="28"/>
        </w:rPr>
        <w:t>“</w:t>
      </w:r>
      <w:r>
        <w:rPr>
          <w:rFonts w:ascii="Arial" w:hAnsi="Arial" w:eastAsia="仿宋" w:cs="Arial"/>
          <w:color w:val="auto"/>
          <w:sz w:val="28"/>
        </w:rPr>
        <w:t>土地估价报告</w:t>
      </w:r>
      <w:r>
        <w:rPr>
          <w:rFonts w:hint="eastAsia" w:ascii="Arial" w:hAnsi="Arial" w:eastAsia="仿宋" w:cs="Arial"/>
          <w:color w:val="auto"/>
          <w:sz w:val="28"/>
        </w:rPr>
        <w:t>”</w:t>
      </w:r>
      <w:r>
        <w:rPr>
          <w:rFonts w:ascii="Arial" w:hAnsi="Arial" w:eastAsia="仿宋" w:cs="Arial"/>
          <w:color w:val="auto"/>
          <w:sz w:val="28"/>
        </w:rPr>
        <w:t>和</w:t>
      </w:r>
      <w:r>
        <w:rPr>
          <w:rFonts w:hint="eastAsia" w:ascii="Arial" w:hAnsi="Arial" w:eastAsia="仿宋" w:cs="Arial"/>
          <w:color w:val="auto"/>
          <w:sz w:val="28"/>
        </w:rPr>
        <w:t>“</w:t>
      </w:r>
      <w:r>
        <w:rPr>
          <w:rFonts w:ascii="Arial" w:hAnsi="Arial" w:eastAsia="仿宋" w:cs="Arial"/>
          <w:color w:val="auto"/>
          <w:sz w:val="28"/>
        </w:rPr>
        <w:t>土地估价技术报告</w:t>
      </w:r>
      <w:r>
        <w:rPr>
          <w:rFonts w:hint="eastAsia" w:ascii="Arial" w:hAnsi="Arial" w:eastAsia="仿宋" w:cs="Arial"/>
          <w:color w:val="auto"/>
          <w:sz w:val="28"/>
        </w:rPr>
        <w:t>”</w:t>
      </w:r>
      <w:r>
        <w:rPr>
          <w:rFonts w:ascii="Arial" w:hAnsi="Arial" w:eastAsia="仿宋" w:cs="Arial"/>
          <w:color w:val="auto"/>
          <w:sz w:val="28"/>
        </w:rPr>
        <w:t>两部分，</w:t>
      </w:r>
      <w:r>
        <w:rPr>
          <w:rFonts w:hint="eastAsia" w:ascii="Arial" w:hAnsi="Arial" w:eastAsia="仿宋" w:cs="Arial"/>
          <w:color w:val="auto"/>
          <w:sz w:val="28"/>
        </w:rPr>
        <w:t>“</w:t>
      </w:r>
      <w:r>
        <w:rPr>
          <w:rFonts w:ascii="Arial" w:hAnsi="Arial" w:eastAsia="仿宋" w:cs="Arial"/>
          <w:color w:val="auto"/>
          <w:sz w:val="28"/>
        </w:rPr>
        <w:t>土地估价报告</w:t>
      </w:r>
      <w:r>
        <w:rPr>
          <w:rFonts w:hint="eastAsia" w:ascii="Arial" w:hAnsi="Arial" w:eastAsia="仿宋" w:cs="Arial"/>
          <w:color w:val="auto"/>
          <w:sz w:val="28"/>
        </w:rPr>
        <w:t>”</w:t>
      </w:r>
      <w:r>
        <w:rPr>
          <w:rFonts w:ascii="Arial" w:hAnsi="Arial" w:eastAsia="仿宋" w:cs="Arial"/>
          <w:color w:val="auto"/>
          <w:sz w:val="28"/>
        </w:rPr>
        <w:t>供委托估价方使用，</w:t>
      </w:r>
      <w:r>
        <w:rPr>
          <w:rFonts w:hint="eastAsia" w:ascii="Arial" w:hAnsi="Arial" w:eastAsia="仿宋" w:cs="Arial"/>
          <w:color w:val="auto"/>
          <w:sz w:val="28"/>
        </w:rPr>
        <w:t>“</w:t>
      </w:r>
      <w:r>
        <w:rPr>
          <w:rFonts w:ascii="Arial" w:hAnsi="Arial" w:eastAsia="仿宋" w:cs="Arial"/>
          <w:color w:val="auto"/>
          <w:sz w:val="28"/>
        </w:rPr>
        <w:t>土地估价技术报告</w:t>
      </w:r>
      <w:r>
        <w:rPr>
          <w:rFonts w:hint="eastAsia" w:ascii="Arial" w:hAnsi="Arial" w:eastAsia="仿宋" w:cs="Arial"/>
          <w:color w:val="auto"/>
          <w:sz w:val="28"/>
        </w:rPr>
        <w:t>”</w:t>
      </w:r>
      <w:r>
        <w:rPr>
          <w:rFonts w:ascii="Arial" w:hAnsi="Arial" w:eastAsia="仿宋" w:cs="Arial"/>
          <w:color w:val="auto"/>
          <w:sz w:val="28"/>
        </w:rPr>
        <w:t>仅供估价机构存档和作为估价结果提交房屋土地管理部门确认或备案时的附件。</w:t>
      </w:r>
    </w:p>
    <w:p w14:paraId="61717D58">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6.本估价报告只能由估价报告载明的报告使用者使用，且只能用于本报告载明的唯一估价目的和用途。</w:t>
      </w:r>
    </w:p>
    <w:p w14:paraId="75E49144">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7.委托估价方或者本估价报告使用人应按照法律规定和估价报告载明的使用范围使用本估价报告。委托估价方或者估价报告使用人违反前述规定使用本估价报告的，估价机构和土地估价专业评估师不承担责任。</w:t>
      </w:r>
    </w:p>
    <w:p w14:paraId="75037AAC">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8.除委托估价方、估价委托合同中约定的其他估价报告使用人和法律、行政法规规定的估价报告使用人之外，其他任何机构和个人不能成为估价报告的使用人。</w:t>
      </w:r>
    </w:p>
    <w:p w14:paraId="4EB7D071">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9.估价报告使用人应当正确理解估价结论。估价结论不等同于估价对象可实现价格，估价结论不应当被认为是对估价对象可实现价格的保证。</w:t>
      </w:r>
    </w:p>
    <w:p w14:paraId="509C1615">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10.本估价报告自报告出具日起计算，从202</w:t>
      </w:r>
      <w:r>
        <w:rPr>
          <w:rFonts w:hint="eastAsia" w:ascii="Arial" w:hAnsi="Arial" w:eastAsia="仿宋" w:cs="Arial"/>
          <w:color w:val="auto"/>
          <w:sz w:val="28"/>
        </w:rPr>
        <w:t>6</w:t>
      </w:r>
      <w:r>
        <w:rPr>
          <w:rFonts w:ascii="Arial" w:hAnsi="Arial" w:eastAsia="仿宋" w:cs="Arial"/>
          <w:color w:val="auto"/>
          <w:sz w:val="28"/>
        </w:rPr>
        <w:t>年</w:t>
      </w:r>
      <w:r>
        <w:rPr>
          <w:rFonts w:hint="eastAsia" w:ascii="Arial" w:hAnsi="Arial" w:eastAsia="仿宋" w:cs="Arial"/>
          <w:color w:val="auto"/>
          <w:sz w:val="28"/>
        </w:rPr>
        <w:t>4</w:t>
      </w:r>
      <w:r>
        <w:rPr>
          <w:rFonts w:ascii="Arial" w:hAnsi="Arial" w:eastAsia="仿宋" w:cs="Arial"/>
          <w:color w:val="auto"/>
          <w:sz w:val="28"/>
        </w:rPr>
        <w:t>月</w:t>
      </w:r>
      <w:r>
        <w:rPr>
          <w:rFonts w:hint="eastAsia" w:ascii="Arial" w:hAnsi="Arial" w:eastAsia="仿宋" w:cs="Arial"/>
          <w:color w:val="auto"/>
          <w:sz w:val="28"/>
          <w:lang w:val="en-US" w:eastAsia="zh-CN"/>
        </w:rPr>
        <w:t>21</w:t>
      </w:r>
      <w:r>
        <w:rPr>
          <w:rFonts w:ascii="Arial" w:hAnsi="Arial" w:eastAsia="仿宋" w:cs="Arial"/>
          <w:color w:val="auto"/>
          <w:sz w:val="28"/>
        </w:rPr>
        <w:t>日至202</w:t>
      </w:r>
      <w:r>
        <w:rPr>
          <w:rFonts w:hint="eastAsia" w:ascii="Arial" w:hAnsi="Arial" w:eastAsia="仿宋" w:cs="Arial"/>
          <w:color w:val="auto"/>
          <w:sz w:val="28"/>
        </w:rPr>
        <w:t>7</w:t>
      </w:r>
      <w:r>
        <w:rPr>
          <w:rFonts w:ascii="Arial" w:hAnsi="Arial" w:eastAsia="仿宋" w:cs="Arial"/>
          <w:color w:val="auto"/>
          <w:sz w:val="28"/>
        </w:rPr>
        <w:t>年</w:t>
      </w:r>
      <w:r>
        <w:rPr>
          <w:rFonts w:hint="eastAsia" w:ascii="Arial" w:hAnsi="Arial" w:eastAsia="仿宋" w:cs="Arial"/>
          <w:color w:val="auto"/>
          <w:sz w:val="28"/>
        </w:rPr>
        <w:t>4</w:t>
      </w:r>
      <w:r>
        <w:rPr>
          <w:rFonts w:ascii="Arial" w:hAnsi="Arial" w:eastAsia="仿宋" w:cs="Arial"/>
          <w:color w:val="auto"/>
          <w:sz w:val="28"/>
        </w:rPr>
        <w:t>月</w:t>
      </w:r>
      <w:r>
        <w:rPr>
          <w:rFonts w:hint="eastAsia" w:ascii="Arial" w:hAnsi="Arial" w:eastAsia="仿宋" w:cs="Arial"/>
          <w:color w:val="auto"/>
          <w:sz w:val="28"/>
          <w:lang w:val="en-US" w:eastAsia="zh-CN"/>
        </w:rPr>
        <w:t>20</w:t>
      </w:r>
      <w:r>
        <w:rPr>
          <w:rFonts w:ascii="Arial" w:hAnsi="Arial" w:eastAsia="仿宋" w:cs="Arial"/>
          <w:color w:val="auto"/>
          <w:sz w:val="28"/>
        </w:rPr>
        <w:t>日有效。</w:t>
      </w:r>
    </w:p>
    <w:p w14:paraId="4CF66DA8">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11.本次土地估价报告的使用权归委托估价方，土地估价报告由北京康正宏基房地产评估有限公司负责解释。</w:t>
      </w:r>
    </w:p>
    <w:p w14:paraId="22225DA4">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（三）需要特殊说明的事项</w:t>
      </w:r>
    </w:p>
    <w:p w14:paraId="7983A1B9">
      <w:pPr>
        <w:adjustRightInd/>
        <w:spacing w:line="300" w:lineRule="auto"/>
        <w:ind w:firstLine="562" w:firstLineChars="200"/>
        <w:jc w:val="both"/>
        <w:textAlignment w:val="bottom"/>
        <w:rPr>
          <w:rFonts w:ascii="Arial" w:hAnsi="Arial" w:eastAsia="仿宋" w:cs="Arial"/>
          <w:b/>
          <w:bCs/>
          <w:color w:val="auto"/>
          <w:sz w:val="28"/>
        </w:rPr>
      </w:pPr>
      <w:r>
        <w:rPr>
          <w:rFonts w:ascii="Arial" w:hAnsi="Arial" w:eastAsia="仿宋" w:cs="Arial"/>
          <w:b/>
          <w:bCs/>
          <w:color w:val="auto"/>
          <w:sz w:val="28"/>
        </w:rPr>
        <w:t>1.资料来源说明</w:t>
      </w:r>
    </w:p>
    <w:p w14:paraId="6B7BD9F9">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（1）估价对象的土地、房屋权属资料、土地利用状况、评估项目相关资料由委托估价方提供。</w:t>
      </w:r>
    </w:p>
    <w:p w14:paraId="73958F05">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（2）土地区位条件、地产市场交易资料、土地利用现状照片等相关资料由土地估价专业评估师实地调查取得。</w:t>
      </w:r>
    </w:p>
    <w:p w14:paraId="22AF62AE">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（3）区域经济发展状况、统计数据、城市规划资料、基准地价资料等由土地估价专业评估师通过政府相关部门获取。</w:t>
      </w:r>
    </w:p>
    <w:p w14:paraId="2C35FFE9">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（4）估价中的相关参数资料由土地估价专业评估师通过政府部门相关文件规定、公开媒体等多种途径获取。</w:t>
      </w:r>
    </w:p>
    <w:p w14:paraId="4466C73D">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5）土地估价专业评估师结合执业经验，对上述相关评估资料的真实性、合法性、有效性、适用性进行了尽职核实、专业判断。委托估价方对所提供资料的真实性负责，估价机构对所收集资料的真实性、准确性负责。</w:t>
      </w:r>
    </w:p>
    <w:p w14:paraId="2E4D9FC6">
      <w:pPr>
        <w:adjustRightInd/>
        <w:spacing w:line="300" w:lineRule="auto"/>
        <w:ind w:firstLine="562" w:firstLineChars="200"/>
        <w:jc w:val="both"/>
        <w:textAlignment w:val="bottom"/>
        <w:rPr>
          <w:rFonts w:ascii="Arial" w:hAnsi="Arial" w:eastAsia="仿宋" w:cs="Arial"/>
          <w:b/>
          <w:bCs/>
          <w:color w:val="auto"/>
          <w:sz w:val="28"/>
        </w:rPr>
      </w:pPr>
      <w:r>
        <w:rPr>
          <w:rFonts w:ascii="Arial" w:hAnsi="Arial" w:eastAsia="仿宋" w:cs="Arial"/>
          <w:b/>
          <w:bCs/>
          <w:color w:val="auto"/>
          <w:sz w:val="28"/>
        </w:rPr>
        <w:t>2.有关参数确定及使用说明</w:t>
      </w:r>
    </w:p>
    <w:p w14:paraId="4F59906A">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（1）估价对象的土地面积及规划建筑规模以</w:t>
      </w:r>
      <w:r>
        <w:rPr>
          <w:rFonts w:hint="eastAsia" w:ascii="Arial" w:hAnsi="Arial" w:eastAsia="仿宋"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为依据</w:t>
      </w:r>
      <w:r>
        <w:rPr>
          <w:rFonts w:ascii="Arial" w:hAnsi="Arial" w:eastAsia="仿宋" w:cs="Arial"/>
          <w:color w:val="auto"/>
          <w:sz w:val="28"/>
          <w:szCs w:val="28"/>
        </w:rPr>
        <w:t>，</w:t>
      </w:r>
      <w:r>
        <w:rPr>
          <w:rFonts w:ascii="Arial" w:hAnsi="Arial" w:eastAsia="仿宋" w:cs="Arial"/>
          <w:color w:val="auto"/>
          <w:sz w:val="28"/>
        </w:rPr>
        <w:t>本次估价对象01</w:t>
      </w:r>
      <w:r>
        <w:rPr>
          <w:rFonts w:hint="eastAsia" w:ascii="Arial" w:hAnsi="Arial" w:eastAsia="仿宋" w:cs="Arial"/>
          <w:color w:val="auto"/>
          <w:sz w:val="28"/>
        </w:rPr>
        <w:t>－</w:t>
      </w:r>
      <w:r>
        <w:rPr>
          <w:rFonts w:ascii="Arial" w:hAnsi="Arial" w:eastAsia="仿宋" w:cs="Arial"/>
          <w:color w:val="auto"/>
          <w:sz w:val="28"/>
        </w:rPr>
        <w:t>008等地块共4宗地，用地规模合计为60990.43平方米，全部为建设用地，建筑规模合计为71508.52平方米。</w:t>
      </w:r>
      <w:r>
        <w:rPr>
          <w:rFonts w:ascii="Arial" w:hAnsi="Arial" w:eastAsia="仿宋" w:cs="Arial"/>
          <w:color w:val="auto"/>
          <w:sz w:val="28"/>
          <w:szCs w:val="28"/>
        </w:rPr>
        <w:t>其中，估价对象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008地块（R2二类居住用地）建设用地规模为24804.85平方米，地上建筑规模为29765.82平方米，容积率为1.2；</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016地块（R2二类居住用地）建设用地规模为23103.85平方米，地上建筑规模为27724.62平方米，容积率为1.2；</w:t>
      </w:r>
      <w:r>
        <w:rPr>
          <w:rFonts w:ascii="Arial" w:hAnsi="Arial" w:eastAsia="仿宋" w:cs="Arial"/>
          <w:color w:val="auto"/>
          <w:sz w:val="28"/>
          <w:szCs w:val="28"/>
        </w:rPr>
        <w:t xml:space="preserve"> 估价对象01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w:t>
      </w:r>
      <w:r>
        <w:rPr>
          <w:rFonts w:ascii="Arial" w:hAnsi="Arial" w:eastAsia="仿宋" w:cs="Arial"/>
          <w:color w:val="auto"/>
          <w:sz w:val="28"/>
        </w:rPr>
        <w:t>地块（R2二类居住用地）建设用地规模为8881.75平方米，地上建筑规模为10658.10平方米，容积率为1.2；另有</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020地块（A334托幼用地，不出让）建设用地规模为4199.98平方米，地上建筑规模为3359.98平方米，容积率为0.8。</w:t>
      </w:r>
      <w:r>
        <w:rPr>
          <w:rFonts w:hint="eastAsia" w:ascii="Arial" w:hAnsi="Arial" w:eastAsia="仿宋" w:cs="Arial"/>
          <w:color w:val="auto"/>
          <w:sz w:val="28"/>
        </w:rPr>
        <w:t>根据《北京市国有建设用地使用权出让地价评估技术导则》（2026年2月10日实施）中的相关规定，本次评估01－008、01－016、01－026－1地块（R2二类居住用地）容积率为1.2</w:t>
      </w:r>
      <w:r>
        <w:rPr>
          <w:rFonts w:ascii="Arial" w:hAnsi="Arial" w:eastAsia="仿宋" w:cs="Arial"/>
          <w:color w:val="auto"/>
          <w:sz w:val="28"/>
        </w:rPr>
        <w:t>。若上述条件发生变化，本报告估价结果需做相应的调整。</w:t>
      </w:r>
    </w:p>
    <w:p w14:paraId="47264D47">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（2）根据</w:t>
      </w:r>
      <w:r>
        <w:rPr>
          <w:rFonts w:hint="eastAsia" w:ascii="Arial" w:hAnsi="Arial" w:eastAsia="仿宋"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，该项目合计应配建人防工程建筑面积不小于13674.6平方米，其中 01</w:t>
      </w:r>
      <w:r>
        <w:rPr>
          <w:rFonts w:hint="eastAsia" w:ascii="Arial" w:hAnsi="Arial" w:eastAsia="仿宋" w:cs="Arial"/>
          <w:color w:val="auto"/>
          <w:sz w:val="28"/>
        </w:rPr>
        <w:t>－</w:t>
      </w:r>
      <w:r>
        <w:rPr>
          <w:rFonts w:ascii="Arial" w:hAnsi="Arial" w:eastAsia="仿宋" w:cs="Arial"/>
          <w:color w:val="auto"/>
          <w:sz w:val="28"/>
        </w:rPr>
        <w:t>008 地块应配建不小于2000平方米二等人员掩蔽所工程； 01</w:t>
      </w:r>
      <w:r>
        <w:rPr>
          <w:rFonts w:hint="eastAsia" w:ascii="Arial" w:hAnsi="Arial" w:eastAsia="仿宋" w:cs="Arial"/>
          <w:color w:val="auto"/>
          <w:sz w:val="28"/>
        </w:rPr>
        <w:t>－</w:t>
      </w:r>
      <w:r>
        <w:rPr>
          <w:rFonts w:ascii="Arial" w:hAnsi="Arial" w:eastAsia="仿宋" w:cs="Arial"/>
          <w:color w:val="auto"/>
          <w:sz w:val="28"/>
        </w:rPr>
        <w:t>016 地块应配建不小于 3536.3平方米二等人员掩蔽所工程； 01</w:t>
      </w:r>
      <w:r>
        <w:rPr>
          <w:rFonts w:hint="eastAsia" w:ascii="Arial" w:hAnsi="Arial" w:eastAsia="仿宋" w:cs="Arial"/>
          <w:color w:val="auto"/>
          <w:sz w:val="28"/>
        </w:rPr>
        <w:t>－</w:t>
      </w:r>
      <w:r>
        <w:rPr>
          <w:rFonts w:ascii="Arial" w:hAnsi="Arial" w:eastAsia="仿宋" w:cs="Arial"/>
          <w:color w:val="auto"/>
          <w:sz w:val="28"/>
        </w:rPr>
        <w:t>026</w:t>
      </w:r>
      <w:r>
        <w:rPr>
          <w:rFonts w:hint="eastAsia" w:ascii="Arial" w:hAnsi="Arial" w:eastAsia="仿宋" w:cs="Arial"/>
          <w:color w:val="auto"/>
          <w:sz w:val="28"/>
        </w:rPr>
        <w:t>－</w:t>
      </w:r>
      <w:r>
        <w:rPr>
          <w:rFonts w:ascii="Arial" w:hAnsi="Arial" w:eastAsia="仿宋" w:cs="Arial"/>
          <w:color w:val="auto"/>
          <w:sz w:val="28"/>
        </w:rPr>
        <w:t>1地块应配建不小于1261.8平方米二等人员掩蔽所工程。将 01</w:t>
      </w:r>
      <w:r>
        <w:rPr>
          <w:rFonts w:hint="eastAsia" w:ascii="Arial" w:hAnsi="Arial" w:eastAsia="仿宋" w:cs="Arial"/>
          <w:color w:val="auto"/>
          <w:sz w:val="28"/>
        </w:rPr>
        <w:t>－</w:t>
      </w:r>
      <w:r>
        <w:rPr>
          <w:rFonts w:ascii="Arial" w:hAnsi="Arial" w:eastAsia="仿宋" w:cs="Arial"/>
          <w:color w:val="auto"/>
          <w:sz w:val="28"/>
        </w:rPr>
        <w:t>020地块统筹到 01</w:t>
      </w:r>
      <w:r>
        <w:rPr>
          <w:rFonts w:hint="eastAsia" w:ascii="Arial" w:hAnsi="Arial" w:eastAsia="仿宋" w:cs="Arial"/>
          <w:color w:val="auto"/>
          <w:sz w:val="28"/>
        </w:rPr>
        <w:t>－</w:t>
      </w:r>
      <w:r>
        <w:rPr>
          <w:rFonts w:ascii="Arial" w:hAnsi="Arial" w:eastAsia="仿宋" w:cs="Arial"/>
          <w:color w:val="auto"/>
          <w:sz w:val="28"/>
        </w:rPr>
        <w:t>026</w:t>
      </w:r>
      <w:r>
        <w:rPr>
          <w:rFonts w:hint="eastAsia" w:ascii="Arial" w:hAnsi="Arial" w:eastAsia="仿宋" w:cs="Arial"/>
          <w:color w:val="auto"/>
          <w:sz w:val="28"/>
        </w:rPr>
        <w:t>－</w:t>
      </w:r>
      <w:r>
        <w:rPr>
          <w:rFonts w:ascii="Arial" w:hAnsi="Arial" w:eastAsia="仿宋" w:cs="Arial"/>
          <w:color w:val="auto"/>
          <w:sz w:val="28"/>
        </w:rPr>
        <w:t>1二等人员掩蔽所工程抗力等级为甲6级，防空专业队队员掩蔽部工程抗力等级为甲5级。</w:t>
      </w:r>
      <w:r>
        <w:rPr>
          <w:rFonts w:hint="eastAsia" w:ascii="Arial" w:hAnsi="Arial" w:eastAsia="仿宋" w:cs="Arial"/>
          <w:color w:val="auto"/>
          <w:sz w:val="28"/>
        </w:rPr>
        <w:t>上述人防工程的建设成本在地上主用途中已考虑。</w:t>
      </w:r>
    </w:p>
    <w:p w14:paraId="02EDDED1">
      <w:pPr>
        <w:adjustRightInd/>
        <w:spacing w:line="300" w:lineRule="auto"/>
        <w:ind w:firstLine="560" w:firstLineChars="200"/>
        <w:jc w:val="both"/>
        <w:textAlignment w:val="bottom"/>
        <w:rPr>
          <w:rFonts w:ascii="Arial" w:hAnsi="Arial" w:eastAsia="仿宋" w:cs="Arial"/>
          <w:color w:val="auto"/>
          <w:sz w:val="28"/>
          <w:szCs w:val="28"/>
        </w:rPr>
      </w:pPr>
      <w:r>
        <w:rPr>
          <w:rFonts w:ascii="Arial" w:hAnsi="Arial" w:eastAsia="仿宋" w:cs="Arial"/>
          <w:color w:val="auto"/>
          <w:sz w:val="28"/>
        </w:rPr>
        <w:t>（3）根据《北京市人民政府关于顺义区二〇二〇年度批次建设用地的批复》（京政地字【2020】121号），</w:t>
      </w:r>
      <w:r>
        <w:rPr>
          <w:rFonts w:hint="eastAsia" w:ascii="Arial" w:hAnsi="Arial" w:eastAsia="仿宋" w:cs="Arial"/>
          <w:color w:val="auto"/>
          <w:sz w:val="28"/>
        </w:rPr>
        <w:t>同意</w:t>
      </w:r>
      <w:r>
        <w:rPr>
          <w:rFonts w:ascii="Arial" w:hAnsi="Arial" w:eastAsia="仿宋" w:cs="Arial"/>
          <w:color w:val="auto"/>
          <w:sz w:val="28"/>
        </w:rPr>
        <w:t>北京中交城市开发有限公司</w:t>
      </w:r>
      <w:r>
        <w:rPr>
          <w:rFonts w:hint="eastAsia" w:ascii="Arial" w:hAnsi="Arial" w:eastAsia="仿宋" w:cs="Arial"/>
          <w:color w:val="auto"/>
          <w:sz w:val="28"/>
        </w:rPr>
        <w:t>实施顺义区高丽营镇夏县营村棚户区改造土地开发项目</w:t>
      </w:r>
      <w:r>
        <w:rPr>
          <w:rFonts w:ascii="Arial" w:hAnsi="Arial" w:eastAsia="仿宋" w:cs="Arial"/>
          <w:color w:val="auto"/>
          <w:sz w:val="28"/>
          <w:szCs w:val="28"/>
        </w:rPr>
        <w:t>。</w:t>
      </w:r>
    </w:p>
    <w:p w14:paraId="7A694676">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4）根据《北京市人民政府关于更新出让国有建设用地使用权基准地价的通知》（京政发（2022）12号）的要求，土地估价专业评估师以北京市地价动态监测成果公布的地价增长率为准，对基准地价中的熟地价进行期日修正。</w:t>
      </w:r>
    </w:p>
    <w:p w14:paraId="3A440209">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（5）</w:t>
      </w:r>
      <w:r>
        <w:rPr>
          <w:rFonts w:hint="eastAsia" w:ascii="Arial" w:hAnsi="Arial" w:eastAsia="仿宋" w:cs="Arial"/>
          <w:color w:val="auto"/>
          <w:sz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hint="eastAsia" w:ascii="Arial" w:hAnsi="Arial" w:eastAsia="仿宋" w:cs="Arial"/>
          <w:color w:val="auto"/>
          <w:sz w:val="28"/>
        </w:rPr>
        <w:t>，该项目规划范围内01-020地块为托幼用地，该地块由二级竞得人负责筹措资金并组织实施，并无偿移交相关部门，即A</w:t>
      </w:r>
      <w:r>
        <w:rPr>
          <w:rFonts w:ascii="Arial" w:hAnsi="Arial" w:eastAsia="仿宋_GB2312" w:cs="Arial"/>
          <w:color w:val="auto"/>
          <w:sz w:val="28"/>
        </w:rPr>
        <w:t>334托幼用地建筑规模</w:t>
      </w:r>
      <w:r>
        <w:rPr>
          <w:rFonts w:hint="eastAsia" w:ascii="Arial" w:hAnsi="Arial" w:eastAsia="仿宋_GB2312" w:cs="Arial"/>
          <w:color w:val="auto"/>
          <w:sz w:val="28"/>
        </w:rPr>
        <w:t>3359.98</w:t>
      </w:r>
      <w:r>
        <w:rPr>
          <w:rFonts w:ascii="Arial" w:hAnsi="Arial" w:eastAsia="仿宋_GB2312" w:cs="Arial"/>
          <w:color w:val="auto"/>
          <w:sz w:val="28"/>
        </w:rPr>
        <w:t>平方米不出让</w:t>
      </w:r>
      <w:r>
        <w:rPr>
          <w:rFonts w:hint="eastAsia" w:ascii="Arial" w:hAnsi="Arial" w:eastAsia="仿宋_GB2312" w:cs="Arial"/>
          <w:color w:val="auto"/>
          <w:sz w:val="28"/>
        </w:rPr>
        <w:t>。</w:t>
      </w:r>
      <w:r>
        <w:rPr>
          <w:rFonts w:hint="eastAsia" w:ascii="Arial" w:hAnsi="Arial" w:eastAsia="仿宋" w:cs="Arial"/>
          <w:color w:val="auto"/>
          <w:sz w:val="28"/>
        </w:rPr>
        <w:t>本次评估采用的基准地价系数修正法中没有关于代建修正的因素，为确保估价结果的准确性和合理性，需充分考虑代建情况对地价的影响。本次评估采用剩余法时，按照考虑代建及不考虑代建两种情况分别测算出估价对象的楼面地价，并将二者的差值作为代建修正值，基准地价系数修正法测算的估价结果可按此差值进行代建情况的修正。</w:t>
      </w:r>
    </w:p>
    <w:p w14:paraId="1819B91D">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（6）本估价报告中数据全部采用电算化连续计算得出，由于在报告中计算的数据均按四舍五入保留</w:t>
      </w:r>
      <w:r>
        <w:rPr>
          <w:rFonts w:hint="eastAsia" w:ascii="Arial" w:hAnsi="Arial" w:eastAsia="仿宋" w:cs="Arial"/>
          <w:color w:val="auto"/>
          <w:sz w:val="28"/>
        </w:rPr>
        <w:t>四</w:t>
      </w:r>
      <w:r>
        <w:rPr>
          <w:rFonts w:ascii="Arial" w:hAnsi="Arial" w:eastAsia="仿宋" w:cs="Arial"/>
          <w:color w:val="auto"/>
          <w:sz w:val="28"/>
        </w:rPr>
        <w:t>位小数或取整，故可能出现个别等式左右不完全相等的情况，但不影响计算结果及最终评估结论的准确性。</w:t>
      </w:r>
    </w:p>
    <w:p w14:paraId="08331B79">
      <w:pPr>
        <w:adjustRightInd/>
        <w:spacing w:line="300" w:lineRule="auto"/>
        <w:ind w:firstLine="562" w:firstLineChars="200"/>
        <w:jc w:val="both"/>
        <w:textAlignment w:val="bottom"/>
        <w:rPr>
          <w:rFonts w:ascii="Arial" w:hAnsi="Arial" w:eastAsia="仿宋" w:cs="Arial"/>
          <w:b/>
          <w:bCs/>
          <w:color w:val="auto"/>
          <w:sz w:val="28"/>
        </w:rPr>
      </w:pPr>
      <w:r>
        <w:rPr>
          <w:rFonts w:ascii="Arial" w:hAnsi="Arial" w:eastAsia="仿宋" w:cs="Arial"/>
          <w:b/>
          <w:bCs/>
          <w:color w:val="auto"/>
          <w:sz w:val="28"/>
        </w:rPr>
        <w:t>3.其他说明</w:t>
      </w:r>
    </w:p>
    <w:p w14:paraId="46886747">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（1）估价对象范围根据《国有建设用地使用权出让地价评估委托书》中确定。</w:t>
      </w:r>
    </w:p>
    <w:p w14:paraId="7840B27D">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（2）本评估报告仅为出让方通过集体决策确定土地出让底价提供参考依据，最终应缴纳的地价款以</w:t>
      </w:r>
      <w:r>
        <w:rPr>
          <w:rFonts w:hint="eastAsia" w:ascii="Arial" w:hAnsi="Arial" w:eastAsia="仿宋" w:cs="Arial"/>
          <w:color w:val="auto"/>
          <w:sz w:val="28"/>
        </w:rPr>
        <w:t>北京市规划和自然资源委员会</w:t>
      </w:r>
      <w:r>
        <w:rPr>
          <w:rFonts w:ascii="Arial" w:hAnsi="Arial" w:eastAsia="仿宋" w:cs="Arial"/>
          <w:color w:val="auto"/>
          <w:sz w:val="28"/>
        </w:rPr>
        <w:t>公布结果为准。</w:t>
      </w:r>
    </w:p>
    <w:p w14:paraId="5D4B0886">
      <w:pPr>
        <w:adjustRightInd/>
        <w:spacing w:line="300" w:lineRule="auto"/>
        <w:ind w:firstLine="560" w:firstLineChars="200"/>
        <w:jc w:val="both"/>
        <w:textAlignment w:val="bottom"/>
        <w:rPr>
          <w:rFonts w:ascii="Arial" w:hAnsi="Arial" w:eastAsia="仿宋" w:cs="Arial"/>
          <w:color w:val="auto"/>
          <w:sz w:val="28"/>
        </w:rPr>
        <w:sectPr>
          <w:headerReference r:id="rId22" w:type="first"/>
          <w:headerReference r:id="rId21" w:type="default"/>
          <w:footerReference r:id="rId23" w:type="default"/>
          <w:type w:val="nextColumn"/>
          <w:pgSz w:w="11907" w:h="16840"/>
          <w:pgMar w:top="1418" w:right="1418" w:bottom="1134" w:left="1418" w:header="794" w:footer="907" w:gutter="0"/>
          <w:cols w:space="425" w:num="1"/>
          <w:docGrid w:linePitch="326" w:charSpace="0"/>
        </w:sectPr>
      </w:pPr>
      <w:r>
        <w:rPr>
          <w:rFonts w:ascii="Arial" w:hAnsi="Arial" w:eastAsia="仿宋" w:cs="Arial"/>
          <w:color w:val="auto"/>
          <w:sz w:val="28"/>
        </w:rPr>
        <w:t>（3）根据估价目的，此次评估在符合《城镇土地估价规程》（GB/T 18508</w:t>
      </w:r>
      <w:r>
        <w:rPr>
          <w:rFonts w:hint="eastAsia" w:ascii="Arial" w:hAnsi="Arial" w:eastAsia="仿宋" w:cs="Arial"/>
          <w:color w:val="auto"/>
          <w:sz w:val="28"/>
        </w:rPr>
        <w:t>－</w:t>
      </w:r>
      <w:r>
        <w:rPr>
          <w:rFonts w:ascii="Arial" w:hAnsi="Arial" w:eastAsia="仿宋" w:cs="Arial"/>
          <w:color w:val="auto"/>
          <w:sz w:val="28"/>
        </w:rPr>
        <w:t>2014）和《国土资源部办公厅关于印发〈国有建设用地使用权出让地价评估技术规范〉的通知》（国土资厅发（2018）4号）原则性要求的基础上，还需满足《北京市人民政府关于更新出让国有建设用地使用权基准地价的通知》（京政发（2022）12号）、和《北京市国土资源局关于出让国有建设用地使用权基准地价应用有关问题的公告》的要求，故报告格式和具体表述在《城镇土地估价规程》（GB/T 18508</w:t>
      </w:r>
      <w:r>
        <w:rPr>
          <w:rFonts w:hint="eastAsia" w:ascii="Arial" w:hAnsi="Arial" w:eastAsia="仿宋" w:cs="Arial"/>
          <w:color w:val="auto"/>
          <w:sz w:val="28"/>
        </w:rPr>
        <w:t>－</w:t>
      </w:r>
      <w:r>
        <w:rPr>
          <w:rFonts w:ascii="Arial" w:hAnsi="Arial" w:eastAsia="仿宋" w:cs="Arial"/>
          <w:color w:val="auto"/>
          <w:sz w:val="28"/>
        </w:rPr>
        <w:t>2014）规范格式基础上，有所拓展和补充。</w:t>
      </w:r>
    </w:p>
    <w:bookmarkEnd w:id="205"/>
    <w:bookmarkEnd w:id="206"/>
    <w:bookmarkEnd w:id="207"/>
    <w:bookmarkEnd w:id="208"/>
    <w:bookmarkEnd w:id="209"/>
    <w:bookmarkEnd w:id="210"/>
    <w:bookmarkEnd w:id="211"/>
    <w:p w14:paraId="2880E089">
      <w:pPr>
        <w:spacing w:line="300" w:lineRule="auto"/>
        <w:jc w:val="center"/>
        <w:outlineLvl w:val="0"/>
        <w:rPr>
          <w:rFonts w:ascii="Arial" w:hAnsi="Arial" w:cs="Arial"/>
          <w:b/>
          <w:color w:val="auto"/>
          <w:sz w:val="32"/>
        </w:rPr>
      </w:pPr>
      <w:bookmarkStart w:id="212" w:name="_Toc138063009"/>
      <w:bookmarkStart w:id="213" w:name="_Toc132016738"/>
      <w:r>
        <w:rPr>
          <w:rFonts w:ascii="Arial" w:hAnsi="Arial" w:cs="Arial"/>
          <w:b/>
          <w:color w:val="auto"/>
          <w:sz w:val="32"/>
        </w:rPr>
        <w:t>第四部分</w:t>
      </w:r>
      <w:r>
        <w:rPr>
          <w:rFonts w:ascii="Arial" w:hAnsi="Arial" w:eastAsia="仿宋_GB2312" w:cs="Arial"/>
          <w:b/>
          <w:color w:val="auto"/>
          <w:sz w:val="32"/>
        </w:rPr>
        <w:t xml:space="preserve">  </w:t>
      </w:r>
      <w:r>
        <w:rPr>
          <w:rFonts w:ascii="Arial" w:hAnsi="Arial" w:cs="Arial"/>
          <w:b/>
          <w:color w:val="auto"/>
          <w:sz w:val="32"/>
        </w:rPr>
        <w:t>附</w:t>
      </w:r>
      <w:r>
        <w:rPr>
          <w:rFonts w:ascii="Arial" w:hAnsi="Arial" w:eastAsia="仿宋_GB2312" w:cs="Arial"/>
          <w:b/>
          <w:color w:val="auto"/>
          <w:sz w:val="32"/>
        </w:rPr>
        <w:t xml:space="preserve">  </w:t>
      </w:r>
      <w:r>
        <w:rPr>
          <w:rFonts w:ascii="Arial" w:hAnsi="Arial" w:cs="Arial"/>
          <w:b/>
          <w:color w:val="auto"/>
          <w:sz w:val="32"/>
        </w:rPr>
        <w:t>件</w:t>
      </w:r>
      <w:bookmarkEnd w:id="212"/>
      <w:bookmarkEnd w:id="213"/>
    </w:p>
    <w:p w14:paraId="2108819C">
      <w:pPr>
        <w:numPr>
          <w:ilvl w:val="0"/>
          <w:numId w:val="9"/>
        </w:numPr>
        <w:spacing w:line="300" w:lineRule="auto"/>
        <w:jc w:val="both"/>
        <w:rPr>
          <w:rFonts w:ascii="Arial" w:hAnsi="Arial" w:eastAsia="仿宋_GB2312" w:cs="Arial"/>
          <w:color w:val="auto"/>
          <w:sz w:val="28"/>
        </w:rPr>
      </w:pPr>
      <w:r>
        <w:rPr>
          <w:rFonts w:ascii="Arial" w:hAnsi="Arial" w:eastAsia="仿宋_GB2312" w:cs="Arial"/>
          <w:color w:val="auto"/>
          <w:sz w:val="28"/>
        </w:rPr>
        <w:t>《国有建设用地使用权出让地价评估委托书》复印件</w:t>
      </w:r>
    </w:p>
    <w:p w14:paraId="68FD3E46">
      <w:pPr>
        <w:numPr>
          <w:ilvl w:val="0"/>
          <w:numId w:val="9"/>
        </w:numPr>
        <w:spacing w:line="300" w:lineRule="auto"/>
        <w:jc w:val="both"/>
        <w:rPr>
          <w:rFonts w:ascii="Arial" w:hAnsi="Arial" w:eastAsia="仿宋_GB2312" w:cs="Arial"/>
          <w:color w:val="auto"/>
          <w:sz w:val="28"/>
        </w:rPr>
      </w:pPr>
      <w:r>
        <w:rPr>
          <w:rFonts w:ascii="Arial" w:hAnsi="Arial" w:eastAsia="仿宋_GB2312" w:cs="Arial"/>
          <w:color w:val="auto"/>
          <w:sz w:val="28"/>
        </w:rPr>
        <w:t xml:space="preserve"> 估价对象所在位置示意图</w:t>
      </w:r>
    </w:p>
    <w:p w14:paraId="50C8B764">
      <w:pPr>
        <w:numPr>
          <w:ilvl w:val="0"/>
          <w:numId w:val="9"/>
        </w:numPr>
        <w:spacing w:line="300" w:lineRule="auto"/>
        <w:jc w:val="both"/>
        <w:rPr>
          <w:rFonts w:ascii="Arial" w:hAnsi="Arial" w:eastAsia="仿宋_GB2312" w:cs="Arial"/>
          <w:color w:val="auto"/>
          <w:sz w:val="28"/>
        </w:rPr>
      </w:pPr>
      <w:r>
        <w:rPr>
          <w:rFonts w:ascii="Arial" w:hAnsi="Arial" w:eastAsia="仿宋_GB2312" w:cs="Arial"/>
          <w:color w:val="auto"/>
          <w:sz w:val="28"/>
        </w:rPr>
        <w:t xml:space="preserve"> 估价对象实地勘察情况和相关照片</w:t>
      </w:r>
    </w:p>
    <w:p w14:paraId="383F0B16">
      <w:pPr>
        <w:numPr>
          <w:ilvl w:val="0"/>
          <w:numId w:val="9"/>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《北京市</w:t>
      </w:r>
      <w:r>
        <w:rPr>
          <w:rFonts w:ascii="Arial" w:hAnsi="Arial" w:eastAsia="仿宋_GB2312" w:cs="Arial"/>
          <w:color w:val="auto"/>
          <w:sz w:val="28"/>
        </w:rPr>
        <w:t>规划和</w:t>
      </w:r>
      <w:r>
        <w:rPr>
          <w:rFonts w:hint="eastAsia" w:ascii="Arial" w:hAnsi="Arial" w:eastAsia="仿宋_GB2312" w:cs="Arial"/>
          <w:color w:val="auto"/>
          <w:sz w:val="28"/>
        </w:rPr>
        <w:t>国土</w:t>
      </w:r>
      <w:r>
        <w:rPr>
          <w:rFonts w:ascii="Arial" w:hAnsi="Arial" w:eastAsia="仿宋_GB2312" w:cs="Arial"/>
          <w:color w:val="auto"/>
          <w:sz w:val="28"/>
        </w:rPr>
        <w:t>资源管理委员会建设项目规划条件（</w:t>
      </w:r>
      <w:r>
        <w:rPr>
          <w:rFonts w:hint="eastAsia" w:ascii="Arial" w:hAnsi="Arial" w:eastAsia="仿宋_GB2312" w:cs="Arial"/>
          <w:color w:val="auto"/>
          <w:sz w:val="28"/>
        </w:rPr>
        <w:t>土地</w:t>
      </w:r>
      <w:r>
        <w:rPr>
          <w:rFonts w:ascii="Arial" w:hAnsi="Arial" w:eastAsia="仿宋_GB2312" w:cs="Arial"/>
          <w:color w:val="auto"/>
          <w:sz w:val="28"/>
        </w:rPr>
        <w:t>储备</w:t>
      </w:r>
      <w:r>
        <w:rPr>
          <w:rFonts w:hint="eastAsia" w:ascii="Arial" w:hAnsi="Arial" w:eastAsia="仿宋_GB2312" w:cs="Arial"/>
          <w:color w:val="auto"/>
          <w:sz w:val="28"/>
        </w:rPr>
        <w:t>前期</w:t>
      </w:r>
      <w:r>
        <w:rPr>
          <w:rFonts w:ascii="Arial" w:hAnsi="Arial" w:eastAsia="仿宋_GB2312" w:cs="Arial"/>
          <w:color w:val="auto"/>
          <w:sz w:val="28"/>
        </w:rPr>
        <w:t>整理）</w:t>
      </w:r>
      <w:r>
        <w:rPr>
          <w:rFonts w:hint="eastAsia" w:ascii="Arial" w:hAnsi="Arial" w:eastAsia="仿宋_GB2312" w:cs="Arial"/>
          <w:color w:val="auto"/>
          <w:sz w:val="28"/>
        </w:rPr>
        <w:t>》（2017规</w:t>
      </w:r>
      <w:r>
        <w:rPr>
          <w:rFonts w:ascii="Arial" w:hAnsi="Arial" w:eastAsia="仿宋_GB2312" w:cs="Arial"/>
          <w:color w:val="auto"/>
          <w:sz w:val="28"/>
        </w:rPr>
        <w:t>（</w:t>
      </w:r>
      <w:r>
        <w:rPr>
          <w:rFonts w:hint="eastAsia" w:ascii="Arial" w:hAnsi="Arial" w:eastAsia="仿宋_GB2312" w:cs="Arial"/>
          <w:color w:val="auto"/>
          <w:sz w:val="28"/>
        </w:rPr>
        <w:t>顺</w:t>
      </w:r>
      <w:r>
        <w:rPr>
          <w:rFonts w:ascii="Arial" w:hAnsi="Arial" w:eastAsia="仿宋_GB2312" w:cs="Arial"/>
          <w:color w:val="auto"/>
          <w:sz w:val="28"/>
        </w:rPr>
        <w:t>）</w:t>
      </w:r>
      <w:r>
        <w:rPr>
          <w:rFonts w:hint="eastAsia" w:ascii="Arial" w:hAnsi="Arial" w:eastAsia="仿宋_GB2312" w:cs="Arial"/>
          <w:color w:val="auto"/>
          <w:sz w:val="28"/>
        </w:rPr>
        <w:t>条</w:t>
      </w:r>
      <w:r>
        <w:rPr>
          <w:rFonts w:ascii="Arial" w:hAnsi="Arial" w:eastAsia="仿宋_GB2312" w:cs="Arial"/>
          <w:color w:val="auto"/>
          <w:sz w:val="28"/>
        </w:rPr>
        <w:t>整字</w:t>
      </w:r>
      <w:r>
        <w:rPr>
          <w:rFonts w:hint="eastAsia" w:ascii="Arial" w:hAnsi="Arial" w:eastAsia="仿宋_GB2312" w:cs="Arial"/>
          <w:color w:val="auto"/>
          <w:sz w:val="28"/>
        </w:rPr>
        <w:t>0006号）复印件</w:t>
      </w:r>
    </w:p>
    <w:p w14:paraId="0F1EFAA9">
      <w:pPr>
        <w:numPr>
          <w:ilvl w:val="0"/>
          <w:numId w:val="9"/>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《北京市</w:t>
      </w:r>
      <w:r>
        <w:rPr>
          <w:rFonts w:ascii="Arial" w:hAnsi="Arial" w:eastAsia="仿宋_GB2312" w:cs="Arial"/>
          <w:color w:val="auto"/>
          <w:sz w:val="28"/>
        </w:rPr>
        <w:t>规划和自然资源会员会顺义分局关于顺义区高丽营镇夏县营村棚户区改造土地</w:t>
      </w:r>
      <w:r>
        <w:rPr>
          <w:rFonts w:hint="eastAsia" w:ascii="Arial" w:hAnsi="Arial" w:eastAsia="仿宋_GB2312" w:cs="Arial"/>
          <w:color w:val="auto"/>
          <w:sz w:val="28"/>
        </w:rPr>
        <w:t>开发</w:t>
      </w:r>
      <w:r>
        <w:rPr>
          <w:rFonts w:ascii="Arial" w:hAnsi="Arial" w:eastAsia="仿宋_GB2312" w:cs="Arial"/>
          <w:color w:val="auto"/>
          <w:sz w:val="28"/>
        </w:rPr>
        <w:t>项目调整建设项目规划条件的复函</w:t>
      </w:r>
      <w:r>
        <w:rPr>
          <w:rFonts w:hint="eastAsia" w:ascii="Arial" w:hAnsi="Arial" w:eastAsia="仿宋_GB2312" w:cs="Arial"/>
          <w:color w:val="auto"/>
          <w:sz w:val="28"/>
        </w:rPr>
        <w:t>》（京</w:t>
      </w:r>
      <w:r>
        <w:rPr>
          <w:rFonts w:ascii="Arial" w:hAnsi="Arial" w:eastAsia="仿宋_GB2312" w:cs="Arial"/>
          <w:color w:val="auto"/>
          <w:sz w:val="28"/>
        </w:rPr>
        <w:t>规自顺</w:t>
      </w:r>
      <w:r>
        <w:rPr>
          <w:rFonts w:hint="eastAsia" w:ascii="Arial" w:hAnsi="Arial" w:eastAsia="仿宋_GB2312" w:cs="Arial"/>
          <w:color w:val="auto"/>
          <w:sz w:val="28"/>
        </w:rPr>
        <w:t>函</w:t>
      </w:r>
      <w:r>
        <w:rPr>
          <w:rFonts w:ascii="Arial" w:hAnsi="Arial" w:eastAsia="仿宋_GB2312" w:cs="Arial"/>
          <w:color w:val="auto"/>
          <w:sz w:val="28"/>
        </w:rPr>
        <w:t>【</w:t>
      </w:r>
      <w:r>
        <w:rPr>
          <w:rFonts w:hint="eastAsia" w:ascii="Arial" w:hAnsi="Arial" w:eastAsia="仿宋_GB2312" w:cs="Arial"/>
          <w:color w:val="auto"/>
          <w:sz w:val="28"/>
        </w:rPr>
        <w:t>2019</w:t>
      </w:r>
      <w:r>
        <w:rPr>
          <w:rFonts w:ascii="Arial" w:hAnsi="Arial" w:eastAsia="仿宋_GB2312" w:cs="Arial"/>
          <w:color w:val="auto"/>
          <w:sz w:val="28"/>
        </w:rPr>
        <w:t>】</w:t>
      </w:r>
      <w:r>
        <w:rPr>
          <w:rFonts w:hint="eastAsia" w:ascii="Arial" w:hAnsi="Arial" w:eastAsia="仿宋_GB2312" w:cs="Arial"/>
          <w:color w:val="auto"/>
          <w:sz w:val="28"/>
        </w:rPr>
        <w:t>153号）复印件</w:t>
      </w:r>
    </w:p>
    <w:p w14:paraId="3DE7A7DA">
      <w:pPr>
        <w:numPr>
          <w:ilvl w:val="0"/>
          <w:numId w:val="9"/>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《北京市人民政府关于顺义区二</w:t>
      </w:r>
      <w:r>
        <w:rPr>
          <w:rFonts w:hint="eastAsia" w:ascii="微软雅黑" w:hAnsi="微软雅黑" w:eastAsia="微软雅黑" w:cs="微软雅黑"/>
          <w:color w:val="auto"/>
          <w:sz w:val="28"/>
        </w:rPr>
        <w:t>〇</w:t>
      </w:r>
      <w:r>
        <w:rPr>
          <w:rFonts w:hint="eastAsia" w:ascii="Arial" w:hAnsi="Arial" w:eastAsia="仿宋_GB2312" w:cs="Arial"/>
          <w:color w:val="auto"/>
          <w:sz w:val="28"/>
        </w:rPr>
        <w:t>二</w:t>
      </w:r>
      <w:r>
        <w:rPr>
          <w:rFonts w:hint="eastAsia" w:ascii="微软雅黑" w:hAnsi="微软雅黑" w:eastAsia="微软雅黑" w:cs="微软雅黑"/>
          <w:color w:val="auto"/>
          <w:sz w:val="28"/>
        </w:rPr>
        <w:t>〇</w:t>
      </w:r>
      <w:r>
        <w:rPr>
          <w:rFonts w:hint="eastAsia" w:ascii="Arial" w:hAnsi="Arial" w:eastAsia="仿宋_GB2312" w:cs="Arial"/>
          <w:color w:val="auto"/>
          <w:sz w:val="28"/>
        </w:rPr>
        <w:t>年度批次建设用地的批复》（</w:t>
      </w:r>
      <w:r>
        <w:rPr>
          <w:rFonts w:hint="eastAsia" w:ascii="仿宋_GB2312" w:hAnsi="仿宋_GB2312" w:eastAsia="仿宋_GB2312" w:cs="仿宋_GB2312"/>
          <w:color w:val="auto"/>
          <w:spacing w:val="-6"/>
          <w:sz w:val="28"/>
        </w:rPr>
        <w:t>京政地字【</w:t>
      </w:r>
      <w:r>
        <w:rPr>
          <w:rFonts w:hint="eastAsia" w:ascii="Arial" w:hAnsi="Arial" w:eastAsia="仿宋_GB2312" w:cs="Arial"/>
          <w:color w:val="auto"/>
          <w:sz w:val="28"/>
        </w:rPr>
        <w:t>2020】121</w:t>
      </w:r>
      <w:r>
        <w:rPr>
          <w:rFonts w:hint="eastAsia" w:ascii="仿宋_GB2312" w:hAnsi="仿宋_GB2312" w:eastAsia="仿宋_GB2312" w:cs="仿宋_GB2312"/>
          <w:color w:val="auto"/>
          <w:spacing w:val="-6"/>
          <w:sz w:val="28"/>
        </w:rPr>
        <w:t>号）</w:t>
      </w:r>
      <w:r>
        <w:rPr>
          <w:rFonts w:hint="eastAsia" w:ascii="Arial" w:hAnsi="Arial" w:eastAsia="仿宋_GB2312" w:cs="Arial"/>
          <w:color w:val="auto"/>
          <w:spacing w:val="-6"/>
          <w:sz w:val="28"/>
        </w:rPr>
        <w:t>复印件</w:t>
      </w:r>
    </w:p>
    <w:p w14:paraId="656B702E">
      <w:pPr>
        <w:numPr>
          <w:ilvl w:val="0"/>
          <w:numId w:val="9"/>
        </w:numPr>
        <w:spacing w:line="300" w:lineRule="auto"/>
        <w:jc w:val="both"/>
        <w:rPr>
          <w:rFonts w:ascii="Arial" w:hAnsi="Arial" w:eastAsia="仿宋_GB2312" w:cs="Arial"/>
          <w:color w:val="auto"/>
          <w:sz w:val="28"/>
        </w:rPr>
      </w:pPr>
      <w:r>
        <w:rPr>
          <w:rFonts w:ascii="Arial" w:hAnsi="Arial" w:eastAsia="仿宋_GB2312" w:cs="Arial"/>
          <w:color w:val="auto"/>
          <w:sz w:val="28"/>
        </w:rPr>
        <w:t>《北京市顺义区人民政府关于顺义区高丽营镇夏县营村棚户区改造土地开发项目01</w:t>
      </w:r>
      <w:r>
        <w:rPr>
          <w:rFonts w:hint="eastAsia" w:ascii="Arial" w:hAnsi="Arial" w:eastAsia="仿宋_GB2312" w:cs="Arial"/>
          <w:color w:val="auto"/>
          <w:sz w:val="28"/>
        </w:rPr>
        <w:t>－</w:t>
      </w:r>
      <w:r>
        <w:rPr>
          <w:rFonts w:ascii="Arial" w:hAnsi="Arial" w:eastAsia="仿宋_GB2312" w:cs="Arial"/>
          <w:color w:val="auto"/>
          <w:sz w:val="28"/>
        </w:rPr>
        <w:t>008、01</w:t>
      </w:r>
      <w:r>
        <w:rPr>
          <w:rFonts w:hint="eastAsia" w:ascii="Arial" w:hAnsi="Arial" w:eastAsia="仿宋_GB2312" w:cs="Arial"/>
          <w:color w:val="auto"/>
          <w:sz w:val="28"/>
        </w:rPr>
        <w:t>－</w:t>
      </w:r>
      <w:r>
        <w:rPr>
          <w:rFonts w:ascii="Arial" w:hAnsi="Arial" w:eastAsia="仿宋_GB2312" w:cs="Arial"/>
          <w:color w:val="auto"/>
          <w:sz w:val="28"/>
        </w:rPr>
        <w:t>016、01</w:t>
      </w:r>
      <w:r>
        <w:rPr>
          <w:rFonts w:hint="eastAsia" w:ascii="Arial" w:hAnsi="Arial" w:eastAsia="仿宋_GB2312" w:cs="Arial"/>
          <w:color w:val="auto"/>
          <w:sz w:val="28"/>
        </w:rPr>
        <w:t>－</w:t>
      </w:r>
      <w:r>
        <w:rPr>
          <w:rFonts w:ascii="Arial" w:hAnsi="Arial" w:eastAsia="仿宋_GB2312" w:cs="Arial"/>
          <w:color w:val="auto"/>
          <w:sz w:val="28"/>
        </w:rPr>
        <w:t>026</w:t>
      </w:r>
      <w:r>
        <w:rPr>
          <w:rFonts w:hint="eastAsia" w:ascii="Arial" w:hAnsi="Arial" w:eastAsia="仿宋_GB2312" w:cs="Arial"/>
          <w:color w:val="auto"/>
          <w:sz w:val="28"/>
        </w:rPr>
        <w:t>－</w:t>
      </w:r>
      <w:r>
        <w:rPr>
          <w:rFonts w:ascii="Arial" w:hAnsi="Arial" w:eastAsia="仿宋_GB2312" w:cs="Arial"/>
          <w:color w:val="auto"/>
          <w:sz w:val="28"/>
        </w:rPr>
        <w:t>1、01</w:t>
      </w:r>
      <w:r>
        <w:rPr>
          <w:rFonts w:hint="eastAsia" w:ascii="Arial" w:hAnsi="Arial" w:eastAsia="仿宋_GB2312" w:cs="Arial"/>
          <w:color w:val="auto"/>
          <w:sz w:val="28"/>
        </w:rPr>
        <w:t>－</w:t>
      </w:r>
      <w:r>
        <w:rPr>
          <w:rFonts w:ascii="Arial" w:hAnsi="Arial" w:eastAsia="仿宋_GB2312" w:cs="Arial"/>
          <w:color w:val="auto"/>
          <w:sz w:val="28"/>
        </w:rPr>
        <w:t>020地块提请地价审核有关事宜的函》（顺政函【2023】151号）复印件</w:t>
      </w:r>
    </w:p>
    <w:p w14:paraId="542AA157">
      <w:pPr>
        <w:numPr>
          <w:ilvl w:val="0"/>
          <w:numId w:val="9"/>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及规划意见附图</w:t>
      </w:r>
      <w:r>
        <w:rPr>
          <w:rFonts w:ascii="Arial" w:hAnsi="Arial" w:eastAsia="仿宋_GB2312" w:cs="Arial"/>
          <w:color w:val="auto"/>
          <w:sz w:val="28"/>
        </w:rPr>
        <w:t>复印件</w:t>
      </w:r>
    </w:p>
    <w:p w14:paraId="31438736">
      <w:pPr>
        <w:numPr>
          <w:ilvl w:val="0"/>
          <w:numId w:val="9"/>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《建设工程规划用地测量成果报告书》（2021规自（顺）测字0008号）</w:t>
      </w:r>
      <w:r>
        <w:rPr>
          <w:rFonts w:ascii="Arial" w:hAnsi="Arial" w:eastAsia="仿宋_GB2312" w:cs="Arial"/>
          <w:color w:val="auto"/>
          <w:sz w:val="28"/>
        </w:rPr>
        <w:t>复印件</w:t>
      </w:r>
    </w:p>
    <w:p w14:paraId="4D55A5E8">
      <w:pPr>
        <w:numPr>
          <w:ilvl w:val="0"/>
          <w:numId w:val="9"/>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《关于顺义区高丽营镇夏县营村棚户区改造土地开发项目0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008</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016</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026</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020</w:t>
      </w:r>
      <w:r>
        <w:rPr>
          <w:rFonts w:hint="eastAsia" w:ascii="Arial" w:hAnsi="Arial" w:eastAsia="仿宋_GB2312" w:cs="Arial"/>
          <w:color w:val="auto"/>
          <w:sz w:val="28"/>
        </w:rPr>
        <w:t>地块实物补偿内容的说明》复印件</w:t>
      </w:r>
    </w:p>
    <w:p w14:paraId="54117519">
      <w:pPr>
        <w:numPr>
          <w:ilvl w:val="0"/>
          <w:numId w:val="9"/>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《关于顺义区高丽营镇夏县营村棚户区改造土地开发项目0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008</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016</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026</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020</w:t>
      </w:r>
      <w:r>
        <w:rPr>
          <w:rFonts w:hint="eastAsia" w:ascii="Arial" w:hAnsi="Arial" w:eastAsia="仿宋_GB2312" w:cs="Arial"/>
          <w:color w:val="auto"/>
          <w:sz w:val="28"/>
        </w:rPr>
        <w:t>地块市政条件的说明》复印件</w:t>
      </w:r>
    </w:p>
    <w:p w14:paraId="27C35060">
      <w:pPr>
        <w:numPr>
          <w:ilvl w:val="0"/>
          <w:numId w:val="9"/>
        </w:numPr>
        <w:spacing w:line="300" w:lineRule="auto"/>
        <w:jc w:val="both"/>
        <w:rPr>
          <w:rFonts w:ascii="Arial" w:hAnsi="Arial" w:eastAsia="仿宋_GB2312" w:cs="Arial"/>
          <w:color w:val="auto"/>
          <w:sz w:val="28"/>
        </w:rPr>
      </w:pPr>
      <w:r>
        <w:rPr>
          <w:rFonts w:ascii="Arial" w:hAnsi="Arial" w:eastAsia="仿宋_GB2312" w:cs="Arial"/>
          <w:color w:val="auto"/>
          <w:sz w:val="28"/>
          <w:szCs w:val="28"/>
        </w:rPr>
        <w:t>估价机构《营业执照（</w:t>
      </w:r>
      <w:r>
        <w:rPr>
          <w:rFonts w:ascii="Arial" w:hAnsi="Arial" w:eastAsia="仿宋_GB2312" w:cs="Arial"/>
          <w:color w:val="auto"/>
          <w:sz w:val="28"/>
        </w:rPr>
        <w:t>副本）》复印件</w:t>
      </w:r>
    </w:p>
    <w:p w14:paraId="41774688">
      <w:pPr>
        <w:numPr>
          <w:ilvl w:val="0"/>
          <w:numId w:val="9"/>
        </w:numPr>
        <w:spacing w:line="300" w:lineRule="auto"/>
        <w:jc w:val="both"/>
        <w:rPr>
          <w:rFonts w:ascii="Arial" w:hAnsi="Arial" w:eastAsia="仿宋_GB2312" w:cs="Arial"/>
          <w:color w:val="auto"/>
          <w:sz w:val="28"/>
        </w:rPr>
      </w:pPr>
      <w:r>
        <w:rPr>
          <w:rFonts w:ascii="Arial" w:hAnsi="Arial" w:eastAsia="仿宋_GB2312" w:cs="Arial"/>
          <w:color w:val="auto"/>
          <w:sz w:val="28"/>
        </w:rPr>
        <w:t>估价机构评估资质复印件</w:t>
      </w:r>
    </w:p>
    <w:p w14:paraId="23909678">
      <w:pPr>
        <w:numPr>
          <w:ilvl w:val="0"/>
          <w:numId w:val="9"/>
        </w:numPr>
        <w:spacing w:line="300" w:lineRule="auto"/>
        <w:jc w:val="both"/>
        <w:rPr>
          <w:rFonts w:ascii="Arial" w:hAnsi="Arial" w:eastAsia="仿宋_GB2312" w:cs="Arial"/>
          <w:color w:val="auto"/>
          <w:sz w:val="28"/>
        </w:rPr>
      </w:pPr>
      <w:r>
        <w:rPr>
          <w:rFonts w:ascii="Arial" w:hAnsi="Arial" w:eastAsia="仿宋_GB2312" w:cs="Arial"/>
          <w:color w:val="auto"/>
          <w:sz w:val="28"/>
        </w:rPr>
        <w:t>土地估价专业评估师资质证书复印件</w:t>
      </w:r>
    </w:p>
    <w:p w14:paraId="1FD2C54C">
      <w:pPr>
        <w:spacing w:line="300" w:lineRule="auto"/>
        <w:ind w:left="840" w:hanging="840" w:hangingChars="300"/>
        <w:jc w:val="both"/>
        <w:rPr>
          <w:rFonts w:ascii="Arial" w:hAnsi="Arial" w:eastAsia="仿宋_GB2312" w:cs="Arial"/>
          <w:color w:val="auto"/>
          <w:sz w:val="28"/>
        </w:rPr>
        <w:sectPr>
          <w:headerReference r:id="rId24" w:type="first"/>
          <w:footerReference r:id="rId26" w:type="first"/>
          <w:footerReference r:id="rId25" w:type="default"/>
          <w:type w:val="nextColumn"/>
          <w:pgSz w:w="11907" w:h="16840"/>
          <w:pgMar w:top="1418" w:right="1418" w:bottom="1134" w:left="1418" w:header="794" w:footer="907" w:gutter="0"/>
          <w:cols w:space="720" w:num="1"/>
          <w:titlePg/>
          <w:docGrid w:linePitch="326" w:charSpace="0"/>
        </w:sectPr>
      </w:pPr>
    </w:p>
    <w:p w14:paraId="5A38EE3A">
      <w:pPr>
        <w:spacing w:line="300" w:lineRule="auto"/>
        <w:jc w:val="center"/>
        <w:rPr>
          <w:rFonts w:ascii="Arial" w:hAnsi="Arial" w:cs="Arial"/>
          <w:b/>
          <w:color w:val="auto"/>
          <w:sz w:val="44"/>
        </w:rPr>
      </w:pPr>
      <w:bookmarkStart w:id="214" w:name="_Toc416783635"/>
      <w:bookmarkStart w:id="215" w:name="_Toc418750902"/>
      <w:bookmarkStart w:id="216" w:name="_Toc416783539"/>
    </w:p>
    <w:p w14:paraId="363E17C1">
      <w:pPr>
        <w:spacing w:line="300" w:lineRule="auto"/>
        <w:jc w:val="center"/>
        <w:rPr>
          <w:rFonts w:ascii="Arial" w:hAnsi="Arial" w:cs="Arial"/>
          <w:b/>
          <w:color w:val="auto"/>
          <w:sz w:val="44"/>
        </w:rPr>
      </w:pPr>
    </w:p>
    <w:p w14:paraId="3622FA23">
      <w:pPr>
        <w:spacing w:line="300" w:lineRule="auto"/>
        <w:jc w:val="center"/>
        <w:rPr>
          <w:rFonts w:ascii="Arial" w:hAnsi="Arial" w:cs="Arial"/>
          <w:b/>
          <w:color w:val="auto"/>
          <w:sz w:val="44"/>
        </w:rPr>
      </w:pPr>
      <w:r>
        <w:rPr>
          <w:rFonts w:ascii="Arial" w:hAnsi="Arial" w:cs="Arial"/>
          <w:b/>
          <w:color w:val="auto"/>
          <w:sz w:val="44"/>
        </w:rPr>
        <w:t>土</w:t>
      </w:r>
      <w:r>
        <w:rPr>
          <w:rFonts w:ascii="Arial" w:hAnsi="Arial" w:eastAsia="仿宋_GB2312" w:cs="Arial"/>
          <w:b/>
          <w:color w:val="auto"/>
          <w:sz w:val="44"/>
        </w:rPr>
        <w:t xml:space="preserve"> </w:t>
      </w:r>
      <w:r>
        <w:rPr>
          <w:rFonts w:ascii="Arial" w:hAnsi="Arial" w:cs="Arial"/>
          <w:b/>
          <w:color w:val="auto"/>
          <w:sz w:val="44"/>
        </w:rPr>
        <w:t>地</w:t>
      </w:r>
      <w:r>
        <w:rPr>
          <w:rFonts w:ascii="Arial" w:hAnsi="Arial" w:eastAsia="仿宋_GB2312" w:cs="Arial"/>
          <w:b/>
          <w:color w:val="auto"/>
          <w:sz w:val="44"/>
        </w:rPr>
        <w:t xml:space="preserve"> </w:t>
      </w:r>
      <w:r>
        <w:rPr>
          <w:rFonts w:ascii="Arial" w:hAnsi="Arial" w:cs="Arial"/>
          <w:b/>
          <w:color w:val="auto"/>
          <w:sz w:val="44"/>
        </w:rPr>
        <w:t>估</w:t>
      </w:r>
      <w:r>
        <w:rPr>
          <w:rFonts w:ascii="Arial" w:hAnsi="Arial" w:eastAsia="仿宋_GB2312" w:cs="Arial"/>
          <w:b/>
          <w:color w:val="auto"/>
          <w:sz w:val="44"/>
        </w:rPr>
        <w:t xml:space="preserve"> </w:t>
      </w:r>
      <w:r>
        <w:rPr>
          <w:rFonts w:ascii="Arial" w:hAnsi="Arial" w:cs="Arial"/>
          <w:b/>
          <w:color w:val="auto"/>
          <w:sz w:val="44"/>
        </w:rPr>
        <w:t>价</w:t>
      </w:r>
      <w:r>
        <w:rPr>
          <w:rFonts w:ascii="Arial" w:hAnsi="Arial" w:eastAsia="仿宋_GB2312" w:cs="Arial"/>
          <w:b/>
          <w:color w:val="auto"/>
          <w:sz w:val="44"/>
        </w:rPr>
        <w:t xml:space="preserve"> </w:t>
      </w:r>
      <w:r>
        <w:rPr>
          <w:rFonts w:ascii="Arial" w:hAnsi="Arial" w:cs="Arial"/>
          <w:b/>
          <w:color w:val="auto"/>
          <w:sz w:val="44"/>
        </w:rPr>
        <w:t>技</w:t>
      </w:r>
      <w:r>
        <w:rPr>
          <w:rFonts w:ascii="Arial" w:hAnsi="Arial" w:eastAsia="仿宋_GB2312" w:cs="Arial"/>
          <w:b/>
          <w:color w:val="auto"/>
          <w:sz w:val="44"/>
        </w:rPr>
        <w:t xml:space="preserve"> </w:t>
      </w:r>
      <w:r>
        <w:rPr>
          <w:rFonts w:ascii="Arial" w:hAnsi="Arial" w:cs="Arial"/>
          <w:b/>
          <w:color w:val="auto"/>
          <w:sz w:val="44"/>
        </w:rPr>
        <w:t>术</w:t>
      </w:r>
      <w:r>
        <w:rPr>
          <w:rFonts w:ascii="Arial" w:hAnsi="Arial" w:eastAsia="仿宋_GB2312" w:cs="Arial"/>
          <w:b/>
          <w:color w:val="auto"/>
          <w:sz w:val="44"/>
        </w:rPr>
        <w:t xml:space="preserve"> </w:t>
      </w:r>
      <w:r>
        <w:rPr>
          <w:rFonts w:ascii="Arial" w:hAnsi="Arial" w:cs="Arial"/>
          <w:b/>
          <w:color w:val="auto"/>
          <w:sz w:val="44"/>
        </w:rPr>
        <w:t>报</w:t>
      </w:r>
      <w:r>
        <w:rPr>
          <w:rFonts w:ascii="Arial" w:hAnsi="Arial" w:eastAsia="仿宋_GB2312" w:cs="Arial"/>
          <w:b/>
          <w:color w:val="auto"/>
          <w:sz w:val="44"/>
        </w:rPr>
        <w:t xml:space="preserve"> </w:t>
      </w:r>
      <w:r>
        <w:rPr>
          <w:rFonts w:ascii="Arial" w:hAnsi="Arial" w:cs="Arial"/>
          <w:b/>
          <w:color w:val="auto"/>
          <w:sz w:val="44"/>
        </w:rPr>
        <w:t>告</w:t>
      </w:r>
      <w:bookmarkEnd w:id="214"/>
      <w:bookmarkEnd w:id="215"/>
      <w:bookmarkEnd w:id="216"/>
    </w:p>
    <w:p w14:paraId="0328C364">
      <w:pPr>
        <w:spacing w:line="300" w:lineRule="auto"/>
        <w:jc w:val="center"/>
        <w:rPr>
          <w:rFonts w:ascii="Arial" w:hAnsi="Arial" w:cs="Arial"/>
          <w:color w:val="auto"/>
          <w:sz w:val="44"/>
        </w:rPr>
      </w:pPr>
      <w:r>
        <w:rPr>
          <w:rFonts w:hint="eastAsia" w:ascii="Arial" w:hAnsi="Arial" w:cs="Arial"/>
          <w:color w:val="auto"/>
          <w:sz w:val="44"/>
        </w:rPr>
        <w:t>（</w:t>
      </w:r>
      <w:r>
        <w:rPr>
          <w:rFonts w:hint="eastAsia" w:ascii="宋体" w:hAnsi="宋体" w:cs="Arial"/>
          <w:b/>
          <w:color w:val="auto"/>
          <w:sz w:val="44"/>
        </w:rPr>
        <w:t>评估工作底稿</w:t>
      </w:r>
      <w:r>
        <w:rPr>
          <w:rFonts w:hint="eastAsia" w:ascii="Arial" w:hAnsi="Arial" w:cs="Arial"/>
          <w:color w:val="auto"/>
          <w:sz w:val="44"/>
        </w:rPr>
        <w:t>）</w:t>
      </w:r>
    </w:p>
    <w:p w14:paraId="62EEC38C">
      <w:pPr>
        <w:spacing w:line="300" w:lineRule="auto"/>
        <w:jc w:val="center"/>
        <w:rPr>
          <w:rFonts w:ascii="Arial" w:hAnsi="Arial" w:eastAsia="楷体_GB2312" w:cs="Arial"/>
          <w:bCs/>
          <w:color w:val="auto"/>
          <w:sz w:val="32"/>
        </w:rPr>
      </w:pPr>
    </w:p>
    <w:p w14:paraId="2A85A1F5">
      <w:pPr>
        <w:spacing w:line="300" w:lineRule="auto"/>
        <w:ind w:left="2201" w:hanging="2201" w:hangingChars="685"/>
        <w:jc w:val="both"/>
        <w:rPr>
          <w:rFonts w:ascii="Arial" w:hAnsi="Arial" w:eastAsia="楷体_GB2312" w:cs="Arial"/>
          <w:bCs/>
          <w:i/>
          <w:color w:val="auto"/>
          <w:sz w:val="32"/>
        </w:rPr>
      </w:pPr>
      <w:r>
        <w:rPr>
          <w:rFonts w:ascii="Arial" w:hAnsi="Arial" w:eastAsia="楷体_GB2312" w:cs="Arial"/>
          <w:b/>
          <w:color w:val="auto"/>
          <w:sz w:val="32"/>
        </w:rPr>
        <w:t>项</w:t>
      </w:r>
      <w:r>
        <w:rPr>
          <w:rFonts w:ascii="Arial" w:hAnsi="Arial" w:eastAsia="仿宋_GB2312" w:cs="Arial"/>
          <w:b/>
          <w:color w:val="auto"/>
          <w:sz w:val="32"/>
        </w:rPr>
        <w:t xml:space="preserve">  </w:t>
      </w:r>
      <w:r>
        <w:rPr>
          <w:rFonts w:ascii="Arial" w:hAnsi="Arial" w:eastAsia="楷体_GB2312" w:cs="Arial"/>
          <w:b/>
          <w:color w:val="auto"/>
          <w:sz w:val="32"/>
        </w:rPr>
        <w:t>目</w:t>
      </w:r>
      <w:r>
        <w:rPr>
          <w:rFonts w:ascii="Arial" w:hAnsi="Arial" w:eastAsia="仿宋_GB2312" w:cs="Arial"/>
          <w:b/>
          <w:color w:val="auto"/>
          <w:sz w:val="32"/>
        </w:rPr>
        <w:t xml:space="preserve"> </w:t>
      </w:r>
      <w:r>
        <w:rPr>
          <w:rFonts w:ascii="Arial" w:hAnsi="Arial" w:eastAsia="楷体_GB2312" w:cs="Arial"/>
          <w:b/>
          <w:color w:val="auto"/>
          <w:sz w:val="32"/>
        </w:rPr>
        <w:t>名</w:t>
      </w:r>
      <w:r>
        <w:rPr>
          <w:rFonts w:ascii="Arial" w:hAnsi="Arial" w:eastAsia="仿宋_GB2312" w:cs="Arial"/>
          <w:b/>
          <w:color w:val="auto"/>
          <w:sz w:val="32"/>
        </w:rPr>
        <w:t xml:space="preserve"> </w:t>
      </w:r>
      <w:r>
        <w:rPr>
          <w:rFonts w:ascii="Arial" w:hAnsi="Arial" w:eastAsia="楷体_GB2312" w:cs="Arial"/>
          <w:b/>
          <w:color w:val="auto"/>
          <w:sz w:val="32"/>
        </w:rPr>
        <w:t>称：</w:t>
      </w:r>
      <w:r>
        <w:rPr>
          <w:rFonts w:hint="eastAsia" w:ascii="Arial" w:hAnsi="Arial" w:eastAsia="楷体_GB2312" w:cs="Arial"/>
          <w:b/>
          <w:color w:val="auto"/>
          <w:sz w:val="32"/>
        </w:rPr>
        <w:t>北京市顺义区高丽营镇夏县营村棚户区改造土地开发项目01－008、01－016、01－026－1、01－020地块二类居住用地、托幼用地国有建设用地使用权项目</w:t>
      </w:r>
      <w:r>
        <w:rPr>
          <w:rFonts w:ascii="Arial" w:hAnsi="Arial" w:eastAsia="楷体_GB2312" w:cs="Arial"/>
          <w:b/>
          <w:color w:val="auto"/>
          <w:sz w:val="32"/>
        </w:rPr>
        <w:t>国有建设用地使用权出让价格评估</w:t>
      </w:r>
      <w:r>
        <w:rPr>
          <w:rFonts w:hint="eastAsia" w:ascii="Arial" w:hAnsi="Arial" w:eastAsia="楷体_GB2312" w:cs="Arial"/>
          <w:b/>
          <w:color w:val="auto"/>
          <w:sz w:val="32"/>
        </w:rPr>
        <w:t>（北京市顺义区）</w:t>
      </w:r>
    </w:p>
    <w:p w14:paraId="41F5633E">
      <w:pPr>
        <w:spacing w:line="300" w:lineRule="auto"/>
        <w:jc w:val="both"/>
        <w:rPr>
          <w:rFonts w:ascii="Arial" w:hAnsi="Arial" w:eastAsia="楷体_GB2312" w:cs="Arial"/>
          <w:b/>
          <w:color w:val="auto"/>
          <w:sz w:val="28"/>
          <w:szCs w:val="28"/>
        </w:rPr>
      </w:pPr>
    </w:p>
    <w:p w14:paraId="2281CF8E">
      <w:pPr>
        <w:spacing w:line="300" w:lineRule="auto"/>
        <w:rPr>
          <w:rFonts w:ascii="Arial" w:hAnsi="Arial" w:eastAsia="楷体_GB2312" w:cs="Arial"/>
          <w:b/>
          <w:bCs/>
          <w:color w:val="auto"/>
          <w:sz w:val="32"/>
        </w:rPr>
      </w:pPr>
      <w:r>
        <w:rPr>
          <w:rFonts w:ascii="Arial" w:hAnsi="Arial" w:eastAsia="楷体_GB2312" w:cs="Arial"/>
          <w:b/>
          <w:color w:val="auto"/>
          <w:sz w:val="32"/>
        </w:rPr>
        <w:t>受托估价单位：北京康正宏基房地产评估有限公司</w:t>
      </w:r>
    </w:p>
    <w:p w14:paraId="46D8CFCF">
      <w:pPr>
        <w:spacing w:line="300" w:lineRule="auto"/>
        <w:ind w:right="-327"/>
        <w:rPr>
          <w:rFonts w:ascii="Arial" w:hAnsi="Arial" w:eastAsia="楷体_GB2312" w:cs="Arial"/>
          <w:b/>
          <w:bCs/>
          <w:color w:val="auto"/>
          <w:sz w:val="32"/>
        </w:rPr>
      </w:pPr>
      <w:bookmarkStart w:id="217" w:name="_Toc416783636"/>
      <w:bookmarkStart w:id="218" w:name="_Toc416783540"/>
    </w:p>
    <w:bookmarkEnd w:id="217"/>
    <w:bookmarkEnd w:id="218"/>
    <w:p w14:paraId="3752CE5A">
      <w:pPr>
        <w:spacing w:line="300" w:lineRule="auto"/>
        <w:jc w:val="both"/>
        <w:rPr>
          <w:rFonts w:ascii="Arial" w:hAnsi="Arial" w:eastAsia="楷体_GB2312" w:cs="Arial"/>
          <w:b/>
          <w:color w:val="auto"/>
          <w:sz w:val="32"/>
        </w:rPr>
      </w:pPr>
      <w:bookmarkStart w:id="219" w:name="_Toc418750903"/>
      <w:r>
        <w:rPr>
          <w:rFonts w:ascii="Arial" w:hAnsi="Arial" w:eastAsia="楷体_GB2312" w:cs="Arial"/>
          <w:b/>
          <w:color w:val="auto"/>
          <w:sz w:val="32"/>
        </w:rPr>
        <w:t>土地估价报告编号：</w:t>
      </w:r>
      <w:bookmarkEnd w:id="219"/>
      <w:r>
        <w:rPr>
          <w:rFonts w:ascii="Arial" w:hAnsi="Arial" w:eastAsia="楷体_GB2312" w:cs="Arial"/>
          <w:b/>
          <w:color w:val="auto"/>
          <w:sz w:val="32"/>
        </w:rPr>
        <w:t>北京康正202</w:t>
      </w:r>
      <w:r>
        <w:rPr>
          <w:rFonts w:hint="eastAsia" w:ascii="Arial" w:hAnsi="Arial" w:eastAsia="楷体_GB2312" w:cs="Arial"/>
          <w:b/>
          <w:color w:val="auto"/>
          <w:sz w:val="32"/>
        </w:rPr>
        <w:t>6</w:t>
      </w:r>
      <w:r>
        <w:rPr>
          <w:rFonts w:ascii="Arial" w:hAnsi="Arial" w:eastAsia="楷体_GB2312" w:cs="Arial"/>
          <w:b/>
          <w:color w:val="auto"/>
          <w:sz w:val="32"/>
        </w:rPr>
        <w:t>（估）字第000</w:t>
      </w:r>
      <w:r>
        <w:rPr>
          <w:rFonts w:hint="eastAsia" w:ascii="Arial" w:hAnsi="Arial" w:eastAsia="楷体_GB2312" w:cs="Arial"/>
          <w:b/>
          <w:color w:val="auto"/>
          <w:sz w:val="32"/>
        </w:rPr>
        <w:t>1</w:t>
      </w:r>
      <w:r>
        <w:rPr>
          <w:rFonts w:ascii="Arial" w:hAnsi="Arial" w:eastAsia="楷体_GB2312" w:cs="Arial"/>
          <w:b/>
          <w:color w:val="auto"/>
          <w:sz w:val="32"/>
        </w:rPr>
        <w:t>号</w:t>
      </w:r>
    </w:p>
    <w:p w14:paraId="570B1757">
      <w:pPr>
        <w:spacing w:line="300" w:lineRule="auto"/>
        <w:ind w:right="-207"/>
        <w:rPr>
          <w:rFonts w:ascii="Arial" w:hAnsi="Arial" w:eastAsia="楷体_GB2312" w:cs="Arial"/>
          <w:b/>
          <w:bCs/>
          <w:color w:val="auto"/>
          <w:spacing w:val="-10"/>
          <w:sz w:val="32"/>
        </w:rPr>
      </w:pPr>
      <w:bookmarkStart w:id="220" w:name="_Toc416783541"/>
      <w:bookmarkStart w:id="221" w:name="_Toc416783637"/>
    </w:p>
    <w:p w14:paraId="7848570C">
      <w:pPr>
        <w:spacing w:line="300" w:lineRule="auto"/>
        <w:jc w:val="both"/>
        <w:rPr>
          <w:rFonts w:ascii="Arial" w:hAnsi="Arial" w:eastAsia="楷体_GB2312" w:cs="Arial"/>
          <w:b/>
          <w:color w:val="auto"/>
          <w:sz w:val="32"/>
        </w:rPr>
      </w:pPr>
      <w:bookmarkStart w:id="222" w:name="_Toc418750904"/>
      <w:r>
        <w:rPr>
          <w:rFonts w:ascii="Arial" w:hAnsi="Arial" w:eastAsia="楷体_GB2312" w:cs="Arial"/>
          <w:b/>
          <w:bCs/>
          <w:color w:val="auto"/>
          <w:spacing w:val="-10"/>
          <w:sz w:val="32"/>
        </w:rPr>
        <w:t>土地估价技术报告编号：</w:t>
      </w:r>
      <w:bookmarkEnd w:id="220"/>
      <w:bookmarkEnd w:id="221"/>
      <w:bookmarkEnd w:id="222"/>
      <w:r>
        <w:rPr>
          <w:rFonts w:ascii="Arial" w:hAnsi="Arial" w:eastAsia="楷体_GB2312" w:cs="Arial"/>
          <w:b/>
          <w:color w:val="auto"/>
          <w:sz w:val="32"/>
        </w:rPr>
        <w:t>北京康正202</w:t>
      </w:r>
      <w:r>
        <w:rPr>
          <w:rFonts w:hint="eastAsia" w:ascii="Arial" w:hAnsi="Arial" w:eastAsia="楷体_GB2312" w:cs="Arial"/>
          <w:b/>
          <w:color w:val="auto"/>
          <w:sz w:val="32"/>
        </w:rPr>
        <w:t>6</w:t>
      </w:r>
      <w:r>
        <w:rPr>
          <w:rFonts w:ascii="Arial" w:hAnsi="Arial" w:eastAsia="楷体_GB2312" w:cs="Arial"/>
          <w:b/>
          <w:color w:val="auto"/>
          <w:sz w:val="32"/>
        </w:rPr>
        <w:t>（</w:t>
      </w:r>
      <w:r>
        <w:rPr>
          <w:rFonts w:hint="eastAsia" w:ascii="Arial" w:hAnsi="Arial" w:eastAsia="楷体_GB2312" w:cs="Arial"/>
          <w:b/>
          <w:color w:val="auto"/>
          <w:sz w:val="32"/>
        </w:rPr>
        <w:t>技</w:t>
      </w:r>
      <w:r>
        <w:rPr>
          <w:rFonts w:ascii="Arial" w:hAnsi="Arial" w:eastAsia="楷体_GB2312" w:cs="Arial"/>
          <w:b/>
          <w:color w:val="auto"/>
          <w:sz w:val="32"/>
        </w:rPr>
        <w:t>）字第000</w:t>
      </w:r>
      <w:r>
        <w:rPr>
          <w:rFonts w:hint="eastAsia" w:ascii="Arial" w:hAnsi="Arial" w:eastAsia="楷体_GB2312" w:cs="Arial"/>
          <w:b/>
          <w:color w:val="auto"/>
          <w:sz w:val="32"/>
        </w:rPr>
        <w:t>1</w:t>
      </w:r>
      <w:r>
        <w:rPr>
          <w:rFonts w:ascii="Arial" w:hAnsi="Arial" w:eastAsia="楷体_GB2312" w:cs="Arial"/>
          <w:b/>
          <w:color w:val="auto"/>
          <w:sz w:val="32"/>
        </w:rPr>
        <w:t>号</w:t>
      </w:r>
    </w:p>
    <w:p w14:paraId="508236B6">
      <w:pPr>
        <w:spacing w:line="300" w:lineRule="auto"/>
        <w:rPr>
          <w:rFonts w:ascii="Arial" w:hAnsi="Arial" w:eastAsia="楷体_GB2312" w:cs="Arial"/>
          <w:b/>
          <w:color w:val="auto"/>
          <w:sz w:val="32"/>
        </w:rPr>
      </w:pPr>
    </w:p>
    <w:p w14:paraId="625E9AFB">
      <w:pPr>
        <w:spacing w:line="300" w:lineRule="auto"/>
        <w:rPr>
          <w:rFonts w:ascii="Arial" w:hAnsi="Arial" w:eastAsia="楷体_GB2312" w:cs="Arial"/>
          <w:b/>
          <w:bCs/>
          <w:color w:val="auto"/>
          <w:spacing w:val="-20"/>
          <w:sz w:val="32"/>
        </w:rPr>
      </w:pPr>
      <w:r>
        <w:rPr>
          <w:rFonts w:ascii="Arial" w:hAnsi="Arial" w:eastAsia="楷体_GB2312" w:cs="Arial"/>
          <w:b/>
          <w:bCs/>
          <w:color w:val="auto"/>
          <w:sz w:val="32"/>
        </w:rPr>
        <w:t>提交估价报告日期</w:t>
      </w:r>
      <w:r>
        <w:rPr>
          <w:rFonts w:hint="eastAsia" w:ascii="Arial" w:hAnsi="Arial" w:eastAsia="楷体_GB2312" w:cs="Arial"/>
          <w:b/>
          <w:bCs/>
          <w:color w:val="auto"/>
          <w:sz w:val="32"/>
        </w:rPr>
        <w:t>：</w:t>
      </w:r>
      <w:r>
        <w:rPr>
          <w:rFonts w:ascii="Arial" w:hAnsi="Arial" w:eastAsia="楷体_GB2312" w:cs="Arial"/>
          <w:b/>
          <w:color w:val="auto"/>
          <w:sz w:val="32"/>
        </w:rPr>
        <w:t>202</w:t>
      </w:r>
      <w:r>
        <w:rPr>
          <w:rFonts w:hint="eastAsia" w:ascii="Arial" w:hAnsi="Arial" w:eastAsia="楷体_GB2312" w:cs="Arial"/>
          <w:b/>
          <w:color w:val="auto"/>
          <w:sz w:val="32"/>
        </w:rPr>
        <w:t>6</w:t>
      </w:r>
      <w:r>
        <w:rPr>
          <w:rFonts w:ascii="Arial" w:hAnsi="Arial" w:eastAsia="楷体_GB2312" w:cs="Arial"/>
          <w:b/>
          <w:color w:val="auto"/>
          <w:sz w:val="32"/>
        </w:rPr>
        <w:t>年</w:t>
      </w:r>
      <w:r>
        <w:rPr>
          <w:rFonts w:hint="eastAsia" w:ascii="Arial" w:hAnsi="Arial" w:eastAsia="楷体_GB2312" w:cs="Arial"/>
          <w:b/>
          <w:color w:val="auto"/>
          <w:sz w:val="32"/>
        </w:rPr>
        <w:t>4</w:t>
      </w:r>
      <w:r>
        <w:rPr>
          <w:rFonts w:ascii="Arial" w:hAnsi="Arial" w:eastAsia="楷体_GB2312" w:cs="Arial"/>
          <w:b/>
          <w:color w:val="auto"/>
          <w:sz w:val="32"/>
        </w:rPr>
        <w:t>月</w:t>
      </w:r>
      <w:r>
        <w:rPr>
          <w:rFonts w:hint="eastAsia" w:ascii="Arial" w:hAnsi="Arial" w:eastAsia="楷体_GB2312" w:cs="Arial"/>
          <w:b/>
          <w:color w:val="auto"/>
          <w:sz w:val="32"/>
          <w:lang w:val="en-US" w:eastAsia="zh-CN"/>
        </w:rPr>
        <w:t>21</w:t>
      </w:r>
      <w:r>
        <w:rPr>
          <w:rFonts w:ascii="Arial" w:hAnsi="Arial" w:eastAsia="楷体_GB2312" w:cs="Arial"/>
          <w:b/>
          <w:color w:val="auto"/>
          <w:sz w:val="32"/>
        </w:rPr>
        <w:t>日</w:t>
      </w:r>
    </w:p>
    <w:p w14:paraId="2BA7D193">
      <w:pPr>
        <w:spacing w:line="300" w:lineRule="auto"/>
        <w:rPr>
          <w:rFonts w:ascii="Arial" w:hAnsi="Arial" w:eastAsia="楷体_GB2312" w:cs="Arial"/>
          <w:b/>
          <w:bCs/>
          <w:color w:val="auto"/>
          <w:sz w:val="32"/>
        </w:rPr>
      </w:pPr>
    </w:p>
    <w:p w14:paraId="5494BDEA">
      <w:pPr>
        <w:spacing w:line="300" w:lineRule="auto"/>
        <w:rPr>
          <w:rFonts w:ascii="Arial" w:hAnsi="Arial" w:eastAsia="楷体_GB2312" w:cs="Arial"/>
          <w:b/>
          <w:bCs/>
          <w:color w:val="auto"/>
          <w:sz w:val="32"/>
        </w:rPr>
      </w:pPr>
      <w:r>
        <w:rPr>
          <w:rFonts w:ascii="Arial" w:hAnsi="Arial" w:eastAsia="楷体_GB2312" w:cs="Arial"/>
          <w:b/>
          <w:bCs/>
          <w:color w:val="auto"/>
          <w:sz w:val="32"/>
        </w:rPr>
        <w:t>关键词：北京市、</w:t>
      </w:r>
      <w:r>
        <w:rPr>
          <w:rFonts w:hint="eastAsia" w:ascii="Arial" w:hAnsi="Arial" w:eastAsia="楷体_GB2312" w:cs="Arial"/>
          <w:b/>
          <w:bCs/>
          <w:color w:val="auto"/>
          <w:sz w:val="32"/>
        </w:rPr>
        <w:t>顺义</w:t>
      </w:r>
      <w:r>
        <w:rPr>
          <w:rFonts w:ascii="Arial" w:hAnsi="Arial" w:eastAsia="楷体_GB2312" w:cs="Arial"/>
          <w:b/>
          <w:bCs/>
          <w:color w:val="auto"/>
          <w:sz w:val="32"/>
        </w:rPr>
        <w:t>区</w:t>
      </w:r>
    </w:p>
    <w:p w14:paraId="5350CE2A">
      <w:pPr>
        <w:spacing w:line="300" w:lineRule="auto"/>
        <w:rPr>
          <w:rFonts w:ascii="Arial" w:hAnsi="Arial" w:eastAsia="楷体_GB2312" w:cs="Arial"/>
          <w:b/>
          <w:bCs/>
          <w:color w:val="auto"/>
          <w:sz w:val="32"/>
        </w:rPr>
      </w:pPr>
      <w:r>
        <w:rPr>
          <w:rFonts w:ascii="Arial" w:hAnsi="Arial" w:eastAsia="楷体_GB2312" w:cs="Arial"/>
          <w:b/>
          <w:bCs/>
          <w:color w:val="auto"/>
          <w:sz w:val="32"/>
        </w:rPr>
        <w:t xml:space="preserve">        出让</w:t>
      </w:r>
    </w:p>
    <w:p w14:paraId="272926D6">
      <w:pPr>
        <w:spacing w:line="300" w:lineRule="auto"/>
        <w:ind w:firstLine="1285" w:firstLineChars="400"/>
        <w:rPr>
          <w:rFonts w:ascii="Arial" w:hAnsi="Arial" w:eastAsia="楷体_GB2312" w:cs="Arial"/>
          <w:b/>
          <w:bCs/>
          <w:color w:val="auto"/>
          <w:sz w:val="32"/>
        </w:rPr>
      </w:pPr>
      <w:r>
        <w:rPr>
          <w:rFonts w:ascii="Arial" w:hAnsi="Arial" w:eastAsia="楷体_GB2312" w:cs="Arial"/>
          <w:b/>
          <w:bCs/>
          <w:color w:val="auto"/>
          <w:sz w:val="32"/>
        </w:rPr>
        <w:t>北京康正宏基房地产评估有限公司</w:t>
      </w:r>
    </w:p>
    <w:p w14:paraId="7DAF5074">
      <w:pPr>
        <w:spacing w:line="300" w:lineRule="auto"/>
        <w:rPr>
          <w:rFonts w:ascii="Arial" w:hAnsi="Arial" w:eastAsia="楷体_GB2312" w:cs="Arial"/>
          <w:b/>
          <w:bCs/>
          <w:color w:val="auto"/>
          <w:spacing w:val="-20"/>
          <w:sz w:val="32"/>
        </w:rPr>
      </w:pPr>
      <w:r>
        <w:rPr>
          <w:rFonts w:ascii="Arial" w:hAnsi="Arial" w:eastAsia="仿宋_GB2312" w:cs="Arial"/>
          <w:b/>
          <w:bCs/>
          <w:color w:val="auto"/>
          <w:sz w:val="32"/>
        </w:rPr>
        <w:t xml:space="preserve">        </w:t>
      </w:r>
      <w:r>
        <w:rPr>
          <w:rFonts w:ascii="Arial" w:hAnsi="Arial" w:eastAsia="楷体_GB2312" w:cs="Arial"/>
          <w:b/>
          <w:bCs/>
          <w:color w:val="auto"/>
          <w:sz w:val="32"/>
        </w:rPr>
        <w:t>二Ｏ</w:t>
      </w:r>
      <w:r>
        <w:rPr>
          <w:rFonts w:hint="eastAsia" w:ascii="Arial" w:hAnsi="Arial" w:eastAsia="楷体_GB2312" w:cs="Arial"/>
          <w:b/>
          <w:bCs/>
          <w:color w:val="auto"/>
          <w:sz w:val="32"/>
        </w:rPr>
        <w:t>二六</w:t>
      </w:r>
      <w:r>
        <w:rPr>
          <w:rFonts w:ascii="Arial" w:hAnsi="Arial" w:eastAsia="楷体_GB2312" w:cs="Arial"/>
          <w:b/>
          <w:bCs/>
          <w:color w:val="auto"/>
          <w:sz w:val="32"/>
        </w:rPr>
        <w:t>年</w:t>
      </w:r>
    </w:p>
    <w:p w14:paraId="02B8E1D8">
      <w:pPr>
        <w:pStyle w:val="22"/>
        <w:spacing w:line="300" w:lineRule="auto"/>
        <w:rPr>
          <w:rFonts w:ascii="Arial" w:cs="Arial"/>
          <w:b/>
          <w:color w:val="auto"/>
          <w:sz w:val="32"/>
          <w:szCs w:val="32"/>
        </w:rPr>
      </w:pPr>
      <w:r>
        <w:rPr>
          <w:rFonts w:ascii="Arial" w:cs="Arial"/>
          <w:b/>
          <w:color w:val="auto"/>
          <w:sz w:val="32"/>
          <w:szCs w:val="32"/>
        </w:rPr>
        <w:br w:type="page"/>
      </w:r>
      <w:r>
        <w:rPr>
          <w:rFonts w:ascii="Arial" w:cs="Arial"/>
          <w:b/>
          <w:color w:val="auto"/>
          <w:sz w:val="32"/>
          <w:szCs w:val="32"/>
        </w:rPr>
        <w:t>目录</w:t>
      </w:r>
    </w:p>
    <w:p w14:paraId="40899E26">
      <w:pPr>
        <w:pStyle w:val="22"/>
        <w:rPr>
          <w:rFonts w:ascii="Arial" w:eastAsia="宋体"/>
          <w:color w:val="auto"/>
          <w:kern w:val="2"/>
          <w:sz w:val="21"/>
          <w:szCs w:val="22"/>
        </w:rPr>
      </w:pPr>
      <w:r>
        <w:rPr>
          <w:rStyle w:val="40"/>
          <w:rFonts w:ascii="Arial" w:cs="Arial"/>
          <w:b/>
          <w:color w:val="auto"/>
          <w:sz w:val="24"/>
          <w:szCs w:val="24"/>
        </w:rPr>
        <w:fldChar w:fldCharType="begin"/>
      </w:r>
      <w:r>
        <w:rPr>
          <w:rStyle w:val="40"/>
          <w:rFonts w:ascii="Arial" w:cs="Arial"/>
          <w:b/>
          <w:color w:val="auto"/>
          <w:sz w:val="24"/>
          <w:szCs w:val="24"/>
        </w:rPr>
        <w:instrText xml:space="preserve"> TOC \o "1-2" \h \z \u </w:instrText>
      </w:r>
      <w:r>
        <w:rPr>
          <w:rStyle w:val="40"/>
          <w:rFonts w:ascii="Arial" w:cs="Arial"/>
          <w:b/>
          <w:color w:val="auto"/>
          <w:sz w:val="24"/>
          <w:szCs w:val="24"/>
        </w:rPr>
        <w:fldChar w:fldCharType="separate"/>
      </w:r>
    </w:p>
    <w:p w14:paraId="12EE152C">
      <w:pPr>
        <w:pStyle w:val="22"/>
        <w:rPr>
          <w:rFonts w:ascii="Arial" w:eastAsia="宋体" w:cs="Arial"/>
          <w:b/>
          <w:bCs/>
          <w:color w:val="auto"/>
          <w:kern w:val="2"/>
        </w:rPr>
      </w:pPr>
      <w:r>
        <w:rPr>
          <w:color w:val="auto"/>
        </w:rPr>
        <w:fldChar w:fldCharType="begin"/>
      </w:r>
      <w:r>
        <w:rPr>
          <w:color w:val="auto"/>
        </w:rPr>
        <w:instrText xml:space="preserve"> HYPERLINK \l "_Toc132016739" </w:instrText>
      </w:r>
      <w:r>
        <w:rPr>
          <w:color w:val="auto"/>
        </w:rPr>
        <w:fldChar w:fldCharType="separate"/>
      </w:r>
      <w:r>
        <w:rPr>
          <w:rStyle w:val="40"/>
          <w:rFonts w:ascii="Arial" w:cs="Arial"/>
          <w:b/>
          <w:bCs/>
          <w:color w:val="auto"/>
        </w:rPr>
        <w:t>第一部分  总  述</w:t>
      </w:r>
      <w:r>
        <w:rPr>
          <w:rFonts w:ascii="Arial" w:cs="Arial"/>
          <w:b/>
          <w:bCs/>
          <w:color w:val="auto"/>
        </w:rPr>
        <w:tab/>
      </w:r>
      <w:r>
        <w:rPr>
          <w:rFonts w:ascii="Arial" w:cs="Arial"/>
          <w:b/>
          <w:bCs/>
          <w:color w:val="auto"/>
        </w:rPr>
        <w:fldChar w:fldCharType="begin"/>
      </w:r>
      <w:r>
        <w:rPr>
          <w:rFonts w:ascii="Arial" w:cs="Arial"/>
          <w:b/>
          <w:bCs/>
          <w:color w:val="auto"/>
        </w:rPr>
        <w:instrText xml:space="preserve"> PAGEREF _Toc132016739 \h </w:instrText>
      </w:r>
      <w:r>
        <w:rPr>
          <w:rFonts w:ascii="Arial" w:cs="Arial"/>
          <w:b/>
          <w:bCs/>
          <w:color w:val="auto"/>
        </w:rPr>
        <w:fldChar w:fldCharType="separate"/>
      </w:r>
      <w:r>
        <w:rPr>
          <w:rFonts w:ascii="Arial" w:cs="Arial"/>
          <w:b/>
          <w:bCs/>
          <w:color w:val="auto"/>
        </w:rPr>
        <w:t>2</w:t>
      </w:r>
      <w:r>
        <w:rPr>
          <w:rFonts w:ascii="Arial" w:cs="Arial"/>
          <w:b/>
          <w:bCs/>
          <w:color w:val="auto"/>
        </w:rPr>
        <w:fldChar w:fldCharType="end"/>
      </w:r>
      <w:r>
        <w:rPr>
          <w:rFonts w:ascii="Arial" w:cs="Arial"/>
          <w:b/>
          <w:bCs/>
          <w:color w:val="auto"/>
        </w:rPr>
        <w:fldChar w:fldCharType="end"/>
      </w:r>
    </w:p>
    <w:p w14:paraId="7A30A8CD">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"_Toc132016740" </w:instrText>
      </w:r>
      <w:r>
        <w:rPr>
          <w:color w:val="auto"/>
        </w:rPr>
        <w:fldChar w:fldCharType="separate"/>
      </w:r>
      <w:r>
        <w:rPr>
          <w:rStyle w:val="40"/>
          <w:rFonts w:ascii="Arial" w:hAnsi="Arial" w:eastAsia="仿宋_GB2312" w:cs="Arial"/>
          <w:b/>
          <w:bCs/>
          <w:color w:val="auto"/>
          <w:sz w:val="28"/>
          <w:szCs w:val="28"/>
        </w:rPr>
        <w:t>一、估价项目名称</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_Toc132016740 \h </w:instrText>
      </w:r>
      <w:r>
        <w:rPr>
          <w:rFonts w:ascii="Arial" w:hAnsi="Arial" w:cs="Arial"/>
          <w:b/>
          <w:bCs/>
          <w:color w:val="auto"/>
          <w:sz w:val="28"/>
          <w:szCs w:val="28"/>
        </w:rPr>
        <w:fldChar w:fldCharType="separate"/>
      </w:r>
      <w:r>
        <w:rPr>
          <w:rFonts w:ascii="Arial" w:hAnsi="Arial" w:cs="Arial"/>
          <w:b/>
          <w:bCs/>
          <w:color w:val="auto"/>
          <w:sz w:val="28"/>
          <w:szCs w:val="28"/>
        </w:rPr>
        <w:t>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7A63C63E">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"_Toc132016741" </w:instrText>
      </w:r>
      <w:r>
        <w:rPr>
          <w:color w:val="auto"/>
        </w:rPr>
        <w:fldChar w:fldCharType="separate"/>
      </w:r>
      <w:r>
        <w:rPr>
          <w:rStyle w:val="40"/>
          <w:rFonts w:ascii="Arial" w:hAnsi="Arial" w:eastAsia="仿宋_GB2312" w:cs="Arial"/>
          <w:b/>
          <w:bCs/>
          <w:color w:val="auto"/>
          <w:sz w:val="28"/>
          <w:szCs w:val="28"/>
        </w:rPr>
        <w:t>二、委托估价方</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_Toc132016741 \h </w:instrText>
      </w:r>
      <w:r>
        <w:rPr>
          <w:rFonts w:ascii="Arial" w:hAnsi="Arial" w:cs="Arial"/>
          <w:b/>
          <w:bCs/>
          <w:color w:val="auto"/>
          <w:sz w:val="28"/>
          <w:szCs w:val="28"/>
        </w:rPr>
        <w:fldChar w:fldCharType="separate"/>
      </w:r>
      <w:r>
        <w:rPr>
          <w:rFonts w:ascii="Arial" w:hAnsi="Arial" w:cs="Arial"/>
          <w:b/>
          <w:bCs/>
          <w:color w:val="auto"/>
          <w:sz w:val="28"/>
          <w:szCs w:val="28"/>
        </w:rPr>
        <w:t>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3FE3B87F">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"_Toc132016742" </w:instrText>
      </w:r>
      <w:r>
        <w:rPr>
          <w:color w:val="auto"/>
        </w:rPr>
        <w:fldChar w:fldCharType="separate"/>
      </w:r>
      <w:r>
        <w:rPr>
          <w:rStyle w:val="40"/>
          <w:rFonts w:ascii="Arial" w:hAnsi="Arial" w:eastAsia="仿宋_GB2312" w:cs="Arial"/>
          <w:b/>
          <w:bCs/>
          <w:color w:val="auto"/>
          <w:sz w:val="28"/>
          <w:szCs w:val="28"/>
        </w:rPr>
        <w:t>三、受托估价方</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_Toc132016742 \h </w:instrText>
      </w:r>
      <w:r>
        <w:rPr>
          <w:rFonts w:ascii="Arial" w:hAnsi="Arial" w:cs="Arial"/>
          <w:b/>
          <w:bCs/>
          <w:color w:val="auto"/>
          <w:sz w:val="28"/>
          <w:szCs w:val="28"/>
        </w:rPr>
        <w:fldChar w:fldCharType="separate"/>
      </w:r>
      <w:r>
        <w:rPr>
          <w:rFonts w:ascii="Arial" w:hAnsi="Arial" w:cs="Arial"/>
          <w:b/>
          <w:bCs/>
          <w:color w:val="auto"/>
          <w:sz w:val="28"/>
          <w:szCs w:val="28"/>
        </w:rPr>
        <w:t>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10A85B91">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"_Toc132016743" </w:instrText>
      </w:r>
      <w:r>
        <w:rPr>
          <w:color w:val="auto"/>
        </w:rPr>
        <w:fldChar w:fldCharType="separate"/>
      </w:r>
      <w:r>
        <w:rPr>
          <w:rStyle w:val="40"/>
          <w:rFonts w:ascii="Arial" w:hAnsi="Arial" w:eastAsia="仿宋_GB2312" w:cs="Arial"/>
          <w:b/>
          <w:bCs/>
          <w:color w:val="auto"/>
          <w:sz w:val="28"/>
          <w:szCs w:val="28"/>
        </w:rPr>
        <w:t>四、估价目的</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_Toc132016743 \h </w:instrText>
      </w:r>
      <w:r>
        <w:rPr>
          <w:rFonts w:ascii="Arial" w:hAnsi="Arial" w:cs="Arial"/>
          <w:b/>
          <w:bCs/>
          <w:color w:val="auto"/>
          <w:sz w:val="28"/>
          <w:szCs w:val="28"/>
        </w:rPr>
        <w:fldChar w:fldCharType="separate"/>
      </w:r>
      <w:r>
        <w:rPr>
          <w:rFonts w:ascii="Arial" w:hAnsi="Arial" w:cs="Arial"/>
          <w:b/>
          <w:bCs/>
          <w:color w:val="auto"/>
          <w:sz w:val="28"/>
          <w:szCs w:val="28"/>
        </w:rPr>
        <w:t>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2C820572">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"_Toc132016744" </w:instrText>
      </w:r>
      <w:r>
        <w:rPr>
          <w:color w:val="auto"/>
        </w:rPr>
        <w:fldChar w:fldCharType="separate"/>
      </w:r>
      <w:r>
        <w:rPr>
          <w:rStyle w:val="40"/>
          <w:rFonts w:ascii="Arial" w:hAnsi="Arial" w:eastAsia="仿宋_GB2312" w:cs="Arial"/>
          <w:b/>
          <w:bCs/>
          <w:color w:val="auto"/>
          <w:sz w:val="28"/>
          <w:szCs w:val="28"/>
        </w:rPr>
        <w:t>五、估价依据</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_Toc132016744 \h </w:instrText>
      </w:r>
      <w:r>
        <w:rPr>
          <w:rFonts w:ascii="Arial" w:hAnsi="Arial" w:cs="Arial"/>
          <w:b/>
          <w:bCs/>
          <w:color w:val="auto"/>
          <w:sz w:val="28"/>
          <w:szCs w:val="28"/>
        </w:rPr>
        <w:fldChar w:fldCharType="separate"/>
      </w:r>
      <w:r>
        <w:rPr>
          <w:rFonts w:ascii="Arial" w:hAnsi="Arial" w:cs="Arial"/>
          <w:b/>
          <w:bCs/>
          <w:color w:val="auto"/>
          <w:sz w:val="28"/>
          <w:szCs w:val="28"/>
        </w:rPr>
        <w:t>3</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3EA943BF">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"_Toc132016745" </w:instrText>
      </w:r>
      <w:r>
        <w:rPr>
          <w:color w:val="auto"/>
        </w:rPr>
        <w:fldChar w:fldCharType="separate"/>
      </w:r>
      <w:r>
        <w:rPr>
          <w:rStyle w:val="40"/>
          <w:rFonts w:ascii="Arial" w:hAnsi="Arial" w:eastAsia="仿宋_GB2312" w:cs="Arial"/>
          <w:b/>
          <w:bCs/>
          <w:color w:val="auto"/>
          <w:sz w:val="28"/>
          <w:szCs w:val="28"/>
        </w:rPr>
        <w:t>六、估价期日</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_Toc132016745 \h </w:instrText>
      </w:r>
      <w:r>
        <w:rPr>
          <w:rFonts w:ascii="Arial" w:hAnsi="Arial" w:cs="Arial"/>
          <w:b/>
          <w:bCs/>
          <w:color w:val="auto"/>
          <w:sz w:val="28"/>
          <w:szCs w:val="28"/>
        </w:rPr>
        <w:fldChar w:fldCharType="separate"/>
      </w:r>
      <w:r>
        <w:rPr>
          <w:rFonts w:ascii="Arial" w:hAnsi="Arial" w:cs="Arial"/>
          <w:b/>
          <w:bCs/>
          <w:color w:val="auto"/>
          <w:sz w:val="28"/>
          <w:szCs w:val="28"/>
        </w:rPr>
        <w:t>10</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7DA70B6B">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"_Toc132016746" </w:instrText>
      </w:r>
      <w:r>
        <w:rPr>
          <w:color w:val="auto"/>
        </w:rPr>
        <w:fldChar w:fldCharType="separate"/>
      </w:r>
      <w:r>
        <w:rPr>
          <w:rStyle w:val="40"/>
          <w:rFonts w:ascii="Arial" w:hAnsi="Arial" w:eastAsia="仿宋_GB2312" w:cs="Arial"/>
          <w:b/>
          <w:bCs/>
          <w:color w:val="auto"/>
          <w:sz w:val="28"/>
          <w:szCs w:val="28"/>
        </w:rPr>
        <w:t>七、估价日期</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_Toc132016746 \h </w:instrText>
      </w:r>
      <w:r>
        <w:rPr>
          <w:rFonts w:ascii="Arial" w:hAnsi="Arial" w:cs="Arial"/>
          <w:b/>
          <w:bCs/>
          <w:color w:val="auto"/>
          <w:sz w:val="28"/>
          <w:szCs w:val="28"/>
        </w:rPr>
        <w:fldChar w:fldCharType="separate"/>
      </w:r>
      <w:r>
        <w:rPr>
          <w:rFonts w:ascii="Arial" w:hAnsi="Arial" w:cs="Arial"/>
          <w:b/>
          <w:bCs/>
          <w:color w:val="auto"/>
          <w:sz w:val="28"/>
          <w:szCs w:val="28"/>
        </w:rPr>
        <w:t>10</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151A2097">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"_Toc132016747" </w:instrText>
      </w:r>
      <w:r>
        <w:rPr>
          <w:color w:val="auto"/>
        </w:rPr>
        <w:fldChar w:fldCharType="separate"/>
      </w:r>
      <w:r>
        <w:rPr>
          <w:rStyle w:val="40"/>
          <w:rFonts w:ascii="Arial" w:hAnsi="Arial" w:eastAsia="仿宋_GB2312" w:cs="Arial"/>
          <w:b/>
          <w:bCs/>
          <w:color w:val="auto"/>
          <w:sz w:val="28"/>
          <w:szCs w:val="28"/>
        </w:rPr>
        <w:t>八、地价定义</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_Toc132016747 \h </w:instrText>
      </w:r>
      <w:r>
        <w:rPr>
          <w:rFonts w:ascii="Arial" w:hAnsi="Arial" w:cs="Arial"/>
          <w:b/>
          <w:bCs/>
          <w:color w:val="auto"/>
          <w:sz w:val="28"/>
          <w:szCs w:val="28"/>
        </w:rPr>
        <w:fldChar w:fldCharType="separate"/>
      </w:r>
      <w:r>
        <w:rPr>
          <w:rFonts w:ascii="Arial" w:hAnsi="Arial" w:cs="Arial"/>
          <w:b/>
          <w:bCs/>
          <w:color w:val="auto"/>
          <w:sz w:val="28"/>
          <w:szCs w:val="28"/>
        </w:rPr>
        <w:t>10</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1ABE9AB2">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"_Toc132016748" </w:instrText>
      </w:r>
      <w:r>
        <w:rPr>
          <w:color w:val="auto"/>
        </w:rPr>
        <w:fldChar w:fldCharType="separate"/>
      </w:r>
      <w:r>
        <w:rPr>
          <w:rStyle w:val="40"/>
          <w:rFonts w:ascii="Arial" w:hAnsi="Arial" w:eastAsia="仿宋_GB2312" w:cs="Arial"/>
          <w:b/>
          <w:bCs/>
          <w:color w:val="auto"/>
          <w:sz w:val="28"/>
          <w:szCs w:val="28"/>
        </w:rPr>
        <w:t>九、估价结果</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_Toc132016748 \h </w:instrText>
      </w:r>
      <w:r>
        <w:rPr>
          <w:rFonts w:ascii="Arial" w:hAnsi="Arial" w:cs="Arial"/>
          <w:b/>
          <w:bCs/>
          <w:color w:val="auto"/>
          <w:sz w:val="28"/>
          <w:szCs w:val="28"/>
        </w:rPr>
        <w:fldChar w:fldCharType="separate"/>
      </w:r>
      <w:r>
        <w:rPr>
          <w:rFonts w:ascii="Arial" w:hAnsi="Arial" w:cs="Arial"/>
          <w:b/>
          <w:bCs/>
          <w:color w:val="auto"/>
          <w:sz w:val="28"/>
          <w:szCs w:val="28"/>
        </w:rPr>
        <w:t>14</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04F75F13">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"_Toc132016749" </w:instrText>
      </w:r>
      <w:r>
        <w:rPr>
          <w:color w:val="auto"/>
        </w:rPr>
        <w:fldChar w:fldCharType="separate"/>
      </w:r>
      <w:r>
        <w:rPr>
          <w:rStyle w:val="40"/>
          <w:rFonts w:ascii="Arial" w:hAnsi="Arial" w:eastAsia="仿宋_GB2312" w:cs="Arial"/>
          <w:b/>
          <w:bCs/>
          <w:color w:val="auto"/>
          <w:sz w:val="28"/>
          <w:szCs w:val="28"/>
        </w:rPr>
        <w:t>十、需要特殊说明的事项</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_Toc132016749 \h </w:instrText>
      </w:r>
      <w:r>
        <w:rPr>
          <w:rFonts w:ascii="Arial" w:hAnsi="Arial" w:cs="Arial"/>
          <w:b/>
          <w:bCs/>
          <w:color w:val="auto"/>
          <w:sz w:val="28"/>
          <w:szCs w:val="28"/>
        </w:rPr>
        <w:fldChar w:fldCharType="separate"/>
      </w:r>
      <w:r>
        <w:rPr>
          <w:rFonts w:ascii="Arial" w:hAnsi="Arial" w:cs="Arial"/>
          <w:b/>
          <w:bCs/>
          <w:color w:val="auto"/>
          <w:sz w:val="28"/>
          <w:szCs w:val="28"/>
        </w:rPr>
        <w:t>22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06E29187">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"_Toc132016750" </w:instrText>
      </w:r>
      <w:r>
        <w:rPr>
          <w:color w:val="auto"/>
        </w:rPr>
        <w:fldChar w:fldCharType="separate"/>
      </w:r>
      <w:r>
        <w:rPr>
          <w:rStyle w:val="40"/>
          <w:rFonts w:ascii="Arial" w:hAnsi="Arial" w:eastAsia="仿宋_GB2312" w:cs="Arial"/>
          <w:b/>
          <w:bCs/>
          <w:color w:val="auto"/>
          <w:sz w:val="28"/>
          <w:szCs w:val="28"/>
        </w:rPr>
        <w:t>十一、土地估价专业评估师签字</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_Toc132016750 \h </w:instrText>
      </w:r>
      <w:r>
        <w:rPr>
          <w:rFonts w:ascii="Arial" w:hAnsi="Arial" w:cs="Arial"/>
          <w:b/>
          <w:bCs/>
          <w:color w:val="auto"/>
          <w:sz w:val="28"/>
          <w:szCs w:val="28"/>
        </w:rPr>
        <w:fldChar w:fldCharType="separate"/>
      </w:r>
      <w:r>
        <w:rPr>
          <w:rFonts w:ascii="Arial" w:hAnsi="Arial" w:cs="Arial"/>
          <w:b/>
          <w:bCs/>
          <w:color w:val="auto"/>
          <w:sz w:val="28"/>
          <w:szCs w:val="28"/>
        </w:rPr>
        <w:t>27</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2E2842AB">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"_Toc132016751" </w:instrText>
      </w:r>
      <w:r>
        <w:rPr>
          <w:color w:val="auto"/>
        </w:rPr>
        <w:fldChar w:fldCharType="separate"/>
      </w:r>
      <w:r>
        <w:rPr>
          <w:rStyle w:val="40"/>
          <w:rFonts w:ascii="Arial" w:hAnsi="Arial" w:eastAsia="仿宋_GB2312" w:cs="Arial"/>
          <w:b/>
          <w:bCs/>
          <w:color w:val="auto"/>
          <w:sz w:val="28"/>
          <w:szCs w:val="28"/>
        </w:rPr>
        <w:t>十二、土地估价机构</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_Toc132016751 \h </w:instrText>
      </w:r>
      <w:r>
        <w:rPr>
          <w:rFonts w:ascii="Arial" w:hAnsi="Arial" w:cs="Arial"/>
          <w:b/>
          <w:bCs/>
          <w:color w:val="auto"/>
          <w:sz w:val="28"/>
          <w:szCs w:val="28"/>
        </w:rPr>
        <w:fldChar w:fldCharType="separate"/>
      </w:r>
      <w:r>
        <w:rPr>
          <w:rFonts w:ascii="Arial" w:hAnsi="Arial" w:cs="Arial"/>
          <w:b/>
          <w:bCs/>
          <w:color w:val="auto"/>
          <w:sz w:val="28"/>
          <w:szCs w:val="28"/>
        </w:rPr>
        <w:t>27</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0382AB0B">
      <w:pPr>
        <w:pStyle w:val="22"/>
        <w:rPr>
          <w:rFonts w:ascii="Arial" w:eastAsia="宋体" w:cs="Arial"/>
          <w:b/>
          <w:bCs/>
          <w:color w:val="auto"/>
          <w:kern w:val="2"/>
        </w:rPr>
      </w:pPr>
      <w:r>
        <w:rPr>
          <w:color w:val="auto"/>
        </w:rPr>
        <w:fldChar w:fldCharType="begin"/>
      </w:r>
      <w:r>
        <w:rPr>
          <w:color w:val="auto"/>
        </w:rPr>
        <w:instrText xml:space="preserve"> HYPERLINK \l "_Toc132016752" </w:instrText>
      </w:r>
      <w:r>
        <w:rPr>
          <w:color w:val="auto"/>
        </w:rPr>
        <w:fldChar w:fldCharType="separate"/>
      </w:r>
      <w:r>
        <w:rPr>
          <w:rStyle w:val="40"/>
          <w:rFonts w:ascii="Arial" w:cs="Arial"/>
          <w:b/>
          <w:bCs/>
          <w:color w:val="auto"/>
        </w:rPr>
        <w:t>第二部分  估价对象描述及土地价格影响因素分析</w:t>
      </w:r>
      <w:r>
        <w:rPr>
          <w:rFonts w:ascii="Arial" w:cs="Arial"/>
          <w:b/>
          <w:bCs/>
          <w:color w:val="auto"/>
        </w:rPr>
        <w:tab/>
      </w:r>
      <w:r>
        <w:rPr>
          <w:rFonts w:ascii="Arial" w:cs="Arial"/>
          <w:b/>
          <w:bCs/>
          <w:color w:val="auto"/>
        </w:rPr>
        <w:fldChar w:fldCharType="begin"/>
      </w:r>
      <w:r>
        <w:rPr>
          <w:rFonts w:ascii="Arial" w:cs="Arial"/>
          <w:b/>
          <w:bCs/>
          <w:color w:val="auto"/>
        </w:rPr>
        <w:instrText xml:space="preserve"> PAGEREF _Toc132016752 \h </w:instrText>
      </w:r>
      <w:r>
        <w:rPr>
          <w:rFonts w:ascii="Arial" w:cs="Arial"/>
          <w:b/>
          <w:bCs/>
          <w:color w:val="auto"/>
        </w:rPr>
        <w:fldChar w:fldCharType="separate"/>
      </w:r>
      <w:r>
        <w:rPr>
          <w:rFonts w:ascii="Arial" w:cs="Arial"/>
          <w:b/>
          <w:bCs/>
          <w:color w:val="auto"/>
        </w:rPr>
        <w:t>28</w:t>
      </w:r>
      <w:r>
        <w:rPr>
          <w:rFonts w:ascii="Arial" w:cs="Arial"/>
          <w:b/>
          <w:bCs/>
          <w:color w:val="auto"/>
        </w:rPr>
        <w:fldChar w:fldCharType="end"/>
      </w:r>
      <w:r>
        <w:rPr>
          <w:rFonts w:ascii="Arial" w:cs="Arial"/>
          <w:b/>
          <w:bCs/>
          <w:color w:val="auto"/>
        </w:rPr>
        <w:fldChar w:fldCharType="end"/>
      </w:r>
    </w:p>
    <w:p w14:paraId="0D3BDDA5">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"_Toc132016753" </w:instrText>
      </w:r>
      <w:r>
        <w:rPr>
          <w:color w:val="auto"/>
        </w:rPr>
        <w:fldChar w:fldCharType="separate"/>
      </w:r>
      <w:r>
        <w:rPr>
          <w:rStyle w:val="40"/>
          <w:rFonts w:ascii="Arial" w:hAnsi="Arial" w:eastAsia="仿宋_GB2312" w:cs="Arial"/>
          <w:b/>
          <w:bCs/>
          <w:color w:val="auto"/>
          <w:sz w:val="28"/>
          <w:szCs w:val="28"/>
        </w:rPr>
        <w:t>一、估价对象描述</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_Toc132016753 \h </w:instrText>
      </w:r>
      <w:r>
        <w:rPr>
          <w:rFonts w:ascii="Arial" w:hAnsi="Arial" w:cs="Arial"/>
          <w:b/>
          <w:bCs/>
          <w:color w:val="auto"/>
          <w:sz w:val="28"/>
          <w:szCs w:val="28"/>
        </w:rPr>
        <w:fldChar w:fldCharType="separate"/>
      </w:r>
      <w:r>
        <w:rPr>
          <w:rFonts w:ascii="Arial" w:hAnsi="Arial" w:cs="Arial"/>
          <w:b/>
          <w:bCs/>
          <w:color w:val="auto"/>
          <w:sz w:val="28"/>
          <w:szCs w:val="28"/>
        </w:rPr>
        <w:t>28</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5095D537">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"_Toc132016754" </w:instrText>
      </w:r>
      <w:r>
        <w:rPr>
          <w:color w:val="auto"/>
        </w:rPr>
        <w:fldChar w:fldCharType="separate"/>
      </w:r>
      <w:r>
        <w:rPr>
          <w:rStyle w:val="40"/>
          <w:rFonts w:ascii="Arial" w:hAnsi="Arial" w:eastAsia="仿宋_GB2312" w:cs="Arial"/>
          <w:b/>
          <w:bCs/>
          <w:color w:val="auto"/>
          <w:sz w:val="28"/>
          <w:szCs w:val="28"/>
        </w:rPr>
        <w:t>二、地价影响因素分析</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_Toc132016754 \h </w:instrText>
      </w:r>
      <w:r>
        <w:rPr>
          <w:rFonts w:ascii="Arial" w:hAnsi="Arial" w:cs="Arial"/>
          <w:b/>
          <w:bCs/>
          <w:color w:val="auto"/>
          <w:sz w:val="28"/>
          <w:szCs w:val="28"/>
        </w:rPr>
        <w:fldChar w:fldCharType="separate"/>
      </w:r>
      <w:r>
        <w:rPr>
          <w:rFonts w:ascii="Arial" w:hAnsi="Arial" w:cs="Arial"/>
          <w:b/>
          <w:bCs/>
          <w:color w:val="auto"/>
          <w:sz w:val="28"/>
          <w:szCs w:val="28"/>
        </w:rPr>
        <w:t>32</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395B90A9">
      <w:pPr>
        <w:pStyle w:val="22"/>
        <w:rPr>
          <w:rFonts w:ascii="Arial" w:cs="Arial"/>
          <w:b/>
          <w:bCs/>
          <w:color w:val="auto"/>
          <w:kern w:val="2"/>
        </w:rPr>
      </w:pPr>
      <w:r>
        <w:rPr>
          <w:color w:val="auto"/>
        </w:rPr>
        <w:fldChar w:fldCharType="begin"/>
      </w:r>
      <w:r>
        <w:rPr>
          <w:color w:val="auto"/>
        </w:rPr>
        <w:instrText xml:space="preserve"> HYPERLINK \l "_Toc132016755" </w:instrText>
      </w:r>
      <w:r>
        <w:rPr>
          <w:color w:val="auto"/>
        </w:rPr>
        <w:fldChar w:fldCharType="separate"/>
      </w:r>
      <w:r>
        <w:rPr>
          <w:rStyle w:val="40"/>
          <w:rFonts w:ascii="Arial" w:cs="Arial"/>
          <w:b/>
          <w:bCs/>
          <w:color w:val="auto"/>
        </w:rPr>
        <w:t>第三部分  土地估价</w:t>
      </w:r>
      <w:r>
        <w:rPr>
          <w:rFonts w:ascii="Arial" w:cs="Arial"/>
          <w:b/>
          <w:bCs/>
          <w:color w:val="auto"/>
        </w:rPr>
        <w:tab/>
      </w:r>
      <w:r>
        <w:rPr>
          <w:rFonts w:ascii="Arial" w:cs="Arial"/>
          <w:b/>
          <w:bCs/>
          <w:color w:val="auto"/>
        </w:rPr>
        <w:t>4</w:t>
      </w:r>
      <w:r>
        <w:rPr>
          <w:rFonts w:ascii="Arial" w:cs="Arial"/>
          <w:b/>
          <w:bCs/>
          <w:color w:val="auto"/>
        </w:rPr>
        <w:fldChar w:fldCharType="end"/>
      </w:r>
      <w:r>
        <w:rPr>
          <w:rFonts w:ascii="Arial" w:cs="Arial"/>
          <w:b/>
          <w:bCs/>
          <w:color w:val="auto"/>
        </w:rPr>
        <w:t>0</w:t>
      </w:r>
    </w:p>
    <w:p w14:paraId="6C2C8380">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"_Toc132016756" </w:instrText>
      </w:r>
      <w:r>
        <w:rPr>
          <w:color w:val="auto"/>
        </w:rPr>
        <w:fldChar w:fldCharType="separate"/>
      </w:r>
      <w:r>
        <w:rPr>
          <w:rStyle w:val="40"/>
          <w:rFonts w:ascii="Arial" w:hAnsi="Arial" w:eastAsia="仿宋_GB2312" w:cs="Arial"/>
          <w:b/>
          <w:bCs/>
          <w:color w:val="auto"/>
          <w:sz w:val="28"/>
          <w:szCs w:val="28"/>
        </w:rPr>
        <w:t>一、估价原则</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_Toc132016756 \h </w:instrText>
      </w:r>
      <w:r>
        <w:rPr>
          <w:rFonts w:ascii="Arial" w:hAnsi="Arial" w:cs="Arial"/>
          <w:b/>
          <w:bCs/>
          <w:color w:val="auto"/>
          <w:sz w:val="28"/>
          <w:szCs w:val="28"/>
        </w:rPr>
        <w:fldChar w:fldCharType="separate"/>
      </w:r>
      <w:r>
        <w:rPr>
          <w:rFonts w:ascii="Arial" w:hAnsi="Arial" w:cs="Arial"/>
          <w:b/>
          <w:bCs/>
          <w:color w:val="auto"/>
          <w:sz w:val="28"/>
          <w:szCs w:val="28"/>
        </w:rPr>
        <w:t>64</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41D2D55E">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"_Toc132016757" </w:instrText>
      </w:r>
      <w:r>
        <w:rPr>
          <w:color w:val="auto"/>
        </w:rPr>
        <w:fldChar w:fldCharType="separate"/>
      </w:r>
      <w:r>
        <w:rPr>
          <w:rStyle w:val="40"/>
          <w:rFonts w:ascii="Arial" w:hAnsi="Arial" w:eastAsia="仿宋_GB2312" w:cs="Arial"/>
          <w:b/>
          <w:bCs/>
          <w:color w:val="auto"/>
          <w:sz w:val="28"/>
          <w:szCs w:val="28"/>
        </w:rPr>
        <w:t>二、估价方法与估价过程</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_Toc132016757 \h </w:instrText>
      </w:r>
      <w:r>
        <w:rPr>
          <w:rFonts w:ascii="Arial" w:hAnsi="Arial" w:cs="Arial"/>
          <w:b/>
          <w:bCs/>
          <w:color w:val="auto"/>
          <w:sz w:val="28"/>
          <w:szCs w:val="28"/>
        </w:rPr>
        <w:fldChar w:fldCharType="separate"/>
      </w:r>
      <w:r>
        <w:rPr>
          <w:rFonts w:ascii="Arial" w:hAnsi="Arial" w:cs="Arial"/>
          <w:b/>
          <w:bCs/>
          <w:color w:val="auto"/>
          <w:sz w:val="28"/>
          <w:szCs w:val="28"/>
        </w:rPr>
        <w:t>67</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57D1D66B">
      <w:pPr>
        <w:pStyle w:val="27"/>
        <w:tabs>
          <w:tab w:val="right" w:leader="dot" w:pos="8654"/>
        </w:tabs>
        <w:rPr>
          <w:rFonts w:ascii="Arial" w:hAnsi="Arial" w:cs="Arial"/>
          <w:b/>
          <w:bCs/>
          <w:color w:val="auto"/>
          <w:kern w:val="2"/>
          <w:sz w:val="28"/>
          <w:szCs w:val="28"/>
        </w:rPr>
      </w:pPr>
      <w:r>
        <w:rPr>
          <w:color w:val="auto"/>
        </w:rPr>
        <w:fldChar w:fldCharType="begin"/>
      </w:r>
      <w:r>
        <w:rPr>
          <w:color w:val="auto"/>
        </w:rPr>
        <w:instrText xml:space="preserve"> HYPERLINK \l "_Toc132016758" </w:instrText>
      </w:r>
      <w:r>
        <w:rPr>
          <w:color w:val="auto"/>
        </w:rPr>
        <w:fldChar w:fldCharType="separate"/>
      </w:r>
      <w:r>
        <w:rPr>
          <w:rStyle w:val="40"/>
          <w:rFonts w:ascii="Arial" w:hAnsi="Arial" w:eastAsia="仿宋_GB2312" w:cs="Arial"/>
          <w:b/>
          <w:bCs/>
          <w:color w:val="auto"/>
          <w:sz w:val="28"/>
          <w:szCs w:val="28"/>
        </w:rPr>
        <w:t>三、求取估价对象各用途楼面地价</w:t>
      </w:r>
      <w:r>
        <w:rPr>
          <w:rFonts w:ascii="Arial" w:hAnsi="Arial" w:cs="Arial"/>
          <w:b/>
          <w:bCs/>
          <w:color w:val="auto"/>
          <w:sz w:val="28"/>
          <w:szCs w:val="28"/>
        </w:rPr>
        <w:tab/>
      </w:r>
      <w:r>
        <w:rPr>
          <w:rFonts w:ascii="Arial" w:hAnsi="Arial" w:cs="Arial"/>
          <w:b/>
          <w:bCs/>
          <w:color w:val="auto"/>
          <w:sz w:val="28"/>
          <w:szCs w:val="28"/>
        </w:rPr>
        <w:fldChar w:fldCharType="begin"/>
      </w:r>
      <w:r>
        <w:rPr>
          <w:rFonts w:ascii="Arial" w:hAnsi="Arial" w:cs="Arial"/>
          <w:b/>
          <w:bCs/>
          <w:color w:val="auto"/>
          <w:sz w:val="28"/>
          <w:szCs w:val="28"/>
        </w:rPr>
        <w:instrText xml:space="preserve"> PAGEREF _Toc132016758 \h </w:instrText>
      </w:r>
      <w:r>
        <w:rPr>
          <w:rFonts w:ascii="Arial" w:hAnsi="Arial" w:cs="Arial"/>
          <w:b/>
          <w:bCs/>
          <w:color w:val="auto"/>
          <w:sz w:val="28"/>
          <w:szCs w:val="28"/>
        </w:rPr>
        <w:fldChar w:fldCharType="separate"/>
      </w:r>
      <w:r>
        <w:rPr>
          <w:rFonts w:ascii="Arial" w:hAnsi="Arial" w:cs="Arial"/>
          <w:b/>
          <w:bCs/>
          <w:color w:val="auto"/>
          <w:sz w:val="28"/>
          <w:szCs w:val="28"/>
        </w:rPr>
        <w:t>168</w:t>
      </w:r>
      <w:r>
        <w:rPr>
          <w:rFonts w:ascii="Arial" w:hAnsi="Arial" w:cs="Arial"/>
          <w:b/>
          <w:bCs/>
          <w:color w:val="auto"/>
          <w:sz w:val="28"/>
          <w:szCs w:val="28"/>
        </w:rPr>
        <w:fldChar w:fldCharType="end"/>
      </w:r>
      <w:r>
        <w:rPr>
          <w:rFonts w:ascii="Arial" w:hAnsi="Arial" w:cs="Arial"/>
          <w:b/>
          <w:bCs/>
          <w:color w:val="auto"/>
          <w:sz w:val="28"/>
          <w:szCs w:val="28"/>
        </w:rPr>
        <w:fldChar w:fldCharType="end"/>
      </w:r>
    </w:p>
    <w:p w14:paraId="29CC743B">
      <w:pPr>
        <w:pStyle w:val="22"/>
        <w:rPr>
          <w:rFonts w:hint="default" w:ascii="Arial" w:eastAsia="仿宋_GB2312" w:cs="Arial"/>
          <w:b/>
          <w:bCs/>
          <w:color w:val="auto"/>
          <w:kern w:val="2"/>
          <w:lang w:val="en-US" w:eastAsia="zh-CN"/>
        </w:rPr>
      </w:pPr>
      <w:r>
        <w:rPr>
          <w:color w:val="auto"/>
        </w:rPr>
        <w:fldChar w:fldCharType="begin"/>
      </w:r>
      <w:r>
        <w:rPr>
          <w:color w:val="auto"/>
        </w:rPr>
        <w:instrText xml:space="preserve"> HYPERLINK \l "_Toc132016762" </w:instrText>
      </w:r>
      <w:r>
        <w:rPr>
          <w:color w:val="auto"/>
        </w:rPr>
        <w:fldChar w:fldCharType="separate"/>
      </w:r>
      <w:r>
        <w:rPr>
          <w:rStyle w:val="40"/>
          <w:rFonts w:ascii="Arial" w:cs="Arial"/>
          <w:b/>
          <w:bCs/>
          <w:color w:val="auto"/>
        </w:rPr>
        <w:t>第四部分  附  件</w:t>
      </w:r>
      <w:r>
        <w:rPr>
          <w:rFonts w:ascii="Arial" w:cs="Arial"/>
          <w:b/>
          <w:bCs/>
          <w:color w:val="auto"/>
        </w:rPr>
        <w:tab/>
      </w:r>
      <w:r>
        <w:rPr>
          <w:rFonts w:ascii="Arial" w:cs="Arial"/>
          <w:b/>
          <w:bCs/>
          <w:color w:val="auto"/>
        </w:rPr>
        <w:t>1</w:t>
      </w:r>
      <w:r>
        <w:rPr>
          <w:rFonts w:ascii="Arial" w:cs="Arial"/>
          <w:b/>
          <w:bCs/>
          <w:color w:val="auto"/>
        </w:rPr>
        <w:fldChar w:fldCharType="end"/>
      </w:r>
      <w:r>
        <w:rPr>
          <w:rFonts w:hint="eastAsia" w:ascii="Arial" w:cs="Arial"/>
          <w:b/>
          <w:bCs/>
          <w:color w:val="auto"/>
          <w:lang w:val="en-US" w:eastAsia="zh-CN"/>
        </w:rPr>
        <w:t>78</w:t>
      </w:r>
    </w:p>
    <w:p w14:paraId="5461E277">
      <w:pPr>
        <w:pStyle w:val="27"/>
        <w:tabs>
          <w:tab w:val="right" w:leader="dot" w:pos="8654"/>
        </w:tabs>
        <w:spacing w:line="300" w:lineRule="auto"/>
        <w:rPr>
          <w:rFonts w:ascii="Arial" w:hAnsi="Arial" w:eastAsia="楷体" w:cs="Arial"/>
          <w:b/>
          <w:color w:val="auto"/>
          <w:sz w:val="32"/>
        </w:rPr>
        <w:sectPr>
          <w:headerReference r:id="rId27" w:type="first"/>
          <w:footerReference r:id="rId29" w:type="first"/>
          <w:footerReference r:id="rId28" w:type="default"/>
          <w:type w:val="nextColumn"/>
          <w:pgSz w:w="11907" w:h="16840"/>
          <w:pgMar w:top="1418" w:right="1418" w:bottom="1134" w:left="1418" w:header="794" w:footer="907" w:gutter="0"/>
          <w:pgNumType w:start="0"/>
          <w:cols w:space="720" w:num="1"/>
          <w:titlePg/>
          <w:docGrid w:linePitch="326" w:charSpace="0"/>
        </w:sectPr>
      </w:pPr>
      <w:r>
        <w:rPr>
          <w:rStyle w:val="40"/>
          <w:rFonts w:ascii="Arial" w:hAnsi="Arial" w:eastAsia="仿宋_GB2312" w:cs="Arial"/>
          <w:b/>
          <w:color w:val="auto"/>
          <w:szCs w:val="24"/>
        </w:rPr>
        <w:fldChar w:fldCharType="end"/>
      </w:r>
    </w:p>
    <w:p w14:paraId="30B6B41D">
      <w:pPr>
        <w:spacing w:line="300" w:lineRule="auto"/>
        <w:jc w:val="center"/>
        <w:rPr>
          <w:rFonts w:ascii="Arial" w:hAnsi="Arial" w:cs="Arial"/>
          <w:color w:val="auto"/>
          <w:sz w:val="32"/>
        </w:rPr>
      </w:pPr>
      <w:bookmarkStart w:id="223" w:name="_Toc416783638"/>
      <w:bookmarkStart w:id="224" w:name="_Toc416783542"/>
      <w:r>
        <w:rPr>
          <w:rFonts w:ascii="Arial" w:hAnsi="Arial" w:cs="Arial"/>
          <w:b/>
          <w:color w:val="auto"/>
          <w:sz w:val="32"/>
        </w:rPr>
        <w:t>土</w:t>
      </w:r>
      <w:r>
        <w:rPr>
          <w:rFonts w:ascii="Arial" w:hAnsi="Arial" w:eastAsia="仿宋_GB2312" w:cs="Arial"/>
          <w:b/>
          <w:color w:val="auto"/>
          <w:sz w:val="32"/>
        </w:rPr>
        <w:t xml:space="preserve"> </w:t>
      </w:r>
      <w:r>
        <w:rPr>
          <w:rFonts w:ascii="Arial" w:hAnsi="Arial" w:cs="Arial"/>
          <w:b/>
          <w:color w:val="auto"/>
          <w:sz w:val="32"/>
        </w:rPr>
        <w:t>地</w:t>
      </w:r>
      <w:r>
        <w:rPr>
          <w:rFonts w:ascii="Arial" w:hAnsi="Arial" w:eastAsia="仿宋_GB2312" w:cs="Arial"/>
          <w:b/>
          <w:color w:val="auto"/>
          <w:sz w:val="32"/>
        </w:rPr>
        <w:t xml:space="preserve"> </w:t>
      </w:r>
      <w:r>
        <w:rPr>
          <w:rFonts w:ascii="Arial" w:hAnsi="Arial" w:cs="Arial"/>
          <w:b/>
          <w:color w:val="auto"/>
          <w:sz w:val="32"/>
        </w:rPr>
        <w:t>估</w:t>
      </w:r>
      <w:r>
        <w:rPr>
          <w:rFonts w:ascii="Arial" w:hAnsi="Arial" w:eastAsia="仿宋_GB2312" w:cs="Arial"/>
          <w:b/>
          <w:color w:val="auto"/>
          <w:sz w:val="32"/>
        </w:rPr>
        <w:t xml:space="preserve"> </w:t>
      </w:r>
      <w:r>
        <w:rPr>
          <w:rFonts w:ascii="Arial" w:hAnsi="Arial" w:cs="Arial"/>
          <w:b/>
          <w:color w:val="auto"/>
          <w:sz w:val="32"/>
        </w:rPr>
        <w:t>价</w:t>
      </w:r>
      <w:r>
        <w:rPr>
          <w:rFonts w:ascii="Arial" w:hAnsi="Arial" w:eastAsia="仿宋_GB2312" w:cs="Arial"/>
          <w:b/>
          <w:color w:val="auto"/>
          <w:sz w:val="32"/>
        </w:rPr>
        <w:t xml:space="preserve"> </w:t>
      </w:r>
      <w:r>
        <w:rPr>
          <w:rFonts w:ascii="Arial" w:hAnsi="Arial" w:cs="Arial"/>
          <w:b/>
          <w:color w:val="auto"/>
          <w:sz w:val="32"/>
        </w:rPr>
        <w:t>技</w:t>
      </w:r>
      <w:r>
        <w:rPr>
          <w:rFonts w:ascii="Arial" w:hAnsi="Arial" w:eastAsia="仿宋_GB2312" w:cs="Arial"/>
          <w:b/>
          <w:color w:val="auto"/>
          <w:sz w:val="32"/>
        </w:rPr>
        <w:t xml:space="preserve"> </w:t>
      </w:r>
      <w:r>
        <w:rPr>
          <w:rFonts w:ascii="Arial" w:hAnsi="Arial" w:cs="Arial"/>
          <w:b/>
          <w:color w:val="auto"/>
          <w:sz w:val="32"/>
        </w:rPr>
        <w:t>术</w:t>
      </w:r>
      <w:r>
        <w:rPr>
          <w:rFonts w:ascii="Arial" w:hAnsi="Arial" w:eastAsia="仿宋_GB2312" w:cs="Arial"/>
          <w:b/>
          <w:color w:val="auto"/>
          <w:sz w:val="32"/>
        </w:rPr>
        <w:t xml:space="preserve"> </w:t>
      </w:r>
      <w:r>
        <w:rPr>
          <w:rFonts w:ascii="Arial" w:hAnsi="Arial" w:cs="Arial"/>
          <w:b/>
          <w:color w:val="auto"/>
          <w:sz w:val="32"/>
        </w:rPr>
        <w:t>报</w:t>
      </w:r>
      <w:r>
        <w:rPr>
          <w:rFonts w:ascii="Arial" w:hAnsi="Arial" w:eastAsia="仿宋_GB2312" w:cs="Arial"/>
          <w:b/>
          <w:color w:val="auto"/>
          <w:sz w:val="32"/>
        </w:rPr>
        <w:t xml:space="preserve"> </w:t>
      </w:r>
      <w:r>
        <w:rPr>
          <w:rFonts w:ascii="Arial" w:hAnsi="Arial" w:cs="Arial"/>
          <w:b/>
          <w:color w:val="auto"/>
          <w:sz w:val="32"/>
        </w:rPr>
        <w:t>告</w:t>
      </w:r>
      <w:bookmarkEnd w:id="223"/>
      <w:bookmarkEnd w:id="224"/>
    </w:p>
    <w:p w14:paraId="05103FE8">
      <w:pPr>
        <w:spacing w:line="300" w:lineRule="auto"/>
        <w:jc w:val="center"/>
        <w:rPr>
          <w:rFonts w:ascii="Arial" w:hAnsi="Arial" w:cs="Arial"/>
          <w:color w:val="auto"/>
          <w:sz w:val="32"/>
        </w:rPr>
      </w:pPr>
    </w:p>
    <w:p w14:paraId="41D5983E">
      <w:pPr>
        <w:spacing w:line="300" w:lineRule="auto"/>
        <w:jc w:val="center"/>
        <w:outlineLvl w:val="0"/>
        <w:rPr>
          <w:rFonts w:ascii="Arial" w:hAnsi="Arial" w:cs="Arial"/>
          <w:color w:val="auto"/>
          <w:sz w:val="32"/>
        </w:rPr>
      </w:pPr>
      <w:bookmarkStart w:id="225" w:name="_Toc132016622"/>
      <w:bookmarkStart w:id="226" w:name="_Toc132016739"/>
      <w:bookmarkStart w:id="227" w:name="_Toc416783543"/>
      <w:bookmarkStart w:id="228" w:name="_Toc516488179"/>
      <w:bookmarkStart w:id="229" w:name="_Toc416783639"/>
      <w:bookmarkStart w:id="230" w:name="_Toc515457801"/>
      <w:bookmarkStart w:id="231" w:name="_Toc469066149"/>
      <w:bookmarkStart w:id="232" w:name="_Toc138063010"/>
      <w:r>
        <w:rPr>
          <w:rFonts w:ascii="Arial" w:hAnsi="Arial" w:cs="Arial"/>
          <w:b/>
          <w:color w:val="auto"/>
          <w:sz w:val="32"/>
        </w:rPr>
        <w:t>第一部分</w:t>
      </w:r>
      <w:r>
        <w:rPr>
          <w:rFonts w:ascii="Arial" w:hAnsi="Arial" w:eastAsia="仿宋_GB2312" w:cs="Arial"/>
          <w:b/>
          <w:color w:val="auto"/>
          <w:sz w:val="32"/>
        </w:rPr>
        <w:t xml:space="preserve">  </w:t>
      </w:r>
      <w:r>
        <w:rPr>
          <w:rFonts w:ascii="Arial" w:hAnsi="Arial" w:cs="Arial"/>
          <w:b/>
          <w:color w:val="auto"/>
          <w:sz w:val="32"/>
        </w:rPr>
        <w:t>总</w:t>
      </w:r>
      <w:r>
        <w:rPr>
          <w:rFonts w:ascii="Arial" w:hAnsi="Arial" w:eastAsia="仿宋_GB2312" w:cs="Arial"/>
          <w:b/>
          <w:color w:val="auto"/>
          <w:sz w:val="32"/>
        </w:rPr>
        <w:t xml:space="preserve">  </w:t>
      </w:r>
      <w:r>
        <w:rPr>
          <w:rFonts w:ascii="Arial" w:hAnsi="Arial" w:cs="Arial"/>
          <w:b/>
          <w:color w:val="auto"/>
          <w:sz w:val="32"/>
        </w:rPr>
        <w:t>述</w:t>
      </w:r>
      <w:bookmarkEnd w:id="225"/>
      <w:bookmarkEnd w:id="226"/>
      <w:bookmarkEnd w:id="227"/>
      <w:bookmarkEnd w:id="228"/>
      <w:bookmarkEnd w:id="229"/>
      <w:bookmarkEnd w:id="230"/>
      <w:bookmarkEnd w:id="231"/>
      <w:bookmarkEnd w:id="232"/>
    </w:p>
    <w:p w14:paraId="2CD00C13">
      <w:pPr>
        <w:spacing w:line="300" w:lineRule="auto"/>
        <w:jc w:val="center"/>
        <w:rPr>
          <w:rFonts w:ascii="Arial" w:hAnsi="Arial" w:eastAsia="仿宋_GB2312" w:cs="Arial"/>
          <w:color w:val="auto"/>
          <w:sz w:val="28"/>
        </w:rPr>
      </w:pPr>
    </w:p>
    <w:p w14:paraId="15B87791">
      <w:pPr>
        <w:spacing w:line="300" w:lineRule="auto"/>
        <w:outlineLvl w:val="1"/>
        <w:rPr>
          <w:rFonts w:ascii="Arial" w:hAnsi="Arial" w:eastAsia="仿宋_GB2312" w:cs="Arial"/>
          <w:b/>
          <w:color w:val="auto"/>
          <w:sz w:val="28"/>
        </w:rPr>
      </w:pPr>
      <w:bookmarkStart w:id="233" w:name="_Toc138063011"/>
      <w:bookmarkStart w:id="234" w:name="_Toc516488180"/>
      <w:bookmarkStart w:id="235" w:name="_Toc132016623"/>
      <w:bookmarkStart w:id="236" w:name="_Toc416783640"/>
      <w:bookmarkStart w:id="237" w:name="_Toc416783544"/>
      <w:bookmarkStart w:id="238" w:name="_Toc515457802"/>
      <w:bookmarkStart w:id="239" w:name="_Toc132016740"/>
      <w:bookmarkStart w:id="240" w:name="_Toc469066150"/>
      <w:r>
        <w:rPr>
          <w:rFonts w:ascii="Arial" w:hAnsi="Arial" w:eastAsia="仿宋_GB2312" w:cs="Arial"/>
          <w:b/>
          <w:color w:val="auto"/>
          <w:sz w:val="28"/>
        </w:rPr>
        <w:t>一、估价项目名称</w:t>
      </w:r>
      <w:bookmarkEnd w:id="233"/>
      <w:bookmarkEnd w:id="234"/>
      <w:bookmarkEnd w:id="235"/>
      <w:bookmarkEnd w:id="236"/>
      <w:bookmarkEnd w:id="237"/>
      <w:bookmarkEnd w:id="238"/>
      <w:bookmarkEnd w:id="239"/>
      <w:bookmarkEnd w:id="240"/>
    </w:p>
    <w:p w14:paraId="776AAC33">
      <w:pPr>
        <w:spacing w:line="300" w:lineRule="auto"/>
        <w:ind w:firstLine="557" w:firstLineChars="199"/>
        <w:jc w:val="both"/>
        <w:rPr>
          <w:rFonts w:ascii="Arial" w:hAnsi="Arial" w:eastAsia="仿宋_GB2312" w:cs="Arial"/>
          <w:color w:val="auto"/>
          <w:sz w:val="28"/>
        </w:rPr>
      </w:pPr>
      <w:r>
        <w:rPr>
          <w:rFonts w:hint="eastAsia" w:ascii="Arial" w:hAnsi="Arial" w:eastAsia="仿宋_GB2312" w:cs="Arial"/>
          <w:color w:val="auto"/>
          <w:sz w:val="28"/>
        </w:rPr>
        <w:t>北京市顺义区高丽营镇夏县营村棚户区改造土地开发项目01－008、01－016、01－026－1、01－020地块二类居住用地、托幼用地国有建设用地使用权出让价格评估</w:t>
      </w:r>
    </w:p>
    <w:p w14:paraId="40055543">
      <w:pPr>
        <w:spacing w:line="300" w:lineRule="auto"/>
        <w:ind w:right="-327"/>
        <w:rPr>
          <w:rFonts w:ascii="Arial" w:hAnsi="Arial" w:eastAsia="仿宋_GB2312" w:cs="Arial"/>
          <w:color w:val="auto"/>
          <w:sz w:val="28"/>
        </w:rPr>
      </w:pPr>
    </w:p>
    <w:p w14:paraId="29AC5CA4">
      <w:pPr>
        <w:spacing w:line="300" w:lineRule="auto"/>
        <w:outlineLvl w:val="1"/>
        <w:rPr>
          <w:rFonts w:ascii="Arial" w:hAnsi="Arial" w:eastAsia="仿宋_GB2312" w:cs="Arial"/>
          <w:b/>
          <w:color w:val="auto"/>
          <w:sz w:val="28"/>
        </w:rPr>
      </w:pPr>
      <w:bookmarkStart w:id="241" w:name="_Toc132016741"/>
      <w:bookmarkStart w:id="242" w:name="_Toc416783546"/>
      <w:bookmarkStart w:id="243" w:name="_Toc516488181"/>
      <w:bookmarkStart w:id="244" w:name="_Toc515457803"/>
      <w:bookmarkStart w:id="245" w:name="_Toc138063012"/>
      <w:bookmarkStart w:id="246" w:name="_Toc469066151"/>
      <w:bookmarkStart w:id="247" w:name="_Toc416783642"/>
      <w:bookmarkStart w:id="248" w:name="_Toc132016624"/>
      <w:r>
        <w:rPr>
          <w:rFonts w:ascii="Arial" w:hAnsi="Arial" w:eastAsia="仿宋_GB2312" w:cs="Arial"/>
          <w:b/>
          <w:color w:val="auto"/>
          <w:sz w:val="28"/>
        </w:rPr>
        <w:t>二、委托估价方</w:t>
      </w:r>
      <w:bookmarkEnd w:id="241"/>
      <w:bookmarkEnd w:id="242"/>
      <w:bookmarkEnd w:id="243"/>
      <w:bookmarkEnd w:id="244"/>
      <w:bookmarkEnd w:id="245"/>
      <w:bookmarkEnd w:id="246"/>
      <w:bookmarkEnd w:id="247"/>
      <w:bookmarkEnd w:id="248"/>
    </w:p>
    <w:p w14:paraId="080C96D4">
      <w:pPr>
        <w:spacing w:line="300" w:lineRule="auto"/>
        <w:ind w:firstLine="560" w:firstLineChars="200"/>
        <w:jc w:val="both"/>
        <w:rPr>
          <w:rFonts w:ascii="Arial" w:hAnsi="Arial" w:eastAsia="仿宋" w:cs="Arial"/>
          <w:bCs/>
          <w:color w:val="auto"/>
          <w:sz w:val="28"/>
          <w:szCs w:val="28"/>
        </w:rPr>
      </w:pPr>
      <w:r>
        <w:rPr>
          <w:rFonts w:hint="eastAsia" w:ascii="Arial" w:hAnsi="Arial" w:eastAsia="仿宋" w:cs="Arial"/>
          <w:bCs/>
          <w:color w:val="auto"/>
          <w:sz w:val="28"/>
          <w:szCs w:val="28"/>
        </w:rPr>
        <w:t>单位名称：北京市规划和自然资源委员会</w:t>
      </w:r>
    </w:p>
    <w:p w14:paraId="028F5170">
      <w:pPr>
        <w:spacing w:line="300" w:lineRule="auto"/>
        <w:ind w:firstLine="560" w:firstLineChars="200"/>
        <w:jc w:val="both"/>
        <w:rPr>
          <w:rFonts w:ascii="Arial" w:hAnsi="Arial" w:eastAsia="仿宋" w:cs="Arial"/>
          <w:bCs/>
          <w:color w:val="auto"/>
          <w:sz w:val="28"/>
          <w:szCs w:val="28"/>
        </w:rPr>
      </w:pPr>
      <w:r>
        <w:rPr>
          <w:rFonts w:hint="eastAsia" w:ascii="Arial" w:hAnsi="Arial" w:eastAsia="仿宋" w:cs="Arial"/>
          <w:bCs/>
          <w:color w:val="auto"/>
          <w:sz w:val="28"/>
          <w:szCs w:val="28"/>
        </w:rPr>
        <w:t>地址：北京市通州区承安街1号院</w:t>
      </w:r>
    </w:p>
    <w:p w14:paraId="29077DAE">
      <w:pPr>
        <w:spacing w:line="300" w:lineRule="auto"/>
        <w:ind w:firstLine="560" w:firstLineChars="200"/>
        <w:jc w:val="both"/>
        <w:rPr>
          <w:rFonts w:ascii="Arial" w:hAnsi="Arial" w:eastAsia="仿宋" w:cs="Arial"/>
          <w:bCs/>
          <w:color w:val="auto"/>
          <w:sz w:val="28"/>
          <w:szCs w:val="28"/>
        </w:rPr>
      </w:pPr>
      <w:r>
        <w:rPr>
          <w:rFonts w:hint="eastAsia" w:ascii="Arial" w:hAnsi="Arial" w:eastAsia="仿宋" w:cs="Arial"/>
          <w:bCs/>
          <w:color w:val="auto"/>
          <w:sz w:val="28"/>
          <w:szCs w:val="28"/>
        </w:rPr>
        <w:t>联系人：李德润</w:t>
      </w:r>
    </w:p>
    <w:p w14:paraId="4948E44D">
      <w:pPr>
        <w:spacing w:line="300" w:lineRule="auto"/>
        <w:ind w:firstLine="560" w:firstLineChars="200"/>
        <w:jc w:val="both"/>
        <w:rPr>
          <w:rFonts w:ascii="Arial" w:hAnsi="Arial" w:eastAsia="仿宋_GB2312" w:cs="Arial"/>
          <w:bCs/>
          <w:color w:val="auto"/>
          <w:sz w:val="28"/>
        </w:rPr>
      </w:pPr>
      <w:r>
        <w:rPr>
          <w:rFonts w:hint="eastAsia" w:ascii="Arial" w:hAnsi="Arial" w:eastAsia="仿宋" w:cs="Arial"/>
          <w:bCs/>
          <w:color w:val="auto"/>
          <w:sz w:val="28"/>
          <w:szCs w:val="28"/>
        </w:rPr>
        <w:t>联系电话：010－55595171</w:t>
      </w:r>
      <w:r>
        <w:rPr>
          <w:rFonts w:ascii="Arial" w:hAnsi="Arial" w:eastAsia="仿宋_GB2312" w:cs="Arial"/>
          <w:bCs/>
          <w:color w:val="auto"/>
          <w:sz w:val="28"/>
        </w:rPr>
        <w:t xml:space="preserve"> </w:t>
      </w:r>
    </w:p>
    <w:p w14:paraId="661A3911">
      <w:pPr>
        <w:spacing w:line="300" w:lineRule="auto"/>
        <w:rPr>
          <w:rFonts w:ascii="Arial" w:hAnsi="Arial" w:eastAsia="仿宋_GB2312" w:cs="Arial"/>
          <w:b/>
          <w:color w:val="auto"/>
          <w:sz w:val="28"/>
        </w:rPr>
      </w:pPr>
    </w:p>
    <w:p w14:paraId="7CF537F0">
      <w:pPr>
        <w:spacing w:line="300" w:lineRule="auto"/>
        <w:outlineLvl w:val="1"/>
        <w:rPr>
          <w:rFonts w:ascii="Arial" w:hAnsi="Arial" w:eastAsia="仿宋_GB2312" w:cs="Arial"/>
          <w:b/>
          <w:color w:val="auto"/>
          <w:sz w:val="28"/>
        </w:rPr>
      </w:pPr>
      <w:bookmarkStart w:id="249" w:name="_Toc132016742"/>
      <w:bookmarkStart w:id="250" w:name="_Toc416783643"/>
      <w:bookmarkStart w:id="251" w:name="_Toc132016625"/>
      <w:bookmarkStart w:id="252" w:name="_Toc469066152"/>
      <w:bookmarkStart w:id="253" w:name="_Toc516488182"/>
      <w:bookmarkStart w:id="254" w:name="_Toc138063013"/>
      <w:bookmarkStart w:id="255" w:name="_Toc416783547"/>
      <w:bookmarkStart w:id="256" w:name="_Toc515457804"/>
      <w:r>
        <w:rPr>
          <w:rFonts w:ascii="Arial" w:hAnsi="Arial" w:eastAsia="仿宋_GB2312" w:cs="Arial"/>
          <w:b/>
          <w:color w:val="auto"/>
          <w:sz w:val="28"/>
        </w:rPr>
        <w:t>三、受托估价方</w:t>
      </w:r>
      <w:bookmarkEnd w:id="249"/>
      <w:bookmarkEnd w:id="250"/>
      <w:bookmarkEnd w:id="251"/>
      <w:bookmarkEnd w:id="252"/>
      <w:bookmarkEnd w:id="253"/>
      <w:bookmarkEnd w:id="254"/>
      <w:bookmarkEnd w:id="255"/>
      <w:bookmarkEnd w:id="256"/>
    </w:p>
    <w:p w14:paraId="24FF625D">
      <w:pPr>
        <w:spacing w:line="300" w:lineRule="auto"/>
        <w:ind w:firstLine="570"/>
        <w:jc w:val="both"/>
        <w:rPr>
          <w:rFonts w:ascii="Arial" w:hAnsi="Arial" w:eastAsia="仿宋_GB2312" w:cs="Arial"/>
          <w:color w:val="auto"/>
          <w:sz w:val="28"/>
        </w:rPr>
      </w:pPr>
      <w:bookmarkStart w:id="257" w:name="_Toc416783644"/>
      <w:bookmarkStart w:id="258" w:name="_Toc416783548"/>
      <w:r>
        <w:rPr>
          <w:rFonts w:ascii="Arial" w:hAnsi="Arial" w:eastAsia="仿宋_GB2312" w:cs="Arial"/>
          <w:color w:val="auto"/>
          <w:sz w:val="28"/>
        </w:rPr>
        <w:t>受托机构：北京康正宏基房地产评估有限公司</w:t>
      </w:r>
      <w:bookmarkEnd w:id="257"/>
      <w:bookmarkEnd w:id="258"/>
    </w:p>
    <w:p w14:paraId="1EE22FA4">
      <w:pPr>
        <w:spacing w:line="300" w:lineRule="auto"/>
        <w:ind w:left="1960" w:hanging="1960" w:hangingChars="700"/>
        <w:rPr>
          <w:rFonts w:ascii="Arial" w:hAnsi="Arial" w:eastAsia="仿宋_GB2312" w:cs="Arial"/>
          <w:color w:val="auto"/>
          <w:sz w:val="28"/>
        </w:rPr>
      </w:pPr>
      <w:r>
        <w:rPr>
          <w:rFonts w:ascii="Arial" w:hAnsi="Arial" w:eastAsia="仿宋_GB2312" w:cs="Arial"/>
          <w:color w:val="auto"/>
          <w:sz w:val="28"/>
        </w:rPr>
        <w:t xml:space="preserve">    地    址：北京市朝阳区裕民路12号中国国际科技会展中心B 座10层1003室</w:t>
      </w:r>
    </w:p>
    <w:p w14:paraId="36FB0A7B">
      <w:pPr>
        <w:spacing w:line="300" w:lineRule="auto"/>
        <w:ind w:firstLine="540"/>
        <w:rPr>
          <w:rFonts w:ascii="Arial" w:hAnsi="Arial" w:eastAsia="仿宋_GB2312" w:cs="Arial"/>
          <w:color w:val="auto"/>
          <w:sz w:val="28"/>
        </w:rPr>
      </w:pPr>
      <w:r>
        <w:rPr>
          <w:rFonts w:ascii="Arial" w:hAnsi="Arial" w:eastAsia="仿宋_GB2312" w:cs="Arial"/>
          <w:color w:val="auto"/>
          <w:sz w:val="28"/>
        </w:rPr>
        <w:t>资质级别：在全国范围内从事土地估价业务</w:t>
      </w:r>
    </w:p>
    <w:p w14:paraId="76C9FD35">
      <w:pPr>
        <w:spacing w:line="300" w:lineRule="auto"/>
        <w:ind w:firstLine="540"/>
        <w:rPr>
          <w:rFonts w:ascii="Arial" w:hAnsi="Arial" w:eastAsia="仿宋_GB2312" w:cs="Arial"/>
          <w:color w:val="auto"/>
          <w:sz w:val="28"/>
        </w:rPr>
      </w:pPr>
      <w:r>
        <w:rPr>
          <w:rFonts w:hint="eastAsia" w:ascii="Arial" w:hAnsi="Arial" w:eastAsia="仿宋_GB2312" w:cs="Arial"/>
          <w:color w:val="auto"/>
          <w:sz w:val="28"/>
        </w:rPr>
        <w:t>土地估价机构备案函获得时间：2021年4月30日</w:t>
      </w:r>
    </w:p>
    <w:p w14:paraId="7B72837A">
      <w:pPr>
        <w:spacing w:line="300" w:lineRule="auto"/>
        <w:rPr>
          <w:rFonts w:ascii="Arial" w:hAnsi="Arial" w:eastAsia="仿宋_GB2312" w:cs="Arial"/>
          <w:color w:val="auto"/>
          <w:sz w:val="28"/>
        </w:rPr>
      </w:pPr>
      <w:r>
        <w:rPr>
          <w:rFonts w:ascii="Arial" w:hAnsi="Arial" w:eastAsia="仿宋_GB2312" w:cs="Arial"/>
          <w:color w:val="auto"/>
          <w:sz w:val="28"/>
        </w:rPr>
        <w:t xml:space="preserve">    资质证书号：A201111009</w:t>
      </w:r>
    </w:p>
    <w:p w14:paraId="04A33DA8">
      <w:pPr>
        <w:spacing w:line="300" w:lineRule="auto"/>
        <w:rPr>
          <w:rFonts w:ascii="Arial" w:hAnsi="Arial" w:eastAsia="仿宋_GB2312" w:cs="Arial"/>
          <w:color w:val="auto"/>
          <w:sz w:val="28"/>
        </w:rPr>
      </w:pPr>
      <w:r>
        <w:rPr>
          <w:rFonts w:ascii="Arial" w:hAnsi="Arial" w:eastAsia="仿宋_GB2312" w:cs="Arial"/>
          <w:color w:val="auto"/>
          <w:sz w:val="28"/>
        </w:rPr>
        <w:t xml:space="preserve">    法人代表：齐  宏</w:t>
      </w:r>
    </w:p>
    <w:p w14:paraId="438E778E">
      <w:pPr>
        <w:spacing w:line="300" w:lineRule="auto"/>
        <w:rPr>
          <w:rFonts w:ascii="Arial" w:hAnsi="Arial" w:eastAsia="仿宋_GB2312" w:cs="Arial"/>
          <w:color w:val="auto"/>
          <w:sz w:val="28"/>
        </w:rPr>
      </w:pPr>
      <w:r>
        <w:rPr>
          <w:rFonts w:ascii="Arial" w:hAnsi="Arial" w:eastAsia="仿宋_GB2312" w:cs="Arial"/>
          <w:color w:val="auto"/>
          <w:sz w:val="28"/>
        </w:rPr>
        <w:t xml:space="preserve">    </w:t>
      </w:r>
      <w:r>
        <w:rPr>
          <w:rFonts w:ascii="Arial" w:hAnsi="Arial" w:eastAsia="仿宋_GB2312" w:cs="Arial"/>
          <w:color w:val="auto"/>
          <w:spacing w:val="38"/>
          <w:sz w:val="28"/>
        </w:rPr>
        <w:t>联系人：</w:t>
      </w:r>
      <w:r>
        <w:rPr>
          <w:rFonts w:hint="eastAsia" w:ascii="Arial" w:hAnsi="Arial" w:eastAsia="仿宋_GB2312" w:cs="Arial"/>
          <w:color w:val="auto"/>
          <w:sz w:val="28"/>
        </w:rPr>
        <w:t>叶  凌</w:t>
      </w:r>
    </w:p>
    <w:p w14:paraId="50816E6C">
      <w:pPr>
        <w:spacing w:line="300" w:lineRule="auto"/>
        <w:ind w:firstLine="600"/>
        <w:jc w:val="both"/>
        <w:rPr>
          <w:rFonts w:ascii="Arial" w:hAnsi="Arial" w:eastAsia="仿宋_GB2312" w:cs="Arial"/>
          <w:color w:val="auto"/>
          <w:sz w:val="28"/>
        </w:rPr>
      </w:pPr>
      <w:r>
        <w:rPr>
          <w:rFonts w:ascii="Arial" w:hAnsi="Arial" w:eastAsia="仿宋_GB2312" w:cs="Arial"/>
          <w:color w:val="auto"/>
          <w:sz w:val="28"/>
        </w:rPr>
        <w:t>联系电话：010</w:t>
      </w:r>
      <w:r>
        <w:rPr>
          <w:rFonts w:hint="eastAsia" w:ascii="Arial" w:hAnsi="Arial" w:eastAsia="仿宋_GB2312" w:cs="Arial"/>
          <w:color w:val="auto"/>
          <w:sz w:val="28"/>
        </w:rPr>
        <w:t>－</w:t>
      </w:r>
      <w:r>
        <w:rPr>
          <w:rFonts w:ascii="Arial" w:hAnsi="Arial" w:eastAsia="仿宋_GB2312" w:cs="Arial"/>
          <w:color w:val="auto"/>
          <w:sz w:val="28"/>
        </w:rPr>
        <w:t>82253558、</w:t>
      </w:r>
      <w:r>
        <w:rPr>
          <w:rFonts w:ascii="Arial" w:hAnsi="Arial" w:eastAsia="仿宋" w:cs="Arial"/>
          <w:color w:val="auto"/>
          <w:sz w:val="28"/>
          <w:szCs w:val="28"/>
        </w:rPr>
        <w:t>13801277006</w:t>
      </w:r>
    </w:p>
    <w:p w14:paraId="00BF4909">
      <w:pPr>
        <w:spacing w:line="300" w:lineRule="auto"/>
        <w:ind w:firstLine="600"/>
        <w:jc w:val="both"/>
        <w:rPr>
          <w:rFonts w:ascii="Arial" w:hAnsi="Arial" w:eastAsia="仿宋_GB2312" w:cs="Arial"/>
          <w:color w:val="auto"/>
          <w:sz w:val="28"/>
        </w:rPr>
      </w:pPr>
    </w:p>
    <w:p w14:paraId="64DF8529">
      <w:pPr>
        <w:spacing w:line="300" w:lineRule="auto"/>
        <w:outlineLvl w:val="1"/>
        <w:rPr>
          <w:rFonts w:ascii="Arial" w:hAnsi="Arial" w:eastAsia="仿宋_GB2312" w:cs="Arial"/>
          <w:b/>
          <w:color w:val="auto"/>
          <w:sz w:val="28"/>
        </w:rPr>
      </w:pPr>
      <w:bookmarkStart w:id="259" w:name="_Toc132016626"/>
      <w:bookmarkStart w:id="260" w:name="_Toc416783549"/>
      <w:bookmarkStart w:id="261" w:name="_Toc132016743"/>
      <w:bookmarkStart w:id="262" w:name="_Toc469066153"/>
      <w:bookmarkStart w:id="263" w:name="_Toc138063014"/>
      <w:bookmarkStart w:id="264" w:name="_Toc516488183"/>
      <w:bookmarkStart w:id="265" w:name="_Toc416783645"/>
      <w:bookmarkStart w:id="266" w:name="_Toc515457805"/>
      <w:r>
        <w:rPr>
          <w:rFonts w:ascii="Arial" w:hAnsi="Arial" w:eastAsia="仿宋_GB2312" w:cs="Arial"/>
          <w:b/>
          <w:color w:val="auto"/>
          <w:sz w:val="28"/>
        </w:rPr>
        <w:t>四、估价目的</w:t>
      </w:r>
      <w:bookmarkEnd w:id="259"/>
      <w:bookmarkEnd w:id="260"/>
      <w:bookmarkEnd w:id="261"/>
      <w:bookmarkEnd w:id="262"/>
      <w:bookmarkEnd w:id="263"/>
      <w:bookmarkEnd w:id="264"/>
      <w:bookmarkEnd w:id="265"/>
      <w:bookmarkEnd w:id="266"/>
    </w:p>
    <w:p w14:paraId="08536FF0">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w:t>
      </w:r>
      <w:r>
        <w:rPr>
          <w:rFonts w:hint="eastAsia" w:ascii="Arial" w:hAnsi="Arial" w:eastAsia="仿宋_GB2312" w:cs="Arial"/>
          <w:color w:val="auto"/>
          <w:sz w:val="28"/>
        </w:rPr>
        <w:t>北京市顺义区高丽营镇夏县营村棚户区改造土地开发项目01－008、01－016、01－026－1、01－020地块R2二类居住用地、A334托幼用地</w:t>
      </w:r>
      <w:r>
        <w:rPr>
          <w:rFonts w:ascii="Arial" w:hAnsi="Arial" w:eastAsia="仿宋" w:cs="Arial"/>
          <w:color w:val="auto"/>
          <w:sz w:val="28"/>
          <w:szCs w:val="28"/>
        </w:rPr>
        <w:t>位于</w:t>
      </w:r>
      <w:r>
        <w:rPr>
          <w:rFonts w:ascii="Arial" w:hAnsi="Arial" w:eastAsia="仿宋" w:cs="Arial"/>
          <w:color w:val="auto"/>
          <w:sz w:val="28"/>
        </w:rPr>
        <w:t>顺义</w:t>
      </w:r>
      <w:r>
        <w:rPr>
          <w:rFonts w:ascii="Arial" w:hAnsi="Arial" w:eastAsia="仿宋" w:cs="Arial"/>
          <w:color w:val="auto"/>
          <w:sz w:val="28"/>
          <w:szCs w:val="28"/>
        </w:rPr>
        <w:t>区</w:t>
      </w:r>
      <w:r>
        <w:rPr>
          <w:rFonts w:ascii="Arial" w:hAnsi="Arial" w:eastAsia="仿宋" w:cs="Arial"/>
          <w:color w:val="auto"/>
          <w:sz w:val="28"/>
        </w:rPr>
        <w:t>高丽营</w:t>
      </w:r>
      <w:r>
        <w:rPr>
          <w:rFonts w:ascii="Arial" w:hAnsi="Arial" w:eastAsia="仿宋" w:cs="Arial"/>
          <w:color w:val="auto"/>
          <w:sz w:val="28"/>
          <w:szCs w:val="28"/>
        </w:rPr>
        <w:t>镇夏县营村，</w:t>
      </w:r>
      <w:r>
        <w:rPr>
          <w:rFonts w:hint="eastAsia" w:ascii="Arial" w:hAnsi="Arial" w:eastAsia="仿宋" w:cs="Arial"/>
          <w:color w:val="auto"/>
          <w:sz w:val="28"/>
          <w:szCs w:val="28"/>
        </w:rPr>
        <w:t>东至火寺路，西至喜行路，南至丽喜花园，北至鑫鼎街</w:t>
      </w:r>
      <w:r>
        <w:rPr>
          <w:rFonts w:ascii="Arial" w:hAnsi="Arial" w:eastAsia="仿宋" w:cs="Arial"/>
          <w:color w:val="auto"/>
          <w:sz w:val="28"/>
          <w:szCs w:val="28"/>
        </w:rPr>
        <w:t>。该宗地已取得</w:t>
      </w:r>
      <w:r>
        <w:rPr>
          <w:rFonts w:ascii="Arial" w:hAnsi="Arial" w:eastAsia="仿宋" w:cs="Arial"/>
          <w:color w:val="auto"/>
          <w:sz w:val="28"/>
        </w:rPr>
        <w:t>《北京市人民政府关于顺义区二〇二〇年度批次建设用地的批复》（京政地字【2020】121号）</w:t>
      </w:r>
      <w:r>
        <w:rPr>
          <w:rFonts w:ascii="Arial" w:hAnsi="Arial" w:eastAsia="仿宋" w:cs="Arial"/>
          <w:color w:val="auto"/>
          <w:sz w:val="28"/>
          <w:szCs w:val="28"/>
        </w:rPr>
        <w:t>，同意</w:t>
      </w:r>
      <w:r>
        <w:rPr>
          <w:rFonts w:ascii="Arial" w:hAnsi="Arial" w:eastAsia="仿宋" w:cs="Arial"/>
          <w:color w:val="auto"/>
          <w:sz w:val="28"/>
        </w:rPr>
        <w:t>北京中交城市开发有限公司</w:t>
      </w:r>
      <w:r>
        <w:rPr>
          <w:rFonts w:ascii="Arial" w:hAnsi="Arial" w:eastAsia="仿宋" w:cs="Arial"/>
          <w:color w:val="auto"/>
          <w:sz w:val="28"/>
          <w:szCs w:val="28"/>
        </w:rPr>
        <w:t>实施</w:t>
      </w:r>
      <w:r>
        <w:rPr>
          <w:rFonts w:ascii="Arial" w:hAnsi="Arial" w:eastAsia="仿宋" w:cs="Arial"/>
          <w:color w:val="auto"/>
          <w:sz w:val="28"/>
        </w:rPr>
        <w:t>顺义</w:t>
      </w:r>
      <w:r>
        <w:rPr>
          <w:rFonts w:ascii="Arial" w:hAnsi="Arial" w:eastAsia="仿宋" w:cs="Arial"/>
          <w:color w:val="auto"/>
          <w:sz w:val="28"/>
          <w:szCs w:val="28"/>
        </w:rPr>
        <w:t>区高丽营镇夏县营村棚户区</w:t>
      </w:r>
      <w:r>
        <w:rPr>
          <w:rFonts w:ascii="Arial" w:hAnsi="Arial" w:eastAsia="仿宋" w:cs="Arial"/>
          <w:color w:val="auto"/>
          <w:sz w:val="28"/>
        </w:rPr>
        <w:t>改造土地开发项目</w:t>
      </w:r>
      <w:r>
        <w:rPr>
          <w:rFonts w:ascii="Arial" w:hAnsi="Arial" w:eastAsia="仿宋" w:cs="Arial"/>
          <w:color w:val="auto"/>
          <w:sz w:val="28"/>
          <w:szCs w:val="28"/>
        </w:rPr>
        <w:t>，其中经营性建设用地入市公开交易。根据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,估价对象规划建设用地性质为</w:t>
      </w:r>
      <w:r>
        <w:rPr>
          <w:rFonts w:ascii="Arial" w:hAnsi="Arial" w:eastAsia="仿宋" w:cs="Arial"/>
          <w:color w:val="auto"/>
          <w:sz w:val="28"/>
        </w:rPr>
        <w:t>R2二类居住用地及A334托幼</w:t>
      </w:r>
      <w:r>
        <w:rPr>
          <w:rFonts w:ascii="Arial" w:hAnsi="Arial" w:eastAsia="仿宋" w:cs="Arial"/>
          <w:color w:val="auto"/>
          <w:sz w:val="28"/>
          <w:szCs w:val="28"/>
        </w:rPr>
        <w:t>用地，</w:t>
      </w:r>
      <w:r>
        <w:rPr>
          <w:rFonts w:hint="eastAsia" w:ascii="Arial" w:hAnsi="Arial" w:eastAsia="仿宋" w:cs="Arial"/>
          <w:bCs/>
          <w:color w:val="auto"/>
          <w:sz w:val="28"/>
          <w:szCs w:val="28"/>
        </w:rPr>
        <w:t>北京市规划和自然资源委员会</w:t>
      </w:r>
      <w:r>
        <w:rPr>
          <w:rFonts w:ascii="Arial" w:hAnsi="Arial" w:eastAsia="仿宋" w:cs="Arial"/>
          <w:color w:val="auto"/>
          <w:sz w:val="28"/>
          <w:szCs w:val="28"/>
        </w:rPr>
        <w:t>拟按照规划用途对估价对象实施挂牌供应。</w:t>
      </w:r>
    </w:p>
    <w:p w14:paraId="07646E6F">
      <w:pPr>
        <w:snapToGrid w:val="0"/>
        <w:spacing w:line="300" w:lineRule="auto"/>
        <w:ind w:firstLine="556"/>
        <w:jc w:val="both"/>
        <w:rPr>
          <w:rFonts w:ascii="Arial" w:hAnsi="Arial" w:eastAsia="仿宋_GB2312" w:cs="Arial"/>
          <w:color w:val="auto"/>
          <w:sz w:val="28"/>
        </w:rPr>
      </w:pPr>
      <w:r>
        <w:rPr>
          <w:rFonts w:ascii="Arial" w:hAnsi="Arial" w:eastAsia="仿宋" w:cs="Arial"/>
          <w:color w:val="auto"/>
          <w:sz w:val="28"/>
        </w:rPr>
        <w:t>根据《招标拍卖挂牌出让国有建设用地使用权规定》（国土资源部令第39号）及《国土资源部办公厅关于发布&lt;国有建设用地使用权出让地价评估技术规范&gt;的通知》（国土资厅发（2018）4号）的有关规定，受</w:t>
      </w:r>
      <w:r>
        <w:rPr>
          <w:rFonts w:hint="eastAsia" w:ascii="Arial" w:hAnsi="Arial" w:eastAsia="仿宋" w:cs="Arial"/>
          <w:bCs/>
          <w:color w:val="auto"/>
          <w:sz w:val="28"/>
          <w:szCs w:val="28"/>
        </w:rPr>
        <w:t>北京市规划和自然资源委员会</w:t>
      </w:r>
      <w:r>
        <w:rPr>
          <w:rFonts w:ascii="Arial" w:hAnsi="Arial" w:eastAsia="仿宋" w:cs="Arial"/>
          <w:color w:val="auto"/>
          <w:sz w:val="28"/>
        </w:rPr>
        <w:t>委托评估该</w:t>
      </w:r>
      <w:r>
        <w:rPr>
          <w:rFonts w:hint="eastAsia" w:ascii="Arial" w:hAnsi="Arial" w:eastAsia="仿宋" w:cs="Arial"/>
          <w:color w:val="auto"/>
          <w:sz w:val="28"/>
        </w:rPr>
        <w:t>项目</w:t>
      </w:r>
      <w:r>
        <w:rPr>
          <w:rFonts w:ascii="Arial" w:hAnsi="Arial" w:eastAsia="仿宋" w:cs="Arial"/>
          <w:color w:val="auto"/>
          <w:sz w:val="28"/>
        </w:rPr>
        <w:t>（北京市顺义区高丽营镇夏县营村棚户区改造土地开发项目01</w:t>
      </w:r>
      <w:r>
        <w:rPr>
          <w:rFonts w:hint="eastAsia" w:ascii="Arial" w:hAnsi="Arial" w:eastAsia="仿宋" w:cs="Arial"/>
          <w:color w:val="auto"/>
          <w:sz w:val="28"/>
        </w:rPr>
        <w:t>－</w:t>
      </w:r>
      <w:r>
        <w:rPr>
          <w:rFonts w:ascii="Arial" w:hAnsi="Arial" w:eastAsia="仿宋" w:cs="Arial"/>
          <w:color w:val="auto"/>
          <w:sz w:val="28"/>
        </w:rPr>
        <w:t>008、01</w:t>
      </w:r>
      <w:r>
        <w:rPr>
          <w:rFonts w:hint="eastAsia" w:ascii="Arial" w:hAnsi="Arial" w:eastAsia="仿宋" w:cs="Arial"/>
          <w:color w:val="auto"/>
          <w:sz w:val="28"/>
        </w:rPr>
        <w:t>－</w:t>
      </w:r>
      <w:r>
        <w:rPr>
          <w:rFonts w:ascii="Arial" w:hAnsi="Arial" w:eastAsia="仿宋" w:cs="Arial"/>
          <w:color w:val="auto"/>
          <w:sz w:val="28"/>
        </w:rPr>
        <w:t>016、01</w:t>
      </w:r>
      <w:r>
        <w:rPr>
          <w:rFonts w:hint="eastAsia" w:ascii="Arial" w:hAnsi="Arial" w:eastAsia="仿宋" w:cs="Arial"/>
          <w:color w:val="auto"/>
          <w:sz w:val="28"/>
        </w:rPr>
        <w:t>－</w:t>
      </w:r>
      <w:r>
        <w:rPr>
          <w:rFonts w:ascii="Arial" w:hAnsi="Arial" w:eastAsia="仿宋" w:cs="Arial"/>
          <w:color w:val="auto"/>
          <w:sz w:val="28"/>
        </w:rPr>
        <w:t>026</w:t>
      </w:r>
      <w:r>
        <w:rPr>
          <w:rFonts w:hint="eastAsia" w:ascii="Arial" w:hAnsi="Arial" w:eastAsia="仿宋" w:cs="Arial"/>
          <w:color w:val="auto"/>
          <w:sz w:val="28"/>
        </w:rPr>
        <w:t>－</w:t>
      </w:r>
      <w:r>
        <w:rPr>
          <w:rFonts w:ascii="Arial" w:hAnsi="Arial" w:eastAsia="仿宋" w:cs="Arial"/>
          <w:color w:val="auto"/>
          <w:sz w:val="28"/>
        </w:rPr>
        <w:t>1、01</w:t>
      </w:r>
      <w:r>
        <w:rPr>
          <w:rFonts w:hint="eastAsia" w:ascii="Arial" w:hAnsi="Arial" w:eastAsia="仿宋" w:cs="Arial"/>
          <w:color w:val="auto"/>
          <w:sz w:val="28"/>
        </w:rPr>
        <w:t>－</w:t>
      </w:r>
      <w:r>
        <w:rPr>
          <w:rFonts w:ascii="Arial" w:hAnsi="Arial" w:eastAsia="仿宋" w:cs="Arial"/>
          <w:color w:val="auto"/>
          <w:sz w:val="28"/>
        </w:rPr>
        <w:t>020地块R2二类居住用地、A334托幼用地）国有建设用地使用权价格，为出让方通过集体决策确定</w:t>
      </w:r>
      <w:r>
        <w:rPr>
          <w:rFonts w:ascii="Arial" w:hAnsi="Arial" w:eastAsia="仿宋_GB2312" w:cs="Arial"/>
          <w:color w:val="auto"/>
          <w:sz w:val="28"/>
        </w:rPr>
        <w:t>土地出让底价提供参考依据。</w:t>
      </w:r>
    </w:p>
    <w:p w14:paraId="43B0CAEB">
      <w:pPr>
        <w:spacing w:line="300" w:lineRule="auto"/>
        <w:jc w:val="both"/>
        <w:rPr>
          <w:rFonts w:ascii="Arial" w:hAnsi="Arial" w:eastAsia="仿宋_GB2312" w:cs="Arial"/>
          <w:color w:val="auto"/>
          <w:sz w:val="28"/>
        </w:rPr>
      </w:pPr>
    </w:p>
    <w:p w14:paraId="1A0720CF">
      <w:pPr>
        <w:spacing w:line="300" w:lineRule="auto"/>
        <w:outlineLvl w:val="1"/>
        <w:rPr>
          <w:rFonts w:ascii="Arial" w:hAnsi="Arial" w:eastAsia="仿宋_GB2312" w:cs="Arial"/>
          <w:b/>
          <w:color w:val="auto"/>
          <w:sz w:val="28"/>
        </w:rPr>
      </w:pPr>
      <w:bookmarkStart w:id="267" w:name="_Toc469066154"/>
      <w:bookmarkStart w:id="268" w:name="_Toc138063015"/>
      <w:bookmarkStart w:id="269" w:name="_Toc416783649"/>
      <w:bookmarkStart w:id="270" w:name="_Toc416783553"/>
      <w:bookmarkStart w:id="271" w:name="_Toc515457806"/>
      <w:bookmarkStart w:id="272" w:name="_Toc132016744"/>
      <w:bookmarkStart w:id="273" w:name="_Toc132016627"/>
      <w:bookmarkStart w:id="274" w:name="_Toc516488184"/>
      <w:r>
        <w:rPr>
          <w:rFonts w:ascii="Arial" w:hAnsi="Arial" w:eastAsia="仿宋_GB2312" w:cs="Arial"/>
          <w:b/>
          <w:color w:val="auto"/>
          <w:sz w:val="28"/>
        </w:rPr>
        <w:t>五、估价依据</w:t>
      </w:r>
      <w:bookmarkEnd w:id="267"/>
      <w:bookmarkEnd w:id="268"/>
      <w:bookmarkEnd w:id="269"/>
      <w:bookmarkEnd w:id="270"/>
      <w:bookmarkEnd w:id="271"/>
      <w:bookmarkEnd w:id="272"/>
      <w:bookmarkEnd w:id="273"/>
      <w:bookmarkEnd w:id="274"/>
    </w:p>
    <w:p w14:paraId="702441EF">
      <w:pPr>
        <w:adjustRightInd/>
        <w:spacing w:line="300" w:lineRule="auto"/>
        <w:ind w:firstLine="560" w:firstLineChars="200"/>
        <w:jc w:val="both"/>
        <w:rPr>
          <w:rFonts w:ascii="Arial" w:hAnsi="Arial" w:eastAsia="仿宋" w:cs="Arial"/>
          <w:color w:val="auto"/>
          <w:sz w:val="28"/>
          <w:szCs w:val="28"/>
        </w:rPr>
      </w:pPr>
      <w:bookmarkStart w:id="275" w:name="_Toc469066155"/>
      <w:bookmarkStart w:id="276" w:name="_Toc515457807"/>
      <w:bookmarkStart w:id="277" w:name="_Toc516488185"/>
      <w:bookmarkStart w:id="278" w:name="_Toc416783670"/>
      <w:bookmarkStart w:id="279" w:name="_Toc416783574"/>
      <w:r>
        <w:rPr>
          <w:rFonts w:ascii="Arial" w:hAnsi="Arial" w:eastAsia="仿宋" w:cs="Arial"/>
          <w:color w:val="auto"/>
          <w:sz w:val="28"/>
          <w:szCs w:val="28"/>
        </w:rPr>
        <w:t>（一）有关的法律、法规、行政规章及估价对象所在省市的有关法律法规和政策</w:t>
      </w:r>
    </w:p>
    <w:p w14:paraId="5ECD35A4">
      <w:pPr>
        <w:numPr>
          <w:ilvl w:val="0"/>
          <w:numId w:val="10"/>
        </w:numPr>
        <w:adjustRightInd/>
        <w:snapToGrid w:val="0"/>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土地管理法》（1986年6月25日第六届全国人民代表大会常务委员会第十六次会议通过，中华人民共和国主席令第41号公布，1987年1月1日起施行；1988年12月29日第七届全国人民代表大会常务委员会第五次会议第一次修正通过，自1988年12月29日起施行；1998年8月29日第九届全国人民代表大会常务委员会第四次会议修订通过，中华人民共和国主席令第8号公布，自1999年1月1日起施行；2004年8月28日第十届全国人民代表大会常务委员会第十一次会议第二次修正通过，中华人民共和国主席令第28号公布，自公布起日起施行；2019年8月26日第十三届全国人民代表大会常务委员会第十二次会议第三次修正通过，自2020年1月1日起施行）</w:t>
      </w:r>
    </w:p>
    <w:p w14:paraId="31D2B7C8">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城市房地产管理法》（1994年7月5日第八届全国人民代表大会常务委员会第八次会议通过，中华人民共和国主席令第29号公布，自1995年1月1日起施行；2007年8月30日第十届全国人民代表大会常务委员会第二十九次会议通过第一次修正通过，中华人民共和国主席令第72号公布，自公布之日起施行；2009年8月27日第十一届全国人民代表大会常务委员会第十次会议第二次修正通过，中华人民共和国主席令第18号公布，自公布之日起施行；2019年8月26日第十三届全国人大常委会第十二次会议通过第三次修正，自2020年1月1日起施行）</w:t>
      </w:r>
    </w:p>
    <w:p w14:paraId="778AC3C6">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城乡规划法》（2007年10月28日第十届全国人民代表大会常务委员会第三十次会议通过；根据2015年4月24日第十二届全国人民代表大会常务委员会第十四次会议《关于修改〈中华人民共和国港口法〉等七部法律的决定》第一次修正，公布之日起施行；根据2019年4月23日第十三届全国人民代表大会常务委员会第十次会议《关于修改〈中华人民共和国建筑法〉等八部法律的决定》第二次修正自，公布之日起施行）</w:t>
      </w:r>
    </w:p>
    <w:p w14:paraId="43BC706C">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《中华人民共和国资产评估法》（2016年7月2日第十二届全国人民代表大会常务委员会第二十一次会议通过，2016年3月16日中华人民共和国主席令第46号公布，自2016年12月1日起施行）</w:t>
      </w:r>
    </w:p>
    <w:p w14:paraId="321F10ED">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《中华人民共和国民法典》（2020年5月28日第十三届全国人大三次会议表决通过，自2021年1月1日起施行）</w:t>
      </w:r>
    </w:p>
    <w:p w14:paraId="66C90144">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城镇国有土地使用权出让和转让暂行条例》（1990年5月19日中华人民共和国国务院令第55号发布，自发布之日起施行；根据2020年11月29日中华人民共和国国务院令第732号公布的《国务院关于修改和废止部分行政法规的决定》修订，自公布之日起施行）</w:t>
      </w:r>
    </w:p>
    <w:p w14:paraId="405F1D6B">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《中华人民共和国土地管理法实施条例》（1998年12月24日国务院第12次常务会议通过 ，1998年12月27日中华人民共和国国务院令第256号发布，自1999年1月1日起施行；2010年12月29日国务院第138次常务会议第一次修正通过，2011年1月8日中华人民共和国国务院令第588号发布，自发布之日起施行；2014年7月9日国务院第54次常务会议第二次修正通过，2014年7月29日中华人民共和国国务院令第653号公布，自公布之日起施行；2021年4月21日国务院第132次会议第三次修订通过，2021年7月2日中华人民共和国国务院令第743号公布，自2021年9月1日起施行）；</w:t>
      </w:r>
    </w:p>
    <w:p w14:paraId="7C3771F2">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不动产登记暂行条例》〔2014年11月24日中华人民共和国国务院令第656号公布，自2015年3月1日起施行；根据2019年3月24日中华人民共和国国务院令第710号公布的《国务院关于修改部分行政法规的决定》修订，自公布之日起施行〕；</w:t>
      </w:r>
    </w:p>
    <w:p w14:paraId="6099035B">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不动产登记暂行条例实施细则》（2015年6月29日国土资源部第3次部务会议通过，自2016年1月1日起施行；根据2019年7月16日自然资源部第2次部务会议审议通过《自然资源部关于第一批废止和修改的部门规章的决定》（中华人民共和国自然资源部令第5号）修订，自公布之日起施行）</w:t>
      </w:r>
    </w:p>
    <w:p w14:paraId="20F41300">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不动产登记资料查询暂行办法》（2018年3月2日国土资源部令第80号公布；根据2019年7月16日自然资源部第2次部务会《自然资源部关于废止和修改的第一批部门规章的决定》（中华人民共和国自然资源部令第5号）修订，自公布之日起施行）</w:t>
      </w:r>
    </w:p>
    <w:p w14:paraId="320062D1">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《国务院关于加强国有土地资产管理的通知》〔国发〔2001〕15号，2001年4月30日〕；</w:t>
      </w:r>
    </w:p>
    <w:p w14:paraId="30090780">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《国务院关于深化改革严格土地管理的决定》〔国发〔2004〕28号，2004年10月21日〕；</w:t>
      </w:r>
    </w:p>
    <w:p w14:paraId="18A14C92">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《国务院关于加强土地调控有关问题的通知》〔国发 （2006） 31号，2006年8月31日发布〕；</w:t>
      </w:r>
    </w:p>
    <w:p w14:paraId="3F641771">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《国务院关于促进节约集约用地的通知》〔国发〔2008〕3号，2008年1月3日发布〕；</w:t>
      </w:r>
    </w:p>
    <w:p w14:paraId="287AA351">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《协议出让国有土地使用权规定》〔国土资源部令第21号，自2003年8月1日起施行〕；</w:t>
      </w:r>
    </w:p>
    <w:p w14:paraId="2D1C21DF">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《招标拍卖挂牌出让国有建设用地使用权规定》〔国土资源部令第39号，2007年9月21日原国土资源部第3次部务会议审议通过〕；</w:t>
      </w:r>
    </w:p>
    <w:p w14:paraId="20A90589">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《节约集约利用土地规定》〔国土资源部令第61号，2014年5月22日公布；根据2019年7月16日自然资源部第2次部务会议《自然资源部关于第一批废止和修改的部门规章的决定》修正 自2014年9月1日起实施〕；</w:t>
      </w:r>
    </w:p>
    <w:p w14:paraId="3488A09C">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《国土资源部关于推进土地节约集约利用的指导意见》〔国土资发（2014）119号，2014年9月12日发布〕；</w:t>
      </w:r>
    </w:p>
    <w:p w14:paraId="1BDEBAD2">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《国土资源部&lt;关于坚持和完善土地招标拍卖挂牌出让制度的意见&gt;》〔国土资发〔2011〕63号，2011年5月13日〕；</w:t>
      </w:r>
    </w:p>
    <w:p w14:paraId="11ACFA59">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实施&lt;中华人民共和国城镇国有土地使用权出让和转让暂行条例&gt;办法》（1992年5月27日北京市人民政府第11号令发布；根据1993年5月18日北京市人民政府第6号令第一次修改；根据2002年2月11日北京市人民政府第92号令第二次修改；根据2007年11月23日北京市人民政府第200号令第三次修改）</w:t>
      </w:r>
    </w:p>
    <w:p w14:paraId="4CFEFECF">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《北京市城市房地产转让管理办法》（北京市人民政府令第135号，经2003年8月26日市人民政府第13次常务会议通过，自2003年12月1日起施行，2008年12月6日北京市人民政府令第209号修正）</w:t>
      </w:r>
    </w:p>
    <w:p w14:paraId="33A5CB34">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《北京市城乡规划条例》（2009年5月22日北京市第十三届人民代表大会常务委员会第十一次会议通过；2019年3月29日北京市第十五届人民代表大会常务委员会第十二次会议修订，自2019年4月28日起施行）</w:t>
      </w:r>
    </w:p>
    <w:p w14:paraId="4B92BF03">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bCs/>
          <w:color w:val="auto"/>
          <w:sz w:val="28"/>
          <w:szCs w:val="28"/>
        </w:rPr>
        <w:t>《北京市实施</w:t>
      </w:r>
      <w:r>
        <w:rPr>
          <w:rFonts w:ascii="Arial" w:hAnsi="Arial" w:eastAsia="仿宋" w:cs="Arial"/>
          <w:color w:val="auto"/>
          <w:sz w:val="28"/>
          <w:szCs w:val="28"/>
        </w:rPr>
        <w:t>&lt;</w:t>
      </w:r>
      <w:r>
        <w:rPr>
          <w:rFonts w:ascii="Arial" w:hAnsi="Arial" w:eastAsia="仿宋" w:cs="Arial"/>
          <w:bCs/>
          <w:color w:val="auto"/>
          <w:sz w:val="28"/>
          <w:szCs w:val="28"/>
        </w:rPr>
        <w:t>中华人民共和国城镇土地使用税暂行条例</w:t>
      </w:r>
      <w:r>
        <w:rPr>
          <w:rFonts w:ascii="Arial" w:hAnsi="Arial" w:eastAsia="仿宋" w:cs="Arial"/>
          <w:color w:val="auto"/>
          <w:sz w:val="28"/>
          <w:szCs w:val="28"/>
        </w:rPr>
        <w:t>&gt;</w:t>
      </w:r>
      <w:r>
        <w:rPr>
          <w:rFonts w:ascii="Arial" w:hAnsi="Arial" w:eastAsia="仿宋" w:cs="Arial"/>
          <w:bCs/>
          <w:color w:val="auto"/>
          <w:sz w:val="28"/>
          <w:szCs w:val="28"/>
        </w:rPr>
        <w:t>办法》（</w:t>
      </w:r>
      <w:r>
        <w:rPr>
          <w:rFonts w:ascii="Arial" w:hAnsi="Arial" w:eastAsia="仿宋" w:cs="Arial"/>
          <w:color w:val="auto"/>
          <w:sz w:val="28"/>
          <w:szCs w:val="28"/>
        </w:rPr>
        <w:t>1988年12月30日北京市人民政府京政发〔1988〕115号文件发布；根据1998年6月12日北京市人民政府第6号令第一次修改；根据2007年4月27日北京市人民政府第188号令第二次修改</w:t>
      </w:r>
      <w:r>
        <w:rPr>
          <w:rFonts w:ascii="Arial" w:hAnsi="Arial" w:eastAsia="仿宋" w:cs="Arial"/>
          <w:bCs/>
          <w:color w:val="auto"/>
          <w:sz w:val="28"/>
          <w:szCs w:val="28"/>
        </w:rPr>
        <w:t>）</w:t>
      </w:r>
    </w:p>
    <w:p w14:paraId="45856AB0">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《北京市人民政府关于印发北京市国有建设用地供应办法（试行）的通知》（京政发（2005）6号）</w:t>
      </w:r>
    </w:p>
    <w:p w14:paraId="2487C77C">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《北京市人民政府关于修订〈北京市国有建设用地供应办法（试行）〉的决定》（京政发〔2021〕12号）</w:t>
      </w:r>
    </w:p>
    <w:p w14:paraId="5C0E26EF">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《关于印发北京市出让国有土地使用权招标拍卖挂牌办法的通知》（京国土市（2005）302号）</w:t>
      </w:r>
    </w:p>
    <w:p w14:paraId="3AC1DFC8">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《国家税务总局关于发布&lt;纳税人转让不动产增值税征收管理暂行办法&gt;的公告》（国家税务总局公告2016年第14号）</w:t>
      </w:r>
    </w:p>
    <w:p w14:paraId="20154974">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《中华人民共和国增值税法》（2024年12月25日第十四届全国人民代表大会常务委员会第十三次会议通过自2026年1月1日起施行）</w:t>
      </w:r>
    </w:p>
    <w:p w14:paraId="44BD704D">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《中华人民共和国增值税法实施条例》(经2025年12月19日 国务院第75次常务会议通过，自2026年1月1日起施行)。</w:t>
      </w:r>
    </w:p>
    <w:p w14:paraId="0A3F57E8">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《中华人民共和国契税法》（2020年8月11日第十三届全国人民代表大会常务委员会第二十一次会议通过，自2021年9月1日起施行）</w:t>
      </w:r>
    </w:p>
    <w:p w14:paraId="2B57D030">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《中华人民共和国印花税法》（2021年6月10日第十三届全国人民代表大会常务委员会第二十九次会议通过,自2022年7月1日起施行）</w:t>
      </w:r>
    </w:p>
    <w:p w14:paraId="09EB8E7F">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《中华人民共和国城市维护建设税法》（2020年8月11日第十三届全国人民代表大会常务委员会第二十一次会议通过，自2021年9月1日起施行）</w:t>
      </w:r>
    </w:p>
    <w:p w14:paraId="0B57714C">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国务院关于修改&lt;征收教育费附加的暂行条例&gt;的决定》（2011年第三次修订）（1986年4月28日中华人民共和国国务院令第448号发布；根据1990年6月7日《国务院关于修改〈征收教育费附加的暂行规定）的决定》第一次修订；根据2005年8月20日《国务院关于修改&lt;征收教育费附加的暂行规定&gt;的决定》第二次修订:根据2011年1月8日《国务院关于废止和修改部分行政法规的决定》第三次修订并施行）</w:t>
      </w:r>
    </w:p>
    <w:p w14:paraId="7E608AA0">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《北京市国土资源局、北京市发展和改革委员会关于印发北京市国有土地使用权招标拍卖挂牌出让底价确定办法（试行）的通知》（ 京国土用〔2005〕533号）</w:t>
      </w:r>
    </w:p>
    <w:p w14:paraId="4AF9CEAC">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《北京市顺义区人民政府关于印发&lt;顺义区征收城市基础设施建设费暂行办法&gt;的通知》</w:t>
      </w:r>
      <w:r>
        <w:rPr>
          <w:rFonts w:hint="eastAsia" w:ascii="Arial" w:hAnsi="Arial" w:eastAsia="仿宋" w:cs="Arial"/>
          <w:color w:val="auto"/>
          <w:sz w:val="28"/>
          <w:szCs w:val="28"/>
        </w:rPr>
        <w:t>（</w:t>
      </w:r>
      <w:r>
        <w:rPr>
          <w:rFonts w:ascii="Arial" w:hAnsi="Arial" w:eastAsia="仿宋" w:cs="Arial"/>
          <w:color w:val="auto"/>
          <w:sz w:val="28"/>
          <w:szCs w:val="28"/>
        </w:rPr>
        <w:t>自2022年6月6日起实施</w:t>
      </w:r>
      <w:r>
        <w:rPr>
          <w:rFonts w:hint="eastAsia" w:ascii="Arial" w:hAnsi="Arial" w:eastAsia="仿宋" w:cs="Arial"/>
          <w:color w:val="auto"/>
          <w:sz w:val="28"/>
          <w:szCs w:val="28"/>
        </w:rPr>
        <w:t>）</w:t>
      </w:r>
    </w:p>
    <w:p w14:paraId="689F00EC">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_GB2312" w:cs="Arial"/>
          <w:color w:val="auto"/>
          <w:sz w:val="28"/>
          <w:szCs w:val="28"/>
        </w:rPr>
        <w:t>《自然资源部办公厅关于加强城镇建设用地基准地价管理的通知》（自然资办发（2024）45号）</w:t>
      </w:r>
    </w:p>
    <w:p w14:paraId="59A98A14">
      <w:pPr>
        <w:numPr>
          <w:ilvl w:val="0"/>
          <w:numId w:val="10"/>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_GB2312" w:cs="Arial"/>
          <w:color w:val="auto"/>
          <w:sz w:val="28"/>
          <w:szCs w:val="28"/>
        </w:rPr>
        <w:t>《自然资源部 国家林业和草原局关于进一步做好自然资源要素保障的通知》（自然资办发（2026）38号）</w:t>
      </w:r>
    </w:p>
    <w:p w14:paraId="1EB850B5">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（二）采用的技术标准</w:t>
      </w:r>
    </w:p>
    <w:p w14:paraId="5D8C96E6">
      <w:pPr>
        <w:numPr>
          <w:ilvl w:val="0"/>
          <w:numId w:val="11"/>
        </w:numPr>
        <w:adjustRightInd/>
        <w:spacing w:line="300" w:lineRule="auto"/>
        <w:jc w:val="both"/>
        <w:rPr>
          <w:rFonts w:ascii="Arial" w:hAnsi="Arial" w:eastAsia="仿宋" w:cs="Arial"/>
          <w:color w:val="auto"/>
          <w:sz w:val="28"/>
          <w:szCs w:val="28"/>
        </w:rPr>
      </w:pPr>
      <w:r>
        <w:rPr>
          <w:rFonts w:ascii="Arial" w:hAnsi="Arial" w:eastAsia="仿宋" w:cs="Arial"/>
          <w:color w:val="auto"/>
          <w:sz w:val="28"/>
          <w:szCs w:val="28"/>
        </w:rPr>
        <w:t>《城镇土地估价规程》（GB/T 18508</w:t>
      </w:r>
      <w:r>
        <w:rPr>
          <w:rFonts w:hint="eastAsia" w:ascii="Arial" w:hAnsi="Arial" w:eastAsia="仿宋" w:cs="Arial"/>
          <w:color w:val="auto"/>
          <w:sz w:val="28"/>
          <w:szCs w:val="28"/>
        </w:rPr>
        <w:t>－</w:t>
      </w:r>
      <w:r>
        <w:rPr>
          <w:rFonts w:ascii="Arial" w:hAnsi="Arial" w:eastAsia="仿宋" w:cs="Arial"/>
          <w:color w:val="auto"/>
          <w:sz w:val="28"/>
          <w:szCs w:val="28"/>
        </w:rPr>
        <w:t>2014）</w:t>
      </w:r>
    </w:p>
    <w:p w14:paraId="7ACEE6B1">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《城镇土地分等定级规程》</w:t>
      </w:r>
      <w:r>
        <w:rPr>
          <w:color w:val="auto"/>
        </w:rPr>
        <w:fldChar w:fldCharType="begin"/>
      </w:r>
      <w:r>
        <w:rPr>
          <w:color w:val="auto"/>
        </w:rPr>
        <w:instrText xml:space="preserve"> HYPERLINK "http://www.baidu.com/link?url=WR4ik0HfoP3GU1rlTYIFq3n2WBRxMHa-d8GcgMgJUtKKn1Pe8laCRZpZkd9wT3bWx0Da0HhCv5MAzf-34H8xnjpEjz3Kk8n4fMGDiYPYgW3" \t "_blank" </w:instrText>
      </w:r>
      <w:r>
        <w:rPr>
          <w:color w:val="auto"/>
        </w:rPr>
        <w:fldChar w:fldCharType="separate"/>
      </w:r>
      <w:r>
        <w:rPr>
          <w:rFonts w:ascii="Arial" w:hAnsi="Arial" w:eastAsia="仿宋" w:cs="Arial"/>
          <w:color w:val="auto"/>
          <w:sz w:val="28"/>
          <w:szCs w:val="28"/>
        </w:rPr>
        <w:t>（GB/T 18507</w:t>
      </w:r>
      <w:r>
        <w:rPr>
          <w:rFonts w:hint="eastAsia" w:ascii="Arial" w:hAnsi="Arial" w:eastAsia="仿宋" w:cs="Arial"/>
          <w:color w:val="auto"/>
          <w:sz w:val="28"/>
          <w:szCs w:val="28"/>
        </w:rPr>
        <w:t>－</w:t>
      </w:r>
      <w:r>
        <w:rPr>
          <w:rFonts w:ascii="Arial" w:hAnsi="Arial" w:eastAsia="仿宋" w:cs="Arial"/>
          <w:color w:val="auto"/>
          <w:sz w:val="28"/>
          <w:szCs w:val="28"/>
        </w:rPr>
        <w:t>2014）</w:t>
      </w:r>
      <w:r>
        <w:rPr>
          <w:rFonts w:ascii="Arial" w:hAnsi="Arial" w:eastAsia="仿宋" w:cs="Arial"/>
          <w:color w:val="auto"/>
          <w:sz w:val="28"/>
          <w:szCs w:val="28"/>
        </w:rPr>
        <w:fldChar w:fldCharType="end"/>
      </w:r>
    </w:p>
    <w:p w14:paraId="0D4B2D48">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《土地利用现状分类》（ GB/T 21010</w:t>
      </w:r>
      <w:r>
        <w:rPr>
          <w:rFonts w:hint="eastAsia" w:ascii="Arial" w:hAnsi="Arial" w:eastAsia="仿宋" w:cs="Arial"/>
          <w:color w:val="auto"/>
          <w:sz w:val="28"/>
          <w:szCs w:val="28"/>
        </w:rPr>
        <w:t>－</w:t>
      </w:r>
      <w:r>
        <w:rPr>
          <w:rFonts w:ascii="Arial" w:hAnsi="Arial" w:eastAsia="仿宋" w:cs="Arial"/>
          <w:color w:val="auto"/>
          <w:sz w:val="28"/>
          <w:szCs w:val="28"/>
        </w:rPr>
        <w:t>2017）</w:t>
      </w:r>
    </w:p>
    <w:p w14:paraId="4BE333BF">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《城市用地分类与规划建设用地标准》（GB50137</w:t>
      </w:r>
      <w:r>
        <w:rPr>
          <w:rFonts w:hint="eastAsia" w:ascii="Arial" w:hAnsi="Arial" w:eastAsia="仿宋" w:cs="Arial"/>
          <w:color w:val="auto"/>
          <w:sz w:val="28"/>
          <w:szCs w:val="28"/>
        </w:rPr>
        <w:t>－</w:t>
      </w:r>
      <w:r>
        <w:rPr>
          <w:rFonts w:ascii="Arial" w:hAnsi="Arial" w:eastAsia="仿宋" w:cs="Arial"/>
          <w:color w:val="auto"/>
          <w:sz w:val="28"/>
          <w:szCs w:val="28"/>
        </w:rPr>
        <w:t>2011）</w:t>
      </w:r>
    </w:p>
    <w:p w14:paraId="74E3FFE0">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《自然资源分等定级通则》（TD/T 1060</w:t>
      </w:r>
      <w:r>
        <w:rPr>
          <w:rFonts w:hint="eastAsia" w:ascii="Arial" w:hAnsi="Arial" w:eastAsia="仿宋" w:cs="Arial"/>
          <w:color w:val="auto"/>
          <w:sz w:val="28"/>
          <w:szCs w:val="28"/>
        </w:rPr>
        <w:t>－</w:t>
      </w:r>
      <w:r>
        <w:rPr>
          <w:rFonts w:ascii="Arial" w:hAnsi="Arial" w:eastAsia="仿宋" w:cs="Arial"/>
          <w:color w:val="auto"/>
          <w:sz w:val="28"/>
          <w:szCs w:val="28"/>
        </w:rPr>
        <w:t>2021）</w:t>
      </w:r>
    </w:p>
    <w:p w14:paraId="62474E68">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《自然资源价格评估通则》（TD/T 1061</w:t>
      </w:r>
      <w:r>
        <w:rPr>
          <w:rFonts w:hint="eastAsia" w:ascii="Arial" w:hAnsi="Arial" w:eastAsia="仿宋" w:cs="Arial"/>
          <w:color w:val="auto"/>
          <w:sz w:val="28"/>
          <w:szCs w:val="28"/>
        </w:rPr>
        <w:t>－</w:t>
      </w:r>
      <w:r>
        <w:rPr>
          <w:rFonts w:ascii="Arial" w:hAnsi="Arial" w:eastAsia="仿宋" w:cs="Arial"/>
          <w:color w:val="auto"/>
          <w:sz w:val="28"/>
          <w:szCs w:val="28"/>
        </w:rPr>
        <w:t>2021）</w:t>
      </w:r>
    </w:p>
    <w:p w14:paraId="154BAB7E">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《城市地价动态监测技术规范》（TD/T1009</w:t>
      </w:r>
      <w:r>
        <w:rPr>
          <w:rFonts w:hint="eastAsia" w:ascii="Arial" w:hAnsi="Arial" w:eastAsia="仿宋" w:cs="Arial"/>
          <w:color w:val="auto"/>
          <w:sz w:val="28"/>
          <w:szCs w:val="28"/>
        </w:rPr>
        <w:t>－</w:t>
      </w:r>
      <w:r>
        <w:rPr>
          <w:rFonts w:ascii="Arial" w:hAnsi="Arial" w:eastAsia="仿宋" w:cs="Arial"/>
          <w:color w:val="auto"/>
          <w:sz w:val="28"/>
          <w:szCs w:val="28"/>
        </w:rPr>
        <w:t>2007）</w:t>
      </w:r>
    </w:p>
    <w:p w14:paraId="21B42F4A">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《自然资源部办公厅关于印发《国土空间调查、规划、用途管制用地用海分类指南（试行）》的通知》（自然资办发〔2020〕51号）</w:t>
      </w:r>
    </w:p>
    <w:p w14:paraId="124C93C4">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《国土资源部办公厅关于发布&lt;国有建设用地使用权出让地价评估技术规范&gt;的通知》（国土资厅发（2018）4号）</w:t>
      </w:r>
    </w:p>
    <w:p w14:paraId="4A40E05E">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《自然资源部公共服务厅关于做好2021年度自然资源评价评估有关工作的通知》（自然资办发（2021）39号）</w:t>
      </w:r>
    </w:p>
    <w:p w14:paraId="16BF4778">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《财政部 国家税务总局&lt;关于全面推开营业税改正增值税试点的通知&gt;》（财税（2016）36号）</w:t>
      </w:r>
    </w:p>
    <w:p w14:paraId="74890674">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《北京市人民政府关于更新出让国有建设用地使用权基准地价的通知》（京政发（2022）12号）</w:t>
      </w:r>
    </w:p>
    <w:p w14:paraId="63213EF4">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《北京市国土空间调查、规划、用途管制用地分类指南（试行）》</w:t>
      </w:r>
    </w:p>
    <w:p w14:paraId="1476C6C4">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《北京市城乡规划与土地利用用地分类对应指南（试行）》（市规划国土发（2017）316号）</w:t>
      </w:r>
    </w:p>
    <w:p w14:paraId="035CDBB0">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北京市地方标准《国土空间调查、规划、用途管制用地分类标准》（DB11/T996－2024，2024年6月28日发布，2025年1月1日实施）</w:t>
      </w:r>
    </w:p>
    <w:p w14:paraId="3A2E417A">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《北京市地方税务局关于调整北京市城镇土地纳税等级分级范围的公告》（2015年第10号）</w:t>
      </w:r>
    </w:p>
    <w:p w14:paraId="695E9D42">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《北京市国有建设用地使用权出让地价评估技术导则》（2026年2月10日实施）</w:t>
      </w:r>
    </w:p>
    <w:p w14:paraId="68994108">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《北京市建设工程计价依据</w:t>
      </w:r>
      <w:r>
        <w:rPr>
          <w:rFonts w:hint="eastAsia" w:ascii="Arial" w:hAnsi="Arial" w:eastAsia="仿宋" w:cs="Arial"/>
          <w:color w:val="auto"/>
          <w:sz w:val="28"/>
          <w:szCs w:val="28"/>
        </w:rPr>
        <w:t>－</w:t>
      </w:r>
      <w:r>
        <w:rPr>
          <w:rFonts w:ascii="Arial" w:hAnsi="Arial" w:eastAsia="仿宋" w:cs="Arial"/>
          <w:color w:val="auto"/>
          <w:sz w:val="28"/>
          <w:szCs w:val="28"/>
        </w:rPr>
        <w:t>预算定额》（2012）及动态调整</w:t>
      </w:r>
    </w:p>
    <w:p w14:paraId="7FF5A9D2">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《北京工程造价信息》〔北京市建设工程造价管理处定期发布〕</w:t>
      </w:r>
    </w:p>
    <w:p w14:paraId="30B5B331">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《北京市统计年鉴》</w:t>
      </w:r>
    </w:p>
    <w:p w14:paraId="32B959FA">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北京市规划和自然资源委员会北京市发展和改革委员会北京市财政局 北京市住房和城乡建设委员会《关于印发&lt;北京市国有自然资源（建设用地）使用权有偿配置价格评审规定&gt;的通知》（京规自发（2024）282号）</w:t>
      </w:r>
    </w:p>
    <w:p w14:paraId="5A21F766">
      <w:pPr>
        <w:numPr>
          <w:ilvl w:val="0"/>
          <w:numId w:val="11"/>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北京市人民政府《关于印发&lt;北京市居住公共服务设施配置指标&gt;和&lt;北京市居住公共服务设施配置指标实施意见&gt;的通知》（京政发（2025）25 号）</w:t>
      </w:r>
    </w:p>
    <w:p w14:paraId="49308F0A">
      <w:pPr>
        <w:numPr>
          <w:ilvl w:val="0"/>
          <w:numId w:val="7"/>
        </w:numPr>
        <w:adjustRightInd/>
        <w:spacing w:line="300" w:lineRule="auto"/>
        <w:ind w:left="0"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《土地估价参数调查测算指引》（T/CREVA 1101—2023  ）</w:t>
      </w:r>
    </w:p>
    <w:p w14:paraId="7A183AF6">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（三） 委托估价方提供的资料</w:t>
      </w:r>
    </w:p>
    <w:p w14:paraId="6B02A1CA">
      <w:pPr>
        <w:numPr>
          <w:ilvl w:val="1"/>
          <w:numId w:val="12"/>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《国有建设用地使用权出让地价评估委托书》</w:t>
      </w:r>
    </w:p>
    <w:p w14:paraId="5C3C422C">
      <w:pPr>
        <w:numPr>
          <w:ilvl w:val="1"/>
          <w:numId w:val="12"/>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《北京市规划和国土资源管理委员会建设项目规划条件（土地储备前期整理）》（2017规（顺）条整字0006号）复印件</w:t>
      </w:r>
    </w:p>
    <w:p w14:paraId="3DA5299E">
      <w:pPr>
        <w:numPr>
          <w:ilvl w:val="1"/>
          <w:numId w:val="12"/>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《北京市规划和自然资源会员会顺义分局关于顺义区高丽营镇夏县营村棚户区改造土地开发项目调整建设项目规划条件的复函》（京规自顺函【2019】153号）复印件</w:t>
      </w:r>
    </w:p>
    <w:p w14:paraId="59726197">
      <w:pPr>
        <w:numPr>
          <w:ilvl w:val="1"/>
          <w:numId w:val="12"/>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《北京市人民政府关于顺义区二〇二〇年度批次建设用地的批复》</w:t>
      </w:r>
      <w:r>
        <w:rPr>
          <w:rFonts w:ascii="Arial" w:hAnsi="Arial" w:eastAsia="仿宋" w:cs="Arial"/>
          <w:color w:val="auto"/>
          <w:spacing w:val="-6"/>
          <w:sz w:val="28"/>
          <w:szCs w:val="28"/>
        </w:rPr>
        <w:t>（京政地字【</w:t>
      </w:r>
      <w:r>
        <w:rPr>
          <w:rFonts w:ascii="Arial" w:hAnsi="Arial" w:eastAsia="仿宋" w:cs="Arial"/>
          <w:color w:val="auto"/>
          <w:sz w:val="28"/>
          <w:szCs w:val="28"/>
        </w:rPr>
        <w:t>2020】121</w:t>
      </w:r>
      <w:r>
        <w:rPr>
          <w:rFonts w:ascii="Arial" w:hAnsi="Arial" w:eastAsia="仿宋" w:cs="Arial"/>
          <w:color w:val="auto"/>
          <w:spacing w:val="-6"/>
          <w:sz w:val="28"/>
          <w:szCs w:val="28"/>
        </w:rPr>
        <w:t>号）复印件</w:t>
      </w:r>
    </w:p>
    <w:p w14:paraId="6E84F108">
      <w:pPr>
        <w:numPr>
          <w:ilvl w:val="1"/>
          <w:numId w:val="12"/>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《北京市顺义区人民政府关于顺义区高丽营镇夏县营村棚户区改造土地开发项目01</w:t>
      </w:r>
      <w:r>
        <w:rPr>
          <w:rFonts w:hint="eastAsia" w:ascii="Arial" w:hAnsi="Arial" w:eastAsia="仿宋" w:cs="Arial"/>
          <w:color w:val="auto"/>
          <w:sz w:val="28"/>
          <w:szCs w:val="28"/>
        </w:rPr>
        <w:t>－</w:t>
      </w:r>
      <w:r>
        <w:rPr>
          <w:rFonts w:ascii="Arial" w:hAnsi="Arial" w:eastAsia="仿宋" w:cs="Arial"/>
          <w:color w:val="auto"/>
          <w:sz w:val="28"/>
          <w:szCs w:val="28"/>
        </w:rPr>
        <w:t>008、01</w:t>
      </w:r>
      <w:r>
        <w:rPr>
          <w:rFonts w:hint="eastAsia" w:ascii="Arial" w:hAnsi="Arial" w:eastAsia="仿宋" w:cs="Arial"/>
          <w:color w:val="auto"/>
          <w:sz w:val="28"/>
          <w:szCs w:val="28"/>
        </w:rPr>
        <w:t>－</w:t>
      </w:r>
      <w:r>
        <w:rPr>
          <w:rFonts w:ascii="Arial" w:hAnsi="Arial" w:eastAsia="仿宋" w:cs="Arial"/>
          <w:color w:val="auto"/>
          <w:sz w:val="28"/>
          <w:szCs w:val="28"/>
        </w:rPr>
        <w:t>016、01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1、01</w:t>
      </w:r>
      <w:r>
        <w:rPr>
          <w:rFonts w:hint="eastAsia" w:ascii="Arial" w:hAnsi="Arial" w:eastAsia="仿宋" w:cs="Arial"/>
          <w:color w:val="auto"/>
          <w:sz w:val="28"/>
          <w:szCs w:val="28"/>
        </w:rPr>
        <w:t>－</w:t>
      </w:r>
      <w:r>
        <w:rPr>
          <w:rFonts w:ascii="Arial" w:hAnsi="Arial" w:eastAsia="仿宋" w:cs="Arial"/>
          <w:color w:val="auto"/>
          <w:sz w:val="28"/>
          <w:szCs w:val="28"/>
        </w:rPr>
        <w:t>020地块提请地价审核有关事宜的函》（顺政函【2023】151号）复印件</w:t>
      </w:r>
    </w:p>
    <w:p w14:paraId="5FA73C16">
      <w:pPr>
        <w:numPr>
          <w:ilvl w:val="1"/>
          <w:numId w:val="12"/>
        </w:numPr>
        <w:adjustRightInd/>
        <w:spacing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及规划意见附图复印件</w:t>
      </w:r>
    </w:p>
    <w:p w14:paraId="3C732847">
      <w:pPr>
        <w:numPr>
          <w:ilvl w:val="1"/>
          <w:numId w:val="12"/>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《建设工程规划用地测量成果报告书》（2021规自（顺）测字0008号）复印件</w:t>
      </w:r>
    </w:p>
    <w:p w14:paraId="6B12B038">
      <w:pPr>
        <w:numPr>
          <w:ilvl w:val="1"/>
          <w:numId w:val="12"/>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《关于顺义区高丽营镇夏县营村棚户区改造土地开发项目01</w:t>
      </w:r>
      <w:r>
        <w:rPr>
          <w:rFonts w:hint="eastAsia" w:ascii="Arial" w:hAnsi="Arial" w:eastAsia="仿宋" w:cs="Arial"/>
          <w:color w:val="auto"/>
          <w:sz w:val="28"/>
          <w:szCs w:val="28"/>
        </w:rPr>
        <w:t>－</w:t>
      </w:r>
      <w:r>
        <w:rPr>
          <w:rFonts w:ascii="Arial" w:hAnsi="Arial" w:eastAsia="仿宋" w:cs="Arial"/>
          <w:color w:val="auto"/>
          <w:sz w:val="28"/>
          <w:szCs w:val="28"/>
        </w:rPr>
        <w:t>008、01</w:t>
      </w:r>
      <w:r>
        <w:rPr>
          <w:rFonts w:hint="eastAsia" w:ascii="Arial" w:hAnsi="Arial" w:eastAsia="仿宋" w:cs="Arial"/>
          <w:color w:val="auto"/>
          <w:sz w:val="28"/>
          <w:szCs w:val="28"/>
        </w:rPr>
        <w:t>－</w:t>
      </w:r>
      <w:r>
        <w:rPr>
          <w:rFonts w:ascii="Arial" w:hAnsi="Arial" w:eastAsia="仿宋" w:cs="Arial"/>
          <w:color w:val="auto"/>
          <w:sz w:val="28"/>
          <w:szCs w:val="28"/>
        </w:rPr>
        <w:t>016、01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1、01</w:t>
      </w:r>
      <w:r>
        <w:rPr>
          <w:rFonts w:hint="eastAsia" w:ascii="Arial" w:hAnsi="Arial" w:eastAsia="仿宋" w:cs="Arial"/>
          <w:color w:val="auto"/>
          <w:sz w:val="28"/>
          <w:szCs w:val="28"/>
        </w:rPr>
        <w:t>－</w:t>
      </w:r>
      <w:r>
        <w:rPr>
          <w:rFonts w:ascii="Arial" w:hAnsi="Arial" w:eastAsia="仿宋" w:cs="Arial"/>
          <w:color w:val="auto"/>
          <w:sz w:val="28"/>
          <w:szCs w:val="28"/>
        </w:rPr>
        <w:t>020地块实物补偿内容的说明》复印件</w:t>
      </w:r>
    </w:p>
    <w:p w14:paraId="319E8A06">
      <w:pPr>
        <w:numPr>
          <w:ilvl w:val="1"/>
          <w:numId w:val="12"/>
        </w:num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《关于顺义区高丽营镇夏县营村棚户区改造土地开发项目01</w:t>
      </w:r>
      <w:r>
        <w:rPr>
          <w:rFonts w:hint="eastAsia" w:ascii="Arial" w:hAnsi="Arial" w:eastAsia="仿宋" w:cs="Arial"/>
          <w:color w:val="auto"/>
          <w:sz w:val="28"/>
          <w:szCs w:val="28"/>
        </w:rPr>
        <w:t>－</w:t>
      </w:r>
      <w:r>
        <w:rPr>
          <w:rFonts w:ascii="Arial" w:hAnsi="Arial" w:eastAsia="仿宋" w:cs="Arial"/>
          <w:color w:val="auto"/>
          <w:sz w:val="28"/>
          <w:szCs w:val="28"/>
        </w:rPr>
        <w:t>008、01</w:t>
      </w:r>
      <w:r>
        <w:rPr>
          <w:rFonts w:hint="eastAsia" w:ascii="Arial" w:hAnsi="Arial" w:eastAsia="仿宋" w:cs="Arial"/>
          <w:color w:val="auto"/>
          <w:sz w:val="28"/>
          <w:szCs w:val="28"/>
        </w:rPr>
        <w:t>－</w:t>
      </w:r>
      <w:r>
        <w:rPr>
          <w:rFonts w:ascii="Arial" w:hAnsi="Arial" w:eastAsia="仿宋" w:cs="Arial"/>
          <w:color w:val="auto"/>
          <w:sz w:val="28"/>
          <w:szCs w:val="28"/>
        </w:rPr>
        <w:t>016、01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1、01</w:t>
      </w:r>
      <w:r>
        <w:rPr>
          <w:rFonts w:hint="eastAsia" w:ascii="Arial" w:hAnsi="Arial" w:eastAsia="仿宋" w:cs="Arial"/>
          <w:color w:val="auto"/>
          <w:sz w:val="28"/>
          <w:szCs w:val="28"/>
        </w:rPr>
        <w:t>－</w:t>
      </w:r>
      <w:r>
        <w:rPr>
          <w:rFonts w:ascii="Arial" w:hAnsi="Arial" w:eastAsia="仿宋" w:cs="Arial"/>
          <w:color w:val="auto"/>
          <w:sz w:val="28"/>
          <w:szCs w:val="28"/>
        </w:rPr>
        <w:t>020地块市政条件的说明》复印件</w:t>
      </w:r>
    </w:p>
    <w:p w14:paraId="0AF2B397">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（四）受托估价方掌握的有关资料和土地估价专业评估师实地勘察、调查所获取的资料</w:t>
      </w:r>
    </w:p>
    <w:p w14:paraId="284475D8">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1.估价对象所在位置示意图</w:t>
      </w:r>
    </w:p>
    <w:p w14:paraId="2A82E0E7">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2.估价对象实地勘察相关照片</w:t>
      </w:r>
    </w:p>
    <w:p w14:paraId="18F0B020">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3.区域因素及个别因素状况等资料</w:t>
      </w:r>
    </w:p>
    <w:p w14:paraId="3D5C770C">
      <w:pPr>
        <w:spacing w:line="300" w:lineRule="auto"/>
        <w:ind w:firstLine="565" w:firstLineChars="202"/>
        <w:jc w:val="both"/>
        <w:rPr>
          <w:rFonts w:ascii="Arial" w:hAnsi="Arial" w:eastAsia="仿宋_GB2312" w:cs="Arial"/>
          <w:color w:val="auto"/>
          <w:sz w:val="28"/>
        </w:rPr>
      </w:pPr>
      <w:r>
        <w:rPr>
          <w:rFonts w:ascii="Arial" w:hAnsi="Arial" w:eastAsia="仿宋" w:cs="Arial"/>
          <w:color w:val="auto"/>
          <w:sz w:val="28"/>
          <w:szCs w:val="28"/>
        </w:rPr>
        <w:t>4.土地估价专业评估师现场调查收集的其他相关资</w:t>
      </w:r>
      <w:r>
        <w:rPr>
          <w:rFonts w:ascii="Arial" w:hAnsi="Arial" w:eastAsia="仿宋_GB2312" w:cs="Arial"/>
          <w:color w:val="auto"/>
          <w:sz w:val="28"/>
        </w:rPr>
        <w:t>料</w:t>
      </w:r>
      <w:bookmarkStart w:id="280" w:name="_Toc132016745"/>
      <w:bookmarkStart w:id="281" w:name="_Toc138063016"/>
      <w:bookmarkStart w:id="282" w:name="_Toc132016628"/>
    </w:p>
    <w:p w14:paraId="75E67393">
      <w:pPr>
        <w:spacing w:line="300" w:lineRule="auto"/>
        <w:ind w:firstLine="565" w:firstLineChars="202"/>
        <w:jc w:val="both"/>
        <w:rPr>
          <w:rFonts w:ascii="Arial" w:hAnsi="Arial" w:eastAsia="仿宋_GB2312" w:cs="Arial"/>
          <w:color w:val="auto"/>
          <w:sz w:val="28"/>
        </w:rPr>
      </w:pPr>
    </w:p>
    <w:p w14:paraId="109D1B34">
      <w:pPr>
        <w:rPr>
          <w:rFonts w:ascii="Arial" w:hAnsi="Arial" w:eastAsia="仿宋_GB2312" w:cs="Arial"/>
          <w:b/>
          <w:color w:val="auto"/>
          <w:sz w:val="28"/>
        </w:rPr>
      </w:pPr>
      <w:r>
        <w:rPr>
          <w:rFonts w:ascii="Arial" w:hAnsi="Arial" w:eastAsia="仿宋_GB2312" w:cs="Arial"/>
          <w:b/>
          <w:color w:val="auto"/>
          <w:sz w:val="28"/>
        </w:rPr>
        <w:br w:type="page"/>
      </w:r>
    </w:p>
    <w:p w14:paraId="4A4E55FA">
      <w:pPr>
        <w:spacing w:line="300" w:lineRule="auto"/>
        <w:outlineLvl w:val="1"/>
        <w:rPr>
          <w:rFonts w:ascii="Arial" w:hAnsi="Arial" w:eastAsia="仿宋_GB2312" w:cs="Arial"/>
          <w:b/>
          <w:color w:val="auto"/>
          <w:sz w:val="28"/>
        </w:rPr>
      </w:pPr>
      <w:r>
        <w:rPr>
          <w:rFonts w:ascii="Arial" w:hAnsi="Arial" w:eastAsia="仿宋_GB2312" w:cs="Arial"/>
          <w:b/>
          <w:color w:val="auto"/>
          <w:sz w:val="28"/>
        </w:rPr>
        <w:t>六、估价期日</w:t>
      </w:r>
      <w:bookmarkEnd w:id="275"/>
      <w:bookmarkEnd w:id="276"/>
      <w:bookmarkEnd w:id="277"/>
      <w:bookmarkEnd w:id="280"/>
      <w:bookmarkEnd w:id="281"/>
      <w:bookmarkEnd w:id="282"/>
    </w:p>
    <w:bookmarkEnd w:id="278"/>
    <w:bookmarkEnd w:id="279"/>
    <w:p w14:paraId="1B5867FF">
      <w:pPr>
        <w:spacing w:line="300" w:lineRule="auto"/>
        <w:ind w:firstLine="560" w:firstLineChars="200"/>
        <w:jc w:val="both"/>
        <w:rPr>
          <w:rFonts w:ascii="Arial" w:hAnsi="Arial" w:eastAsia="仿宋_GB2312" w:cs="Arial"/>
          <w:color w:val="auto"/>
          <w:sz w:val="28"/>
        </w:rPr>
      </w:pPr>
      <w:bookmarkStart w:id="283" w:name="_Toc469066156"/>
      <w:bookmarkStart w:id="284" w:name="_Toc516488186"/>
      <w:bookmarkStart w:id="285" w:name="_Toc138063017"/>
      <w:bookmarkStart w:id="286" w:name="_Toc132016629"/>
      <w:bookmarkStart w:id="287" w:name="_Toc132016746"/>
      <w:bookmarkStart w:id="288" w:name="_Toc515457808"/>
      <w:bookmarkStart w:id="289" w:name="_Toc416783671"/>
      <w:bookmarkStart w:id="290" w:name="_Toc416783575"/>
      <w:r>
        <w:rPr>
          <w:rFonts w:hint="eastAsia" w:ascii="Arial" w:hAnsi="Arial" w:eastAsia="仿宋_GB2312" w:cs="Arial"/>
          <w:color w:val="auto"/>
          <w:sz w:val="28"/>
        </w:rPr>
        <w:t>根据委托估价方提供的《国有建设用地使用权出让地价评估委托书》，本次评估估价期日为2026年3月26日，亦为估价师实地查勘之日</w:t>
      </w:r>
    </w:p>
    <w:p w14:paraId="101E9D86">
      <w:pPr>
        <w:spacing w:line="300" w:lineRule="auto"/>
        <w:ind w:firstLine="560" w:firstLineChars="200"/>
        <w:jc w:val="both"/>
        <w:rPr>
          <w:rFonts w:ascii="Arial" w:hAnsi="Arial" w:eastAsia="仿宋_GB2312" w:cs="Arial"/>
          <w:color w:val="auto"/>
          <w:sz w:val="28"/>
        </w:rPr>
      </w:pPr>
    </w:p>
    <w:p w14:paraId="0EEEEC77">
      <w:pPr>
        <w:spacing w:line="300" w:lineRule="auto"/>
        <w:outlineLvl w:val="1"/>
        <w:rPr>
          <w:rFonts w:ascii="Arial" w:hAnsi="Arial" w:eastAsia="仿宋_GB2312" w:cs="Arial"/>
          <w:b/>
          <w:bCs/>
          <w:color w:val="auto"/>
          <w:sz w:val="28"/>
        </w:rPr>
      </w:pPr>
      <w:r>
        <w:rPr>
          <w:rFonts w:ascii="Arial" w:hAnsi="Arial" w:eastAsia="仿宋_GB2312" w:cs="Arial"/>
          <w:b/>
          <w:bCs/>
          <w:color w:val="auto"/>
          <w:sz w:val="28"/>
        </w:rPr>
        <w:t>七、估价日期</w:t>
      </w:r>
      <w:bookmarkEnd w:id="283"/>
      <w:bookmarkEnd w:id="284"/>
      <w:bookmarkEnd w:id="285"/>
      <w:bookmarkEnd w:id="286"/>
      <w:bookmarkEnd w:id="287"/>
      <w:bookmarkEnd w:id="288"/>
    </w:p>
    <w:bookmarkEnd w:id="289"/>
    <w:bookmarkEnd w:id="290"/>
    <w:p w14:paraId="44FA74D9">
      <w:pPr>
        <w:spacing w:line="300" w:lineRule="auto"/>
        <w:ind w:firstLine="560" w:firstLineChars="200"/>
        <w:rPr>
          <w:rFonts w:ascii="Arial" w:hAnsi="Arial" w:eastAsia="仿宋_GB2312" w:cs="Arial"/>
          <w:color w:val="auto"/>
          <w:sz w:val="28"/>
        </w:rPr>
      </w:pPr>
      <w:r>
        <w:rPr>
          <w:rFonts w:hint="eastAsia" w:ascii="Arial" w:hAnsi="Arial" w:eastAsia="仿宋_GB2312" w:cs="Arial"/>
          <w:color w:val="auto"/>
          <w:sz w:val="28"/>
        </w:rPr>
        <w:t>2026年3月26日至2026年4月</w:t>
      </w:r>
      <w:r>
        <w:rPr>
          <w:rFonts w:hint="eastAsia" w:ascii="Arial" w:hAnsi="Arial" w:eastAsia="仿宋_GB2312" w:cs="Arial"/>
          <w:color w:val="auto"/>
          <w:sz w:val="28"/>
          <w:lang w:val="en-US" w:eastAsia="zh-CN"/>
        </w:rPr>
        <w:t>21</w:t>
      </w:r>
      <w:r>
        <w:rPr>
          <w:rFonts w:hint="eastAsia" w:ascii="Arial" w:hAnsi="Arial" w:eastAsia="仿宋_GB2312" w:cs="Arial"/>
          <w:color w:val="auto"/>
          <w:sz w:val="28"/>
        </w:rPr>
        <w:t>日</w:t>
      </w:r>
    </w:p>
    <w:p w14:paraId="03B0B948">
      <w:pPr>
        <w:spacing w:line="300" w:lineRule="auto"/>
        <w:ind w:firstLine="560" w:firstLineChars="200"/>
        <w:rPr>
          <w:rFonts w:ascii="Arial" w:hAnsi="Arial" w:eastAsia="仿宋_GB2312" w:cs="Arial"/>
          <w:color w:val="auto"/>
          <w:sz w:val="28"/>
        </w:rPr>
      </w:pPr>
    </w:p>
    <w:p w14:paraId="773F7251">
      <w:pPr>
        <w:pStyle w:val="10"/>
        <w:spacing w:line="300" w:lineRule="auto"/>
        <w:ind w:left="1405" w:hanging="1405" w:hangingChars="500"/>
        <w:jc w:val="left"/>
        <w:outlineLvl w:val="1"/>
        <w:rPr>
          <w:rFonts w:ascii="Arial" w:eastAsia="仿宋_GB2312" w:cs="Arial"/>
          <w:b/>
          <w:bCs/>
          <w:color w:val="auto"/>
          <w:sz w:val="28"/>
        </w:rPr>
      </w:pPr>
      <w:bookmarkStart w:id="291" w:name="_Toc516488187"/>
      <w:bookmarkStart w:id="292" w:name="_Toc469066157"/>
      <w:bookmarkStart w:id="293" w:name="_Toc132016747"/>
      <w:bookmarkStart w:id="294" w:name="_Toc515457809"/>
      <w:bookmarkStart w:id="295" w:name="_Toc138063018"/>
      <w:bookmarkStart w:id="296" w:name="_Toc132016630"/>
      <w:r>
        <w:rPr>
          <w:rFonts w:ascii="Arial" w:eastAsia="仿宋_GB2312" w:cs="Arial"/>
          <w:b/>
          <w:bCs/>
          <w:color w:val="auto"/>
          <w:sz w:val="28"/>
        </w:rPr>
        <w:t>八、地价定义</w:t>
      </w:r>
      <w:bookmarkEnd w:id="291"/>
      <w:bookmarkEnd w:id="292"/>
      <w:bookmarkEnd w:id="293"/>
      <w:bookmarkEnd w:id="294"/>
      <w:bookmarkEnd w:id="295"/>
      <w:bookmarkEnd w:id="296"/>
    </w:p>
    <w:p w14:paraId="5352F928">
      <w:pPr>
        <w:adjustRightInd/>
        <w:spacing w:line="300" w:lineRule="auto"/>
        <w:ind w:firstLine="560" w:firstLineChars="200"/>
        <w:rPr>
          <w:rFonts w:ascii="Arial" w:hAnsi="Arial" w:eastAsia="仿宋" w:cs="Arial"/>
          <w:color w:val="auto"/>
          <w:sz w:val="28"/>
        </w:rPr>
      </w:pPr>
      <w:r>
        <w:rPr>
          <w:rFonts w:ascii="Arial" w:hAnsi="Arial" w:eastAsia="仿宋" w:cs="Arial"/>
          <w:color w:val="auto"/>
          <w:sz w:val="28"/>
        </w:rPr>
        <w:t>土地估价专业评估师根据地价评估的技术规程、方法和项目的具体要求，参照正常市场价格水平，评估拟出让宗地国有建设用地使用权价格。</w:t>
      </w:r>
    </w:p>
    <w:p w14:paraId="3DF7C21C">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熟地价是在公开市场条件下形成的客观合理价格，即估价对象在设定土地用途、</w:t>
      </w:r>
      <w:r>
        <w:rPr>
          <w:rFonts w:hint="eastAsia" w:ascii="Arial" w:hAnsi="Arial" w:eastAsia="仿宋" w:cs="Arial"/>
          <w:color w:val="auto"/>
          <w:sz w:val="28"/>
        </w:rPr>
        <w:t>土地利用条件</w:t>
      </w:r>
      <w:r>
        <w:rPr>
          <w:rFonts w:ascii="Arial" w:hAnsi="Arial" w:eastAsia="仿宋" w:cs="Arial"/>
          <w:color w:val="auto"/>
          <w:sz w:val="28"/>
        </w:rPr>
        <w:t>、</w:t>
      </w:r>
      <w:r>
        <w:rPr>
          <w:rFonts w:hint="eastAsia" w:ascii="Arial" w:hAnsi="Arial" w:eastAsia="仿宋" w:cs="Arial"/>
          <w:color w:val="auto"/>
          <w:sz w:val="28"/>
        </w:rPr>
        <w:t>土地</w:t>
      </w:r>
      <w:r>
        <w:rPr>
          <w:rFonts w:ascii="Arial" w:hAnsi="Arial" w:eastAsia="仿宋" w:cs="Arial"/>
          <w:color w:val="auto"/>
          <w:sz w:val="28"/>
        </w:rPr>
        <w:t>开发程度、</w:t>
      </w:r>
      <w:r>
        <w:rPr>
          <w:rFonts w:hint="eastAsia" w:ascii="Arial" w:hAnsi="Arial" w:eastAsia="仿宋" w:cs="Arial"/>
          <w:color w:val="auto"/>
          <w:sz w:val="28"/>
        </w:rPr>
        <w:t>权利类型、土地</w:t>
      </w:r>
      <w:r>
        <w:rPr>
          <w:rFonts w:ascii="Arial" w:hAnsi="Arial" w:eastAsia="仿宋" w:cs="Arial"/>
          <w:color w:val="auto"/>
          <w:sz w:val="28"/>
        </w:rPr>
        <w:t>使用</w:t>
      </w:r>
      <w:r>
        <w:rPr>
          <w:rFonts w:hint="eastAsia" w:ascii="Arial" w:hAnsi="Arial" w:eastAsia="仿宋" w:cs="Arial"/>
          <w:color w:val="auto"/>
          <w:sz w:val="28"/>
        </w:rPr>
        <w:t>权年限、估价期日</w:t>
      </w:r>
      <w:r>
        <w:rPr>
          <w:rFonts w:ascii="Arial" w:hAnsi="Arial" w:eastAsia="仿宋" w:cs="Arial"/>
          <w:color w:val="auto"/>
          <w:sz w:val="28"/>
        </w:rPr>
        <w:t>及</w:t>
      </w:r>
      <w:r>
        <w:rPr>
          <w:rFonts w:hint="eastAsia" w:ascii="Arial" w:hAnsi="Arial" w:eastAsia="仿宋" w:cs="Arial"/>
          <w:color w:val="auto"/>
          <w:sz w:val="28"/>
        </w:rPr>
        <w:t>价格类型</w:t>
      </w:r>
      <w:r>
        <w:rPr>
          <w:rFonts w:ascii="Arial" w:hAnsi="Arial" w:eastAsia="仿宋" w:cs="Arial"/>
          <w:color w:val="auto"/>
          <w:sz w:val="28"/>
        </w:rPr>
        <w:t>下，于估价期日的出让国有建设用地使用权价格。</w:t>
      </w:r>
    </w:p>
    <w:p w14:paraId="2B741605">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根据《城镇土地估价规程》（GB/T 18508</w:t>
      </w:r>
      <w:r>
        <w:rPr>
          <w:rFonts w:hint="eastAsia" w:ascii="Arial" w:hAnsi="Arial" w:eastAsia="仿宋" w:cs="Arial"/>
          <w:color w:val="auto"/>
          <w:sz w:val="28"/>
        </w:rPr>
        <w:t>－</w:t>
      </w:r>
      <w:r>
        <w:rPr>
          <w:rFonts w:ascii="Arial" w:hAnsi="Arial" w:eastAsia="仿宋" w:cs="Arial"/>
          <w:color w:val="auto"/>
          <w:sz w:val="28"/>
        </w:rPr>
        <w:t>2014）</w:t>
      </w:r>
      <w:r>
        <w:rPr>
          <w:rFonts w:hint="eastAsia" w:ascii="Arial" w:hAnsi="Arial" w:eastAsia="仿宋" w:cs="Arial"/>
          <w:color w:val="auto"/>
          <w:sz w:val="28"/>
        </w:rPr>
        <w:t>、</w:t>
      </w:r>
      <w:r>
        <w:rPr>
          <w:rFonts w:ascii="Arial" w:hAnsi="Arial" w:eastAsia="仿宋" w:cs="Arial"/>
          <w:color w:val="auto"/>
          <w:sz w:val="28"/>
        </w:rPr>
        <w:t>《国土资源部办公厅关于发布&lt;国有建设用地使用权出让地价评估技术规范&gt;的通知》（国土资厅发（2018）4号），对有关事项做出以下设定：</w:t>
      </w:r>
    </w:p>
    <w:p w14:paraId="2540391F">
      <w:pPr>
        <w:pStyle w:val="90"/>
        <w:numPr>
          <w:ilvl w:val="0"/>
          <w:numId w:val="5"/>
        </w:numPr>
        <w:adjustRightInd/>
        <w:spacing w:line="300" w:lineRule="auto"/>
        <w:ind w:left="0" w:firstLine="562"/>
        <w:jc w:val="both"/>
        <w:textAlignment w:val="auto"/>
        <w:rPr>
          <w:rFonts w:ascii="Arial" w:hAnsi="Arial" w:eastAsia="仿宋" w:cs="Arial"/>
          <w:b/>
          <w:bCs/>
          <w:color w:val="auto"/>
          <w:sz w:val="28"/>
        </w:rPr>
      </w:pPr>
      <w:r>
        <w:rPr>
          <w:rFonts w:ascii="Arial" w:hAnsi="Arial" w:eastAsia="仿宋" w:cs="Arial"/>
          <w:b/>
          <w:bCs/>
          <w:color w:val="auto"/>
          <w:sz w:val="28"/>
        </w:rPr>
        <w:t>土地用途</w:t>
      </w:r>
    </w:p>
    <w:p w14:paraId="44EDD39C">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w:t>
      </w:r>
      <w:r>
        <w:rPr>
          <w:rFonts w:ascii="Arial" w:hAnsi="Arial" w:eastAsia="仿宋" w:cs="Arial"/>
          <w:color w:val="auto"/>
          <w:sz w:val="28"/>
        </w:rPr>
        <w:t>估价对象规划用途为R2二类居住用地及A334托幼用地，其中A334托幼用地不出让。</w:t>
      </w:r>
    </w:p>
    <w:p w14:paraId="24366173">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北京市城乡规划与土地利用用地分类对应指南（试行）》（市规划国土发（2017）316号），R2二类居住用地是设施较齐全、环境良好、以多中高层住宅为主用地，可对应土地利用现状分类城镇住宅用地（指城镇用于生活居住的各类房屋用地及附属设施用地）。结合《自然资源部办公厅关于印发〈国土空间调查、规划、用途管制用地用海分类指南（试行）〉的通知》（自然资办（2020）51号）、《北京市人民政府关于更新出让国有建设用地使用权基准地价的通知》（京政发（2022）12号），按照</w:t>
      </w:r>
      <w:r>
        <w:rPr>
          <w:rFonts w:hint="eastAsia" w:ascii="Arial" w:hAnsi="Arial" w:eastAsia="仿宋" w:cs="Arial"/>
          <w:color w:val="auto"/>
          <w:sz w:val="28"/>
          <w:szCs w:val="28"/>
        </w:rPr>
        <w:t>《北京市国有建设用地使用权出让地价评估技术导则》（2026年2月10日实施）相关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 w:cs="Arial"/>
          <w:color w:val="auto"/>
          <w:sz w:val="28"/>
        </w:rPr>
        <w:t>”</w:t>
      </w:r>
    </w:p>
    <w:p w14:paraId="3654157C">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综上所述，根据本次估价目的及估价对象实际情况，结合出让评估要求，本次需同时评估城镇住宅用地、其他商业服务业用地、公共管理与公共服务用地熟地价。本次评估估价对象熟地总价时，按城镇住宅用地测算结果作为最终估价结果，其他商业服务业用地、公共管理与公共服务用地仅测算列示楼面地价。</w:t>
      </w:r>
    </w:p>
    <w:p w14:paraId="038937F1">
      <w:pPr>
        <w:adjustRightInd/>
        <w:spacing w:line="300" w:lineRule="auto"/>
        <w:ind w:firstLine="562" w:firstLineChars="200"/>
        <w:jc w:val="both"/>
        <w:rPr>
          <w:rFonts w:ascii="Arial" w:hAnsi="Arial" w:eastAsia="仿宋" w:cs="Arial"/>
          <w:b/>
          <w:bCs/>
          <w:color w:val="auto"/>
          <w:sz w:val="28"/>
        </w:rPr>
      </w:pPr>
      <w:r>
        <w:rPr>
          <w:rFonts w:hint="eastAsia" w:ascii="Arial" w:hAnsi="Arial" w:eastAsia="仿宋" w:cs="Arial"/>
          <w:b/>
          <w:bCs/>
          <w:color w:val="auto"/>
          <w:sz w:val="28"/>
        </w:rPr>
        <w:t>2.土地利用条件</w:t>
      </w:r>
    </w:p>
    <w:p w14:paraId="1B605801">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土地利用条件主要是指土地开发使用的程度，包括土地面积、建筑面积、容积率、建筑密度、建筑高度限制等，分为规划条件和实际利用程度。其中：</w:t>
      </w:r>
    </w:p>
    <w:p w14:paraId="74C1DCF4">
      <w:pPr>
        <w:adjustRightInd/>
        <w:spacing w:line="300" w:lineRule="auto"/>
        <w:ind w:firstLine="420"/>
        <w:jc w:val="both"/>
        <w:rPr>
          <w:rFonts w:ascii="Arial" w:hAnsi="Arial" w:eastAsia="仿宋" w:cs="Arial"/>
          <w:b/>
          <w:bCs/>
          <w:color w:val="auto"/>
          <w:sz w:val="28"/>
        </w:rPr>
      </w:pPr>
      <w:r>
        <w:rPr>
          <w:rFonts w:hint="eastAsia" w:ascii="Arial" w:hAnsi="Arial" w:eastAsia="仿宋" w:cs="Arial"/>
          <w:b/>
          <w:bCs/>
          <w:color w:val="auto"/>
          <w:sz w:val="28"/>
        </w:rPr>
        <w:t>（1）规划条件</w:t>
      </w:r>
    </w:p>
    <w:p w14:paraId="0FC315EE">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根据《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本次估价对象01－008等地块共4宗地，用地规模合计为60990.43平方米，全部为建设用地，建筑规模合计为71508.52平方米。其中，估价对象01－008地块（R2二类居住用地）建设用地规模为24804.85平方米，地上建筑规模为29765.82平方米，容积率为1.2；估价对象01－016地块（R2二类居住用地）建设用地规模为23103.85平方米，地上建筑规模为27724.62平方米，容积率为1.2； 估价对象01－026－1地块（R2二类居住用地）建设用地规模为8881.75平方米，地上建筑规模为10658.10平方米，容积率为1.2；另有估价对象01－020地块（A334托幼用地，不出让）建设用地规模为4199.98平方米，地上建筑规模为3359.98平方米，容积率为0.8。根据《北京市国有建设用地使用权出让地价评估技术导则》（2026年2月10日实施）中的相关规定，本次评估01－008、01－016、01－026－1地块（R2二类居住用地）容积率为1.2。</w:t>
      </w:r>
    </w:p>
    <w:p w14:paraId="564B54D8">
      <w:pPr>
        <w:adjustRightInd/>
        <w:spacing w:line="300" w:lineRule="auto"/>
        <w:ind w:left="560"/>
        <w:jc w:val="both"/>
        <w:rPr>
          <w:rFonts w:ascii="Arial" w:hAnsi="Arial" w:eastAsia="仿宋" w:cs="Arial"/>
          <w:b/>
          <w:bCs/>
          <w:color w:val="auto"/>
          <w:sz w:val="28"/>
        </w:rPr>
      </w:pPr>
      <w:r>
        <w:rPr>
          <w:rFonts w:hint="eastAsia" w:ascii="Arial" w:hAnsi="Arial" w:eastAsia="仿宋" w:cs="Arial"/>
          <w:b/>
          <w:bCs/>
          <w:color w:val="auto"/>
          <w:sz w:val="28"/>
        </w:rPr>
        <w:t>（2）实际利用程度</w:t>
      </w:r>
    </w:p>
    <w:p w14:paraId="236610DD">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rPr>
        <w:t>根据委托估价方介绍及土地估价专业评估师实地查勘，本次评估估价对象实际土地开发程度为红线外市政基础设施达</w:t>
      </w:r>
      <w:r>
        <w:rPr>
          <w:rFonts w:hint="eastAsia" w:ascii="Arial" w:hAnsi="Arial" w:eastAsia="仿宋" w:cs="Arial"/>
          <w:color w:val="auto"/>
          <w:sz w:val="28"/>
          <w:szCs w:val="28"/>
        </w:rPr>
        <w:t>“七通”（通路、通上水（自来水、中水）、通下水（雨水、污水）、通电（管沟、电缆）、通讯、通燃气、通热力）</w:t>
      </w:r>
      <w:r>
        <w:rPr>
          <w:rFonts w:ascii="Arial" w:hAnsi="Arial" w:eastAsia="仿宋" w:cs="Arial"/>
          <w:color w:val="auto"/>
          <w:sz w:val="28"/>
        </w:rPr>
        <w:t>、宗地红线内场地</w:t>
      </w:r>
      <w:r>
        <w:rPr>
          <w:rFonts w:hint="eastAsia" w:ascii="Arial" w:hAnsi="Arial" w:eastAsia="仿宋" w:cs="Arial"/>
          <w:color w:val="auto"/>
          <w:sz w:val="28"/>
          <w:szCs w:val="28"/>
        </w:rPr>
        <w:t>平整。</w:t>
      </w:r>
    </w:p>
    <w:p w14:paraId="1A60A5B5">
      <w:pPr>
        <w:adjustRightInd/>
        <w:spacing w:line="300" w:lineRule="auto"/>
        <w:ind w:firstLine="562" w:firstLineChars="200"/>
        <w:jc w:val="both"/>
        <w:rPr>
          <w:rFonts w:ascii="Arial" w:hAnsi="Arial" w:eastAsia="仿宋" w:cs="Arial"/>
          <w:b/>
          <w:bCs/>
          <w:color w:val="auto"/>
          <w:sz w:val="28"/>
          <w:szCs w:val="28"/>
        </w:rPr>
      </w:pPr>
      <w:r>
        <w:rPr>
          <w:rFonts w:hint="eastAsia" w:ascii="Arial" w:hAnsi="Arial" w:eastAsia="仿宋" w:cs="Arial"/>
          <w:b/>
          <w:bCs/>
          <w:color w:val="auto"/>
          <w:sz w:val="28"/>
          <w:szCs w:val="28"/>
        </w:rPr>
        <w:t>3.土地开发程度</w:t>
      </w:r>
    </w:p>
    <w:p w14:paraId="62341D95">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rPr>
        <w:t>根据委托估价方介绍及土地估价专业评估师实地查勘，本次评估估价对象实际土地开发程度为红线外市政基础设施达</w:t>
      </w:r>
      <w:r>
        <w:rPr>
          <w:rFonts w:hint="eastAsia" w:ascii="Arial" w:hAnsi="Arial" w:eastAsia="仿宋" w:cs="Arial"/>
          <w:color w:val="auto"/>
          <w:sz w:val="28"/>
          <w:szCs w:val="28"/>
        </w:rPr>
        <w:t>“七通”（通路、通上水（自来水、中水）、通下水（雨水、污水）、通电（管沟、电缆）、通讯、通燃气、通热力）</w:t>
      </w:r>
      <w:r>
        <w:rPr>
          <w:rFonts w:ascii="Arial" w:hAnsi="Arial" w:eastAsia="仿宋" w:cs="Arial"/>
          <w:color w:val="auto"/>
          <w:sz w:val="28"/>
        </w:rPr>
        <w:t>、宗地红线内场地</w:t>
      </w:r>
      <w:r>
        <w:rPr>
          <w:rFonts w:hint="eastAsia" w:ascii="Arial" w:hAnsi="Arial" w:eastAsia="仿宋" w:cs="Arial"/>
          <w:color w:val="auto"/>
          <w:sz w:val="28"/>
          <w:szCs w:val="28"/>
        </w:rPr>
        <w:t>平整。</w:t>
      </w:r>
    </w:p>
    <w:p w14:paraId="09643C57">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szCs w:val="28"/>
        </w:rPr>
        <w:t>根据《北京市顺义区人民政府关于顺义区高丽营镇夏县营村棚户区改造土地开发项目01－008、01－016、01－026－1、01－020地块提请地价审核有关事宜的函》记载，估</w:t>
      </w:r>
      <w:r>
        <w:rPr>
          <w:rFonts w:ascii="Arial" w:hAnsi="Arial" w:eastAsia="仿宋" w:cs="Arial"/>
          <w:color w:val="auto"/>
          <w:sz w:val="28"/>
        </w:rPr>
        <w:t>价对象供地条件为宗地外</w:t>
      </w:r>
      <w:r>
        <w:rPr>
          <w:rFonts w:hint="eastAsia" w:ascii="Arial" w:hAnsi="Arial" w:eastAsia="仿宋" w:cs="Arial"/>
          <w:color w:val="auto"/>
          <w:sz w:val="28"/>
          <w:szCs w:val="28"/>
        </w:rPr>
        <w:t>“七通”（通路、通上水（自来水、中水）、通下水（雨水、污水）、通电、通讯、通燃气、通热力）</w:t>
      </w:r>
      <w:r>
        <w:rPr>
          <w:rFonts w:ascii="Arial" w:hAnsi="Arial" w:eastAsia="仿宋" w:cs="Arial"/>
          <w:color w:val="auto"/>
          <w:sz w:val="28"/>
        </w:rPr>
        <w:t>、宗地红线内场地平整。本次评估设定土地开发程度即为实际开发程度红线外市政基础设施达</w:t>
      </w:r>
      <w:r>
        <w:rPr>
          <w:rFonts w:hint="eastAsia" w:ascii="Arial" w:hAnsi="Arial" w:eastAsia="仿宋" w:cs="Arial"/>
          <w:color w:val="auto"/>
          <w:sz w:val="28"/>
          <w:szCs w:val="28"/>
        </w:rPr>
        <w:t>“七通”</w:t>
      </w:r>
      <w:r>
        <w:rPr>
          <w:rFonts w:ascii="Arial" w:hAnsi="Arial" w:eastAsia="仿宋" w:cs="Arial"/>
          <w:color w:val="auto"/>
          <w:sz w:val="28"/>
        </w:rPr>
        <w:t>、宗地红线内场地平整</w:t>
      </w:r>
      <w:r>
        <w:rPr>
          <w:rFonts w:hint="eastAsia" w:ascii="Arial" w:hAnsi="Arial" w:eastAsia="仿宋" w:cs="Arial"/>
          <w:color w:val="auto"/>
          <w:sz w:val="28"/>
        </w:rPr>
        <w:t>。</w:t>
      </w:r>
    </w:p>
    <w:p w14:paraId="4FEA6D15">
      <w:pPr>
        <w:pStyle w:val="90"/>
        <w:adjustRightInd/>
        <w:spacing w:line="300" w:lineRule="auto"/>
        <w:ind w:left="560" w:firstLine="0" w:firstLineChars="0"/>
        <w:jc w:val="both"/>
        <w:textAlignment w:val="auto"/>
        <w:rPr>
          <w:rFonts w:ascii="Arial" w:hAnsi="Arial" w:eastAsia="仿宋" w:cs="Arial"/>
          <w:b/>
          <w:bCs/>
          <w:color w:val="auto"/>
          <w:sz w:val="28"/>
        </w:rPr>
      </w:pPr>
      <w:r>
        <w:rPr>
          <w:rFonts w:hint="eastAsia" w:ascii="Arial" w:hAnsi="Arial" w:eastAsia="仿宋" w:cs="Arial"/>
          <w:b/>
          <w:bCs/>
          <w:color w:val="auto"/>
          <w:sz w:val="28"/>
        </w:rPr>
        <w:t>4.权利类型</w:t>
      </w:r>
    </w:p>
    <w:p w14:paraId="1FDE442E">
      <w:pPr>
        <w:pStyle w:val="90"/>
        <w:adjustRightInd/>
        <w:spacing w:line="300" w:lineRule="auto"/>
        <w:ind w:firstLine="560"/>
        <w:jc w:val="both"/>
        <w:textAlignment w:val="auto"/>
        <w:rPr>
          <w:rFonts w:ascii="Arial" w:hAnsi="Arial" w:eastAsia="仿宋" w:cs="Arial"/>
          <w:color w:val="auto"/>
          <w:sz w:val="28"/>
        </w:rPr>
      </w:pPr>
      <w:r>
        <w:rPr>
          <w:rFonts w:hint="eastAsia" w:ascii="Arial" w:hAnsi="Arial" w:eastAsia="仿宋" w:cs="Arial"/>
          <w:color w:val="auto"/>
          <w:sz w:val="28"/>
        </w:rPr>
        <w:t xml:space="preserve">权利类型是指价格对应的何种权利、他项权利，以及权利限制等。估价对象权利类型设定具体如下： </w:t>
      </w:r>
    </w:p>
    <w:p w14:paraId="4C639D82">
      <w:pPr>
        <w:pStyle w:val="90"/>
        <w:adjustRightInd/>
        <w:spacing w:line="300" w:lineRule="auto"/>
        <w:ind w:firstLine="560"/>
        <w:jc w:val="both"/>
        <w:textAlignment w:val="auto"/>
        <w:rPr>
          <w:rFonts w:ascii="Arial" w:hAnsi="Arial" w:eastAsia="仿宋" w:cs="Arial"/>
          <w:color w:val="auto"/>
          <w:sz w:val="28"/>
        </w:rPr>
      </w:pPr>
      <w:r>
        <w:rPr>
          <w:rFonts w:hint="eastAsia" w:ascii="Arial" w:hAnsi="Arial" w:eastAsia="仿宋" w:cs="Arial"/>
          <w:color w:val="auto"/>
          <w:sz w:val="28"/>
        </w:rPr>
        <w:t xml:space="preserve">（1）土地所有权：估价对象的土地所有权属于国家。 </w:t>
      </w:r>
    </w:p>
    <w:p w14:paraId="147D691F">
      <w:pPr>
        <w:pStyle w:val="90"/>
        <w:adjustRightInd/>
        <w:spacing w:line="300" w:lineRule="auto"/>
        <w:ind w:firstLine="560"/>
        <w:jc w:val="both"/>
        <w:textAlignment w:val="auto"/>
        <w:rPr>
          <w:rFonts w:ascii="Arial" w:hAnsi="Arial" w:eastAsia="仿宋" w:cs="Arial"/>
          <w:color w:val="auto"/>
          <w:sz w:val="28"/>
        </w:rPr>
      </w:pPr>
      <w:r>
        <w:rPr>
          <w:rFonts w:hint="eastAsia" w:ascii="Arial" w:hAnsi="Arial" w:eastAsia="仿宋" w:cs="Arial"/>
          <w:color w:val="auto"/>
          <w:sz w:val="28"/>
        </w:rPr>
        <w:t xml:space="preserve">（2）土地使用权：估价对象于估价期日为拟进行公开招拍挂出让入市交易宗地，待土地出让后，由受让方办理不动产权登记。本次评估设定土地使用权类型为出让。 </w:t>
      </w:r>
    </w:p>
    <w:p w14:paraId="21F63FB3">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3）他项权利状况：根据委托估价方提供的《国有建设用地使用权出让地价评估委托书》，估价对象为拟入市公开交易地块，尚未办理不动产登记手续，故本次估价以估价对象不存在抵押、担保、典当、租赁等他项权利为假设前提，并假定估价对象没有影响估价对象价值的其他他项权利存在。</w:t>
      </w:r>
    </w:p>
    <w:p w14:paraId="69AF958F">
      <w:pPr>
        <w:pStyle w:val="90"/>
        <w:adjustRightInd/>
        <w:spacing w:line="300" w:lineRule="auto"/>
        <w:ind w:firstLine="562"/>
        <w:jc w:val="both"/>
        <w:textAlignment w:val="auto"/>
        <w:rPr>
          <w:rFonts w:ascii="Arial" w:hAnsi="Arial" w:eastAsia="仿宋" w:cs="Arial"/>
          <w:b/>
          <w:bCs/>
          <w:color w:val="auto"/>
          <w:sz w:val="28"/>
          <w:szCs w:val="28"/>
        </w:rPr>
      </w:pPr>
      <w:r>
        <w:rPr>
          <w:rFonts w:hint="eastAsia" w:ascii="Arial" w:hAnsi="Arial" w:eastAsia="仿宋" w:cs="Arial"/>
          <w:b/>
          <w:bCs/>
          <w:color w:val="auto"/>
          <w:sz w:val="28"/>
        </w:rPr>
        <w:t>5.</w:t>
      </w:r>
      <w:r>
        <w:rPr>
          <w:rFonts w:ascii="Arial" w:hAnsi="Arial" w:eastAsia="仿宋" w:cs="Arial"/>
          <w:b/>
          <w:bCs/>
          <w:color w:val="auto"/>
          <w:sz w:val="28"/>
          <w:szCs w:val="28"/>
        </w:rPr>
        <w:t xml:space="preserve"> 土地使用权年限</w:t>
      </w:r>
    </w:p>
    <w:p w14:paraId="310BDC9D">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估价对象规划用途为R2二类居住用地及A334托幼用地，其中A334托幼用地不出让。</w:t>
      </w:r>
    </w:p>
    <w:p w14:paraId="6E466EC7">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估价对象于估价期日为拟出让国有建设用地使用权。考虑到本次估价目的，根据《中华人民共和国城镇国有土地使用权出让和转让暂行条例》（国务院令第55号）、</w:t>
      </w:r>
      <w:r>
        <w:rPr>
          <w:rFonts w:ascii="Arial" w:hAnsi="Arial" w:eastAsia="仿宋" w:cs="Arial"/>
          <w:color w:val="auto"/>
          <w:sz w:val="28"/>
        </w:rPr>
        <w:t>《北京市人民政府关于更新出让国有建设用地使用权基准地价的通知》（京政发（2022）12号）</w:t>
      </w:r>
      <w:r>
        <w:rPr>
          <w:rFonts w:hint="eastAsia" w:ascii="Arial" w:hAnsi="Arial" w:eastAsia="仿宋" w:cs="Arial"/>
          <w:color w:val="auto"/>
          <w:sz w:val="28"/>
          <w:szCs w:val="28"/>
        </w:rPr>
        <w:t>、《北京市国有建设用地使用权出让地价评估技术导则》（2026年2月10日实施）相关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 w:cs="Arial"/>
          <w:color w:val="auto"/>
          <w:sz w:val="28"/>
        </w:rPr>
        <w:t>”</w:t>
      </w:r>
      <w:r>
        <w:rPr>
          <w:rFonts w:ascii="Arial" w:hAnsi="Arial" w:eastAsia="仿宋" w:cs="Arial"/>
          <w:color w:val="auto"/>
          <w:sz w:val="28"/>
          <w:szCs w:val="28"/>
        </w:rPr>
        <w:t>本次评估设定土地使用年限为法定最高使用年限</w:t>
      </w:r>
      <w:r>
        <w:rPr>
          <w:rFonts w:hint="eastAsia" w:ascii="Arial" w:hAnsi="Arial" w:eastAsia="仿宋" w:cs="Arial"/>
          <w:color w:val="auto"/>
          <w:sz w:val="28"/>
          <w:szCs w:val="28"/>
        </w:rPr>
        <w:t>，即城镇住宅用地70年、其他商业服务业用地40年、</w:t>
      </w:r>
      <w:r>
        <w:rPr>
          <w:rFonts w:ascii="Arial" w:hAnsi="Arial" w:eastAsia="仿宋" w:cs="Arial"/>
          <w:color w:val="auto"/>
          <w:sz w:val="28"/>
        </w:rPr>
        <w:t>公共</w:t>
      </w:r>
      <w:r>
        <w:rPr>
          <w:rFonts w:hint="eastAsia" w:ascii="Arial" w:hAnsi="Arial" w:eastAsia="仿宋" w:cs="Arial"/>
          <w:color w:val="auto"/>
          <w:sz w:val="28"/>
        </w:rPr>
        <w:t>管理与公共</w:t>
      </w:r>
      <w:r>
        <w:rPr>
          <w:rFonts w:ascii="Arial" w:hAnsi="Arial" w:eastAsia="仿宋" w:cs="Arial"/>
          <w:color w:val="auto"/>
          <w:sz w:val="28"/>
        </w:rPr>
        <w:t>服务</w:t>
      </w:r>
      <w:r>
        <w:rPr>
          <w:rFonts w:hint="eastAsia" w:ascii="Arial" w:hAnsi="Arial" w:eastAsia="仿宋" w:cs="Arial"/>
          <w:color w:val="auto"/>
          <w:sz w:val="28"/>
        </w:rPr>
        <w:t>用地</w:t>
      </w:r>
      <w:r>
        <w:rPr>
          <w:rFonts w:ascii="Arial" w:hAnsi="Arial" w:eastAsia="仿宋" w:cs="Arial"/>
          <w:color w:val="auto"/>
          <w:sz w:val="28"/>
          <w:szCs w:val="28"/>
        </w:rPr>
        <w:t>50年。</w:t>
      </w:r>
    </w:p>
    <w:p w14:paraId="6D6CE3CC">
      <w:pPr>
        <w:adjustRightInd/>
        <w:spacing w:line="300" w:lineRule="auto"/>
        <w:ind w:firstLine="562" w:firstLineChars="200"/>
        <w:jc w:val="both"/>
        <w:rPr>
          <w:rFonts w:ascii="Arial" w:hAnsi="Arial" w:eastAsia="仿宋" w:cs="Arial"/>
          <w:b/>
          <w:bCs/>
          <w:color w:val="auto"/>
          <w:sz w:val="28"/>
        </w:rPr>
      </w:pPr>
      <w:r>
        <w:rPr>
          <w:rFonts w:hint="eastAsia" w:ascii="Arial" w:hAnsi="Arial" w:eastAsia="仿宋" w:cs="Arial"/>
          <w:b/>
          <w:bCs/>
          <w:color w:val="auto"/>
          <w:sz w:val="28"/>
          <w:szCs w:val="28"/>
        </w:rPr>
        <w:t>6.估价期日</w:t>
      </w:r>
    </w:p>
    <w:p w14:paraId="63D1D28B">
      <w:pPr>
        <w:pStyle w:val="90"/>
        <w:adjustRightInd/>
        <w:spacing w:line="300" w:lineRule="auto"/>
        <w:ind w:firstLine="560"/>
        <w:jc w:val="both"/>
        <w:textAlignment w:val="auto"/>
        <w:rPr>
          <w:rFonts w:ascii="Arial" w:hAnsi="Arial" w:eastAsia="仿宋" w:cs="Arial"/>
          <w:color w:val="auto"/>
          <w:sz w:val="28"/>
        </w:rPr>
      </w:pPr>
      <w:r>
        <w:rPr>
          <w:rFonts w:ascii="Arial" w:hAnsi="Arial" w:eastAsia="仿宋" w:cs="Arial"/>
          <w:color w:val="auto"/>
          <w:sz w:val="28"/>
        </w:rPr>
        <w:t>根据委托估价方提供的《国有建设用地使用权出让地价评估委托书》， 本次评估估价期日为2026年</w:t>
      </w:r>
      <w:r>
        <w:rPr>
          <w:rFonts w:hint="eastAsia" w:ascii="Arial" w:hAnsi="Arial" w:eastAsia="仿宋" w:cs="Arial"/>
          <w:color w:val="auto"/>
          <w:sz w:val="28"/>
        </w:rPr>
        <w:t>3</w:t>
      </w:r>
      <w:r>
        <w:rPr>
          <w:rFonts w:ascii="Arial" w:hAnsi="Arial" w:eastAsia="仿宋" w:cs="Arial"/>
          <w:color w:val="auto"/>
          <w:sz w:val="28"/>
        </w:rPr>
        <w:t>月</w:t>
      </w:r>
      <w:r>
        <w:rPr>
          <w:rFonts w:hint="eastAsia" w:ascii="Arial" w:hAnsi="Arial" w:eastAsia="仿宋" w:cs="Arial"/>
          <w:color w:val="auto"/>
          <w:sz w:val="28"/>
        </w:rPr>
        <w:t>26</w:t>
      </w:r>
      <w:r>
        <w:rPr>
          <w:rFonts w:ascii="Arial" w:hAnsi="Arial" w:eastAsia="仿宋" w:cs="Arial"/>
          <w:color w:val="auto"/>
          <w:sz w:val="28"/>
        </w:rPr>
        <w:t>日，本次评估依据《国有建设用地使 用权出让地价评估委托书》设定估价期日为2026年</w:t>
      </w:r>
      <w:r>
        <w:rPr>
          <w:rFonts w:hint="eastAsia" w:ascii="Arial" w:hAnsi="Arial" w:eastAsia="仿宋" w:cs="Arial"/>
          <w:color w:val="auto"/>
          <w:sz w:val="28"/>
        </w:rPr>
        <w:t>3</w:t>
      </w:r>
      <w:r>
        <w:rPr>
          <w:rFonts w:ascii="Arial" w:hAnsi="Arial" w:eastAsia="仿宋" w:cs="Arial"/>
          <w:color w:val="auto"/>
          <w:sz w:val="28"/>
        </w:rPr>
        <w:t>月</w:t>
      </w:r>
      <w:r>
        <w:rPr>
          <w:rFonts w:hint="eastAsia" w:ascii="Arial" w:hAnsi="Arial" w:eastAsia="仿宋" w:cs="Arial"/>
          <w:color w:val="auto"/>
          <w:sz w:val="28"/>
        </w:rPr>
        <w:t>26</w:t>
      </w:r>
      <w:r>
        <w:rPr>
          <w:rFonts w:ascii="Arial" w:hAnsi="Arial" w:eastAsia="仿宋" w:cs="Arial"/>
          <w:color w:val="auto"/>
          <w:sz w:val="28"/>
        </w:rPr>
        <w:t>日，亦为估价 师</w:t>
      </w:r>
      <w:r>
        <w:rPr>
          <w:rFonts w:hint="eastAsia" w:ascii="Arial" w:hAnsi="Arial" w:eastAsia="仿宋" w:cs="Arial"/>
          <w:color w:val="auto"/>
          <w:sz w:val="28"/>
        </w:rPr>
        <w:t>实地查勘</w:t>
      </w:r>
      <w:r>
        <w:rPr>
          <w:rFonts w:ascii="Arial" w:hAnsi="Arial" w:eastAsia="仿宋" w:cs="Arial"/>
          <w:color w:val="auto"/>
          <w:sz w:val="28"/>
        </w:rPr>
        <w:t>之日。</w:t>
      </w:r>
    </w:p>
    <w:p w14:paraId="3E80D839">
      <w:pPr>
        <w:pStyle w:val="90"/>
        <w:adjustRightInd/>
        <w:spacing w:line="300" w:lineRule="auto"/>
        <w:ind w:firstLine="562"/>
        <w:jc w:val="both"/>
        <w:textAlignment w:val="auto"/>
        <w:rPr>
          <w:rFonts w:ascii="Arial" w:hAnsi="Arial" w:eastAsia="仿宋" w:cs="Arial"/>
          <w:b/>
          <w:bCs/>
          <w:color w:val="auto"/>
          <w:sz w:val="28"/>
        </w:rPr>
      </w:pPr>
      <w:r>
        <w:rPr>
          <w:rFonts w:hint="eastAsia" w:ascii="Arial" w:hAnsi="Arial" w:eastAsia="仿宋" w:cs="Arial"/>
          <w:b/>
          <w:bCs/>
          <w:color w:val="auto"/>
          <w:sz w:val="28"/>
        </w:rPr>
        <w:t>7.价格类型</w:t>
      </w:r>
    </w:p>
    <w:p w14:paraId="733FE182">
      <w:pPr>
        <w:pStyle w:val="90"/>
        <w:adjustRightInd/>
        <w:spacing w:line="300" w:lineRule="auto"/>
        <w:ind w:firstLine="560"/>
        <w:jc w:val="both"/>
        <w:textAlignment w:val="auto"/>
        <w:rPr>
          <w:rFonts w:ascii="Arial" w:hAnsi="Arial" w:eastAsia="仿宋" w:cs="Arial"/>
          <w:color w:val="auto"/>
          <w:sz w:val="28"/>
        </w:rPr>
      </w:pPr>
      <w:r>
        <w:rPr>
          <w:rFonts w:ascii="Arial" w:hAnsi="Arial" w:eastAsia="仿宋" w:cs="Arial"/>
          <w:color w:val="auto"/>
          <w:sz w:val="28"/>
        </w:rPr>
        <w:t>估价对象土地使用权性质为国有土地使用权，现拟办理入市交易手续， 估价结果是土地估价专业评估师按照规定的程序和方法，参照当地正常市 场价格水平，评估出让宗地土地使用权价格，故本次估价设定价格类型为 出让国有建设用地使用权公开市场价格。</w:t>
      </w:r>
    </w:p>
    <w:p w14:paraId="25017EF7">
      <w:pPr>
        <w:pStyle w:val="90"/>
        <w:adjustRightInd/>
        <w:spacing w:line="300" w:lineRule="auto"/>
        <w:ind w:left="560" w:firstLine="0" w:firstLineChars="0"/>
        <w:jc w:val="both"/>
        <w:textAlignment w:val="auto"/>
        <w:rPr>
          <w:rFonts w:ascii="Arial" w:hAnsi="Arial" w:eastAsia="仿宋" w:cs="Arial"/>
          <w:b/>
          <w:bCs/>
          <w:color w:val="auto"/>
          <w:sz w:val="28"/>
          <w:szCs w:val="28"/>
        </w:rPr>
      </w:pPr>
      <w:r>
        <w:rPr>
          <w:rFonts w:hint="eastAsia" w:ascii="Arial" w:hAnsi="Arial" w:eastAsia="仿宋" w:cs="Arial"/>
          <w:b/>
          <w:bCs/>
          <w:color w:val="auto"/>
          <w:sz w:val="28"/>
          <w:szCs w:val="28"/>
        </w:rPr>
        <w:t>8.</w:t>
      </w:r>
      <w:r>
        <w:rPr>
          <w:rFonts w:ascii="Arial" w:hAnsi="Arial" w:eastAsia="仿宋" w:cs="Arial"/>
          <w:b/>
          <w:bCs/>
          <w:color w:val="auto"/>
          <w:sz w:val="28"/>
          <w:szCs w:val="28"/>
        </w:rPr>
        <w:t>地价</w:t>
      </w:r>
      <w:r>
        <w:rPr>
          <w:rFonts w:hint="eastAsia" w:ascii="Arial" w:hAnsi="Arial" w:eastAsia="仿宋" w:cs="Arial"/>
          <w:b/>
          <w:bCs/>
          <w:color w:val="auto"/>
          <w:sz w:val="28"/>
          <w:szCs w:val="28"/>
        </w:rPr>
        <w:t>定义</w:t>
      </w:r>
    </w:p>
    <w:p w14:paraId="3325818F">
      <w:pPr>
        <w:snapToGrid w:val="0"/>
        <w:spacing w:line="300" w:lineRule="auto"/>
        <w:ind w:firstLine="556"/>
        <w:jc w:val="both"/>
        <w:rPr>
          <w:rFonts w:ascii="Arial" w:hAnsi="Arial" w:eastAsia="仿宋" w:cs="Arial"/>
          <w:color w:val="auto"/>
          <w:sz w:val="28"/>
          <w:szCs w:val="28"/>
        </w:rPr>
      </w:pPr>
      <w:r>
        <w:rPr>
          <w:rFonts w:ascii="Arial" w:hAnsi="Arial" w:eastAsia="仿宋" w:cs="Arial"/>
          <w:color w:val="auto"/>
          <w:sz w:val="28"/>
        </w:rPr>
        <w:t>本报告所评估的熟地价为：在公开市场条件下，估价对象宗地在估价期日</w:t>
      </w:r>
      <w:r>
        <w:rPr>
          <w:rFonts w:hint="eastAsia" w:ascii="Arial" w:hAnsi="Arial" w:eastAsia="仿宋" w:cs="Arial"/>
          <w:color w:val="auto"/>
          <w:sz w:val="28"/>
        </w:rPr>
        <w:t>2026年3月26日</w:t>
      </w:r>
      <w:r>
        <w:rPr>
          <w:rFonts w:ascii="Arial" w:hAnsi="Arial" w:eastAsia="仿宋" w:cs="Arial"/>
          <w:color w:val="auto"/>
          <w:sz w:val="28"/>
        </w:rPr>
        <w:t>，在北京市基准地价住宅类九级IX</w:t>
      </w:r>
      <w:r>
        <w:rPr>
          <w:rFonts w:hint="eastAsia" w:ascii="Arial" w:hAnsi="Arial" w:eastAsia="仿宋" w:cs="Arial"/>
          <w:color w:val="auto"/>
          <w:sz w:val="28"/>
        </w:rPr>
        <w:t>－</w:t>
      </w:r>
      <w:r>
        <w:rPr>
          <w:rFonts w:ascii="Arial" w:hAnsi="Arial" w:eastAsia="仿宋" w:cs="Arial"/>
          <w:color w:val="auto"/>
          <w:sz w:val="28"/>
        </w:rPr>
        <w:t>顺5区片、商服类九级IX</w:t>
      </w:r>
      <w:r>
        <w:rPr>
          <w:rFonts w:hint="eastAsia" w:ascii="Arial" w:hAnsi="Arial" w:eastAsia="仿宋" w:cs="Arial"/>
          <w:color w:val="auto"/>
          <w:sz w:val="28"/>
        </w:rPr>
        <w:t>－</w:t>
      </w:r>
      <w:r>
        <w:rPr>
          <w:rFonts w:ascii="Arial" w:hAnsi="Arial" w:eastAsia="仿宋" w:cs="Arial"/>
          <w:color w:val="auto"/>
          <w:sz w:val="28"/>
        </w:rPr>
        <w:t>顺5区片、公共服务类九级IX</w:t>
      </w:r>
      <w:r>
        <w:rPr>
          <w:rFonts w:hint="eastAsia" w:ascii="Arial" w:hAnsi="Arial" w:eastAsia="仿宋" w:cs="Arial"/>
          <w:color w:val="auto"/>
          <w:sz w:val="28"/>
        </w:rPr>
        <w:t>－</w:t>
      </w:r>
      <w:r>
        <w:rPr>
          <w:rFonts w:ascii="Arial" w:hAnsi="Arial" w:eastAsia="仿宋" w:cs="Arial"/>
          <w:color w:val="auto"/>
          <w:sz w:val="28"/>
        </w:rPr>
        <w:t>顺5区片，宗地实际开发程度为宗地外</w:t>
      </w:r>
      <w:r>
        <w:rPr>
          <w:rFonts w:hint="eastAsia" w:ascii="Arial" w:hAnsi="Arial" w:eastAsia="仿宋" w:cs="Arial"/>
          <w:color w:val="auto"/>
          <w:sz w:val="28"/>
        </w:rPr>
        <w:t>“七通”（通路、通上水（自来水、中水）、通下水（雨水、污水）、通电（管沟、电缆）、通讯、通燃气、通热力）</w:t>
      </w:r>
      <w:r>
        <w:rPr>
          <w:rFonts w:ascii="Arial" w:hAnsi="Arial" w:eastAsia="仿宋" w:cs="Arial"/>
          <w:color w:val="auto"/>
          <w:sz w:val="28"/>
        </w:rPr>
        <w:t>，宗地红线内场地平整；根据</w:t>
      </w:r>
      <w:r>
        <w:rPr>
          <w:rFonts w:hint="eastAsia" w:ascii="Arial" w:hAnsi="Arial" w:eastAsia="仿宋_GB2312" w:cs="Arial"/>
          <w:color w:val="auto"/>
          <w:sz w:val="28"/>
          <w:szCs w:val="28"/>
        </w:rPr>
        <w:t>《北京市顺义区人民政府关于顺义区高丽营镇夏县营村棚户区改造土地开发项目01－008、01－016、01－026－1、01－020地块提请地价审核有关事宜的函》</w:t>
      </w:r>
      <w:r>
        <w:rPr>
          <w:rFonts w:ascii="Arial" w:hAnsi="Arial" w:eastAsia="仿宋" w:cs="Arial"/>
          <w:color w:val="auto"/>
          <w:sz w:val="28"/>
        </w:rPr>
        <w:t>，评估设定土地开发程度为宗地外</w:t>
      </w:r>
      <w:r>
        <w:rPr>
          <w:rFonts w:hint="eastAsia" w:ascii="Arial" w:hAnsi="Arial" w:eastAsia="仿宋" w:cs="Arial"/>
          <w:color w:val="auto"/>
          <w:sz w:val="28"/>
        </w:rPr>
        <w:t>“七通”（通路、通上水（自来水、中水）、通下水（雨水、污水）、通电、通讯、通燃气、通热力）</w:t>
      </w:r>
      <w:r>
        <w:rPr>
          <w:rFonts w:ascii="Arial" w:hAnsi="Arial" w:eastAsia="仿宋" w:cs="Arial"/>
          <w:color w:val="auto"/>
          <w:sz w:val="28"/>
        </w:rPr>
        <w:t>，宗地红线内场地平整，规划用地性质为R2二类居住用地，评估设定用途为</w:t>
      </w:r>
      <w:r>
        <w:rPr>
          <w:rFonts w:hint="eastAsia" w:ascii="Arial" w:hAnsi="Arial" w:eastAsia="仿宋" w:cs="Arial"/>
          <w:color w:val="auto"/>
          <w:sz w:val="28"/>
        </w:rPr>
        <w:t>城镇住宅用地、其他商业服务业用地及公共管理与公共服务用地</w:t>
      </w:r>
      <w:r>
        <w:rPr>
          <w:rFonts w:ascii="Arial" w:hAnsi="Arial" w:eastAsia="仿宋" w:cs="Arial"/>
          <w:color w:val="auto"/>
          <w:sz w:val="28"/>
        </w:rPr>
        <w:t>，</w:t>
      </w:r>
      <w:r>
        <w:rPr>
          <w:rFonts w:ascii="Arial" w:hAnsi="Arial" w:eastAsia="仿宋" w:cs="Arial"/>
          <w:color w:val="auto"/>
          <w:sz w:val="28"/>
          <w:szCs w:val="28"/>
        </w:rPr>
        <w:t>评估设定土地使用年限为法定最高使用年限</w:t>
      </w:r>
      <w:r>
        <w:rPr>
          <w:rFonts w:hint="eastAsia" w:ascii="Arial" w:hAnsi="Arial" w:eastAsia="仿宋" w:cs="Arial"/>
          <w:color w:val="auto"/>
          <w:sz w:val="28"/>
          <w:szCs w:val="28"/>
        </w:rPr>
        <w:t>，即城镇住宅用地70年、其他商业服务业用地40年、</w:t>
      </w:r>
      <w:r>
        <w:rPr>
          <w:rFonts w:ascii="Arial" w:hAnsi="Arial" w:eastAsia="仿宋" w:cs="Arial"/>
          <w:color w:val="auto"/>
          <w:sz w:val="28"/>
        </w:rPr>
        <w:t>公共</w:t>
      </w:r>
      <w:r>
        <w:rPr>
          <w:rFonts w:hint="eastAsia" w:ascii="Arial" w:hAnsi="Arial" w:eastAsia="仿宋" w:cs="Arial"/>
          <w:color w:val="auto"/>
          <w:sz w:val="28"/>
        </w:rPr>
        <w:t>管理与公共</w:t>
      </w:r>
      <w:r>
        <w:rPr>
          <w:rFonts w:ascii="Arial" w:hAnsi="Arial" w:eastAsia="仿宋" w:cs="Arial"/>
          <w:color w:val="auto"/>
          <w:sz w:val="28"/>
        </w:rPr>
        <w:t>服务</w:t>
      </w:r>
      <w:r>
        <w:rPr>
          <w:rFonts w:hint="eastAsia" w:ascii="Arial" w:hAnsi="Arial" w:eastAsia="仿宋" w:cs="Arial"/>
          <w:color w:val="auto"/>
          <w:sz w:val="28"/>
        </w:rPr>
        <w:t>用地</w:t>
      </w:r>
      <w:r>
        <w:rPr>
          <w:rFonts w:ascii="Arial" w:hAnsi="Arial" w:eastAsia="仿宋" w:cs="Arial"/>
          <w:color w:val="auto"/>
          <w:sz w:val="28"/>
          <w:szCs w:val="28"/>
        </w:rPr>
        <w:t>50年</w:t>
      </w:r>
      <w:r>
        <w:rPr>
          <w:rFonts w:ascii="Arial" w:hAnsi="Arial" w:eastAsia="仿宋" w:cs="Arial"/>
          <w:color w:val="auto"/>
          <w:sz w:val="28"/>
        </w:rPr>
        <w:t>，土地面积为</w:t>
      </w:r>
      <w:r>
        <w:rPr>
          <w:rFonts w:hint="eastAsia" w:ascii="Arial" w:hAnsi="Arial" w:eastAsia="仿宋" w:cs="Arial"/>
          <w:color w:val="auto"/>
          <w:sz w:val="28"/>
        </w:rPr>
        <w:t>56790.45</w:t>
      </w:r>
      <w:r>
        <w:rPr>
          <w:rFonts w:ascii="Arial" w:hAnsi="Arial" w:eastAsia="仿宋" w:cs="Arial"/>
          <w:color w:val="auto"/>
          <w:sz w:val="28"/>
        </w:rPr>
        <w:t>平方米，01</w:t>
      </w:r>
      <w:r>
        <w:rPr>
          <w:rFonts w:hint="eastAsia" w:ascii="Arial" w:hAnsi="Arial" w:eastAsia="仿宋" w:cs="Arial"/>
          <w:color w:val="auto"/>
          <w:sz w:val="28"/>
        </w:rPr>
        <w:t>－</w:t>
      </w:r>
      <w:r>
        <w:rPr>
          <w:rFonts w:ascii="Arial" w:hAnsi="Arial" w:eastAsia="仿宋" w:cs="Arial"/>
          <w:color w:val="auto"/>
          <w:sz w:val="28"/>
        </w:rPr>
        <w:t>008、01</w:t>
      </w:r>
      <w:r>
        <w:rPr>
          <w:rFonts w:hint="eastAsia" w:ascii="Arial" w:hAnsi="Arial" w:eastAsia="仿宋" w:cs="Arial"/>
          <w:color w:val="auto"/>
          <w:sz w:val="28"/>
        </w:rPr>
        <w:t>－</w:t>
      </w:r>
      <w:r>
        <w:rPr>
          <w:rFonts w:ascii="Arial" w:hAnsi="Arial" w:eastAsia="仿宋" w:cs="Arial"/>
          <w:color w:val="auto"/>
          <w:sz w:val="28"/>
        </w:rPr>
        <w:t>016、01</w:t>
      </w:r>
      <w:r>
        <w:rPr>
          <w:rFonts w:hint="eastAsia" w:ascii="Arial" w:hAnsi="Arial" w:eastAsia="仿宋" w:cs="Arial"/>
          <w:color w:val="auto"/>
          <w:sz w:val="28"/>
        </w:rPr>
        <w:t>－</w:t>
      </w:r>
      <w:r>
        <w:rPr>
          <w:rFonts w:ascii="Arial" w:hAnsi="Arial" w:eastAsia="仿宋" w:cs="Arial"/>
          <w:color w:val="auto"/>
          <w:sz w:val="28"/>
        </w:rPr>
        <w:t>026</w:t>
      </w:r>
      <w:r>
        <w:rPr>
          <w:rFonts w:hint="eastAsia" w:ascii="Arial" w:hAnsi="Arial" w:eastAsia="仿宋" w:cs="Arial"/>
          <w:color w:val="auto"/>
          <w:sz w:val="28"/>
        </w:rPr>
        <w:t>－</w:t>
      </w:r>
      <w:r>
        <w:rPr>
          <w:rFonts w:ascii="Arial" w:hAnsi="Arial" w:eastAsia="仿宋" w:cs="Arial"/>
          <w:color w:val="auto"/>
          <w:sz w:val="28"/>
        </w:rPr>
        <w:t>1地块（R2二类居住用地）容积率为1.2；</w:t>
      </w:r>
      <w:r>
        <w:rPr>
          <w:rFonts w:hint="eastAsia" w:ascii="Arial" w:hAnsi="Arial" w:eastAsia="仿宋" w:cs="Arial"/>
          <w:color w:val="auto"/>
          <w:sz w:val="28"/>
        </w:rPr>
        <w:t>无他项权利限制，</w:t>
      </w:r>
      <w:r>
        <w:rPr>
          <w:rFonts w:ascii="Arial" w:hAnsi="Arial" w:eastAsia="仿宋" w:cs="Arial"/>
          <w:color w:val="auto"/>
          <w:sz w:val="28"/>
        </w:rPr>
        <w:t>在规划利用条件下的出让国有建设用地使用权价格</w:t>
      </w:r>
      <w:r>
        <w:rPr>
          <w:rFonts w:hint="eastAsia" w:ascii="Arial" w:hAnsi="Arial" w:eastAsia="仿宋" w:cs="Arial"/>
          <w:color w:val="auto"/>
          <w:sz w:val="28"/>
        </w:rPr>
        <w:t>。</w:t>
      </w:r>
    </w:p>
    <w:p w14:paraId="67973815">
      <w:pPr>
        <w:snapToGrid w:val="0"/>
        <w:spacing w:line="300" w:lineRule="auto"/>
        <w:ind w:firstLine="556"/>
        <w:jc w:val="both"/>
        <w:rPr>
          <w:rFonts w:ascii="Arial" w:hAnsi="Arial" w:eastAsia="仿宋_GB2312" w:cs="Arial"/>
          <w:color w:val="auto"/>
          <w:sz w:val="28"/>
          <w:szCs w:val="28"/>
        </w:rPr>
      </w:pPr>
    </w:p>
    <w:p w14:paraId="6D81B436">
      <w:pPr>
        <w:spacing w:line="300" w:lineRule="auto"/>
        <w:jc w:val="both"/>
        <w:outlineLvl w:val="1"/>
        <w:rPr>
          <w:rFonts w:ascii="Arial" w:hAnsi="Arial" w:eastAsia="仿宋_GB2312" w:cs="Arial"/>
          <w:color w:val="auto"/>
          <w:sz w:val="28"/>
        </w:rPr>
      </w:pPr>
      <w:bookmarkStart w:id="297" w:name="_Toc132016631"/>
      <w:bookmarkStart w:id="298" w:name="_Toc515457810"/>
      <w:bookmarkStart w:id="299" w:name="_Toc138063019"/>
      <w:bookmarkStart w:id="300" w:name="_Toc132016748"/>
      <w:bookmarkStart w:id="301" w:name="_Toc416783576"/>
      <w:bookmarkStart w:id="302" w:name="_Toc416783672"/>
      <w:bookmarkStart w:id="303" w:name="_Toc516488188"/>
      <w:bookmarkStart w:id="304" w:name="_Toc469066158"/>
      <w:r>
        <w:rPr>
          <w:rFonts w:ascii="Arial" w:hAnsi="Arial" w:eastAsia="仿宋_GB2312" w:cs="Arial"/>
          <w:b/>
          <w:color w:val="auto"/>
          <w:sz w:val="28"/>
        </w:rPr>
        <w:t>九、估价结果</w:t>
      </w:r>
      <w:bookmarkEnd w:id="297"/>
      <w:bookmarkEnd w:id="298"/>
      <w:bookmarkEnd w:id="299"/>
      <w:bookmarkEnd w:id="300"/>
      <w:bookmarkEnd w:id="301"/>
      <w:bookmarkEnd w:id="302"/>
      <w:bookmarkEnd w:id="303"/>
      <w:bookmarkEnd w:id="304"/>
    </w:p>
    <w:p w14:paraId="69C491F5">
      <w:pPr>
        <w:spacing w:line="300" w:lineRule="auto"/>
        <w:ind w:firstLine="562" w:firstLineChars="200"/>
        <w:jc w:val="both"/>
        <w:rPr>
          <w:rFonts w:ascii="Arial" w:hAnsi="Arial" w:eastAsia="仿宋_GB2312" w:cs="Arial"/>
          <w:color w:val="auto"/>
          <w:kern w:val="2"/>
          <w:sz w:val="28"/>
        </w:rPr>
      </w:pPr>
      <w:bookmarkStart w:id="305" w:name="_Toc416783580"/>
      <w:bookmarkStart w:id="306" w:name="_Toc416783676"/>
      <w:r>
        <w:rPr>
          <w:rFonts w:ascii="黑体" w:hAnsi="黑体" w:eastAsia="黑体" w:cs="Arial"/>
          <w:b/>
          <w:color w:val="auto"/>
          <w:sz w:val="28"/>
        </w:rPr>
        <w:t>估价对象位于北京市基准地价住宅</w:t>
      </w:r>
      <w:r>
        <w:rPr>
          <w:rFonts w:hint="eastAsia" w:ascii="黑体" w:hAnsi="黑体" w:eastAsia="黑体" w:cs="Arial"/>
          <w:b/>
          <w:color w:val="auto"/>
          <w:sz w:val="28"/>
        </w:rPr>
        <w:t>九级（IX－顺5）</w:t>
      </w:r>
      <w:r>
        <w:rPr>
          <w:rFonts w:ascii="黑体" w:hAnsi="黑体" w:eastAsia="黑体" w:cs="Arial"/>
          <w:b/>
          <w:color w:val="auto"/>
          <w:sz w:val="28"/>
        </w:rPr>
        <w:t>、</w:t>
      </w:r>
      <w:r>
        <w:rPr>
          <w:rFonts w:hint="eastAsia" w:ascii="黑体" w:hAnsi="黑体" w:eastAsia="黑体" w:cs="Arial"/>
          <w:b/>
          <w:color w:val="auto"/>
          <w:sz w:val="28"/>
        </w:rPr>
        <w:t>其他商业服务业用地九级（IX－顺5）</w:t>
      </w:r>
      <w:r>
        <w:rPr>
          <w:rFonts w:ascii="黑体" w:hAnsi="黑体" w:eastAsia="黑体" w:cs="Arial"/>
          <w:b/>
          <w:color w:val="auto"/>
          <w:sz w:val="28"/>
        </w:rPr>
        <w:t>、</w:t>
      </w:r>
      <w:r>
        <w:rPr>
          <w:rFonts w:hint="eastAsia" w:ascii="黑体" w:hAnsi="黑体" w:eastAsia="黑体" w:cs="Arial"/>
          <w:b/>
          <w:color w:val="auto"/>
          <w:sz w:val="28"/>
        </w:rPr>
        <w:t>公共服务九级（IX－顺5）</w:t>
      </w:r>
      <w:r>
        <w:rPr>
          <w:rFonts w:ascii="黑体" w:hAnsi="黑体" w:eastAsia="黑体" w:cs="Arial"/>
          <w:b/>
          <w:color w:val="auto"/>
          <w:sz w:val="28"/>
        </w:rPr>
        <w:t>范围内</w:t>
      </w:r>
      <w:r>
        <w:rPr>
          <w:rFonts w:ascii="Arial" w:hAnsi="Arial" w:eastAsia="黑体" w:cs="Arial"/>
          <w:b/>
          <w:color w:val="auto"/>
          <w:sz w:val="28"/>
        </w:rPr>
        <w:t>。</w:t>
      </w:r>
      <w:r>
        <w:rPr>
          <w:rFonts w:ascii="Arial" w:hAnsi="Arial" w:eastAsia="仿宋_GB2312" w:cs="Arial"/>
          <w:color w:val="auto"/>
          <w:kern w:val="2"/>
          <w:sz w:val="28"/>
        </w:rPr>
        <w:t>土地估价专业评估师根据估价的目的，按照估价的程序，采用科学的估价方法（基准地价系数修正法和剩余法），在认真分析现有资料的基础上，通过仔细测算和认真分析各种影响</w:t>
      </w:r>
      <w:r>
        <w:rPr>
          <w:rFonts w:ascii="Arial" w:hAnsi="Arial" w:eastAsia="仿宋_GB2312" w:cs="Arial"/>
          <w:color w:val="auto"/>
          <w:sz w:val="28"/>
        </w:rPr>
        <w:t>土地</w:t>
      </w:r>
      <w:r>
        <w:rPr>
          <w:rFonts w:ascii="Arial" w:hAnsi="Arial" w:eastAsia="仿宋_GB2312" w:cs="Arial"/>
          <w:color w:val="auto"/>
          <w:kern w:val="2"/>
          <w:sz w:val="28"/>
        </w:rPr>
        <w:t>价格的因素，确定</w:t>
      </w:r>
      <w:r>
        <w:rPr>
          <w:rFonts w:ascii="Arial" w:hAnsi="Arial" w:eastAsia="仿宋_GB2312" w:cs="Arial"/>
          <w:color w:val="auto"/>
          <w:sz w:val="28"/>
        </w:rPr>
        <w:t>估价对象于估价期日</w:t>
      </w:r>
      <w:r>
        <w:rPr>
          <w:rFonts w:hint="eastAsia" w:ascii="Arial" w:hAnsi="Arial" w:eastAsia="仿宋_GB2312" w:cs="Arial"/>
          <w:color w:val="auto"/>
          <w:sz w:val="28"/>
        </w:rPr>
        <w:t>2026年3月26日</w:t>
      </w:r>
      <w:r>
        <w:rPr>
          <w:rFonts w:ascii="Arial" w:hAnsi="Arial" w:eastAsia="仿宋_GB2312" w:cs="Arial"/>
          <w:color w:val="auto"/>
          <w:sz w:val="28"/>
        </w:rPr>
        <w:t>的</w:t>
      </w:r>
      <w:r>
        <w:rPr>
          <w:rFonts w:hint="eastAsia" w:ascii="Arial" w:hAnsi="Arial" w:eastAsia="仿宋_GB2312" w:cs="Arial"/>
          <w:color w:val="auto"/>
          <w:kern w:val="2"/>
          <w:sz w:val="28"/>
        </w:rPr>
        <w:t>地价结果</w:t>
      </w:r>
      <w:r>
        <w:rPr>
          <w:rFonts w:ascii="Arial" w:hAnsi="Arial" w:eastAsia="仿宋_GB2312" w:cs="Arial"/>
          <w:color w:val="auto"/>
          <w:kern w:val="2"/>
          <w:sz w:val="28"/>
        </w:rPr>
        <w:t>为：</w:t>
      </w:r>
      <w:r>
        <w:rPr>
          <w:rFonts w:hint="eastAsia" w:ascii="Arial" w:hAnsi="Arial" w:eastAsia="仿宋_GB2312" w:cs="Arial"/>
          <w:color w:val="auto"/>
          <w:kern w:val="2"/>
          <w:sz w:val="28"/>
        </w:rPr>
        <w:t>（币种：人民币）</w:t>
      </w:r>
    </w:p>
    <w:p w14:paraId="22E715DD">
      <w:pPr>
        <w:snapToGrid w:val="0"/>
        <w:spacing w:before="120" w:beforeLines="50" w:line="288" w:lineRule="auto"/>
        <w:ind w:firstLine="562" w:firstLineChars="200"/>
        <w:rPr>
          <w:rFonts w:ascii="Arial" w:hAnsi="Arial" w:eastAsia="仿宋_GB2312" w:cs="Arial"/>
          <w:color w:val="auto"/>
          <w:kern w:val="2"/>
          <w:sz w:val="28"/>
        </w:rPr>
      </w:pPr>
      <w:r>
        <w:rPr>
          <w:rFonts w:hint="eastAsia" w:ascii="Arial" w:hAnsi="Arial" w:eastAsia="仿宋_GB2312" w:cs="Arial"/>
          <w:b/>
          <w:bCs/>
          <w:color w:val="auto"/>
          <w:kern w:val="2"/>
          <w:sz w:val="28"/>
        </w:rPr>
        <w:t>规划总建设用地面积：</w:t>
      </w:r>
      <w:r>
        <w:rPr>
          <w:rFonts w:hint="eastAsia" w:ascii="Arial" w:hAnsi="Arial" w:eastAsia="仿宋_GB2312" w:cs="Arial"/>
          <w:color w:val="auto"/>
          <w:kern w:val="2"/>
          <w:sz w:val="28"/>
        </w:rPr>
        <w:t>60990.43平方米</w:t>
      </w:r>
    </w:p>
    <w:p w14:paraId="13C70700">
      <w:pPr>
        <w:snapToGrid w:val="0"/>
        <w:spacing w:before="120" w:beforeLines="50" w:line="288" w:lineRule="auto"/>
        <w:ind w:firstLine="562" w:firstLineChars="200"/>
        <w:rPr>
          <w:rFonts w:ascii="Arial" w:hAnsi="Arial" w:eastAsia="仿宋_GB2312" w:cs="Arial"/>
          <w:color w:val="auto"/>
          <w:kern w:val="2"/>
          <w:sz w:val="28"/>
        </w:rPr>
      </w:pPr>
      <w:r>
        <w:rPr>
          <w:rFonts w:hint="eastAsia" w:ascii="Arial" w:hAnsi="Arial" w:eastAsia="仿宋_GB2312" w:cs="Arial"/>
          <w:b/>
          <w:bCs/>
          <w:color w:val="auto"/>
          <w:kern w:val="2"/>
          <w:sz w:val="28"/>
        </w:rPr>
        <w:t>规划总建筑面积：</w:t>
      </w:r>
      <w:r>
        <w:rPr>
          <w:rFonts w:hint="eastAsia" w:ascii="Arial" w:hAnsi="Arial" w:eastAsia="仿宋_GB2312" w:cs="Arial"/>
          <w:color w:val="auto"/>
          <w:kern w:val="2"/>
          <w:sz w:val="28"/>
        </w:rPr>
        <w:t>71508.52平方米</w:t>
      </w:r>
    </w:p>
    <w:p w14:paraId="15A08F9A">
      <w:pPr>
        <w:snapToGrid w:val="0"/>
        <w:spacing w:before="120" w:beforeLines="50" w:line="288" w:lineRule="auto"/>
        <w:ind w:firstLine="840" w:firstLineChars="300"/>
        <w:rPr>
          <w:rFonts w:ascii="Arial" w:hAnsi="Arial" w:eastAsia="仿宋_GB2312" w:cs="Arial"/>
          <w:b/>
          <w:color w:val="auto"/>
          <w:kern w:val="2"/>
          <w:sz w:val="28"/>
        </w:rPr>
      </w:pPr>
      <w:r>
        <w:rPr>
          <w:rFonts w:hint="eastAsia" w:ascii="Arial" w:hAnsi="Arial" w:eastAsia="仿宋_GB2312" w:cs="Arial"/>
          <w:color w:val="auto"/>
          <w:kern w:val="2"/>
          <w:sz w:val="28"/>
        </w:rPr>
        <w:t>其中，经营性建筑面积：68148.54平方米</w:t>
      </w:r>
    </w:p>
    <w:p w14:paraId="55C78782">
      <w:pPr>
        <w:snapToGrid w:val="0"/>
        <w:spacing w:line="288" w:lineRule="auto"/>
        <w:ind w:firstLine="562" w:firstLineChars="200"/>
        <w:rPr>
          <w:rFonts w:ascii="Arial" w:hAnsi="Arial" w:eastAsia="仿宋_GB2312" w:cs="Arial"/>
          <w:b/>
          <w:color w:val="auto"/>
          <w:kern w:val="2"/>
          <w:sz w:val="28"/>
        </w:rPr>
      </w:pPr>
      <w:r>
        <w:rPr>
          <w:rFonts w:ascii="Arial" w:hAnsi="Arial" w:eastAsia="仿宋_GB2312" w:cs="Arial"/>
          <w:b/>
          <w:color w:val="auto"/>
          <w:kern w:val="2"/>
          <w:sz w:val="28"/>
        </w:rPr>
        <w:t>熟地</w:t>
      </w:r>
      <w:r>
        <w:rPr>
          <w:rFonts w:hint="eastAsia" w:ascii="Arial" w:hAnsi="Arial" w:eastAsia="仿宋_GB2312" w:cs="Arial"/>
          <w:b/>
          <w:color w:val="auto"/>
          <w:kern w:val="2"/>
          <w:sz w:val="28"/>
        </w:rPr>
        <w:t>总</w:t>
      </w:r>
      <w:r>
        <w:rPr>
          <w:rFonts w:ascii="Arial" w:hAnsi="Arial" w:eastAsia="仿宋_GB2312" w:cs="Arial"/>
          <w:b/>
          <w:color w:val="auto"/>
          <w:kern w:val="2"/>
          <w:sz w:val="28"/>
        </w:rPr>
        <w:t>价：</w:t>
      </w:r>
    </w:p>
    <w:p w14:paraId="129565FC">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熟地价总额：</w:t>
      </w:r>
      <w:r>
        <w:rPr>
          <w:rFonts w:hint="eastAsia" w:ascii="Arial" w:hAnsi="Arial" w:eastAsia="仿宋_GB2312" w:cs="Arial"/>
          <w:color w:val="auto"/>
          <w:kern w:val="2"/>
          <w:sz w:val="28"/>
        </w:rPr>
        <w:t>74568.1325</w:t>
      </w:r>
      <w:r>
        <w:rPr>
          <w:rFonts w:ascii="Arial" w:hAnsi="Arial" w:eastAsia="仿宋_GB2312" w:cs="Arial"/>
          <w:color w:val="auto"/>
          <w:kern w:val="2"/>
          <w:sz w:val="28"/>
        </w:rPr>
        <w:t xml:space="preserve"> 万元</w:t>
      </w:r>
    </w:p>
    <w:p w14:paraId="00729A5A">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大写金额：</w:t>
      </w:r>
      <w:r>
        <w:rPr>
          <w:rFonts w:hint="eastAsia" w:ascii="Arial" w:hAnsi="Arial" w:eastAsia="仿宋_GB2312" w:cs="Arial"/>
          <w:color w:val="auto"/>
          <w:kern w:val="2"/>
          <w:sz w:val="28"/>
        </w:rPr>
        <w:t>柒亿肆仟伍佰陆拾捌万壹仟叁佰贰拾伍</w:t>
      </w:r>
      <w:r>
        <w:rPr>
          <w:rFonts w:ascii="Arial" w:hAnsi="Arial" w:eastAsia="仿宋_GB2312" w:cs="Arial"/>
          <w:color w:val="auto"/>
          <w:kern w:val="2"/>
          <w:sz w:val="28"/>
        </w:rPr>
        <w:t>元整</w:t>
      </w:r>
    </w:p>
    <w:p w14:paraId="56FC84B3">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楼面地价：10942元/平方米</w:t>
      </w:r>
    </w:p>
    <w:p w14:paraId="1E92531B">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城镇住宅用地：</w:t>
      </w:r>
    </w:p>
    <w:p w14:paraId="58F24A91">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熟地价总额：</w:t>
      </w:r>
      <w:r>
        <w:rPr>
          <w:rFonts w:hint="eastAsia" w:ascii="Arial" w:hAnsi="Arial" w:eastAsia="仿宋_GB2312" w:cs="Arial"/>
          <w:color w:val="auto"/>
          <w:kern w:val="2"/>
          <w:sz w:val="28"/>
        </w:rPr>
        <w:t>74568.1325</w:t>
      </w:r>
      <w:r>
        <w:rPr>
          <w:rFonts w:ascii="Arial" w:hAnsi="Arial" w:eastAsia="仿宋_GB2312" w:cs="Arial"/>
          <w:color w:val="auto"/>
          <w:kern w:val="2"/>
          <w:sz w:val="28"/>
        </w:rPr>
        <w:t xml:space="preserve"> 万元</w:t>
      </w:r>
    </w:p>
    <w:p w14:paraId="092D3014">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大写金额：</w:t>
      </w:r>
      <w:r>
        <w:rPr>
          <w:rFonts w:hint="eastAsia" w:ascii="Arial" w:hAnsi="Arial" w:eastAsia="仿宋_GB2312" w:cs="Arial"/>
          <w:color w:val="auto"/>
          <w:kern w:val="2"/>
          <w:sz w:val="28"/>
        </w:rPr>
        <w:t>柒亿肆仟伍佰陆拾捌万壹仟叁佰贰拾伍</w:t>
      </w:r>
      <w:r>
        <w:rPr>
          <w:rFonts w:ascii="Arial" w:hAnsi="Arial" w:eastAsia="仿宋_GB2312" w:cs="Arial"/>
          <w:color w:val="auto"/>
          <w:kern w:val="2"/>
          <w:sz w:val="28"/>
        </w:rPr>
        <w:t>元整</w:t>
      </w:r>
    </w:p>
    <w:p w14:paraId="10E38BB8">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楼面地价：10942元/平方米</w:t>
      </w:r>
    </w:p>
    <w:p w14:paraId="22656ABD">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其他商业服务业用地</w:t>
      </w:r>
    </w:p>
    <w:p w14:paraId="16EDACCC">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楼面地价：5295元/平方米</w:t>
      </w:r>
    </w:p>
    <w:p w14:paraId="3599F3E0">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公共管理与公共服务用地</w:t>
      </w:r>
    </w:p>
    <w:p w14:paraId="2F6B4C4D">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楼面地价：3249元/平方米</w:t>
      </w:r>
    </w:p>
    <w:p w14:paraId="03B4B9FF">
      <w:pPr>
        <w:snapToGrid w:val="0"/>
        <w:spacing w:before="120" w:beforeLines="50" w:line="288" w:lineRule="auto"/>
        <w:ind w:firstLine="560" w:firstLineChars="200"/>
        <w:rPr>
          <w:rFonts w:ascii="Arial" w:hAnsi="Arial" w:eastAsia="仿宋_GB2312" w:cs="Arial"/>
          <w:color w:val="auto"/>
          <w:kern w:val="2"/>
          <w:sz w:val="28"/>
        </w:rPr>
      </w:pPr>
      <w:r>
        <w:rPr>
          <w:rFonts w:ascii="Arial" w:hAnsi="Arial" w:eastAsia="仿宋_GB2312" w:cs="Arial"/>
          <w:color w:val="auto"/>
          <w:kern w:val="2"/>
          <w:sz w:val="28"/>
        </w:rPr>
        <w:t>详见《估价结果汇总表》</w:t>
      </w:r>
    </w:p>
    <w:p w14:paraId="568C324F">
      <w:pPr>
        <w:snapToGrid w:val="0"/>
        <w:spacing w:before="120" w:beforeLines="50" w:line="300"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根据北京市顺义区人民政府《北京市顺义区人民政府关于顺义区高丽营镇夏县营村棚户区改造土地开发项目01－008、01－016、01－026－1、01－020地块提请地价审核有关事宜的函》，本项目不存在回迁、回购等实物补偿内容。</w:t>
      </w:r>
    </w:p>
    <w:p w14:paraId="16361F63">
      <w:pPr>
        <w:snapToGrid w:val="0"/>
        <w:spacing w:before="120" w:beforeLines="50" w:line="300" w:lineRule="auto"/>
        <w:ind w:firstLine="560" w:firstLineChars="200"/>
        <w:rPr>
          <w:rFonts w:ascii="Arial" w:hAnsi="Arial" w:eastAsia="仿宋_GB2312" w:cs="Arial"/>
          <w:b/>
          <w:color w:val="auto"/>
          <w:kern w:val="2"/>
          <w:sz w:val="28"/>
        </w:rPr>
      </w:pPr>
      <w:r>
        <w:rPr>
          <w:rFonts w:hint="eastAsia" w:ascii="Arial" w:hAnsi="Arial" w:eastAsia="仿宋_GB2312" w:cs="Arial"/>
          <w:color w:val="auto"/>
          <w:sz w:val="28"/>
          <w:szCs w:val="28"/>
        </w:rPr>
        <w:t>根据《自然资源部 国家林业和草原局关于进一步做好自然资源要素保障的通知》（自然资办发（2026）38号），通过强化国土空间规划弹性、优化审批流程、优先保障国家重大项目及重点领域新增用地指标，并严格执行耕地占补平衡，旨在提升自然资源要素配置效率。其对新增供地市场的影响在于：在严守资源安全底线前提下，为有效投资和合理建设需求开辟“绿色通道”，推动土地供应更加精准、高效地向高质量发展领域倾斜，促进土地节约集约利用，实现“保护”与“保障”的动态平衡，推动行业从粗放规模扩张转向高质量内涵式发展。</w:t>
      </w:r>
    </w:p>
    <w:p w14:paraId="0E8975F8">
      <w:pPr>
        <w:snapToGrid w:val="0"/>
        <w:spacing w:before="120" w:beforeLines="50" w:line="288" w:lineRule="auto"/>
        <w:ind w:firstLine="560" w:firstLineChars="200"/>
        <w:jc w:val="both"/>
        <w:rPr>
          <w:rFonts w:ascii="Arial" w:hAnsi="Arial" w:eastAsia="仿宋_GB2312" w:cs="Arial"/>
          <w:color w:val="auto"/>
          <w:sz w:val="28"/>
        </w:rPr>
      </w:pPr>
      <w:r>
        <w:rPr>
          <w:rFonts w:hint="eastAsia" w:ascii="Arial" w:hAnsi="Arial" w:eastAsia="仿宋_GB2312" w:cs="Arial"/>
          <w:color w:val="auto"/>
          <w:kern w:val="2"/>
          <w:sz w:val="28"/>
        </w:rPr>
        <w:t>根据《北京市国有建设用地使用权出让地价评估技术导则》（2026年2月10日实施）</w:t>
      </w:r>
      <w:r>
        <w:rPr>
          <w:rFonts w:hint="eastAsia" w:ascii="Arial" w:hAnsi="Arial" w:eastAsia="仿宋" w:cs="Arial"/>
          <w:color w:val="auto"/>
          <w:sz w:val="28"/>
          <w:szCs w:val="28"/>
        </w:rPr>
        <w:t>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_GB2312" w:cs="Arial"/>
          <w:color w:val="auto"/>
          <w:kern w:val="2"/>
          <w:sz w:val="28"/>
        </w:rPr>
        <w:t>其他商服、公共服务用途统一地价水平确定其配套服务设施部分的熟地单价，按就高原则确定价格水平，后续也不涉及其他商服及公共服务用途之间地价款调整问题。</w:t>
      </w:r>
      <w:r>
        <w:rPr>
          <w:rFonts w:hint="eastAsia" w:ascii="Arial" w:hAnsi="Arial" w:eastAsia="仿宋" w:cs="Arial"/>
          <w:color w:val="auto"/>
          <w:sz w:val="28"/>
        </w:rPr>
        <w:t>”</w:t>
      </w:r>
    </w:p>
    <w:p w14:paraId="00FD4412">
      <w:pPr>
        <w:snapToGrid w:val="0"/>
        <w:spacing w:before="120" w:beforeLines="50" w:line="288" w:lineRule="auto"/>
        <w:ind w:firstLine="560" w:firstLineChars="200"/>
        <w:jc w:val="both"/>
        <w:rPr>
          <w:rFonts w:ascii="Arial" w:hAnsi="Arial" w:eastAsia="仿宋_GB2312" w:cs="Arial"/>
          <w:color w:val="auto"/>
          <w:kern w:val="2"/>
          <w:sz w:val="28"/>
        </w:rPr>
      </w:pPr>
      <w:r>
        <w:rPr>
          <w:rFonts w:hint="eastAsia" w:ascii="Arial" w:hAnsi="Arial" w:eastAsia="仿宋_GB2312" w:cs="Arial"/>
          <w:color w:val="auto"/>
          <w:kern w:val="2"/>
          <w:sz w:val="28"/>
        </w:rPr>
        <w:t>根据本次估价目的和出让评估要求，本次评估估价对象熟地总价时按城镇住宅用地测算结果作为最终估价结果，其他商业服务业用地、公共管理与公共服务用地仅测算列示楼面地价。具体估价结果如下表所示：</w:t>
      </w:r>
    </w:p>
    <w:p w14:paraId="641FEB34">
      <w:pPr>
        <w:rPr>
          <w:rFonts w:ascii="Arial" w:hAnsi="Arial" w:eastAsia="仿宋_GB2312" w:cs="Arial"/>
          <w:color w:val="auto"/>
          <w:kern w:val="2"/>
          <w:sz w:val="28"/>
        </w:rPr>
      </w:pPr>
      <w:r>
        <w:rPr>
          <w:rFonts w:hint="eastAsia" w:ascii="Arial" w:hAnsi="Arial" w:eastAsia="仿宋_GB2312" w:cs="Arial"/>
          <w:color w:val="auto"/>
          <w:kern w:val="2"/>
          <w:sz w:val="28"/>
        </w:rPr>
        <w:br w:type="page"/>
      </w:r>
    </w:p>
    <w:tbl>
      <w:tblPr>
        <w:tblStyle w:val="34"/>
        <w:tblW w:w="9072" w:type="dxa"/>
        <w:jc w:val="center"/>
        <w:tblLayout w:type="fixed"/>
        <w:tblCellMar>
          <w:top w:w="0" w:type="dxa"/>
          <w:left w:w="108" w:type="dxa"/>
          <w:bottom w:w="0" w:type="dxa"/>
          <w:right w:w="108" w:type="dxa"/>
        </w:tblCellMar>
      </w:tblPr>
      <w:tblGrid>
        <w:gridCol w:w="3710"/>
        <w:gridCol w:w="1848"/>
        <w:gridCol w:w="1932"/>
        <w:gridCol w:w="1582"/>
      </w:tblGrid>
      <w:tr w14:paraId="14580CE3">
        <w:tblPrEx>
          <w:tblCellMar>
            <w:top w:w="0" w:type="dxa"/>
            <w:left w:w="108" w:type="dxa"/>
            <w:bottom w:w="0" w:type="dxa"/>
            <w:right w:w="108" w:type="dxa"/>
          </w:tblCellMar>
        </w:tblPrEx>
        <w:trPr>
          <w:trHeight w:val="1125" w:hRule="atLeast"/>
          <w:jc w:val="center"/>
        </w:trPr>
        <w:tc>
          <w:tcPr>
            <w:tcW w:w="9072" w:type="dxa"/>
            <w:gridSpan w:val="4"/>
            <w:tcBorders>
              <w:top w:val="nil"/>
              <w:left w:val="nil"/>
              <w:bottom w:val="single" w:color="auto" w:sz="4" w:space="0"/>
              <w:right w:val="nil"/>
            </w:tcBorders>
            <w:shd w:val="clear" w:color="auto" w:fill="auto"/>
            <w:vAlign w:val="center"/>
          </w:tcPr>
          <w:p w14:paraId="2134ED82">
            <w:pPr>
              <w:widowControl/>
              <w:adjustRightInd/>
              <w:spacing w:line="300" w:lineRule="auto"/>
              <w:jc w:val="both"/>
              <w:textAlignment w:val="auto"/>
              <w:rPr>
                <w:rFonts w:ascii="Arial" w:hAnsi="Arial" w:eastAsia="黑体" w:cs="Arial"/>
                <w:color w:val="auto"/>
                <w:sz w:val="28"/>
                <w:szCs w:val="28"/>
              </w:rPr>
            </w:pPr>
            <w:r>
              <w:rPr>
                <w:rFonts w:hint="eastAsia" w:ascii="Arial" w:hAnsi="Arial" w:eastAsia="仿宋_GB2312" w:cs="Arial"/>
                <w:b/>
                <w:bCs/>
                <w:color w:val="auto"/>
                <w:sz w:val="28"/>
              </w:rPr>
              <w:t>北京市顺义区高丽营镇夏县营村棚户区改造土地开发项目01－008、01－016、01－026－1、01－020地块R2二类居住用地、A334托幼用地国有建设用地使用权</w:t>
            </w:r>
            <w:r>
              <w:rPr>
                <w:rFonts w:ascii="Arial" w:hAnsi="Arial" w:eastAsia="仿宋_GB2312" w:cs="Arial"/>
                <w:b/>
                <w:bCs/>
                <w:color w:val="auto"/>
                <w:sz w:val="28"/>
              </w:rPr>
              <w:t>估价结果汇总表</w:t>
            </w:r>
          </w:p>
        </w:tc>
      </w:tr>
      <w:tr w14:paraId="56356FB0">
        <w:tblPrEx>
          <w:tblCellMar>
            <w:top w:w="0" w:type="dxa"/>
            <w:left w:w="108" w:type="dxa"/>
            <w:bottom w:w="0" w:type="dxa"/>
            <w:right w:w="108" w:type="dxa"/>
          </w:tblCellMar>
        </w:tblPrEx>
        <w:trPr>
          <w:trHeight w:val="675" w:hRule="atLeast"/>
          <w:jc w:val="center"/>
        </w:trPr>
        <w:tc>
          <w:tcPr>
            <w:tcW w:w="3710" w:type="dxa"/>
            <w:tcBorders>
              <w:top w:val="nil"/>
              <w:left w:val="single" w:color="auto" w:sz="4" w:space="0"/>
              <w:bottom w:val="single" w:color="auto" w:sz="4" w:space="0"/>
              <w:right w:val="single" w:color="auto" w:sz="4" w:space="0"/>
            </w:tcBorders>
            <w:shd w:val="clear" w:color="auto" w:fill="auto"/>
            <w:vAlign w:val="center"/>
          </w:tcPr>
          <w:p w14:paraId="4F95AC4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地价类型</w:t>
            </w:r>
            <w:r>
              <w:rPr>
                <w:rFonts w:ascii="Arial" w:hAnsi="Arial" w:eastAsia="仿宋_GB2312" w:cs="Arial"/>
                <w:color w:val="auto"/>
                <w:szCs w:val="24"/>
              </w:rPr>
              <w:t>　</w:t>
            </w:r>
          </w:p>
        </w:tc>
        <w:tc>
          <w:tcPr>
            <w:tcW w:w="1848" w:type="dxa"/>
            <w:tcBorders>
              <w:top w:val="nil"/>
              <w:left w:val="nil"/>
              <w:bottom w:val="single" w:color="auto" w:sz="4" w:space="0"/>
              <w:right w:val="single" w:color="auto" w:sz="4" w:space="0"/>
            </w:tcBorders>
            <w:shd w:val="clear" w:color="auto" w:fill="auto"/>
            <w:vAlign w:val="center"/>
          </w:tcPr>
          <w:p w14:paraId="0345A2B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楼面地价</w:t>
            </w:r>
            <w:r>
              <w:rPr>
                <w:rFonts w:ascii="Arial" w:hAnsi="Arial" w:eastAsia="仿宋_GB2312" w:cs="Arial"/>
                <w:color w:val="auto"/>
                <w:szCs w:val="24"/>
              </w:rPr>
              <w:br w:type="textWrapping"/>
            </w:r>
            <w:r>
              <w:rPr>
                <w:rFonts w:ascii="Arial" w:hAnsi="Arial" w:eastAsia="仿宋_GB2312" w:cs="Arial"/>
                <w:color w:val="auto"/>
                <w:szCs w:val="24"/>
              </w:rPr>
              <w:t>（元/平方米）</w:t>
            </w:r>
          </w:p>
        </w:tc>
        <w:tc>
          <w:tcPr>
            <w:tcW w:w="1932" w:type="dxa"/>
            <w:tcBorders>
              <w:top w:val="nil"/>
              <w:left w:val="nil"/>
              <w:bottom w:val="single" w:color="auto" w:sz="4" w:space="0"/>
              <w:right w:val="single" w:color="auto" w:sz="4" w:space="0"/>
            </w:tcBorders>
            <w:shd w:val="clear" w:color="auto" w:fill="auto"/>
            <w:vAlign w:val="center"/>
          </w:tcPr>
          <w:p w14:paraId="26CFBB8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经营性</w:t>
            </w:r>
            <w:r>
              <w:rPr>
                <w:rFonts w:ascii="Arial" w:hAnsi="Arial" w:eastAsia="仿宋_GB2312" w:cs="Arial"/>
                <w:color w:val="auto"/>
                <w:szCs w:val="24"/>
              </w:rPr>
              <w:t>建筑规模</w:t>
            </w:r>
            <w:r>
              <w:rPr>
                <w:rFonts w:ascii="Arial" w:hAnsi="Arial" w:eastAsia="仿宋_GB2312" w:cs="Arial"/>
                <w:color w:val="auto"/>
                <w:szCs w:val="24"/>
              </w:rPr>
              <w:br w:type="textWrapping"/>
            </w:r>
            <w:r>
              <w:rPr>
                <w:rFonts w:ascii="Arial" w:hAnsi="Arial" w:eastAsia="仿宋_GB2312" w:cs="Arial"/>
                <w:color w:val="auto"/>
                <w:szCs w:val="24"/>
              </w:rPr>
              <w:t>（平方米）</w:t>
            </w:r>
          </w:p>
        </w:tc>
        <w:tc>
          <w:tcPr>
            <w:tcW w:w="1582" w:type="dxa"/>
            <w:tcBorders>
              <w:top w:val="nil"/>
              <w:left w:val="nil"/>
              <w:bottom w:val="single" w:color="auto" w:sz="4" w:space="0"/>
              <w:right w:val="single" w:color="auto" w:sz="4" w:space="0"/>
            </w:tcBorders>
            <w:shd w:val="clear" w:color="auto" w:fill="auto"/>
            <w:vAlign w:val="center"/>
          </w:tcPr>
          <w:p w14:paraId="6CF1FCF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熟地</w:t>
            </w:r>
            <w:r>
              <w:rPr>
                <w:rFonts w:ascii="Arial" w:hAnsi="Arial" w:eastAsia="仿宋_GB2312" w:cs="Arial"/>
                <w:color w:val="auto"/>
                <w:szCs w:val="24"/>
              </w:rPr>
              <w:t>总价</w:t>
            </w:r>
            <w:r>
              <w:rPr>
                <w:rFonts w:ascii="Arial" w:hAnsi="Arial" w:eastAsia="仿宋_GB2312" w:cs="Arial"/>
                <w:color w:val="auto"/>
                <w:szCs w:val="24"/>
              </w:rPr>
              <w:br w:type="textWrapping"/>
            </w:r>
            <w:r>
              <w:rPr>
                <w:rFonts w:ascii="Arial" w:hAnsi="Arial" w:eastAsia="仿宋_GB2312" w:cs="Arial"/>
                <w:color w:val="auto"/>
                <w:szCs w:val="24"/>
              </w:rPr>
              <w:t>（万元）</w:t>
            </w:r>
          </w:p>
        </w:tc>
      </w:tr>
      <w:tr w14:paraId="744D3A5D">
        <w:tblPrEx>
          <w:tblCellMar>
            <w:top w:w="0" w:type="dxa"/>
            <w:left w:w="108" w:type="dxa"/>
            <w:bottom w:w="0" w:type="dxa"/>
            <w:right w:w="108" w:type="dxa"/>
          </w:tblCellMar>
        </w:tblPrEx>
        <w:trPr>
          <w:trHeight w:val="565" w:hRule="atLeast"/>
          <w:jc w:val="center"/>
        </w:trPr>
        <w:tc>
          <w:tcPr>
            <w:tcW w:w="3710" w:type="dxa"/>
            <w:tcBorders>
              <w:top w:val="nil"/>
              <w:left w:val="single" w:color="auto" w:sz="4" w:space="0"/>
              <w:bottom w:val="single" w:color="auto" w:sz="4" w:space="0"/>
              <w:right w:val="single" w:color="auto" w:sz="4" w:space="0"/>
            </w:tcBorders>
            <w:shd w:val="clear" w:color="auto" w:fill="auto"/>
            <w:vAlign w:val="center"/>
          </w:tcPr>
          <w:p w14:paraId="781B1A6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城镇住宅用地熟地价</w:t>
            </w:r>
          </w:p>
        </w:tc>
        <w:tc>
          <w:tcPr>
            <w:tcW w:w="1848" w:type="dxa"/>
            <w:tcBorders>
              <w:top w:val="nil"/>
              <w:left w:val="nil"/>
              <w:bottom w:val="single" w:color="auto" w:sz="4" w:space="0"/>
              <w:right w:val="single" w:color="auto" w:sz="4" w:space="0"/>
            </w:tcBorders>
            <w:shd w:val="clear" w:color="auto" w:fill="auto"/>
            <w:vAlign w:val="center"/>
          </w:tcPr>
          <w:p w14:paraId="1D8D062C">
            <w:pPr>
              <w:spacing w:line="300" w:lineRule="auto"/>
              <w:jc w:val="center"/>
              <w:rPr>
                <w:rFonts w:ascii="黑体" w:hAnsi="黑体" w:eastAsia="黑体" w:cs="宋体"/>
                <w:color w:val="auto"/>
                <w:szCs w:val="24"/>
              </w:rPr>
            </w:pPr>
            <w:r>
              <w:rPr>
                <w:rFonts w:hint="eastAsia" w:ascii="黑体" w:hAnsi="黑体" w:eastAsia="黑体" w:cs="宋体"/>
                <w:color w:val="auto"/>
                <w:szCs w:val="24"/>
              </w:rPr>
              <w:t>10942</w:t>
            </w:r>
          </w:p>
        </w:tc>
        <w:tc>
          <w:tcPr>
            <w:tcW w:w="1932" w:type="dxa"/>
            <w:tcBorders>
              <w:top w:val="nil"/>
              <w:left w:val="nil"/>
              <w:bottom w:val="single" w:color="auto" w:sz="4" w:space="0"/>
              <w:right w:val="single" w:color="auto" w:sz="4" w:space="0"/>
            </w:tcBorders>
            <w:shd w:val="clear" w:color="auto" w:fill="auto"/>
            <w:vAlign w:val="center"/>
          </w:tcPr>
          <w:p w14:paraId="39CE122F">
            <w:pPr>
              <w:spacing w:line="300" w:lineRule="auto"/>
              <w:jc w:val="center"/>
              <w:rPr>
                <w:rFonts w:ascii="黑体" w:hAnsi="黑体" w:eastAsia="黑体"/>
                <w:color w:val="auto"/>
              </w:rPr>
            </w:pPr>
            <w:r>
              <w:rPr>
                <w:rFonts w:ascii="黑体" w:hAnsi="黑体" w:eastAsia="黑体"/>
                <w:color w:val="auto"/>
              </w:rPr>
              <w:t>68148.54</w:t>
            </w:r>
          </w:p>
        </w:tc>
        <w:tc>
          <w:tcPr>
            <w:tcW w:w="1582" w:type="dxa"/>
            <w:tcBorders>
              <w:top w:val="nil"/>
              <w:left w:val="nil"/>
              <w:bottom w:val="single" w:color="auto" w:sz="4" w:space="0"/>
              <w:right w:val="single" w:color="auto" w:sz="4" w:space="0"/>
            </w:tcBorders>
            <w:shd w:val="clear" w:color="auto" w:fill="auto"/>
            <w:vAlign w:val="center"/>
          </w:tcPr>
          <w:p w14:paraId="289A353A">
            <w:pPr>
              <w:spacing w:line="300" w:lineRule="auto"/>
              <w:jc w:val="center"/>
              <w:rPr>
                <w:rFonts w:ascii="黑体" w:hAnsi="黑体" w:eastAsia="黑体" w:cs="宋体"/>
                <w:color w:val="auto"/>
                <w:szCs w:val="24"/>
              </w:rPr>
            </w:pPr>
            <w:r>
              <w:rPr>
                <w:rFonts w:hint="eastAsia" w:ascii="黑体" w:hAnsi="黑体" w:eastAsia="黑体"/>
                <w:color w:val="auto"/>
              </w:rPr>
              <w:t>74568.1325</w:t>
            </w:r>
            <w:r>
              <w:rPr>
                <w:rFonts w:ascii="黑体" w:hAnsi="黑体" w:eastAsia="黑体"/>
                <w:color w:val="auto"/>
              </w:rPr>
              <w:t xml:space="preserve"> </w:t>
            </w:r>
          </w:p>
        </w:tc>
      </w:tr>
      <w:tr w14:paraId="49D35543">
        <w:tblPrEx>
          <w:tblCellMar>
            <w:top w:w="0" w:type="dxa"/>
            <w:left w:w="108" w:type="dxa"/>
            <w:bottom w:w="0" w:type="dxa"/>
            <w:right w:w="108" w:type="dxa"/>
          </w:tblCellMar>
        </w:tblPrEx>
        <w:trPr>
          <w:trHeight w:val="525" w:hRule="atLeast"/>
          <w:jc w:val="center"/>
        </w:trPr>
        <w:tc>
          <w:tcPr>
            <w:tcW w:w="3710" w:type="dxa"/>
            <w:tcBorders>
              <w:top w:val="nil"/>
              <w:left w:val="single" w:color="auto" w:sz="4" w:space="0"/>
              <w:bottom w:val="single" w:color="auto" w:sz="4" w:space="0"/>
              <w:right w:val="single" w:color="auto" w:sz="4" w:space="0"/>
            </w:tcBorders>
            <w:shd w:val="clear" w:color="auto" w:fill="auto"/>
            <w:vAlign w:val="center"/>
          </w:tcPr>
          <w:p w14:paraId="39C82A6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其他商业服务业用地用途熟地价</w:t>
            </w:r>
          </w:p>
        </w:tc>
        <w:tc>
          <w:tcPr>
            <w:tcW w:w="1848" w:type="dxa"/>
            <w:tcBorders>
              <w:top w:val="nil"/>
              <w:left w:val="nil"/>
              <w:bottom w:val="single" w:color="auto" w:sz="4" w:space="0"/>
              <w:right w:val="single" w:color="auto" w:sz="4" w:space="0"/>
            </w:tcBorders>
            <w:shd w:val="clear" w:color="auto" w:fill="auto"/>
            <w:vAlign w:val="center"/>
          </w:tcPr>
          <w:p w14:paraId="3DC8BE41">
            <w:pPr>
              <w:spacing w:line="300" w:lineRule="auto"/>
              <w:jc w:val="center"/>
              <w:rPr>
                <w:rFonts w:ascii="黑体" w:hAnsi="黑体" w:eastAsia="黑体" w:cs="宋体"/>
                <w:color w:val="auto"/>
                <w:szCs w:val="24"/>
              </w:rPr>
            </w:pPr>
            <w:r>
              <w:rPr>
                <w:rFonts w:hint="eastAsia" w:ascii="黑体" w:hAnsi="黑体" w:eastAsia="黑体" w:cs="宋体"/>
                <w:color w:val="auto"/>
                <w:szCs w:val="24"/>
              </w:rPr>
              <w:t>5295</w:t>
            </w:r>
          </w:p>
        </w:tc>
        <w:tc>
          <w:tcPr>
            <w:tcW w:w="1932" w:type="dxa"/>
            <w:tcBorders>
              <w:top w:val="nil"/>
              <w:left w:val="nil"/>
              <w:bottom w:val="single" w:color="auto" w:sz="4" w:space="0"/>
              <w:right w:val="single" w:color="auto" w:sz="4" w:space="0"/>
            </w:tcBorders>
            <w:shd w:val="clear" w:color="auto" w:fill="auto"/>
            <w:vAlign w:val="center"/>
          </w:tcPr>
          <w:p w14:paraId="52EF46E4">
            <w:pPr>
              <w:spacing w:line="300" w:lineRule="auto"/>
              <w:jc w:val="center"/>
              <w:rPr>
                <w:rFonts w:ascii="黑体" w:hAnsi="黑体" w:eastAsia="黑体"/>
                <w:color w:val="auto"/>
              </w:rPr>
            </w:pPr>
            <w:r>
              <w:rPr>
                <w:rFonts w:hint="eastAsia" w:ascii="黑体" w:hAnsi="黑体" w:eastAsia="黑体"/>
                <w:color w:val="auto"/>
              </w:rPr>
              <w:t>－</w:t>
            </w:r>
          </w:p>
        </w:tc>
        <w:tc>
          <w:tcPr>
            <w:tcW w:w="1582" w:type="dxa"/>
            <w:tcBorders>
              <w:top w:val="nil"/>
              <w:left w:val="nil"/>
              <w:bottom w:val="single" w:color="auto" w:sz="4" w:space="0"/>
              <w:right w:val="single" w:color="auto" w:sz="4" w:space="0"/>
            </w:tcBorders>
            <w:shd w:val="clear" w:color="auto" w:fill="auto"/>
            <w:vAlign w:val="center"/>
          </w:tcPr>
          <w:p w14:paraId="515F5121">
            <w:pPr>
              <w:spacing w:line="300" w:lineRule="auto"/>
              <w:jc w:val="center"/>
              <w:rPr>
                <w:rFonts w:ascii="黑体" w:hAnsi="黑体" w:eastAsia="黑体" w:cs="宋体"/>
                <w:color w:val="auto"/>
                <w:szCs w:val="24"/>
              </w:rPr>
            </w:pPr>
            <w:r>
              <w:rPr>
                <w:rFonts w:hint="eastAsia" w:ascii="黑体" w:hAnsi="黑体" w:eastAsia="黑体"/>
                <w:color w:val="auto"/>
              </w:rPr>
              <w:t>－</w:t>
            </w:r>
          </w:p>
        </w:tc>
      </w:tr>
      <w:tr w14:paraId="26097309">
        <w:tblPrEx>
          <w:tblCellMar>
            <w:top w:w="0" w:type="dxa"/>
            <w:left w:w="108" w:type="dxa"/>
            <w:bottom w:w="0" w:type="dxa"/>
            <w:right w:w="108" w:type="dxa"/>
          </w:tblCellMar>
        </w:tblPrEx>
        <w:trPr>
          <w:trHeight w:val="525" w:hRule="atLeast"/>
          <w:jc w:val="center"/>
        </w:trPr>
        <w:tc>
          <w:tcPr>
            <w:tcW w:w="3710" w:type="dxa"/>
            <w:tcBorders>
              <w:top w:val="nil"/>
              <w:left w:val="single" w:color="auto" w:sz="4" w:space="0"/>
              <w:bottom w:val="nil"/>
              <w:right w:val="single" w:color="auto" w:sz="4" w:space="0"/>
            </w:tcBorders>
            <w:shd w:val="clear" w:color="auto" w:fill="auto"/>
            <w:vAlign w:val="center"/>
          </w:tcPr>
          <w:p w14:paraId="3571A39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公共服务用途熟地价</w:t>
            </w:r>
          </w:p>
        </w:tc>
        <w:tc>
          <w:tcPr>
            <w:tcW w:w="1848" w:type="dxa"/>
            <w:tcBorders>
              <w:top w:val="nil"/>
              <w:left w:val="nil"/>
              <w:bottom w:val="nil"/>
              <w:right w:val="single" w:color="auto" w:sz="4" w:space="0"/>
            </w:tcBorders>
            <w:shd w:val="clear" w:color="auto" w:fill="auto"/>
            <w:vAlign w:val="center"/>
          </w:tcPr>
          <w:p w14:paraId="582FB86A">
            <w:pPr>
              <w:spacing w:line="300" w:lineRule="auto"/>
              <w:jc w:val="center"/>
              <w:rPr>
                <w:rFonts w:ascii="黑体" w:hAnsi="黑体" w:eastAsia="黑体" w:cs="宋体"/>
                <w:color w:val="auto"/>
                <w:szCs w:val="24"/>
              </w:rPr>
            </w:pPr>
            <w:r>
              <w:rPr>
                <w:rFonts w:hint="eastAsia" w:ascii="黑体" w:hAnsi="黑体" w:eastAsia="黑体" w:cs="宋体"/>
                <w:color w:val="auto"/>
                <w:szCs w:val="24"/>
              </w:rPr>
              <w:t>3249</w:t>
            </w:r>
          </w:p>
        </w:tc>
        <w:tc>
          <w:tcPr>
            <w:tcW w:w="1932" w:type="dxa"/>
            <w:tcBorders>
              <w:top w:val="nil"/>
              <w:left w:val="nil"/>
              <w:bottom w:val="nil"/>
              <w:right w:val="single" w:color="auto" w:sz="4" w:space="0"/>
            </w:tcBorders>
            <w:shd w:val="clear" w:color="auto" w:fill="auto"/>
            <w:vAlign w:val="center"/>
          </w:tcPr>
          <w:p w14:paraId="133A5CD3">
            <w:pPr>
              <w:spacing w:line="300" w:lineRule="auto"/>
              <w:jc w:val="center"/>
              <w:rPr>
                <w:rFonts w:ascii="黑体" w:hAnsi="黑体" w:eastAsia="黑体"/>
                <w:color w:val="auto"/>
              </w:rPr>
            </w:pPr>
            <w:r>
              <w:rPr>
                <w:rFonts w:hint="eastAsia" w:ascii="黑体" w:hAnsi="黑体" w:eastAsia="黑体"/>
                <w:color w:val="auto"/>
              </w:rPr>
              <w:t>－</w:t>
            </w:r>
          </w:p>
        </w:tc>
        <w:tc>
          <w:tcPr>
            <w:tcW w:w="1582" w:type="dxa"/>
            <w:tcBorders>
              <w:top w:val="nil"/>
              <w:left w:val="nil"/>
              <w:bottom w:val="nil"/>
              <w:right w:val="single" w:color="auto" w:sz="4" w:space="0"/>
            </w:tcBorders>
            <w:shd w:val="clear" w:color="auto" w:fill="auto"/>
            <w:vAlign w:val="center"/>
          </w:tcPr>
          <w:p w14:paraId="2B207CA3">
            <w:pPr>
              <w:spacing w:line="300" w:lineRule="auto"/>
              <w:jc w:val="center"/>
              <w:rPr>
                <w:rFonts w:ascii="黑体" w:hAnsi="黑体" w:eastAsia="黑体" w:cs="宋体"/>
                <w:color w:val="auto"/>
                <w:szCs w:val="24"/>
              </w:rPr>
            </w:pPr>
            <w:r>
              <w:rPr>
                <w:rFonts w:hint="eastAsia" w:ascii="黑体" w:hAnsi="黑体" w:eastAsia="黑体"/>
                <w:color w:val="auto"/>
              </w:rPr>
              <w:t>－</w:t>
            </w:r>
          </w:p>
        </w:tc>
      </w:tr>
      <w:tr w14:paraId="1D23F357">
        <w:tblPrEx>
          <w:tblCellMar>
            <w:top w:w="0" w:type="dxa"/>
            <w:left w:w="108" w:type="dxa"/>
            <w:bottom w:w="0" w:type="dxa"/>
            <w:right w:w="108" w:type="dxa"/>
          </w:tblCellMar>
        </w:tblPrEx>
        <w:trPr>
          <w:trHeight w:val="525" w:hRule="atLeast"/>
          <w:jc w:val="center"/>
        </w:trPr>
        <w:tc>
          <w:tcPr>
            <w:tcW w:w="3710" w:type="dxa"/>
            <w:tcBorders>
              <w:top w:val="nil"/>
              <w:left w:val="single" w:color="auto" w:sz="4" w:space="0"/>
              <w:bottom w:val="single" w:color="auto" w:sz="4" w:space="0"/>
              <w:right w:val="single" w:color="auto" w:sz="4" w:space="0"/>
            </w:tcBorders>
            <w:shd w:val="clear" w:color="auto" w:fill="auto"/>
            <w:vAlign w:val="center"/>
          </w:tcPr>
          <w:p w14:paraId="0172DA4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小计</w:t>
            </w:r>
          </w:p>
        </w:tc>
        <w:tc>
          <w:tcPr>
            <w:tcW w:w="1848" w:type="dxa"/>
            <w:tcBorders>
              <w:top w:val="nil"/>
              <w:left w:val="nil"/>
              <w:bottom w:val="single" w:color="auto" w:sz="4" w:space="0"/>
              <w:right w:val="single" w:color="auto" w:sz="4" w:space="0"/>
            </w:tcBorders>
            <w:shd w:val="clear" w:color="auto" w:fill="auto"/>
            <w:vAlign w:val="center"/>
          </w:tcPr>
          <w:p w14:paraId="7E2944F9">
            <w:pPr>
              <w:spacing w:line="300" w:lineRule="auto"/>
              <w:jc w:val="center"/>
              <w:rPr>
                <w:rFonts w:ascii="黑体" w:hAnsi="黑体" w:eastAsia="黑体"/>
                <w:color w:val="auto"/>
              </w:rPr>
            </w:pPr>
            <w:r>
              <w:rPr>
                <w:rFonts w:hint="eastAsia" w:ascii="黑体" w:hAnsi="黑体" w:eastAsia="黑体"/>
                <w:color w:val="auto"/>
              </w:rPr>
              <w:t>－</w:t>
            </w:r>
          </w:p>
        </w:tc>
        <w:tc>
          <w:tcPr>
            <w:tcW w:w="1932" w:type="dxa"/>
            <w:tcBorders>
              <w:top w:val="nil"/>
              <w:left w:val="nil"/>
              <w:bottom w:val="single" w:color="auto" w:sz="4" w:space="0"/>
              <w:right w:val="single" w:color="auto" w:sz="4" w:space="0"/>
            </w:tcBorders>
            <w:shd w:val="clear" w:color="auto" w:fill="auto"/>
            <w:vAlign w:val="center"/>
          </w:tcPr>
          <w:p w14:paraId="6185E9E7">
            <w:pPr>
              <w:spacing w:line="300" w:lineRule="auto"/>
              <w:jc w:val="center"/>
              <w:rPr>
                <w:rFonts w:ascii="黑体" w:hAnsi="黑体" w:eastAsia="黑体"/>
                <w:color w:val="auto"/>
              </w:rPr>
            </w:pPr>
            <w:r>
              <w:rPr>
                <w:rFonts w:hint="eastAsia" w:ascii="黑体" w:hAnsi="黑体" w:eastAsia="黑体"/>
                <w:color w:val="auto"/>
              </w:rPr>
              <w:t>68148.54</w:t>
            </w:r>
          </w:p>
        </w:tc>
        <w:tc>
          <w:tcPr>
            <w:tcW w:w="1582" w:type="dxa"/>
            <w:tcBorders>
              <w:top w:val="nil"/>
              <w:left w:val="nil"/>
              <w:bottom w:val="single" w:color="auto" w:sz="4" w:space="0"/>
              <w:right w:val="single" w:color="auto" w:sz="4" w:space="0"/>
            </w:tcBorders>
            <w:shd w:val="clear" w:color="auto" w:fill="auto"/>
            <w:vAlign w:val="center"/>
          </w:tcPr>
          <w:p w14:paraId="22BEE402">
            <w:pPr>
              <w:spacing w:line="300" w:lineRule="auto"/>
              <w:jc w:val="center"/>
              <w:rPr>
                <w:rFonts w:ascii="黑体" w:hAnsi="黑体" w:eastAsia="黑体"/>
                <w:color w:val="auto"/>
              </w:rPr>
            </w:pPr>
            <w:r>
              <w:rPr>
                <w:rFonts w:hint="eastAsia" w:ascii="黑体" w:hAnsi="黑体" w:eastAsia="黑体"/>
                <w:color w:val="auto"/>
              </w:rPr>
              <w:t>74568.1325</w:t>
            </w:r>
            <w:r>
              <w:rPr>
                <w:rFonts w:ascii="黑体" w:hAnsi="黑体" w:eastAsia="黑体"/>
                <w:color w:val="auto"/>
              </w:rPr>
              <w:t xml:space="preserve"> </w:t>
            </w:r>
          </w:p>
        </w:tc>
      </w:tr>
    </w:tbl>
    <w:p w14:paraId="28BF2E4B">
      <w:pPr>
        <w:snapToGrid w:val="0"/>
        <w:spacing w:before="240" w:beforeLines="100" w:line="288" w:lineRule="auto"/>
        <w:rPr>
          <w:rFonts w:ascii="Arial" w:hAnsi="Arial" w:eastAsia="仿宋_GB2312" w:cs="Arial"/>
          <w:b/>
          <w:color w:val="auto"/>
          <w:kern w:val="2"/>
          <w:sz w:val="28"/>
        </w:rPr>
      </w:pPr>
      <w:r>
        <w:rPr>
          <w:rFonts w:hint="eastAsia" w:ascii="Arial" w:hAnsi="Arial" w:eastAsia="仿宋_GB2312" w:cs="Arial"/>
          <w:b/>
          <w:color w:val="auto"/>
          <w:kern w:val="2"/>
          <w:sz w:val="28"/>
        </w:rPr>
        <w:t>出让底价建议：</w:t>
      </w:r>
    </w:p>
    <w:p w14:paraId="6A5B285F">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1.估价方法适用性及评估结果可信度分析</w:t>
      </w:r>
    </w:p>
    <w:p w14:paraId="45ECA71A">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 xml:space="preserve"> （1）估价方法适用性</w:t>
      </w:r>
    </w:p>
    <w:p w14:paraId="5ED22BAA">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根据《城镇土地估价规程》（以下简称《规程》），地价估价方法有 市场比较法、收益还原法、剩余法、成本逼近法、基准地价系数修正法等。 估价方法的选择应按照《规程》的要求，并依照原国土资源部办公厅关于 发布《国有建设用地使用权出让地价评估技术规范》的通知（国土资厅发 〔2018〕4号）、</w:t>
      </w:r>
      <w:r>
        <w:rPr>
          <w:rFonts w:hint="eastAsia" w:ascii="Arial" w:hAnsi="Arial" w:eastAsia="仿宋" w:cs="Arial"/>
          <w:color w:val="auto"/>
          <w:sz w:val="28"/>
          <w:lang w:eastAsia="zh-CN"/>
        </w:rPr>
        <w:t>《北京市国有建设用地使用权出让地价评估技术导则》（2026年2月10日实施）</w:t>
      </w:r>
      <w:r>
        <w:rPr>
          <w:rFonts w:ascii="Arial" w:hAnsi="Arial" w:eastAsia="仿宋" w:cs="Arial"/>
          <w:color w:val="auto"/>
          <w:sz w:val="28"/>
        </w:rPr>
        <w:t>中规定，出让地价评估，应至少采用两种评估方法，且成本逼近法和基准地价系数修正法选择其一，市场比较法、剩余法、收益还原法选择其一。其中城镇住宅用地、商服类用地宜在成本逼近法和基准地价系数修正法二选一时，优先选用基准地价系数修正法，慎选成本逼近法，在市场比较法、剩余法、收益还原法三选一时，优先选用剩余法，其次选择市场比较法、收益还原法。公共管理与公共服务用地和交通运输用地价格，宜在</w:t>
      </w:r>
      <w:r>
        <w:rPr>
          <w:rFonts w:hint="eastAsia" w:ascii="Arial" w:hAnsi="Arial" w:eastAsia="仿宋" w:cs="Arial"/>
          <w:color w:val="auto"/>
          <w:sz w:val="28"/>
        </w:rPr>
        <w:t>“</w:t>
      </w:r>
      <w:r>
        <w:rPr>
          <w:rFonts w:ascii="Arial" w:hAnsi="Arial" w:eastAsia="仿宋" w:cs="Arial"/>
          <w:color w:val="auto"/>
          <w:sz w:val="28"/>
        </w:rPr>
        <w:t>二选一</w:t>
      </w:r>
      <w:r>
        <w:rPr>
          <w:rFonts w:hint="eastAsia" w:ascii="Arial" w:hAnsi="Arial" w:eastAsia="仿宋" w:cs="Arial"/>
          <w:color w:val="auto"/>
          <w:sz w:val="28"/>
        </w:rPr>
        <w:t>”</w:t>
      </w:r>
      <w:r>
        <w:rPr>
          <w:rFonts w:ascii="Arial" w:hAnsi="Arial" w:eastAsia="仿宋" w:cs="Arial"/>
          <w:color w:val="auto"/>
          <w:sz w:val="28"/>
        </w:rPr>
        <w:t>时，优先选择基准地价系数修正法，慎选成本逼近法</w:t>
      </w:r>
      <w:r>
        <w:rPr>
          <w:rFonts w:hint="eastAsia" w:ascii="Arial" w:hAnsi="Arial" w:eastAsia="仿宋" w:cs="Arial"/>
          <w:color w:val="auto"/>
          <w:sz w:val="28"/>
        </w:rPr>
        <w:t>；</w:t>
      </w:r>
      <w:r>
        <w:rPr>
          <w:rFonts w:ascii="Arial" w:hAnsi="Arial" w:eastAsia="仿宋" w:cs="Arial"/>
          <w:color w:val="auto"/>
          <w:sz w:val="28"/>
        </w:rPr>
        <w:t>在</w:t>
      </w:r>
      <w:r>
        <w:rPr>
          <w:rFonts w:hint="eastAsia" w:ascii="Arial" w:hAnsi="Arial" w:eastAsia="仿宋" w:cs="Arial"/>
          <w:color w:val="auto"/>
          <w:sz w:val="28"/>
        </w:rPr>
        <w:t>“</w:t>
      </w:r>
      <w:r>
        <w:rPr>
          <w:rFonts w:ascii="Arial" w:hAnsi="Arial" w:eastAsia="仿宋" w:cs="Arial"/>
          <w:color w:val="auto"/>
          <w:sz w:val="28"/>
        </w:rPr>
        <w:t>三选一</w:t>
      </w:r>
      <w:r>
        <w:rPr>
          <w:rFonts w:hint="eastAsia" w:ascii="Arial" w:hAnsi="Arial" w:eastAsia="仿宋" w:cs="Arial"/>
          <w:color w:val="auto"/>
          <w:sz w:val="28"/>
        </w:rPr>
        <w:t>”</w:t>
      </w:r>
      <w:r>
        <w:rPr>
          <w:rFonts w:ascii="Arial" w:hAnsi="Arial" w:eastAsia="仿宋" w:cs="Arial"/>
          <w:color w:val="auto"/>
          <w:sz w:val="28"/>
        </w:rPr>
        <w:t>时，优先选择市场比较法，如缺少市场可比案例，可酌情选用剩余法、收益还原法。</w:t>
      </w:r>
    </w:p>
    <w:p w14:paraId="5258C99A">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 xml:space="preserve">本次估价为土地出让价格评估，估价目的为出让方通过集体决策确定土地出让底价提供参考依据，根据估价对象当地地产市场情况，并根据估价对象的具体特点和估价目的，本次评估选择采用基准地价系数修正法、剩余法评估得出估价对象出让土地使用权价格，方法应用符合相关政策、标准要求。 </w:t>
      </w:r>
    </w:p>
    <w:p w14:paraId="77F12B26">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（2）评估结果可信度分析</w:t>
      </w:r>
    </w:p>
    <w:p w14:paraId="6C559230">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1）基准地价系数修正法</w:t>
      </w:r>
    </w:p>
    <w:p w14:paraId="1470A7C3">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首先</w:t>
      </w:r>
      <w:r>
        <w:rPr>
          <w:rFonts w:hint="eastAsia" w:ascii="Arial" w:hAnsi="Arial" w:eastAsia="仿宋" w:cs="Arial"/>
          <w:color w:val="auto"/>
          <w:sz w:val="28"/>
        </w:rPr>
        <w:t>，</w:t>
      </w:r>
      <w:r>
        <w:rPr>
          <w:rFonts w:ascii="Arial" w:hAnsi="Arial" w:eastAsia="仿宋" w:cs="Arial"/>
          <w:color w:val="auto"/>
          <w:sz w:val="28"/>
        </w:rPr>
        <w:t>北京市人民政府于2022年3月14日发布了北京市基准地价更 新成果，基准地价基准期日为2021年1月1日。北京市基准地价更新成果作为政府公示价格，在现行土地估价实际工作中起着重要指导意义，是确定国有建设用地使用权出让价格审定、国有建设用地租赁租金审定、企业改制土地资产价格处置等依据之一。本次评估估价目的为出让方通过集体 决策确定土地出让底价提供参考依据，其估价目的与基准地价系数修正法 适用范围完全吻合。其次，估价对象位于</w:t>
      </w:r>
      <w:r>
        <w:rPr>
          <w:rFonts w:hint="eastAsia" w:ascii="Arial" w:hAnsi="Arial" w:eastAsia="仿宋" w:cs="Arial"/>
          <w:color w:val="auto"/>
          <w:sz w:val="28"/>
        </w:rPr>
        <w:t>顺义区高丽营镇</w:t>
      </w:r>
      <w:r>
        <w:rPr>
          <w:rFonts w:ascii="Arial" w:hAnsi="Arial" w:eastAsia="仿宋" w:cs="Arial"/>
          <w:color w:val="auto"/>
          <w:sz w:val="28"/>
        </w:rPr>
        <w:t>，属于北京市基准地价覆盖范围内，可直观获取基准地价系数修正法所需评估参数，基准地价基准期日（2021年1月1日）距本次估价期日时间虽超过五年，但可通过北京市地价动态监测成果公布的地价指数进行修正以确保在客观市场的适用度，且本次估价在已完成更新的基准地价成果基础上，根据估价对象所在区域实际情况及特点，进行相应因素修正得出</w:t>
      </w:r>
      <w:r>
        <w:rPr>
          <w:rFonts w:hint="eastAsia" w:ascii="Arial" w:hAnsi="Arial" w:eastAsia="仿宋" w:cs="Arial"/>
          <w:color w:val="auto"/>
          <w:sz w:val="28"/>
          <w:lang w:eastAsia="zh-CN"/>
        </w:rPr>
        <w:t>基准地价系数修正法</w:t>
      </w:r>
      <w:r>
        <w:rPr>
          <w:rFonts w:ascii="Arial" w:hAnsi="Arial" w:eastAsia="仿宋" w:cs="Arial"/>
          <w:color w:val="auto"/>
          <w:sz w:val="28"/>
        </w:rPr>
        <w:t>结果，其估价结果具有参考性。</w:t>
      </w:r>
    </w:p>
    <w:p w14:paraId="76CAD115">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2）剩余法</w:t>
      </w:r>
    </w:p>
    <w:p w14:paraId="751A2AB9">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剩余法是在预计开发完成后不动产正常交易价格的基础上，扣除预计 的正常开发成本及有关专业费用、利息、利润和税收等，以价格余额来估 算待估土地价格的方法。</w:t>
      </w:r>
    </w:p>
    <w:p w14:paraId="782AFCF1">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估价对象属于待开发的项目，规划指标明确，符合城市规划要求，与周边环境相协调，估价对象作为</w:t>
      </w:r>
      <w:r>
        <w:rPr>
          <w:rFonts w:hint="eastAsia" w:ascii="Arial" w:hAnsi="Arial" w:eastAsia="仿宋" w:cs="Arial"/>
          <w:color w:val="auto"/>
          <w:sz w:val="28"/>
        </w:rPr>
        <w:t>R2二类居住用地、A334托幼用地</w:t>
      </w:r>
      <w:r>
        <w:rPr>
          <w:rFonts w:ascii="Arial" w:hAnsi="Arial" w:eastAsia="仿宋" w:cs="Arial"/>
          <w:color w:val="auto"/>
          <w:sz w:val="28"/>
        </w:rPr>
        <w:t>属于该宗地土地的最佳利用（最有效利用），且本次评估所需的数据资料和参数都是可以获取和确定的，符合剩余法使用范围。估价人员根据估价目的、遵循估价原则、按照估价工作程序、利用科学的估价方法，在认真分析现有资料的基础上，经过周密的测算，并结合估价经验详细考虑了影响土地价格的各 项因素确定的估价结果是科学可信的。</w:t>
      </w:r>
    </w:p>
    <w:p w14:paraId="3F4D3A77">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w:t>
      </w:r>
      <w:r>
        <w:rPr>
          <w:rFonts w:hint="eastAsia" w:ascii="Arial" w:hAnsi="Arial" w:eastAsia="仿宋" w:cs="Arial"/>
          <w:b/>
          <w:bCs/>
          <w:color w:val="auto"/>
          <w:sz w:val="28"/>
        </w:rPr>
        <w:t>.</w:t>
      </w:r>
      <w:r>
        <w:rPr>
          <w:rFonts w:ascii="Arial" w:hAnsi="Arial" w:eastAsia="仿宋" w:cs="Arial"/>
          <w:b/>
          <w:bCs/>
          <w:color w:val="auto"/>
          <w:sz w:val="28"/>
        </w:rPr>
        <w:t>评估熟地价与级别基准地价的70%比较分析</w:t>
      </w:r>
    </w:p>
    <w:p w14:paraId="335DEB73">
      <w:pPr>
        <w:snapToGrid w:val="0"/>
        <w:spacing w:before="120" w:beforeLines="50" w:line="288" w:lineRule="auto"/>
        <w:ind w:firstLine="560" w:firstLineChars="200"/>
        <w:jc w:val="both"/>
        <w:rPr>
          <w:rFonts w:ascii="Arial" w:hAnsi="Arial" w:eastAsia="仿宋" w:cs="Arial"/>
          <w:color w:val="auto"/>
          <w:sz w:val="28"/>
        </w:rPr>
      </w:pPr>
      <w:r>
        <w:rPr>
          <w:rFonts w:hint="eastAsia" w:ascii="Arial" w:hAnsi="Arial" w:eastAsia="仿宋" w:cs="Arial"/>
          <w:color w:val="auto"/>
          <w:sz w:val="28"/>
        </w:rPr>
        <w:t>根据国土资源部办公厅《关于印发&lt;国有建设用地使用权出让底价评估技术规范&gt;的通知》（国土资厅发（2018）4号）文中相关规定：对应当实行有偿使用，且可以不采用招标拍卖挂牌方式出让的。应按本规范评估其在设定开发建设条件下的正常市场价格，并提出建议的出让底价。同时还应在土地估价报告中测算并对比说明该建议出让底价是否符合当地的协议出让最低价标准。</w:t>
      </w:r>
    </w:p>
    <w:p w14:paraId="6956D9BF">
      <w:pPr>
        <w:snapToGrid w:val="0"/>
        <w:spacing w:before="120" w:beforeLines="50" w:line="288" w:lineRule="auto"/>
        <w:ind w:firstLine="560" w:firstLineChars="200"/>
        <w:jc w:val="both"/>
        <w:rPr>
          <w:rFonts w:ascii="Arial" w:hAnsi="Arial" w:eastAsia="仿宋" w:cs="Arial"/>
          <w:b/>
          <w:bCs/>
          <w:color w:val="auto"/>
          <w:sz w:val="28"/>
        </w:rPr>
      </w:pPr>
      <w:r>
        <w:rPr>
          <w:rFonts w:ascii="Arial" w:hAnsi="Arial" w:eastAsia="仿宋" w:cs="Arial"/>
          <w:color w:val="auto"/>
          <w:sz w:val="28"/>
        </w:rPr>
        <w:t>根据《北京市国有建设用地使用权出让地价评估技术导则》 （</w:t>
      </w:r>
      <w:r>
        <w:rPr>
          <w:rFonts w:hint="eastAsia" w:ascii="Arial" w:hAnsi="Arial" w:eastAsia="仿宋" w:cs="Arial"/>
          <w:color w:val="auto"/>
          <w:sz w:val="28"/>
        </w:rPr>
        <w:t>2026年2月10日实施</w:t>
      </w:r>
      <w:r>
        <w:rPr>
          <w:rFonts w:ascii="Arial" w:hAnsi="Arial" w:eastAsia="仿宋" w:cs="Arial"/>
          <w:color w:val="auto"/>
          <w:sz w:val="28"/>
        </w:rPr>
        <w:t>），</w:t>
      </w:r>
      <w:r>
        <w:rPr>
          <w:rFonts w:hint="eastAsia" w:ascii="Arial" w:hAnsi="Arial" w:eastAsia="仿宋" w:cs="Arial"/>
          <w:color w:val="auto"/>
          <w:sz w:val="28"/>
        </w:rPr>
        <w:t>“本市出让最低价标准：地上、地下国有建设用地使用权出让地价水平不得低于该宗地所在级别基准地价经除因素修正以外的其他因素修正后的70%。”</w:t>
      </w:r>
      <w:r>
        <w:rPr>
          <w:rFonts w:ascii="Arial" w:hAnsi="Arial" w:eastAsia="仿宋" w:cs="Arial"/>
          <w:color w:val="auto"/>
          <w:sz w:val="28"/>
        </w:rPr>
        <w:t>；同时《协议出让国有土地使用权规定》（中华人民共和国国土资源部21号令，2003年8月1日实施）规定，</w:t>
      </w:r>
      <w:r>
        <w:rPr>
          <w:rFonts w:hint="eastAsia" w:ascii="Arial" w:hAnsi="Arial" w:eastAsia="仿宋" w:cs="Arial"/>
          <w:color w:val="auto"/>
          <w:sz w:val="28"/>
        </w:rPr>
        <w:t>“</w:t>
      </w:r>
      <w:r>
        <w:rPr>
          <w:rFonts w:ascii="Arial" w:hAnsi="Arial" w:eastAsia="仿宋" w:cs="Arial"/>
          <w:color w:val="auto"/>
          <w:sz w:val="28"/>
        </w:rPr>
        <w:t>有基准地价的地区，协议出让最低价不得低于出让地块所在级别基准地价的70%。</w:t>
      </w:r>
      <w:r>
        <w:rPr>
          <w:rFonts w:hint="eastAsia" w:ascii="Arial" w:hAnsi="Arial" w:eastAsia="仿宋" w:cs="Arial"/>
          <w:color w:val="auto"/>
          <w:sz w:val="28"/>
        </w:rPr>
        <w:t>”</w:t>
      </w:r>
      <w:r>
        <w:rPr>
          <w:rFonts w:ascii="Arial" w:hAnsi="Arial" w:eastAsia="仿宋" w:cs="Arial"/>
          <w:color w:val="auto"/>
          <w:sz w:val="28"/>
        </w:rPr>
        <w:t>北京市已公布基准地价，未公布协议出让最低价标准， 因此，本次估价将熟地价与</w:t>
      </w:r>
      <w:r>
        <w:rPr>
          <w:rFonts w:hint="eastAsia" w:ascii="Arial" w:hAnsi="Arial" w:eastAsia="仿宋" w:cs="Arial"/>
          <w:color w:val="auto"/>
          <w:sz w:val="28"/>
        </w:rPr>
        <w:t>所在级别基准地价经除因素修正以外的其他因素修正后的70%</w:t>
      </w:r>
      <w:r>
        <w:rPr>
          <w:rFonts w:ascii="Arial" w:hAnsi="Arial" w:eastAsia="仿宋" w:cs="Arial"/>
          <w:color w:val="auto"/>
          <w:sz w:val="28"/>
        </w:rPr>
        <w:t>进行对比分析。</w:t>
      </w:r>
    </w:p>
    <w:p w14:paraId="0E354070">
      <w:pPr>
        <w:snapToGrid w:val="0"/>
        <w:spacing w:before="120" w:beforeLines="50" w:line="288" w:lineRule="auto"/>
        <w:ind w:firstLine="562" w:firstLineChars="200"/>
        <w:jc w:val="both"/>
        <w:rPr>
          <w:rFonts w:ascii="Arial" w:hAnsi="Arial" w:eastAsia="仿宋" w:cs="Arial"/>
          <w:b/>
          <w:bCs/>
          <w:color w:val="auto"/>
          <w:sz w:val="28"/>
        </w:rPr>
      </w:pPr>
      <w:r>
        <w:rPr>
          <w:rFonts w:hint="eastAsia" w:ascii="Arial" w:hAnsi="Arial" w:eastAsia="仿宋" w:cs="Arial"/>
          <w:b/>
          <w:bCs/>
          <w:color w:val="auto"/>
          <w:sz w:val="28"/>
        </w:rPr>
        <w:t>估价对象所在地区属于北京市基准地价住宅、商业、公共服务类</w:t>
      </w:r>
      <w:r>
        <w:rPr>
          <w:rFonts w:hint="eastAsia" w:ascii="Arial" w:hAnsi="Arial" w:eastAsia="仿宋" w:cs="Arial"/>
          <w:b/>
          <w:bCs/>
          <w:color w:val="auto"/>
          <w:sz w:val="28"/>
          <w:lang w:val="en-US" w:eastAsia="zh-CN"/>
        </w:rPr>
        <w:t>九</w:t>
      </w:r>
      <w:r>
        <w:rPr>
          <w:rFonts w:hint="eastAsia" w:ascii="Arial" w:hAnsi="Arial" w:eastAsia="仿宋" w:cs="Arial"/>
          <w:b/>
          <w:bCs/>
          <w:color w:val="auto"/>
          <w:sz w:val="28"/>
        </w:rPr>
        <w:t>级地价区，具体计算公式如下:</w:t>
      </w:r>
    </w:p>
    <w:p w14:paraId="274E449A">
      <w:pPr>
        <w:snapToGrid w:val="0"/>
        <w:spacing w:before="120" w:beforeLines="50" w:line="288" w:lineRule="auto"/>
        <w:ind w:firstLine="560" w:firstLineChars="200"/>
        <w:rPr>
          <w:rFonts w:ascii="Arial" w:hAnsi="Arial" w:eastAsia="仿宋" w:cs="Arial"/>
          <w:color w:val="auto"/>
          <w:sz w:val="28"/>
        </w:rPr>
      </w:pPr>
      <w:r>
        <w:rPr>
          <w:rFonts w:hint="eastAsia" w:ascii="Arial" w:hAnsi="Arial" w:eastAsia="仿宋" w:cs="Arial"/>
          <w:color w:val="auto"/>
          <w:sz w:val="28"/>
        </w:rPr>
        <w:t>楼面地价（所在级别基准地价经除因素修正以外的其他因素修正后的70%）＝适用的基准地价×用途修正系数×期日修正系数×年期修正系数×容积率修正系数×70%</w:t>
      </w:r>
    </w:p>
    <w:p w14:paraId="1C8CDF4F">
      <w:pPr>
        <w:snapToGrid w:val="0"/>
        <w:spacing w:before="120" w:beforeLines="50" w:line="288" w:lineRule="auto"/>
        <w:ind w:firstLine="560" w:firstLineChars="200"/>
        <w:rPr>
          <w:rFonts w:ascii="Arial" w:hAnsi="Arial" w:eastAsia="仿宋" w:cs="Arial"/>
          <w:color w:val="auto"/>
          <w:sz w:val="28"/>
        </w:rPr>
      </w:pPr>
      <w:r>
        <w:rPr>
          <w:rFonts w:hint="eastAsia" w:ascii="Arial" w:hAnsi="Arial" w:eastAsia="仿宋" w:cs="Arial"/>
          <w:color w:val="auto"/>
          <w:sz w:val="28"/>
        </w:rPr>
        <w:t>各用途估价结果详见下表:</w:t>
      </w:r>
    </w:p>
    <w:tbl>
      <w:tblPr>
        <w:tblStyle w:val="34"/>
        <w:tblW w:w="0" w:type="auto"/>
        <w:tblInd w:w="96" w:type="dxa"/>
        <w:tblLayout w:type="autofit"/>
        <w:tblCellMar>
          <w:top w:w="0" w:type="dxa"/>
          <w:left w:w="108" w:type="dxa"/>
          <w:bottom w:w="0" w:type="dxa"/>
          <w:right w:w="108" w:type="dxa"/>
        </w:tblCellMar>
      </w:tblPr>
      <w:tblGrid>
        <w:gridCol w:w="696"/>
        <w:gridCol w:w="2220"/>
        <w:gridCol w:w="2050"/>
        <w:gridCol w:w="1964"/>
        <w:gridCol w:w="2106"/>
      </w:tblGrid>
      <w:tr w14:paraId="6977FA6B">
        <w:tblPrEx>
          <w:tblCellMar>
            <w:top w:w="0" w:type="dxa"/>
            <w:left w:w="108" w:type="dxa"/>
            <w:bottom w:w="0" w:type="dxa"/>
            <w:right w:w="108" w:type="dxa"/>
          </w:tblCellMar>
        </w:tblPrEx>
        <w:trPr>
          <w:trHeight w:val="864"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1339A6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序号</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C6760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项目名称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123CD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住宅</w:t>
            </w:r>
          </w:p>
          <w:p w14:paraId="45AFA13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A5F99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商业</w:t>
            </w:r>
          </w:p>
          <w:p w14:paraId="1F38974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F3BA3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公共服务</w:t>
            </w:r>
          </w:p>
          <w:p w14:paraId="7F843C8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r>
      <w:tr w14:paraId="26A32ACA">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89DB91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42878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级别基准地价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3DBC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6160</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C6457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5320</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19C23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3170</w:t>
            </w:r>
          </w:p>
        </w:tc>
      </w:tr>
      <w:tr w14:paraId="5B52B6D7">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E26A86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D005A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开发程度修正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AB5D3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46.67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70D69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663ED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46.67</w:t>
            </w:r>
          </w:p>
        </w:tc>
      </w:tr>
      <w:tr w14:paraId="49A946B1">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1FFF86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3154C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自持限制修正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C7749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EE6B2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DAF6D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658AB778">
        <w:tblPrEx>
          <w:tblCellMar>
            <w:top w:w="0" w:type="dxa"/>
            <w:left w:w="108" w:type="dxa"/>
            <w:bottom w:w="0" w:type="dxa"/>
            <w:right w:w="108" w:type="dxa"/>
          </w:tblCellMar>
        </w:tblPrEx>
        <w:trPr>
          <w:trHeight w:val="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098E60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E5CD2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特殊情况修正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7DE4B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1.05</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3471B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35D38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19AE9501">
        <w:tblPrEx>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4DA648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E62B1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用途修正系数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F032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53AF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1B0A3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403AB9AA">
        <w:tblPrEx>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15A41A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48CAC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期日修正系数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00E78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1.0049</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342A5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0.9723</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1ED86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0.9388</w:t>
            </w:r>
          </w:p>
        </w:tc>
      </w:tr>
      <w:tr w14:paraId="7BA6368C">
        <w:tblPrEx>
          <w:tblCellMar>
            <w:top w:w="0" w:type="dxa"/>
            <w:left w:w="108" w:type="dxa"/>
            <w:bottom w:w="0" w:type="dxa"/>
            <w:right w:w="108" w:type="dxa"/>
          </w:tblCellMar>
        </w:tblPrEx>
        <w:trPr>
          <w:trHeight w:val="38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C31AFF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BC290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年期修正系数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E2DB4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78773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96DB2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269FD755">
        <w:tblPrEx>
          <w:tblCellMar>
            <w:top w:w="0" w:type="dxa"/>
            <w:left w:w="108" w:type="dxa"/>
            <w:bottom w:w="0" w:type="dxa"/>
            <w:right w:w="108" w:type="dxa"/>
          </w:tblCellMar>
        </w:tblPrEx>
        <w:trPr>
          <w:trHeight w:val="374"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683F29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21EB1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容积率修正系数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7A72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1.0597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D448D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1.1528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D0BF1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1.0678</w:t>
            </w:r>
          </w:p>
        </w:tc>
      </w:tr>
      <w:tr w14:paraId="5FD212DC">
        <w:tblPrEx>
          <w:tblCellMar>
            <w:top w:w="0" w:type="dxa"/>
            <w:left w:w="108" w:type="dxa"/>
            <w:bottom w:w="0" w:type="dxa"/>
            <w:right w:w="108" w:type="dxa"/>
          </w:tblCellMar>
        </w:tblPrEx>
        <w:trPr>
          <w:trHeight w:val="41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B73C0D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C749A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基准地价修正结果</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0C550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6937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9438F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4802</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6A91E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3225</w:t>
            </w:r>
          </w:p>
        </w:tc>
      </w:tr>
      <w:tr w14:paraId="3B7929E6">
        <w:tblPrEx>
          <w:tblCellMar>
            <w:top w:w="0" w:type="dxa"/>
            <w:left w:w="108" w:type="dxa"/>
            <w:bottom w:w="0" w:type="dxa"/>
            <w:right w:w="108" w:type="dxa"/>
          </w:tblCellMar>
        </w:tblPrEx>
        <w:trPr>
          <w:trHeight w:val="8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AFDAA2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7</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29D24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级别基准地价修正结果的70%</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B4A4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4856</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74B1E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3361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90D35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2258</w:t>
            </w:r>
          </w:p>
        </w:tc>
      </w:tr>
      <w:tr w14:paraId="2AC4F041">
        <w:tblPrEx>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BF16E1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8</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6006D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熟地价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7FB86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10942</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1F58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5295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2A690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3249</w:t>
            </w:r>
          </w:p>
        </w:tc>
      </w:tr>
    </w:tbl>
    <w:p w14:paraId="21FAD9DC">
      <w:pPr>
        <w:snapToGrid w:val="0"/>
        <w:spacing w:before="120" w:beforeLines="50" w:line="288" w:lineRule="auto"/>
        <w:ind w:firstLine="560" w:firstLineChars="200"/>
        <w:jc w:val="both"/>
        <w:rPr>
          <w:rFonts w:ascii="Arial" w:hAnsi="Arial" w:eastAsia="仿宋" w:cs="Arial"/>
          <w:color w:val="auto"/>
          <w:sz w:val="28"/>
        </w:rPr>
      </w:pPr>
      <w:r>
        <w:rPr>
          <w:rFonts w:hint="eastAsia" w:ascii="Arial" w:hAnsi="Arial" w:eastAsia="仿宋" w:cs="Arial"/>
          <w:color w:val="auto"/>
          <w:sz w:val="28"/>
        </w:rPr>
        <w:t>经测算，本次估价求取估价对象各用途熟地价均高于协议出让最低价标准（所在级别基准地价经除因素修正以外的其他因素修正后的70%），因此建议该宗地以评估熟地价作为入市底价，即74568.1325万元，建议出让楼面地价为10942元/平方米（折合经营性建筑面积）。</w:t>
      </w:r>
    </w:p>
    <w:p w14:paraId="1340794A">
      <w:pPr>
        <w:snapToGrid w:val="0"/>
        <w:spacing w:before="120" w:beforeLines="50" w:line="288" w:lineRule="auto"/>
        <w:ind w:firstLine="562" w:firstLineChars="200"/>
        <w:rPr>
          <w:rFonts w:ascii="Arial" w:hAnsi="Arial" w:eastAsia="仿宋" w:cs="Arial"/>
          <w:b/>
          <w:bCs/>
          <w:color w:val="auto"/>
          <w:sz w:val="28"/>
        </w:rPr>
      </w:pPr>
      <w:r>
        <w:rPr>
          <w:rFonts w:hint="eastAsia" w:ascii="Arial" w:hAnsi="Arial" w:eastAsia="仿宋" w:cs="Arial"/>
          <w:b/>
          <w:bCs/>
          <w:color w:val="auto"/>
          <w:sz w:val="28"/>
        </w:rPr>
        <w:t>建议出让底价：74568.1325万元</w:t>
      </w:r>
    </w:p>
    <w:p w14:paraId="21142FE5">
      <w:pPr>
        <w:snapToGrid w:val="0"/>
        <w:spacing w:before="120" w:beforeLines="50" w:line="288" w:lineRule="auto"/>
        <w:ind w:firstLine="562" w:firstLineChars="200"/>
        <w:rPr>
          <w:rFonts w:ascii="Arial" w:hAnsi="Arial" w:eastAsia="仿宋" w:cs="Arial"/>
          <w:b/>
          <w:bCs/>
          <w:color w:val="auto"/>
          <w:sz w:val="28"/>
        </w:rPr>
      </w:pPr>
      <w:r>
        <w:rPr>
          <w:rFonts w:hint="eastAsia" w:ascii="Arial" w:hAnsi="Arial" w:eastAsia="仿宋" w:cs="Arial"/>
          <w:b/>
          <w:bCs/>
          <w:color w:val="auto"/>
          <w:sz w:val="28"/>
        </w:rPr>
        <w:t>大写金额：柒亿肆仟伍佰陆拾捌万壹仟叁佰贰拾伍元整</w:t>
      </w:r>
    </w:p>
    <w:p w14:paraId="77C65B66">
      <w:pPr>
        <w:snapToGrid w:val="0"/>
        <w:spacing w:before="120" w:beforeLines="50" w:line="300" w:lineRule="auto"/>
        <w:ind w:firstLine="562" w:firstLineChars="200"/>
        <w:rPr>
          <w:rFonts w:ascii="Arial" w:hAnsi="Arial" w:eastAsia="仿宋" w:cs="Arial"/>
          <w:b/>
          <w:bCs/>
          <w:color w:val="auto"/>
          <w:sz w:val="28"/>
        </w:rPr>
        <w:sectPr>
          <w:headerReference r:id="rId31" w:type="first"/>
          <w:headerReference r:id="rId30" w:type="default"/>
          <w:footerReference r:id="rId32" w:type="default"/>
          <w:pgSz w:w="11907" w:h="16840"/>
          <w:pgMar w:top="1418" w:right="1134" w:bottom="1418" w:left="1418" w:header="794" w:footer="907" w:gutter="0"/>
          <w:cols w:space="720" w:num="1"/>
          <w:titlePg/>
          <w:docGrid w:linePitch="326" w:charSpace="0"/>
        </w:sectPr>
      </w:pPr>
      <w:r>
        <w:rPr>
          <w:rFonts w:hint="eastAsia" w:ascii="Arial" w:hAnsi="Arial" w:eastAsia="仿宋" w:cs="Arial"/>
          <w:b/>
          <w:bCs/>
          <w:color w:val="auto"/>
          <w:sz w:val="28"/>
        </w:rPr>
        <w:t>折合经营性建筑面积楼面地价：10942元/平方米。</w:t>
      </w:r>
    </w:p>
    <w:p w14:paraId="10354F2D">
      <w:pPr>
        <w:spacing w:line="300" w:lineRule="auto"/>
        <w:outlineLvl w:val="1"/>
        <w:rPr>
          <w:rFonts w:ascii="Arial" w:hAnsi="Arial" w:eastAsia="仿宋_GB2312" w:cs="Arial"/>
          <w:b/>
          <w:color w:val="auto"/>
          <w:sz w:val="28"/>
        </w:rPr>
      </w:pPr>
      <w:r>
        <w:rPr>
          <w:rFonts w:ascii="Arial" w:hAnsi="Arial" w:eastAsia="仿宋_GB2312" w:cs="Arial"/>
          <w:b/>
          <w:bCs/>
          <w:color w:val="auto"/>
          <w:sz w:val="28"/>
        </w:rPr>
        <w:t>附</w:t>
      </w:r>
      <w:r>
        <w:rPr>
          <w:rFonts w:ascii="Arial" w:hAnsi="Arial" w:eastAsia="仿宋_GB2312" w:cs="Arial"/>
          <w:b/>
          <w:color w:val="auto"/>
          <w:sz w:val="28"/>
        </w:rPr>
        <w:t xml:space="preserve">                                       估价结果一览表</w:t>
      </w:r>
    </w:p>
    <w:p w14:paraId="70DF8A7E">
      <w:pPr>
        <w:spacing w:line="300" w:lineRule="auto"/>
        <w:rPr>
          <w:rFonts w:ascii="Arial" w:hAnsi="Arial" w:eastAsia="仿宋_GB2312" w:cs="Arial"/>
          <w:bCs/>
          <w:color w:val="auto"/>
          <w:sz w:val="18"/>
          <w:szCs w:val="18"/>
        </w:rPr>
      </w:pPr>
      <w:r>
        <w:rPr>
          <w:rFonts w:ascii="Arial" w:hAnsi="Arial" w:eastAsia="仿宋_GB2312" w:cs="Arial"/>
          <w:bCs/>
          <w:color w:val="auto"/>
          <w:sz w:val="18"/>
          <w:szCs w:val="18"/>
        </w:rPr>
        <w:t>估价机构：</w:t>
      </w:r>
      <w:r>
        <w:rPr>
          <w:rFonts w:ascii="Arial" w:hAnsi="Arial" w:eastAsia="仿宋_GB2312" w:cs="Arial"/>
          <w:color w:val="auto"/>
          <w:sz w:val="18"/>
          <w:szCs w:val="18"/>
        </w:rPr>
        <w:t xml:space="preserve">北京康正宏基房地产评估有限公司 </w:t>
      </w:r>
      <w:r>
        <w:rPr>
          <w:rFonts w:ascii="Arial" w:hAnsi="Arial" w:eastAsia="仿宋_GB2312" w:cs="Arial"/>
          <w:bCs/>
          <w:color w:val="auto"/>
          <w:sz w:val="18"/>
          <w:szCs w:val="18"/>
        </w:rPr>
        <w:t>估价报告编号：</w:t>
      </w:r>
      <w:r>
        <w:rPr>
          <w:rFonts w:hint="eastAsia" w:ascii="Arial" w:hAnsi="Arial" w:eastAsia="仿宋_GB2312" w:cs="Arial"/>
          <w:bCs/>
          <w:color w:val="auto"/>
          <w:sz w:val="18"/>
          <w:szCs w:val="18"/>
        </w:rPr>
        <w:t>北京康正2026（估）字第0001号</w:t>
      </w:r>
      <w:r>
        <w:rPr>
          <w:rFonts w:ascii="Arial" w:hAnsi="Arial" w:eastAsia="仿宋_GB2312" w:cs="Arial"/>
          <w:bCs/>
          <w:color w:val="auto"/>
          <w:sz w:val="18"/>
          <w:szCs w:val="18"/>
        </w:rPr>
        <w:t xml:space="preserve"> 估价期日：</w:t>
      </w:r>
      <w:r>
        <w:rPr>
          <w:rFonts w:hint="eastAsia" w:ascii="Arial" w:hAnsi="Arial" w:eastAsia="仿宋_GB2312" w:cs="Arial"/>
          <w:bCs/>
          <w:color w:val="auto"/>
          <w:sz w:val="18"/>
          <w:szCs w:val="18"/>
        </w:rPr>
        <w:t>2026年3月26日</w:t>
      </w:r>
      <w:r>
        <w:rPr>
          <w:rFonts w:ascii="Arial" w:hAnsi="Arial" w:eastAsia="仿宋_GB2312" w:cs="Arial"/>
          <w:bCs/>
          <w:color w:val="auto"/>
          <w:sz w:val="18"/>
          <w:szCs w:val="18"/>
        </w:rPr>
        <w:t xml:space="preserve"> 估价期日的国有建设用地使用权性质：拟出让</w:t>
      </w:r>
    </w:p>
    <w:tbl>
      <w:tblPr>
        <w:tblStyle w:val="34"/>
        <w:tblW w:w="139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951"/>
        <w:gridCol w:w="1268"/>
        <w:gridCol w:w="647"/>
        <w:gridCol w:w="767"/>
        <w:gridCol w:w="767"/>
        <w:gridCol w:w="717"/>
        <w:gridCol w:w="1165"/>
        <w:gridCol w:w="1236"/>
        <w:gridCol w:w="1032"/>
        <w:gridCol w:w="912"/>
        <w:gridCol w:w="996"/>
        <w:gridCol w:w="960"/>
        <w:gridCol w:w="1359"/>
        <w:gridCol w:w="1142"/>
      </w:tblGrid>
      <w:tr w14:paraId="164A4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951" w:type="dxa"/>
            <w:vAlign w:val="center"/>
          </w:tcPr>
          <w:p w14:paraId="4FB181FF">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估价期日土地使用者</w:t>
            </w:r>
          </w:p>
        </w:tc>
        <w:tc>
          <w:tcPr>
            <w:tcW w:w="1268" w:type="dxa"/>
            <w:vAlign w:val="center"/>
          </w:tcPr>
          <w:p w14:paraId="49C8530C">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宗地名称</w:t>
            </w:r>
          </w:p>
        </w:tc>
        <w:tc>
          <w:tcPr>
            <w:tcW w:w="647" w:type="dxa"/>
            <w:vAlign w:val="center"/>
          </w:tcPr>
          <w:p w14:paraId="1EBAA96E">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宗地位置</w:t>
            </w:r>
          </w:p>
        </w:tc>
        <w:tc>
          <w:tcPr>
            <w:tcW w:w="767" w:type="dxa"/>
            <w:vAlign w:val="center"/>
          </w:tcPr>
          <w:p w14:paraId="0393163B">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估价期日的规划用途</w:t>
            </w:r>
          </w:p>
        </w:tc>
        <w:tc>
          <w:tcPr>
            <w:tcW w:w="767" w:type="dxa"/>
            <w:vAlign w:val="center"/>
          </w:tcPr>
          <w:p w14:paraId="1E57E010">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估价设定的用途</w:t>
            </w:r>
          </w:p>
        </w:tc>
        <w:tc>
          <w:tcPr>
            <w:tcW w:w="717" w:type="dxa"/>
            <w:vAlign w:val="center"/>
          </w:tcPr>
          <w:p w14:paraId="3A72E080">
            <w:pPr>
              <w:adjustRightInd/>
              <w:spacing w:line="240" w:lineRule="exact"/>
              <w:rPr>
                <w:rFonts w:ascii="Arial" w:hAnsi="Arial" w:eastAsia="仿宋_GB2312" w:cs="Arial"/>
                <w:bCs/>
                <w:color w:val="auto"/>
                <w:sz w:val="18"/>
                <w:szCs w:val="18"/>
              </w:rPr>
            </w:pPr>
            <w:r>
              <w:rPr>
                <w:rFonts w:ascii="Arial" w:hAnsi="Arial" w:eastAsia="仿宋_GB2312" w:cs="Arial"/>
                <w:bCs/>
                <w:color w:val="auto"/>
                <w:sz w:val="18"/>
                <w:szCs w:val="18"/>
              </w:rPr>
              <w:t>地上容积率</w:t>
            </w:r>
          </w:p>
        </w:tc>
        <w:tc>
          <w:tcPr>
            <w:tcW w:w="1165" w:type="dxa"/>
            <w:vAlign w:val="center"/>
          </w:tcPr>
          <w:p w14:paraId="2003CA4F">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估价期日的实际土地开发程度</w:t>
            </w:r>
          </w:p>
        </w:tc>
        <w:tc>
          <w:tcPr>
            <w:tcW w:w="1236" w:type="dxa"/>
            <w:vAlign w:val="center"/>
          </w:tcPr>
          <w:p w14:paraId="6DBE1F02">
            <w:pPr>
              <w:adjustRightInd/>
              <w:spacing w:line="240" w:lineRule="exact"/>
              <w:jc w:val="center"/>
              <w:rPr>
                <w:color w:val="auto"/>
              </w:rPr>
            </w:pPr>
            <w:r>
              <w:rPr>
                <w:rFonts w:ascii="Arial" w:hAnsi="Arial" w:eastAsia="仿宋_GB2312" w:cs="Arial"/>
                <w:bCs/>
                <w:color w:val="auto"/>
                <w:sz w:val="18"/>
                <w:szCs w:val="18"/>
              </w:rPr>
              <w:t>估价设定的土地开发程度</w:t>
            </w:r>
          </w:p>
        </w:tc>
        <w:tc>
          <w:tcPr>
            <w:tcW w:w="1032" w:type="dxa"/>
            <w:vAlign w:val="center"/>
          </w:tcPr>
          <w:p w14:paraId="584F7150">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土地使用权年限（年）</w:t>
            </w:r>
          </w:p>
        </w:tc>
        <w:tc>
          <w:tcPr>
            <w:tcW w:w="912" w:type="dxa"/>
            <w:vAlign w:val="center"/>
          </w:tcPr>
          <w:p w14:paraId="7ED78BB3">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出让建设用地面积（</w:t>
            </w:r>
            <w:r>
              <w:rPr>
                <w:rFonts w:ascii="Arial" w:hAnsi="Arial" w:cs="Arial"/>
                <w:bCs/>
                <w:color w:val="auto"/>
                <w:sz w:val="18"/>
                <w:szCs w:val="18"/>
              </w:rPr>
              <w:t>㎡</w:t>
            </w:r>
            <w:r>
              <w:rPr>
                <w:rFonts w:ascii="Arial" w:hAnsi="Arial" w:eastAsia="仿宋_GB2312" w:cs="Arial"/>
                <w:bCs/>
                <w:color w:val="auto"/>
                <w:sz w:val="18"/>
                <w:szCs w:val="18"/>
              </w:rPr>
              <w:t>）</w:t>
            </w:r>
          </w:p>
        </w:tc>
        <w:tc>
          <w:tcPr>
            <w:tcW w:w="996" w:type="dxa"/>
            <w:vAlign w:val="center"/>
          </w:tcPr>
          <w:p w14:paraId="479F8B0F">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出让建筑规模（</w:t>
            </w:r>
            <w:r>
              <w:rPr>
                <w:rFonts w:ascii="Arial" w:hAnsi="Arial" w:cs="Arial"/>
                <w:bCs/>
                <w:color w:val="auto"/>
                <w:sz w:val="18"/>
                <w:szCs w:val="18"/>
              </w:rPr>
              <w:t>㎡</w:t>
            </w:r>
            <w:r>
              <w:rPr>
                <w:rFonts w:ascii="Arial" w:hAnsi="Arial" w:eastAsia="仿宋_GB2312" w:cs="Arial"/>
                <w:bCs/>
                <w:color w:val="auto"/>
                <w:sz w:val="18"/>
                <w:szCs w:val="18"/>
              </w:rPr>
              <w:t>）</w:t>
            </w:r>
          </w:p>
        </w:tc>
        <w:tc>
          <w:tcPr>
            <w:tcW w:w="960" w:type="dxa"/>
            <w:vAlign w:val="center"/>
          </w:tcPr>
          <w:p w14:paraId="3893E51B">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熟地价</w:t>
            </w:r>
            <w:r>
              <w:rPr>
                <w:rFonts w:hint="eastAsia" w:ascii="Arial" w:hAnsi="Arial" w:eastAsia="仿宋_GB2312" w:cs="Arial"/>
                <w:bCs/>
                <w:color w:val="auto"/>
                <w:sz w:val="18"/>
                <w:szCs w:val="18"/>
              </w:rPr>
              <w:t>楼面地价</w:t>
            </w:r>
            <w:r>
              <w:rPr>
                <w:rFonts w:ascii="Arial" w:hAnsi="Arial" w:eastAsia="仿宋_GB2312" w:cs="Arial"/>
                <w:bCs/>
                <w:color w:val="auto"/>
                <w:sz w:val="18"/>
                <w:szCs w:val="18"/>
              </w:rPr>
              <w:t>（元/</w:t>
            </w:r>
            <w:r>
              <w:rPr>
                <w:rFonts w:ascii="Arial" w:hAnsi="Arial" w:cs="Arial"/>
                <w:bCs/>
                <w:color w:val="auto"/>
                <w:sz w:val="18"/>
                <w:szCs w:val="18"/>
              </w:rPr>
              <w:t>㎡</w:t>
            </w:r>
            <w:r>
              <w:rPr>
                <w:rFonts w:ascii="Arial" w:hAnsi="Arial" w:eastAsia="仿宋_GB2312" w:cs="Arial"/>
                <w:bCs/>
                <w:color w:val="auto"/>
                <w:sz w:val="18"/>
                <w:szCs w:val="18"/>
              </w:rPr>
              <w:t>）</w:t>
            </w:r>
          </w:p>
        </w:tc>
        <w:tc>
          <w:tcPr>
            <w:tcW w:w="1359" w:type="dxa"/>
            <w:vAlign w:val="center"/>
          </w:tcPr>
          <w:p w14:paraId="7E11F69D">
            <w:pPr>
              <w:adjustRightInd/>
              <w:spacing w:line="240" w:lineRule="exact"/>
              <w:jc w:val="center"/>
              <w:rPr>
                <w:rFonts w:ascii="Arial" w:hAnsi="Arial" w:eastAsia="仿宋_GB2312" w:cs="Arial"/>
                <w:bCs/>
                <w:color w:val="auto"/>
                <w:sz w:val="18"/>
                <w:szCs w:val="18"/>
              </w:rPr>
            </w:pPr>
            <w:r>
              <w:rPr>
                <w:rFonts w:ascii="Arial" w:hAnsi="Arial" w:eastAsia="仿宋_GB2312" w:cs="Arial"/>
                <w:bCs/>
                <w:color w:val="auto"/>
                <w:sz w:val="18"/>
                <w:szCs w:val="18"/>
              </w:rPr>
              <w:t>熟地总价（万元）</w:t>
            </w:r>
          </w:p>
        </w:tc>
        <w:tc>
          <w:tcPr>
            <w:tcW w:w="1142" w:type="dxa"/>
            <w:vAlign w:val="center"/>
          </w:tcPr>
          <w:p w14:paraId="186A7D30">
            <w:pPr>
              <w:adjustRightInd/>
              <w:spacing w:line="240" w:lineRule="exact"/>
              <w:jc w:val="center"/>
              <w:rPr>
                <w:rFonts w:ascii="Arial" w:hAnsi="Arial" w:eastAsia="仿宋_GB2312" w:cs="Arial"/>
                <w:bCs/>
                <w:color w:val="auto"/>
                <w:sz w:val="15"/>
                <w:szCs w:val="15"/>
              </w:rPr>
            </w:pPr>
            <w:r>
              <w:rPr>
                <w:rFonts w:hint="eastAsia" w:ascii="Arial" w:hAnsi="Arial" w:eastAsia="仿宋_GB2312" w:cs="Arial"/>
                <w:bCs/>
                <w:color w:val="auto"/>
                <w:sz w:val="18"/>
                <w:szCs w:val="18"/>
              </w:rPr>
              <w:t>建议出让底价</w:t>
            </w:r>
            <w:r>
              <w:rPr>
                <w:rFonts w:ascii="Arial" w:hAnsi="Arial" w:eastAsia="仿宋_GB2312" w:cs="Arial"/>
                <w:bCs/>
                <w:color w:val="auto"/>
                <w:sz w:val="18"/>
                <w:szCs w:val="18"/>
              </w:rPr>
              <w:t>（万元）</w:t>
            </w:r>
          </w:p>
        </w:tc>
      </w:tr>
      <w:tr w14:paraId="24C5C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trHeight w:val="1701" w:hRule="atLeast"/>
          <w:jc w:val="center"/>
        </w:trPr>
        <w:tc>
          <w:tcPr>
            <w:tcW w:w="951" w:type="dxa"/>
            <w:vMerge w:val="restart"/>
            <w:vAlign w:val="center"/>
          </w:tcPr>
          <w:p w14:paraId="4310D776">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待入市用地，待入市成功确定受让人后方能签订《国有土地使用权出让合同》及办理《不动产权证书》</w:t>
            </w:r>
          </w:p>
        </w:tc>
        <w:tc>
          <w:tcPr>
            <w:tcW w:w="1268" w:type="dxa"/>
            <w:vMerge w:val="restart"/>
            <w:vAlign w:val="center"/>
          </w:tcPr>
          <w:p w14:paraId="7E27E7A8">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顺义区高丽营镇夏县营村棚户区改造土地开发项目01－008、01－016、01－026－1、01－020地块R2二类居住用地、A334托幼用地国有建设用地使用权</w:t>
            </w:r>
          </w:p>
        </w:tc>
        <w:tc>
          <w:tcPr>
            <w:tcW w:w="647" w:type="dxa"/>
            <w:vMerge w:val="restart"/>
            <w:vAlign w:val="center"/>
          </w:tcPr>
          <w:p w14:paraId="64159EBC">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顺义区高丽营镇夏县营村</w:t>
            </w:r>
          </w:p>
        </w:tc>
        <w:tc>
          <w:tcPr>
            <w:tcW w:w="767" w:type="dxa"/>
            <w:vMerge w:val="restart"/>
            <w:vAlign w:val="center"/>
          </w:tcPr>
          <w:p w14:paraId="66100105">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R2二类居住用地</w:t>
            </w:r>
            <w:r>
              <w:rPr>
                <w:rFonts w:hint="eastAsia" w:ascii="Arial" w:hAnsi="Arial" w:eastAsia="仿宋_GB2312" w:cs="Arial"/>
                <w:color w:val="auto"/>
                <w:sz w:val="18"/>
                <w:szCs w:val="18"/>
              </w:rPr>
              <w:t>、A334托幼用地</w:t>
            </w:r>
          </w:p>
        </w:tc>
        <w:tc>
          <w:tcPr>
            <w:tcW w:w="767" w:type="dxa"/>
            <w:vAlign w:val="center"/>
          </w:tcPr>
          <w:p w14:paraId="0C903F2F">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城镇</w:t>
            </w:r>
            <w:r>
              <w:rPr>
                <w:rFonts w:ascii="Arial" w:hAnsi="Arial" w:eastAsia="仿宋_GB2312" w:cs="Arial"/>
                <w:color w:val="auto"/>
                <w:sz w:val="18"/>
                <w:szCs w:val="18"/>
              </w:rPr>
              <w:t>住宅</w:t>
            </w:r>
            <w:r>
              <w:rPr>
                <w:rFonts w:hint="eastAsia" w:ascii="Arial" w:hAnsi="Arial" w:eastAsia="仿宋_GB2312" w:cs="Arial"/>
                <w:color w:val="auto"/>
                <w:sz w:val="18"/>
                <w:szCs w:val="18"/>
              </w:rPr>
              <w:t>用地</w:t>
            </w:r>
          </w:p>
        </w:tc>
        <w:tc>
          <w:tcPr>
            <w:tcW w:w="717" w:type="dxa"/>
            <w:vMerge w:val="restart"/>
            <w:vAlign w:val="center"/>
          </w:tcPr>
          <w:p w14:paraId="4CF5201F">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1.2</w:t>
            </w:r>
          </w:p>
        </w:tc>
        <w:tc>
          <w:tcPr>
            <w:tcW w:w="1165" w:type="dxa"/>
            <w:vMerge w:val="restart"/>
            <w:vAlign w:val="center"/>
          </w:tcPr>
          <w:p w14:paraId="459148EC">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土地开发程度红线外市政基础设施达“七通”（通路、通上水（自来水、中水）、通下水（雨水、污水）、通电（管沟、电缆）、通讯、通燃气、通热力）、宗地红线内场地平整</w:t>
            </w:r>
          </w:p>
        </w:tc>
        <w:tc>
          <w:tcPr>
            <w:tcW w:w="1236" w:type="dxa"/>
            <w:vMerge w:val="restart"/>
            <w:vAlign w:val="center"/>
          </w:tcPr>
          <w:p w14:paraId="7150F02E">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土地开发程度红线外市政基础设施达“七通”（通路、通上水（自来水、中水）、通下水（雨水、污水）、通电（管沟、电缆）、通讯、通燃气、通热力）、宗地红线内场地平整</w:t>
            </w:r>
          </w:p>
        </w:tc>
        <w:tc>
          <w:tcPr>
            <w:tcW w:w="1032" w:type="dxa"/>
            <w:vAlign w:val="center"/>
          </w:tcPr>
          <w:p w14:paraId="313D74CE">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70</w:t>
            </w:r>
          </w:p>
        </w:tc>
        <w:tc>
          <w:tcPr>
            <w:tcW w:w="912" w:type="dxa"/>
            <w:vMerge w:val="restart"/>
            <w:vAlign w:val="center"/>
          </w:tcPr>
          <w:p w14:paraId="0165CF6B">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56790.45</w:t>
            </w:r>
          </w:p>
        </w:tc>
        <w:tc>
          <w:tcPr>
            <w:tcW w:w="996" w:type="dxa"/>
            <w:vAlign w:val="center"/>
          </w:tcPr>
          <w:p w14:paraId="473BD2E5">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68148.54</w:t>
            </w:r>
          </w:p>
        </w:tc>
        <w:tc>
          <w:tcPr>
            <w:tcW w:w="960" w:type="dxa"/>
            <w:vAlign w:val="center"/>
          </w:tcPr>
          <w:p w14:paraId="55B0919D">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10942</w:t>
            </w:r>
          </w:p>
        </w:tc>
        <w:tc>
          <w:tcPr>
            <w:tcW w:w="1359" w:type="dxa"/>
            <w:vAlign w:val="center"/>
          </w:tcPr>
          <w:p w14:paraId="3393896F">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74568.1325</w:t>
            </w:r>
            <w:r>
              <w:rPr>
                <w:rFonts w:ascii="Arial" w:hAnsi="Arial" w:eastAsia="仿宋_GB2312" w:cs="Arial"/>
                <w:color w:val="auto"/>
                <w:sz w:val="18"/>
                <w:szCs w:val="18"/>
              </w:rPr>
              <w:t xml:space="preserve"> </w:t>
            </w:r>
          </w:p>
        </w:tc>
        <w:tc>
          <w:tcPr>
            <w:tcW w:w="1142" w:type="dxa"/>
            <w:vMerge w:val="restart"/>
            <w:tcBorders>
              <w:left w:val="single" w:color="auto" w:sz="4" w:space="0"/>
            </w:tcBorders>
            <w:vAlign w:val="center"/>
          </w:tcPr>
          <w:p w14:paraId="5A17228B">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建议该宗地入市底价为：74568.1325 万元</w:t>
            </w:r>
          </w:p>
        </w:tc>
      </w:tr>
      <w:tr w14:paraId="7CE73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trHeight w:val="1701" w:hRule="atLeast"/>
          <w:jc w:val="center"/>
        </w:trPr>
        <w:tc>
          <w:tcPr>
            <w:tcW w:w="951" w:type="dxa"/>
            <w:vMerge w:val="continue"/>
            <w:vAlign w:val="center"/>
          </w:tcPr>
          <w:p w14:paraId="2E15A818">
            <w:pPr>
              <w:adjustRightInd/>
              <w:spacing w:line="240" w:lineRule="exact"/>
              <w:jc w:val="center"/>
              <w:rPr>
                <w:rFonts w:ascii="Arial" w:hAnsi="Arial" w:eastAsia="仿宋_GB2312" w:cs="Arial"/>
                <w:color w:val="auto"/>
                <w:sz w:val="18"/>
                <w:szCs w:val="18"/>
              </w:rPr>
            </w:pPr>
          </w:p>
        </w:tc>
        <w:tc>
          <w:tcPr>
            <w:tcW w:w="1268" w:type="dxa"/>
            <w:vMerge w:val="continue"/>
            <w:vAlign w:val="center"/>
          </w:tcPr>
          <w:p w14:paraId="3CDB8EBF">
            <w:pPr>
              <w:adjustRightInd/>
              <w:spacing w:line="240" w:lineRule="exact"/>
              <w:jc w:val="center"/>
              <w:rPr>
                <w:rFonts w:ascii="Arial" w:hAnsi="Arial" w:eastAsia="仿宋_GB2312" w:cs="Arial"/>
                <w:color w:val="auto"/>
                <w:sz w:val="18"/>
                <w:szCs w:val="18"/>
              </w:rPr>
            </w:pPr>
          </w:p>
        </w:tc>
        <w:tc>
          <w:tcPr>
            <w:tcW w:w="647" w:type="dxa"/>
            <w:vMerge w:val="continue"/>
            <w:vAlign w:val="center"/>
          </w:tcPr>
          <w:p w14:paraId="5E314E91">
            <w:pPr>
              <w:adjustRightInd/>
              <w:spacing w:line="240" w:lineRule="exact"/>
              <w:jc w:val="center"/>
              <w:rPr>
                <w:rFonts w:ascii="Arial" w:hAnsi="Arial" w:eastAsia="仿宋_GB2312" w:cs="Arial"/>
                <w:color w:val="auto"/>
                <w:sz w:val="18"/>
                <w:szCs w:val="18"/>
              </w:rPr>
            </w:pPr>
          </w:p>
        </w:tc>
        <w:tc>
          <w:tcPr>
            <w:tcW w:w="767" w:type="dxa"/>
            <w:vMerge w:val="continue"/>
            <w:vAlign w:val="center"/>
          </w:tcPr>
          <w:p w14:paraId="0D5194A1">
            <w:pPr>
              <w:adjustRightInd/>
              <w:spacing w:line="240" w:lineRule="exact"/>
              <w:jc w:val="center"/>
              <w:rPr>
                <w:rFonts w:ascii="Arial" w:hAnsi="Arial" w:eastAsia="仿宋_GB2312" w:cs="Arial"/>
                <w:color w:val="auto"/>
                <w:sz w:val="18"/>
                <w:szCs w:val="18"/>
              </w:rPr>
            </w:pPr>
          </w:p>
        </w:tc>
        <w:tc>
          <w:tcPr>
            <w:tcW w:w="767" w:type="dxa"/>
            <w:vAlign w:val="center"/>
          </w:tcPr>
          <w:p w14:paraId="38BC84F9">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其他商业服务业用地</w:t>
            </w:r>
          </w:p>
        </w:tc>
        <w:tc>
          <w:tcPr>
            <w:tcW w:w="717" w:type="dxa"/>
            <w:vMerge w:val="continue"/>
            <w:vAlign w:val="center"/>
          </w:tcPr>
          <w:p w14:paraId="25D80E28">
            <w:pPr>
              <w:adjustRightInd/>
              <w:spacing w:line="240" w:lineRule="exact"/>
              <w:jc w:val="center"/>
              <w:rPr>
                <w:rFonts w:ascii="Arial" w:hAnsi="Arial" w:eastAsia="仿宋_GB2312" w:cs="Arial"/>
                <w:color w:val="auto"/>
                <w:sz w:val="18"/>
                <w:szCs w:val="18"/>
              </w:rPr>
            </w:pPr>
          </w:p>
        </w:tc>
        <w:tc>
          <w:tcPr>
            <w:tcW w:w="1165" w:type="dxa"/>
            <w:vMerge w:val="continue"/>
            <w:vAlign w:val="center"/>
          </w:tcPr>
          <w:p w14:paraId="71BB5BEC">
            <w:pPr>
              <w:adjustRightInd/>
              <w:spacing w:line="240" w:lineRule="exact"/>
              <w:jc w:val="center"/>
              <w:rPr>
                <w:rFonts w:ascii="Arial" w:hAnsi="Arial" w:eastAsia="仿宋_GB2312" w:cs="Arial"/>
                <w:color w:val="auto"/>
                <w:sz w:val="18"/>
                <w:szCs w:val="18"/>
              </w:rPr>
            </w:pPr>
          </w:p>
        </w:tc>
        <w:tc>
          <w:tcPr>
            <w:tcW w:w="1236" w:type="dxa"/>
            <w:vMerge w:val="continue"/>
            <w:vAlign w:val="center"/>
          </w:tcPr>
          <w:p w14:paraId="667B2AF1">
            <w:pPr>
              <w:adjustRightInd/>
              <w:spacing w:line="240" w:lineRule="exact"/>
              <w:jc w:val="center"/>
              <w:rPr>
                <w:rFonts w:ascii="Arial" w:hAnsi="Arial" w:eastAsia="仿宋_GB2312" w:cs="Arial"/>
                <w:color w:val="auto"/>
                <w:sz w:val="18"/>
                <w:szCs w:val="18"/>
              </w:rPr>
            </w:pPr>
          </w:p>
        </w:tc>
        <w:tc>
          <w:tcPr>
            <w:tcW w:w="1032" w:type="dxa"/>
            <w:vAlign w:val="center"/>
          </w:tcPr>
          <w:p w14:paraId="4E127940">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40</w:t>
            </w:r>
          </w:p>
        </w:tc>
        <w:tc>
          <w:tcPr>
            <w:tcW w:w="912" w:type="dxa"/>
            <w:vMerge w:val="continue"/>
            <w:vAlign w:val="center"/>
          </w:tcPr>
          <w:p w14:paraId="77808FCC">
            <w:pPr>
              <w:adjustRightInd/>
              <w:spacing w:line="240" w:lineRule="exact"/>
              <w:jc w:val="center"/>
              <w:rPr>
                <w:rFonts w:ascii="Arial" w:hAnsi="Arial" w:eastAsia="仿宋_GB2312" w:cs="Arial"/>
                <w:color w:val="auto"/>
                <w:sz w:val="18"/>
                <w:szCs w:val="18"/>
              </w:rPr>
            </w:pPr>
          </w:p>
        </w:tc>
        <w:tc>
          <w:tcPr>
            <w:tcW w:w="996" w:type="dxa"/>
            <w:vAlign w:val="center"/>
          </w:tcPr>
          <w:p w14:paraId="0F4A0E12">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960" w:type="dxa"/>
            <w:vAlign w:val="center"/>
          </w:tcPr>
          <w:p w14:paraId="44559530">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5295</w:t>
            </w:r>
          </w:p>
        </w:tc>
        <w:tc>
          <w:tcPr>
            <w:tcW w:w="1359" w:type="dxa"/>
            <w:vAlign w:val="center"/>
          </w:tcPr>
          <w:p w14:paraId="51877D3D">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142" w:type="dxa"/>
            <w:vMerge w:val="continue"/>
            <w:tcBorders>
              <w:left w:val="single" w:color="auto" w:sz="4" w:space="0"/>
            </w:tcBorders>
            <w:vAlign w:val="center"/>
          </w:tcPr>
          <w:p w14:paraId="3ADD7757">
            <w:pPr>
              <w:adjustRightInd/>
              <w:spacing w:line="240" w:lineRule="exact"/>
              <w:jc w:val="center"/>
              <w:rPr>
                <w:rFonts w:ascii="Arial" w:hAnsi="Arial" w:eastAsia="仿宋_GB2312" w:cs="Arial"/>
                <w:color w:val="auto"/>
                <w:sz w:val="18"/>
                <w:szCs w:val="18"/>
              </w:rPr>
            </w:pPr>
          </w:p>
        </w:tc>
      </w:tr>
      <w:tr w14:paraId="6CC51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trHeight w:val="1701" w:hRule="atLeast"/>
          <w:jc w:val="center"/>
        </w:trPr>
        <w:tc>
          <w:tcPr>
            <w:tcW w:w="951" w:type="dxa"/>
            <w:vMerge w:val="continue"/>
            <w:vAlign w:val="center"/>
          </w:tcPr>
          <w:p w14:paraId="5FB900DD">
            <w:pPr>
              <w:adjustRightInd/>
              <w:spacing w:line="240" w:lineRule="exact"/>
              <w:jc w:val="center"/>
              <w:rPr>
                <w:rFonts w:ascii="Arial" w:hAnsi="Arial" w:eastAsia="仿宋_GB2312" w:cs="Arial"/>
                <w:color w:val="auto"/>
                <w:sz w:val="18"/>
                <w:szCs w:val="18"/>
              </w:rPr>
            </w:pPr>
          </w:p>
        </w:tc>
        <w:tc>
          <w:tcPr>
            <w:tcW w:w="1268" w:type="dxa"/>
            <w:vMerge w:val="continue"/>
            <w:vAlign w:val="center"/>
          </w:tcPr>
          <w:p w14:paraId="6965AD90">
            <w:pPr>
              <w:adjustRightInd/>
              <w:spacing w:line="240" w:lineRule="exact"/>
              <w:jc w:val="center"/>
              <w:rPr>
                <w:rFonts w:ascii="Arial" w:hAnsi="Arial" w:eastAsia="仿宋_GB2312" w:cs="Arial"/>
                <w:color w:val="auto"/>
                <w:sz w:val="18"/>
                <w:szCs w:val="18"/>
              </w:rPr>
            </w:pPr>
          </w:p>
        </w:tc>
        <w:tc>
          <w:tcPr>
            <w:tcW w:w="647" w:type="dxa"/>
            <w:vMerge w:val="continue"/>
            <w:vAlign w:val="center"/>
          </w:tcPr>
          <w:p w14:paraId="3258FDD1">
            <w:pPr>
              <w:adjustRightInd/>
              <w:spacing w:line="240" w:lineRule="exact"/>
              <w:jc w:val="center"/>
              <w:rPr>
                <w:rFonts w:ascii="Arial" w:hAnsi="Arial" w:eastAsia="仿宋_GB2312" w:cs="Arial"/>
                <w:color w:val="auto"/>
                <w:sz w:val="18"/>
                <w:szCs w:val="18"/>
              </w:rPr>
            </w:pPr>
          </w:p>
        </w:tc>
        <w:tc>
          <w:tcPr>
            <w:tcW w:w="767" w:type="dxa"/>
            <w:vMerge w:val="continue"/>
            <w:vAlign w:val="center"/>
          </w:tcPr>
          <w:p w14:paraId="2B0DD99A">
            <w:pPr>
              <w:adjustRightInd/>
              <w:spacing w:line="240" w:lineRule="exact"/>
              <w:jc w:val="center"/>
              <w:rPr>
                <w:rFonts w:ascii="Arial" w:hAnsi="Arial" w:eastAsia="仿宋_GB2312" w:cs="Arial"/>
                <w:color w:val="auto"/>
                <w:sz w:val="18"/>
                <w:szCs w:val="18"/>
              </w:rPr>
            </w:pPr>
          </w:p>
        </w:tc>
        <w:tc>
          <w:tcPr>
            <w:tcW w:w="767" w:type="dxa"/>
            <w:vAlign w:val="center"/>
          </w:tcPr>
          <w:p w14:paraId="61D57CEC">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公共管理与公共</w:t>
            </w:r>
            <w:r>
              <w:rPr>
                <w:rFonts w:ascii="Arial" w:hAnsi="Arial" w:eastAsia="仿宋_GB2312" w:cs="Arial"/>
                <w:color w:val="auto"/>
                <w:sz w:val="18"/>
                <w:szCs w:val="18"/>
              </w:rPr>
              <w:t>服务</w:t>
            </w:r>
            <w:r>
              <w:rPr>
                <w:rFonts w:hint="eastAsia" w:ascii="Arial" w:hAnsi="Arial" w:eastAsia="仿宋_GB2312" w:cs="Arial"/>
                <w:color w:val="auto"/>
                <w:sz w:val="18"/>
                <w:szCs w:val="18"/>
              </w:rPr>
              <w:t>用地</w:t>
            </w:r>
          </w:p>
        </w:tc>
        <w:tc>
          <w:tcPr>
            <w:tcW w:w="717" w:type="dxa"/>
            <w:vMerge w:val="continue"/>
            <w:vAlign w:val="center"/>
          </w:tcPr>
          <w:p w14:paraId="1292AE33">
            <w:pPr>
              <w:adjustRightInd/>
              <w:spacing w:line="240" w:lineRule="exact"/>
              <w:jc w:val="center"/>
              <w:rPr>
                <w:rFonts w:ascii="Arial" w:hAnsi="Arial" w:eastAsia="仿宋_GB2312" w:cs="Arial"/>
                <w:color w:val="auto"/>
                <w:sz w:val="18"/>
                <w:szCs w:val="18"/>
              </w:rPr>
            </w:pPr>
          </w:p>
        </w:tc>
        <w:tc>
          <w:tcPr>
            <w:tcW w:w="1165" w:type="dxa"/>
            <w:vMerge w:val="continue"/>
            <w:vAlign w:val="center"/>
          </w:tcPr>
          <w:p w14:paraId="3B0D2E06">
            <w:pPr>
              <w:adjustRightInd/>
              <w:spacing w:line="240" w:lineRule="exact"/>
              <w:jc w:val="center"/>
              <w:rPr>
                <w:rFonts w:ascii="Arial" w:hAnsi="Arial" w:eastAsia="仿宋_GB2312" w:cs="Arial"/>
                <w:color w:val="auto"/>
                <w:sz w:val="18"/>
                <w:szCs w:val="18"/>
              </w:rPr>
            </w:pPr>
          </w:p>
        </w:tc>
        <w:tc>
          <w:tcPr>
            <w:tcW w:w="1236" w:type="dxa"/>
            <w:vMerge w:val="continue"/>
            <w:vAlign w:val="center"/>
          </w:tcPr>
          <w:p w14:paraId="269EED5B">
            <w:pPr>
              <w:adjustRightInd/>
              <w:spacing w:line="240" w:lineRule="exact"/>
              <w:jc w:val="center"/>
              <w:rPr>
                <w:rFonts w:ascii="Arial" w:hAnsi="Arial" w:eastAsia="仿宋_GB2312" w:cs="Arial"/>
                <w:color w:val="auto"/>
                <w:sz w:val="18"/>
                <w:szCs w:val="18"/>
              </w:rPr>
            </w:pPr>
          </w:p>
        </w:tc>
        <w:tc>
          <w:tcPr>
            <w:tcW w:w="1032" w:type="dxa"/>
            <w:vAlign w:val="center"/>
          </w:tcPr>
          <w:p w14:paraId="605299D9">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50</w:t>
            </w:r>
          </w:p>
        </w:tc>
        <w:tc>
          <w:tcPr>
            <w:tcW w:w="912" w:type="dxa"/>
            <w:vMerge w:val="continue"/>
            <w:vAlign w:val="center"/>
          </w:tcPr>
          <w:p w14:paraId="3E8D49DC">
            <w:pPr>
              <w:adjustRightInd/>
              <w:spacing w:line="240" w:lineRule="exact"/>
              <w:jc w:val="center"/>
              <w:rPr>
                <w:rFonts w:ascii="Arial" w:hAnsi="Arial" w:eastAsia="仿宋_GB2312" w:cs="Arial"/>
                <w:color w:val="auto"/>
                <w:sz w:val="18"/>
                <w:szCs w:val="18"/>
              </w:rPr>
            </w:pPr>
          </w:p>
        </w:tc>
        <w:tc>
          <w:tcPr>
            <w:tcW w:w="996" w:type="dxa"/>
            <w:vAlign w:val="center"/>
          </w:tcPr>
          <w:p w14:paraId="7880FBDB">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960" w:type="dxa"/>
            <w:vAlign w:val="center"/>
          </w:tcPr>
          <w:p w14:paraId="4613EC3C">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3249</w:t>
            </w:r>
          </w:p>
        </w:tc>
        <w:tc>
          <w:tcPr>
            <w:tcW w:w="1359" w:type="dxa"/>
            <w:vAlign w:val="center"/>
          </w:tcPr>
          <w:p w14:paraId="0A649C8B">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142" w:type="dxa"/>
            <w:vMerge w:val="continue"/>
            <w:tcBorders>
              <w:left w:val="single" w:color="auto" w:sz="4" w:space="0"/>
            </w:tcBorders>
            <w:vAlign w:val="center"/>
          </w:tcPr>
          <w:p w14:paraId="3A4BE2D9">
            <w:pPr>
              <w:adjustRightInd/>
              <w:spacing w:line="240" w:lineRule="exact"/>
              <w:jc w:val="center"/>
              <w:rPr>
                <w:rFonts w:ascii="Arial" w:hAnsi="Arial" w:eastAsia="仿宋_GB2312" w:cs="Arial"/>
                <w:color w:val="auto"/>
                <w:sz w:val="18"/>
                <w:szCs w:val="18"/>
              </w:rPr>
            </w:pPr>
          </w:p>
        </w:tc>
      </w:tr>
      <w:tr w14:paraId="4B35A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951" w:type="dxa"/>
            <w:vAlign w:val="center"/>
          </w:tcPr>
          <w:p w14:paraId="768CF463">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合计</w:t>
            </w:r>
          </w:p>
        </w:tc>
        <w:tc>
          <w:tcPr>
            <w:tcW w:w="1268" w:type="dxa"/>
            <w:vAlign w:val="center"/>
          </w:tcPr>
          <w:p w14:paraId="0BD42433">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647" w:type="dxa"/>
            <w:vAlign w:val="center"/>
          </w:tcPr>
          <w:p w14:paraId="6E37333E">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767" w:type="dxa"/>
            <w:vAlign w:val="center"/>
          </w:tcPr>
          <w:p w14:paraId="2935524A">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767" w:type="dxa"/>
            <w:vAlign w:val="center"/>
          </w:tcPr>
          <w:p w14:paraId="0763622A">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717" w:type="dxa"/>
            <w:vAlign w:val="center"/>
          </w:tcPr>
          <w:p w14:paraId="4D6C997D">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165" w:type="dxa"/>
            <w:vAlign w:val="center"/>
          </w:tcPr>
          <w:p w14:paraId="545F0559">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236" w:type="dxa"/>
            <w:vAlign w:val="center"/>
          </w:tcPr>
          <w:p w14:paraId="1CF0EB30">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032" w:type="dxa"/>
            <w:vAlign w:val="center"/>
          </w:tcPr>
          <w:p w14:paraId="7097697E">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912" w:type="dxa"/>
            <w:vAlign w:val="center"/>
          </w:tcPr>
          <w:p w14:paraId="3DDC3E28">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56790.45</w:t>
            </w:r>
          </w:p>
        </w:tc>
        <w:tc>
          <w:tcPr>
            <w:tcW w:w="996" w:type="dxa"/>
            <w:vAlign w:val="center"/>
          </w:tcPr>
          <w:p w14:paraId="08CCA0A1">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68148.54</w:t>
            </w:r>
          </w:p>
        </w:tc>
        <w:tc>
          <w:tcPr>
            <w:tcW w:w="960" w:type="dxa"/>
            <w:vAlign w:val="center"/>
          </w:tcPr>
          <w:p w14:paraId="5F65A3EA">
            <w:pPr>
              <w:adjustRightInd/>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w:t>
            </w:r>
          </w:p>
        </w:tc>
        <w:tc>
          <w:tcPr>
            <w:tcW w:w="1359" w:type="dxa"/>
            <w:vAlign w:val="center"/>
          </w:tcPr>
          <w:p w14:paraId="364A1AC2">
            <w:pPr>
              <w:adjustRightInd/>
              <w:spacing w:line="240" w:lineRule="exact"/>
              <w:jc w:val="center"/>
              <w:rPr>
                <w:rFonts w:ascii="Arial" w:hAnsi="Arial" w:eastAsia="仿宋_GB2312" w:cs="Arial"/>
                <w:color w:val="auto"/>
                <w:sz w:val="18"/>
                <w:szCs w:val="18"/>
              </w:rPr>
            </w:pPr>
            <w:r>
              <w:rPr>
                <w:rFonts w:hint="eastAsia" w:ascii="Arial" w:hAnsi="Arial" w:eastAsia="仿宋_GB2312" w:cs="Arial"/>
                <w:color w:val="auto"/>
                <w:sz w:val="18"/>
                <w:szCs w:val="18"/>
              </w:rPr>
              <w:t>74568.1325</w:t>
            </w:r>
            <w:r>
              <w:rPr>
                <w:rFonts w:ascii="Arial" w:hAnsi="Arial" w:eastAsia="仿宋_GB2312" w:cs="Arial"/>
                <w:color w:val="auto"/>
                <w:sz w:val="18"/>
                <w:szCs w:val="18"/>
              </w:rPr>
              <w:t xml:space="preserve">  </w:t>
            </w:r>
          </w:p>
        </w:tc>
        <w:tc>
          <w:tcPr>
            <w:tcW w:w="1142" w:type="dxa"/>
            <w:vMerge w:val="continue"/>
            <w:tcBorders>
              <w:left w:val="single" w:color="auto" w:sz="4" w:space="0"/>
            </w:tcBorders>
            <w:vAlign w:val="center"/>
          </w:tcPr>
          <w:p w14:paraId="4316BD5D">
            <w:pPr>
              <w:adjustRightInd/>
              <w:spacing w:line="240" w:lineRule="exact"/>
              <w:jc w:val="center"/>
              <w:rPr>
                <w:rFonts w:ascii="Arial" w:hAnsi="Arial" w:eastAsia="仿宋_GB2312" w:cs="Arial"/>
                <w:color w:val="auto"/>
                <w:sz w:val="18"/>
                <w:szCs w:val="18"/>
              </w:rPr>
            </w:pPr>
          </w:p>
        </w:tc>
      </w:tr>
    </w:tbl>
    <w:p w14:paraId="67AEA657">
      <w:pPr>
        <w:adjustRightInd/>
        <w:spacing w:line="240" w:lineRule="exact"/>
        <w:jc w:val="right"/>
        <w:rPr>
          <w:rFonts w:ascii="Arial" w:hAnsi="Arial" w:eastAsia="仿宋_GB2312" w:cs="Arial"/>
          <w:color w:val="auto"/>
          <w:sz w:val="18"/>
          <w:szCs w:val="18"/>
        </w:rPr>
      </w:pPr>
      <w:r>
        <w:rPr>
          <w:rFonts w:hint="eastAsia" w:ascii="Arial" w:hAnsi="Arial" w:eastAsia="仿宋_GB2312" w:cs="Arial"/>
          <w:color w:val="auto"/>
          <w:sz w:val="18"/>
          <w:szCs w:val="18"/>
        </w:rPr>
        <w:t xml:space="preserve">                 </w:t>
      </w:r>
      <w:r>
        <w:rPr>
          <w:rFonts w:ascii="Arial" w:hAnsi="Arial" w:eastAsia="仿宋_GB2312" w:cs="Arial"/>
          <w:color w:val="auto"/>
          <w:sz w:val="18"/>
          <w:szCs w:val="18"/>
        </w:rPr>
        <w:t>币种：人民币</w:t>
      </w:r>
    </w:p>
    <w:p w14:paraId="03D127F1">
      <w:pPr>
        <w:pStyle w:val="91"/>
        <w:spacing w:line="300" w:lineRule="auto"/>
        <w:ind w:right="-408" w:rightChars="-170" w:firstLine="420"/>
        <w:rPr>
          <w:rFonts w:ascii="Arial" w:hAnsi="Arial" w:cs="Arial"/>
          <w:bCs/>
          <w:color w:val="auto"/>
          <w:sz w:val="21"/>
          <w:szCs w:val="21"/>
        </w:rPr>
        <w:sectPr>
          <w:pgSz w:w="16840" w:h="11907" w:orient="landscape"/>
          <w:pgMar w:top="1418" w:right="1418" w:bottom="1134" w:left="1418" w:header="794" w:footer="907" w:gutter="0"/>
          <w:cols w:space="720" w:num="1"/>
          <w:titlePg/>
          <w:docGrid w:linePitch="326" w:charSpace="0"/>
        </w:sectPr>
      </w:pPr>
    </w:p>
    <w:p w14:paraId="2793265D">
      <w:pPr>
        <w:spacing w:line="300" w:lineRule="auto"/>
        <w:ind w:left="1"/>
        <w:jc w:val="both"/>
        <w:rPr>
          <w:rFonts w:ascii="Arial" w:hAnsi="Arial" w:eastAsia="仿宋_GB2312" w:cs="Arial"/>
          <w:b/>
          <w:color w:val="auto"/>
        </w:rPr>
      </w:pPr>
      <w:r>
        <w:rPr>
          <w:rFonts w:ascii="Arial" w:hAnsi="Arial" w:eastAsia="仿宋_GB2312" w:cs="Arial"/>
          <w:b/>
          <w:color w:val="auto"/>
        </w:rPr>
        <w:t>一、上述估价结果的限定条件</w:t>
      </w:r>
    </w:p>
    <w:p w14:paraId="33273CFD">
      <w:pPr>
        <w:adjustRightInd/>
        <w:spacing w:line="300" w:lineRule="auto"/>
        <w:jc w:val="both"/>
        <w:rPr>
          <w:rFonts w:ascii="Arial" w:hAnsi="Arial" w:eastAsia="仿宋_GB2312" w:cs="Arial"/>
          <w:bCs/>
          <w:color w:val="auto"/>
        </w:rPr>
      </w:pPr>
      <w:r>
        <w:rPr>
          <w:rFonts w:ascii="Arial" w:hAnsi="Arial" w:eastAsia="仿宋_GB2312" w:cs="Arial"/>
          <w:bCs/>
          <w:color w:val="auto"/>
        </w:rPr>
        <w:t>（一）土地权利限制：至估价期日，估价对象无他项权利；</w:t>
      </w:r>
    </w:p>
    <w:p w14:paraId="1B02A595">
      <w:pPr>
        <w:adjustRightInd/>
        <w:spacing w:line="300" w:lineRule="auto"/>
        <w:jc w:val="both"/>
        <w:rPr>
          <w:rFonts w:ascii="仿宋_GB2312" w:hAnsi="Arial" w:eastAsia="仿宋_GB2312"/>
          <w:bCs/>
          <w:color w:val="auto"/>
        </w:rPr>
      </w:pPr>
      <w:r>
        <w:rPr>
          <w:rFonts w:ascii="Arial" w:hAnsi="Arial" w:eastAsia="仿宋_GB2312" w:cs="Arial"/>
          <w:bCs/>
          <w:color w:val="auto"/>
        </w:rPr>
        <w:t>（二）基础设施条件：</w:t>
      </w:r>
      <w:r>
        <w:rPr>
          <w:rFonts w:hint="eastAsia" w:ascii="仿宋_GB2312" w:hAnsi="Arial" w:eastAsia="仿宋_GB2312"/>
          <w:bCs/>
          <w:color w:val="auto"/>
        </w:rPr>
        <w:t>估价对象实际开发程度为宗地外“七通”（通路、通上水（自来水、中水）、通下水（雨水、污水）、通电（管沟、电缆）、通讯、通燃气、通热力），宗地红线内场地平整；本次评估设定开发程度为土地开发程度红线外市政基础设施达宗地外“七通”（通路、通上水（自来水、中水）、通下水（雨水、污水）、通电、通讯、通燃气、通热力），宗地红线内场地平整</w:t>
      </w:r>
      <w:r>
        <w:rPr>
          <w:rFonts w:ascii="仿宋_GB2312" w:hAnsi="Arial" w:eastAsia="仿宋_GB2312"/>
          <w:bCs/>
          <w:color w:val="auto"/>
        </w:rPr>
        <w:t>；</w:t>
      </w:r>
    </w:p>
    <w:p w14:paraId="59FAD0DA">
      <w:pPr>
        <w:adjustRightInd/>
        <w:spacing w:line="300" w:lineRule="auto"/>
        <w:jc w:val="both"/>
        <w:rPr>
          <w:rFonts w:ascii="Arial" w:hAnsi="Arial" w:eastAsia="仿宋_GB2312" w:cs="Arial"/>
          <w:bCs/>
          <w:color w:val="auto"/>
        </w:rPr>
      </w:pPr>
      <w:r>
        <w:rPr>
          <w:rFonts w:ascii="Arial" w:hAnsi="Arial" w:eastAsia="仿宋_GB2312" w:cs="Arial"/>
          <w:bCs/>
          <w:color w:val="auto"/>
        </w:rPr>
        <w:t>（三）规划限制条件：依据</w:t>
      </w:r>
      <w:r>
        <w:rPr>
          <w:rFonts w:hint="eastAsia" w:ascii="Arial" w:hAnsi="Arial" w:eastAsia="仿宋_GB2312" w:cs="Arial"/>
          <w:bCs/>
          <w:color w:val="auto"/>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hint="eastAsia" w:ascii="Arial" w:hAnsi="Arial" w:eastAsia="仿宋_GB2312" w:cs="Arial"/>
          <w:bCs/>
          <w:color w:val="auto"/>
          <w:lang w:val="en-US" w:eastAsia="zh-CN"/>
        </w:rPr>
        <w:t>确定</w:t>
      </w:r>
      <w:r>
        <w:rPr>
          <w:rFonts w:ascii="Arial" w:hAnsi="Arial" w:eastAsia="仿宋_GB2312" w:cs="Arial"/>
          <w:bCs/>
          <w:color w:val="auto"/>
        </w:rPr>
        <w:t>；</w:t>
      </w:r>
    </w:p>
    <w:p w14:paraId="7943A552">
      <w:pPr>
        <w:adjustRightInd/>
        <w:spacing w:line="300" w:lineRule="auto"/>
        <w:jc w:val="both"/>
        <w:rPr>
          <w:rFonts w:ascii="Arial" w:hAnsi="Arial" w:eastAsia="仿宋_GB2312" w:cs="Arial"/>
          <w:bCs/>
          <w:color w:val="auto"/>
        </w:rPr>
      </w:pPr>
      <w:r>
        <w:rPr>
          <w:rFonts w:ascii="Arial" w:hAnsi="Arial" w:eastAsia="仿宋_GB2312" w:cs="Arial"/>
          <w:bCs/>
          <w:color w:val="auto"/>
        </w:rPr>
        <w:t>（四）影响土地价格的其他限定条件：无。</w:t>
      </w:r>
    </w:p>
    <w:p w14:paraId="1EEC712E">
      <w:pPr>
        <w:spacing w:line="300" w:lineRule="auto"/>
        <w:jc w:val="both"/>
        <w:rPr>
          <w:rFonts w:ascii="Arial" w:hAnsi="Arial" w:eastAsia="仿宋_GB2312" w:cs="Arial"/>
          <w:bCs/>
          <w:color w:val="auto"/>
        </w:rPr>
      </w:pPr>
      <w:r>
        <w:rPr>
          <w:rFonts w:ascii="Arial" w:hAnsi="Arial" w:eastAsia="仿宋_GB2312" w:cs="Arial"/>
          <w:b/>
          <w:color w:val="auto"/>
        </w:rPr>
        <w:t>二、其他需要说明的事项</w:t>
      </w:r>
      <w:r>
        <w:rPr>
          <w:rFonts w:ascii="Arial" w:hAnsi="Arial" w:eastAsia="仿宋_GB2312" w:cs="Arial"/>
          <w:bCs/>
          <w:color w:val="auto"/>
        </w:rPr>
        <w:t>：</w:t>
      </w:r>
    </w:p>
    <w:p w14:paraId="6EA12E16">
      <w:pPr>
        <w:adjustRightInd/>
        <w:spacing w:line="300" w:lineRule="auto"/>
        <w:jc w:val="both"/>
        <w:rPr>
          <w:rFonts w:ascii="Arial" w:hAnsi="Arial" w:eastAsia="仿宋_GB2312" w:cs="Arial"/>
          <w:bCs/>
          <w:color w:val="auto"/>
        </w:rPr>
      </w:pPr>
      <w:r>
        <w:rPr>
          <w:rFonts w:hint="eastAsia" w:ascii="Arial" w:hAnsi="Arial" w:eastAsia="仿宋_GB2312" w:cs="Arial"/>
          <w:bCs/>
          <w:color w:val="auto"/>
        </w:rPr>
        <w:t>（一）本报告结果是在满足地价定义中全部假设与限制条件下的地价，若估价对象的土地权利状况，利用方式、估价期日、土地开发状况，土地使用年期、容积率等影响地价的因素发生了变化，该评估价格应作相应的调整，不能直接使用本次估价结论。</w:t>
      </w:r>
    </w:p>
    <w:p w14:paraId="5E93C7F9">
      <w:pPr>
        <w:adjustRightInd/>
        <w:spacing w:line="300" w:lineRule="auto"/>
        <w:jc w:val="both"/>
        <w:rPr>
          <w:rFonts w:ascii="Arial" w:hAnsi="Arial" w:eastAsia="仿宋_GB2312" w:cs="Arial"/>
          <w:bCs/>
          <w:color w:val="auto"/>
        </w:rPr>
      </w:pPr>
      <w:r>
        <w:rPr>
          <w:rFonts w:hint="eastAsia" w:ascii="Arial" w:hAnsi="Arial" w:eastAsia="仿宋_GB2312" w:cs="Arial"/>
          <w:bCs/>
          <w:color w:val="auto"/>
        </w:rPr>
        <w:t>（二）土地权属、利用状况等咨料均由委托方提供，估价师结合执业经验，对上述相关评估资料的真实性、合法性、有效性、适用性进行了尽职核实和专业判断，但资料的真实性最终由委托方负责，如有虚假，评估机构不承担相应责任；房地产市场交易、区位条件等资料由土地估价专业评估师通过住建委、规自委等官网或现场勘查而得，评估机构对所收集资料的真实性、准确性负责。</w:t>
      </w:r>
    </w:p>
    <w:p w14:paraId="2E16C6EC">
      <w:pPr>
        <w:adjustRightInd/>
        <w:spacing w:line="300" w:lineRule="auto"/>
        <w:jc w:val="both"/>
        <w:rPr>
          <w:rFonts w:ascii="Arial" w:hAnsi="Arial" w:eastAsia="仿宋_GB2312" w:cs="Arial"/>
          <w:bCs/>
          <w:color w:val="auto"/>
        </w:rPr>
      </w:pPr>
      <w:r>
        <w:rPr>
          <w:rFonts w:hint="eastAsia" w:ascii="Arial" w:hAnsi="Arial" w:eastAsia="仿宋_GB2312" w:cs="Arial"/>
          <w:bCs/>
          <w:color w:val="auto"/>
        </w:rPr>
        <w:t>（三）本报告仅为出让方通过集体决策确定估价对象土地出让底价提供参考依据</w:t>
      </w:r>
      <w:r>
        <w:rPr>
          <w:rFonts w:ascii="Arial" w:hAnsi="Arial" w:eastAsia="仿宋_GB2312" w:cs="Arial"/>
          <w:bCs/>
          <w:color w:val="auto"/>
        </w:rPr>
        <w:t>。</w:t>
      </w:r>
    </w:p>
    <w:p w14:paraId="7745C418">
      <w:pPr>
        <w:adjustRightInd/>
        <w:spacing w:line="300" w:lineRule="auto"/>
        <w:jc w:val="both"/>
        <w:rPr>
          <w:rFonts w:ascii="Arial" w:hAnsi="Arial" w:eastAsia="仿宋_GB2312" w:cs="Arial"/>
          <w:bCs/>
          <w:color w:val="auto"/>
        </w:rPr>
      </w:pPr>
    </w:p>
    <w:p w14:paraId="1FF3452C">
      <w:pPr>
        <w:adjustRightInd/>
        <w:spacing w:line="300" w:lineRule="auto"/>
        <w:jc w:val="both"/>
        <w:rPr>
          <w:rFonts w:ascii="Arial" w:hAnsi="Arial" w:eastAsia="仿宋_GB2312" w:cs="Arial"/>
          <w:bCs/>
          <w:color w:val="auto"/>
        </w:rPr>
      </w:pPr>
    </w:p>
    <w:p w14:paraId="3C9DC6FF">
      <w:pPr>
        <w:adjustRightInd/>
        <w:spacing w:line="300" w:lineRule="auto"/>
        <w:jc w:val="both"/>
        <w:rPr>
          <w:rFonts w:ascii="Arial" w:hAnsi="Arial" w:eastAsia="仿宋_GB2312" w:cs="Arial"/>
          <w:bCs/>
          <w:color w:val="auto"/>
        </w:rPr>
      </w:pPr>
    </w:p>
    <w:p w14:paraId="2F30EA80">
      <w:pPr>
        <w:spacing w:line="300" w:lineRule="auto"/>
        <w:ind w:firstLine="3828"/>
        <w:jc w:val="right"/>
        <w:rPr>
          <w:rFonts w:ascii="Arial" w:hAnsi="Arial" w:eastAsia="仿宋_GB2312" w:cs="Arial"/>
          <w:bCs/>
          <w:color w:val="auto"/>
        </w:rPr>
      </w:pPr>
      <w:r>
        <w:rPr>
          <w:rFonts w:ascii="Arial" w:hAnsi="Arial" w:eastAsia="仿宋_GB2312" w:cs="Arial"/>
          <w:bCs/>
          <w:color w:val="auto"/>
        </w:rPr>
        <w:t xml:space="preserve">估价机构：北京康正宏基房地产评估有限公司  </w:t>
      </w:r>
    </w:p>
    <w:p w14:paraId="231D18E1">
      <w:pPr>
        <w:spacing w:line="300" w:lineRule="auto"/>
        <w:ind w:firstLine="3828"/>
        <w:jc w:val="right"/>
        <w:rPr>
          <w:rFonts w:ascii="Arial" w:hAnsi="Arial" w:eastAsia="仿宋_GB2312" w:cs="Arial"/>
          <w:bCs/>
          <w:color w:val="auto"/>
        </w:rPr>
      </w:pPr>
    </w:p>
    <w:p w14:paraId="71078421">
      <w:pPr>
        <w:spacing w:line="300" w:lineRule="auto"/>
        <w:ind w:firstLine="3828"/>
        <w:jc w:val="right"/>
        <w:rPr>
          <w:rFonts w:ascii="Arial" w:hAnsi="Arial" w:eastAsia="仿宋_GB2312" w:cs="Arial"/>
          <w:color w:val="auto"/>
          <w:sz w:val="28"/>
        </w:rPr>
      </w:pPr>
      <w:r>
        <w:rPr>
          <w:rFonts w:ascii="Arial" w:hAnsi="Arial" w:eastAsia="仿宋_GB2312" w:cs="Arial"/>
          <w:bCs/>
          <w:color w:val="auto"/>
        </w:rPr>
        <w:t xml:space="preserve">              202</w:t>
      </w:r>
      <w:r>
        <w:rPr>
          <w:rFonts w:hint="eastAsia" w:ascii="Arial" w:hAnsi="Arial" w:eastAsia="仿宋_GB2312" w:cs="Arial"/>
          <w:bCs/>
          <w:color w:val="auto"/>
        </w:rPr>
        <w:t>6</w:t>
      </w:r>
      <w:r>
        <w:rPr>
          <w:rFonts w:ascii="Arial" w:hAnsi="Arial" w:eastAsia="仿宋_GB2312" w:cs="Arial"/>
          <w:bCs/>
          <w:color w:val="auto"/>
        </w:rPr>
        <w:t>年</w:t>
      </w:r>
      <w:r>
        <w:rPr>
          <w:rFonts w:hint="eastAsia" w:ascii="Arial" w:hAnsi="Arial" w:eastAsia="仿宋_GB2312" w:cs="Arial"/>
          <w:bCs/>
          <w:color w:val="auto"/>
        </w:rPr>
        <w:t>4</w:t>
      </w:r>
      <w:r>
        <w:rPr>
          <w:rFonts w:ascii="Arial" w:hAnsi="Arial" w:eastAsia="仿宋_GB2312" w:cs="Arial"/>
          <w:bCs/>
          <w:color w:val="auto"/>
        </w:rPr>
        <w:t>月</w:t>
      </w:r>
      <w:r>
        <w:rPr>
          <w:rFonts w:hint="eastAsia" w:ascii="Arial" w:hAnsi="Arial" w:eastAsia="仿宋_GB2312" w:cs="Arial"/>
          <w:bCs/>
          <w:color w:val="auto"/>
          <w:lang w:val="en-US" w:eastAsia="zh-CN"/>
        </w:rPr>
        <w:t>21</w:t>
      </w:r>
      <w:r>
        <w:rPr>
          <w:rFonts w:ascii="Arial" w:hAnsi="Arial" w:eastAsia="仿宋_GB2312" w:cs="Arial"/>
          <w:bCs/>
          <w:color w:val="auto"/>
        </w:rPr>
        <w:t>日</w:t>
      </w:r>
    </w:p>
    <w:p w14:paraId="6517D66F">
      <w:pPr>
        <w:adjustRightInd/>
        <w:spacing w:line="300" w:lineRule="auto"/>
        <w:jc w:val="both"/>
        <w:rPr>
          <w:rFonts w:ascii="Arial" w:hAnsi="Arial" w:eastAsia="仿宋_GB2312" w:cs="Arial"/>
          <w:bCs/>
          <w:color w:val="auto"/>
        </w:rPr>
      </w:pPr>
    </w:p>
    <w:p w14:paraId="046F6BC2">
      <w:pPr>
        <w:spacing w:line="300" w:lineRule="auto"/>
        <w:rPr>
          <w:rFonts w:ascii="Arial" w:hAnsi="Arial" w:eastAsia="仿宋_GB2312" w:cs="Arial"/>
          <w:bCs/>
          <w:color w:val="auto"/>
        </w:rPr>
      </w:pPr>
      <w:r>
        <w:rPr>
          <w:rFonts w:ascii="Arial" w:hAnsi="Arial" w:eastAsia="仿宋_GB2312" w:cs="Arial"/>
          <w:bCs/>
          <w:color w:val="auto"/>
        </w:rPr>
        <w:t xml:space="preserve"> </w:t>
      </w:r>
    </w:p>
    <w:p w14:paraId="119B91D8">
      <w:pPr>
        <w:snapToGrid w:val="0"/>
        <w:spacing w:before="120" w:beforeLines="50" w:line="300" w:lineRule="auto"/>
        <w:rPr>
          <w:rFonts w:ascii="Arial" w:hAnsi="Arial" w:eastAsia="仿宋" w:cs="Arial"/>
          <w:color w:val="auto"/>
          <w:sz w:val="28"/>
        </w:rPr>
      </w:pPr>
    </w:p>
    <w:p w14:paraId="08C6A51E">
      <w:pPr>
        <w:rPr>
          <w:rFonts w:ascii="Arial" w:hAnsi="Arial" w:eastAsia="仿宋_GB2312" w:cs="Arial"/>
          <w:b/>
          <w:color w:val="auto"/>
          <w:sz w:val="28"/>
        </w:rPr>
      </w:pPr>
      <w:bookmarkStart w:id="307" w:name="_Toc520261163"/>
      <w:bookmarkStart w:id="308" w:name="_Toc132016749"/>
      <w:bookmarkStart w:id="309" w:name="_Toc469066160"/>
      <w:bookmarkStart w:id="310" w:name="_Toc138063020"/>
      <w:bookmarkStart w:id="311" w:name="_Toc132016632"/>
      <w:bookmarkStart w:id="312" w:name="_Toc515457812"/>
      <w:bookmarkStart w:id="313" w:name="_Toc516488190"/>
      <w:r>
        <w:rPr>
          <w:rFonts w:ascii="Arial" w:hAnsi="Arial" w:eastAsia="仿宋_GB2312" w:cs="Arial"/>
          <w:b/>
          <w:color w:val="auto"/>
          <w:sz w:val="28"/>
        </w:rPr>
        <w:br w:type="page"/>
      </w:r>
    </w:p>
    <w:p w14:paraId="2AC30243">
      <w:pPr>
        <w:spacing w:line="300" w:lineRule="auto"/>
        <w:outlineLvl w:val="1"/>
        <w:rPr>
          <w:rFonts w:ascii="Arial" w:hAnsi="Arial" w:eastAsia="仿宋_GB2312" w:cs="Arial"/>
          <w:b/>
          <w:color w:val="auto"/>
          <w:sz w:val="28"/>
        </w:rPr>
      </w:pPr>
      <w:r>
        <w:rPr>
          <w:rFonts w:ascii="Arial" w:hAnsi="Arial" w:eastAsia="仿宋_GB2312" w:cs="Arial"/>
          <w:b/>
          <w:color w:val="auto"/>
          <w:sz w:val="28"/>
        </w:rPr>
        <w:t>十、需要特殊说明的事项</w:t>
      </w:r>
      <w:bookmarkEnd w:id="305"/>
      <w:bookmarkEnd w:id="306"/>
      <w:bookmarkEnd w:id="307"/>
      <w:bookmarkEnd w:id="308"/>
      <w:bookmarkEnd w:id="309"/>
      <w:bookmarkEnd w:id="310"/>
      <w:bookmarkEnd w:id="311"/>
      <w:bookmarkEnd w:id="312"/>
      <w:bookmarkEnd w:id="313"/>
    </w:p>
    <w:p w14:paraId="6F21E3FD">
      <w:pPr>
        <w:adjustRightInd/>
        <w:spacing w:line="300" w:lineRule="auto"/>
        <w:ind w:firstLine="560" w:firstLineChars="200"/>
        <w:jc w:val="both"/>
        <w:textAlignment w:val="bottom"/>
        <w:rPr>
          <w:rFonts w:ascii="Arial" w:hAnsi="Arial" w:eastAsia="仿宋" w:cs="Arial"/>
          <w:color w:val="auto"/>
          <w:sz w:val="28"/>
        </w:rPr>
      </w:pPr>
      <w:bookmarkStart w:id="314" w:name="_Toc416783581"/>
      <w:bookmarkStart w:id="315" w:name="_Toc416783677"/>
      <w:bookmarkStart w:id="316" w:name="_Toc469066161"/>
      <w:r>
        <w:rPr>
          <w:rFonts w:ascii="Arial" w:hAnsi="Arial" w:eastAsia="仿宋" w:cs="Arial"/>
          <w:color w:val="auto"/>
          <w:sz w:val="28"/>
        </w:rPr>
        <w:t>（一）估价的前提条件和假设条件</w:t>
      </w:r>
    </w:p>
    <w:p w14:paraId="01FBDF13">
      <w:pPr>
        <w:adjustRightInd/>
        <w:spacing w:line="300" w:lineRule="auto"/>
        <w:ind w:firstLine="562" w:firstLineChars="200"/>
        <w:jc w:val="both"/>
        <w:textAlignment w:val="bottom"/>
        <w:rPr>
          <w:rFonts w:ascii="Arial" w:hAnsi="Arial" w:eastAsia="仿宋" w:cs="Arial"/>
          <w:b/>
          <w:bCs/>
          <w:color w:val="auto"/>
          <w:sz w:val="28"/>
        </w:rPr>
      </w:pPr>
      <w:r>
        <w:rPr>
          <w:rFonts w:ascii="Arial" w:hAnsi="Arial" w:eastAsia="仿宋" w:cs="Arial"/>
          <w:b/>
          <w:bCs/>
          <w:color w:val="auto"/>
          <w:sz w:val="28"/>
        </w:rPr>
        <w:t>1.估价的前提条件</w:t>
      </w:r>
    </w:p>
    <w:p w14:paraId="76FA67FD">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（1）委托估价方提供的资料属实，没有保留及隐瞒。</w:t>
      </w:r>
    </w:p>
    <w:p w14:paraId="3B5AB3A8">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（2）在估价期日的房地产市场为公开、平等、自愿的交易市场。</w:t>
      </w:r>
    </w:p>
    <w:p w14:paraId="33BD93CF">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（3）任何有关估价对象的运作方式、程序符合国家、地方的有关法律、法规。</w:t>
      </w:r>
    </w:p>
    <w:p w14:paraId="3BE8CFB3">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（4）估价对象规划用途和周边环境维持不变，且估价对象得到最有效利用，并产生相应的土地收益。</w:t>
      </w:r>
    </w:p>
    <w:p w14:paraId="5B1B4402">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（5）本次估价设定估价对象地上建筑物可按照预测的合理工期建设完毕。</w:t>
      </w:r>
    </w:p>
    <w:p w14:paraId="7DD2FDB6">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6）委托估价方对所提供的资料负完全的法律责任，对所提供资料（含陈述）的完整性、合法性和真实性负责。关于估价对象的权属状况等均根据委托估价方提供的有关资料复印件得出，本估价机构未向有关部门进行核实、考证。如因委托估价方提供的资料不实，引起评估结论有误，评估机构不承担相应的法律责任。</w:t>
      </w:r>
    </w:p>
    <w:p w14:paraId="76424C56">
      <w:pPr>
        <w:adjustRightInd/>
        <w:spacing w:line="300"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2.估价的假设条件</w:t>
      </w:r>
    </w:p>
    <w:p w14:paraId="547A5D94">
      <w:pPr>
        <w:widowControl/>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（1）土地权利限制：无他项权利。</w:t>
      </w:r>
    </w:p>
    <w:p w14:paraId="06897806">
      <w:pPr>
        <w:widowControl/>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（2）土地用途设定：按规划用途设定本次评估的使用用途。</w:t>
      </w:r>
    </w:p>
    <w:p w14:paraId="1D7BACB1">
      <w:pPr>
        <w:widowControl/>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（3）土地使用年期设定：法定最高出让年限。</w:t>
      </w:r>
    </w:p>
    <w:p w14:paraId="09931CB5">
      <w:pPr>
        <w:widowControl/>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（4）评估设定土地开发程度红线外市政基础设施达</w:t>
      </w:r>
      <w:r>
        <w:rPr>
          <w:rFonts w:hint="eastAsia" w:ascii="Arial" w:hAnsi="Arial" w:eastAsia="仿宋" w:cs="Arial"/>
          <w:color w:val="auto"/>
          <w:sz w:val="28"/>
          <w:szCs w:val="28"/>
        </w:rPr>
        <w:t>“七通”（通路、通上水（自来水、中水）、通下水（雨水、污水）、通电（管沟、电缆）、通讯、通燃气、通热力）</w:t>
      </w:r>
      <w:r>
        <w:rPr>
          <w:rFonts w:ascii="Arial" w:hAnsi="Arial" w:eastAsia="仿宋" w:cs="Arial"/>
          <w:color w:val="auto"/>
          <w:sz w:val="28"/>
        </w:rPr>
        <w:t>、宗地红线内场地平整。</w:t>
      </w:r>
    </w:p>
    <w:p w14:paraId="21C7DAB9">
      <w:pPr>
        <w:widowControl/>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（5）估价期日设定：按委托估价方要求的地价时点设定。</w:t>
      </w:r>
    </w:p>
    <w:p w14:paraId="5208DB9B">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（二）估价结果和估价报告的使用</w:t>
      </w:r>
    </w:p>
    <w:p w14:paraId="4268F1B1">
      <w:pPr>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1.本估价报告的依据为国务院、自然资源部、住建部、北京市人民政府及有关部门颁布的有关法律、法规、政策文件、委托估价方提供的资料、受托估价方掌握的有关资料以及土地估价专业评估师实地勘察所获取的资料。</w:t>
      </w:r>
    </w:p>
    <w:p w14:paraId="1EEC0EC8">
      <w:pPr>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2.委托估价方应对其提供的权属证明以及其他资料的真实性、完整性和合法性负责。如因资料失实或资料提供人有所隐匿而导致估价结果失真，估价机构不承担相应的责任。</w:t>
      </w:r>
    </w:p>
    <w:p w14:paraId="7F5EC7C3">
      <w:pPr>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3.本报告估价结果为估价期日下的正常市场价格，随着时间的推移，该价格需要做相应的调整直至重新评估。</w:t>
      </w:r>
    </w:p>
    <w:p w14:paraId="1D9EEC67">
      <w:pPr>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4.本估价报告在估价机构盖章和土地估价师签字的条件下有效。</w:t>
      </w:r>
    </w:p>
    <w:p w14:paraId="2FDF0360">
      <w:pPr>
        <w:adjustRightInd/>
        <w:spacing w:line="300" w:lineRule="auto"/>
        <w:ind w:firstLine="560" w:firstLineChars="200"/>
        <w:jc w:val="both"/>
        <w:textAlignment w:val="auto"/>
        <w:rPr>
          <w:rFonts w:ascii="Arial" w:hAnsi="Arial" w:eastAsia="仿宋" w:cs="Arial"/>
          <w:color w:val="auto"/>
          <w:sz w:val="28"/>
        </w:rPr>
      </w:pPr>
      <w:r>
        <w:rPr>
          <w:rFonts w:ascii="Arial" w:hAnsi="Arial" w:eastAsia="仿宋" w:cs="Arial"/>
          <w:color w:val="auto"/>
          <w:sz w:val="28"/>
        </w:rPr>
        <w:t>5.本次评估估价报告分为</w:t>
      </w:r>
      <w:r>
        <w:rPr>
          <w:rFonts w:hint="eastAsia" w:ascii="Arial" w:hAnsi="Arial" w:eastAsia="仿宋" w:cs="Arial"/>
          <w:color w:val="auto"/>
          <w:sz w:val="28"/>
        </w:rPr>
        <w:t>“</w:t>
      </w:r>
      <w:r>
        <w:rPr>
          <w:rFonts w:ascii="Arial" w:hAnsi="Arial" w:eastAsia="仿宋" w:cs="Arial"/>
          <w:color w:val="auto"/>
          <w:sz w:val="28"/>
        </w:rPr>
        <w:t>土地估价报告</w:t>
      </w:r>
      <w:r>
        <w:rPr>
          <w:rFonts w:hint="eastAsia" w:ascii="Arial" w:hAnsi="Arial" w:eastAsia="仿宋" w:cs="Arial"/>
          <w:color w:val="auto"/>
          <w:sz w:val="28"/>
        </w:rPr>
        <w:t>”</w:t>
      </w:r>
      <w:r>
        <w:rPr>
          <w:rFonts w:ascii="Arial" w:hAnsi="Arial" w:eastAsia="仿宋" w:cs="Arial"/>
          <w:color w:val="auto"/>
          <w:sz w:val="28"/>
        </w:rPr>
        <w:t>和</w:t>
      </w:r>
      <w:r>
        <w:rPr>
          <w:rFonts w:hint="eastAsia" w:ascii="Arial" w:hAnsi="Arial" w:eastAsia="仿宋" w:cs="Arial"/>
          <w:color w:val="auto"/>
          <w:sz w:val="28"/>
        </w:rPr>
        <w:t>“</w:t>
      </w:r>
      <w:r>
        <w:rPr>
          <w:rFonts w:ascii="Arial" w:hAnsi="Arial" w:eastAsia="仿宋" w:cs="Arial"/>
          <w:color w:val="auto"/>
          <w:sz w:val="28"/>
        </w:rPr>
        <w:t>土地估价技术报告</w:t>
      </w:r>
      <w:r>
        <w:rPr>
          <w:rFonts w:hint="eastAsia" w:ascii="Arial" w:hAnsi="Arial" w:eastAsia="仿宋" w:cs="Arial"/>
          <w:color w:val="auto"/>
          <w:sz w:val="28"/>
        </w:rPr>
        <w:t>”</w:t>
      </w:r>
      <w:r>
        <w:rPr>
          <w:rFonts w:ascii="Arial" w:hAnsi="Arial" w:eastAsia="仿宋" w:cs="Arial"/>
          <w:color w:val="auto"/>
          <w:sz w:val="28"/>
        </w:rPr>
        <w:t>两部分，</w:t>
      </w:r>
      <w:r>
        <w:rPr>
          <w:rFonts w:hint="eastAsia" w:ascii="Arial" w:hAnsi="Arial" w:eastAsia="仿宋" w:cs="Arial"/>
          <w:color w:val="auto"/>
          <w:sz w:val="28"/>
        </w:rPr>
        <w:t>“</w:t>
      </w:r>
      <w:r>
        <w:rPr>
          <w:rFonts w:ascii="Arial" w:hAnsi="Arial" w:eastAsia="仿宋" w:cs="Arial"/>
          <w:color w:val="auto"/>
          <w:sz w:val="28"/>
        </w:rPr>
        <w:t>土地估价报告</w:t>
      </w:r>
      <w:r>
        <w:rPr>
          <w:rFonts w:hint="eastAsia" w:ascii="Arial" w:hAnsi="Arial" w:eastAsia="仿宋" w:cs="Arial"/>
          <w:color w:val="auto"/>
          <w:sz w:val="28"/>
        </w:rPr>
        <w:t>”</w:t>
      </w:r>
      <w:r>
        <w:rPr>
          <w:rFonts w:ascii="Arial" w:hAnsi="Arial" w:eastAsia="仿宋" w:cs="Arial"/>
          <w:color w:val="auto"/>
          <w:sz w:val="28"/>
        </w:rPr>
        <w:t>供委托估价方使用，</w:t>
      </w:r>
      <w:r>
        <w:rPr>
          <w:rFonts w:hint="eastAsia" w:ascii="Arial" w:hAnsi="Arial" w:eastAsia="仿宋" w:cs="Arial"/>
          <w:color w:val="auto"/>
          <w:sz w:val="28"/>
        </w:rPr>
        <w:t>“</w:t>
      </w:r>
      <w:r>
        <w:rPr>
          <w:rFonts w:ascii="Arial" w:hAnsi="Arial" w:eastAsia="仿宋" w:cs="Arial"/>
          <w:color w:val="auto"/>
          <w:sz w:val="28"/>
        </w:rPr>
        <w:t>土地估价技术报告</w:t>
      </w:r>
      <w:r>
        <w:rPr>
          <w:rFonts w:hint="eastAsia" w:ascii="Arial" w:hAnsi="Arial" w:eastAsia="仿宋" w:cs="Arial"/>
          <w:color w:val="auto"/>
          <w:sz w:val="28"/>
        </w:rPr>
        <w:t>”</w:t>
      </w:r>
      <w:r>
        <w:rPr>
          <w:rFonts w:ascii="Arial" w:hAnsi="Arial" w:eastAsia="仿宋" w:cs="Arial"/>
          <w:color w:val="auto"/>
          <w:sz w:val="28"/>
        </w:rPr>
        <w:t>仅供估价机构存档和作为估价结果提交房屋土地管理部门确认或备案时的附件。</w:t>
      </w:r>
    </w:p>
    <w:p w14:paraId="452DD520">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6.本估价报告只能由估价报告载明的报告使用者使用，且只能用于本报告载明的唯一估价目的和用途。</w:t>
      </w:r>
    </w:p>
    <w:p w14:paraId="3C35C0C2">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7.委托估价方或者本估价报告使用人应按照法律规定和估价报告载明的使用范围使用本估价报告。委托估价方或者估价报告使用人违反前述规定使用本估价报告的，估价机构和土地估价专业评估师不承担责任。</w:t>
      </w:r>
    </w:p>
    <w:p w14:paraId="5A2B942C">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8.除委托估价方、估价委托合同中约定的其他估价报告使用人和法律、行政法规规定的估价报告使用人之外，其他任何机构和个人不能成为估价报告的使用人。</w:t>
      </w:r>
    </w:p>
    <w:p w14:paraId="2BD54576">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9.估价报告使用人应当正确理解估价结论。估价结论不等同于估价对象可实现价格，估价结论不应当被认为是对估价对象可实现价格的保证。</w:t>
      </w:r>
    </w:p>
    <w:p w14:paraId="4B494375">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10.本估价报告自报告出具日起计算，从202</w:t>
      </w:r>
      <w:r>
        <w:rPr>
          <w:rFonts w:hint="eastAsia" w:ascii="Arial" w:hAnsi="Arial" w:eastAsia="仿宋" w:cs="Arial"/>
          <w:color w:val="auto"/>
          <w:sz w:val="28"/>
        </w:rPr>
        <w:t>6</w:t>
      </w:r>
      <w:r>
        <w:rPr>
          <w:rFonts w:ascii="Arial" w:hAnsi="Arial" w:eastAsia="仿宋" w:cs="Arial"/>
          <w:color w:val="auto"/>
          <w:sz w:val="28"/>
        </w:rPr>
        <w:t>年</w:t>
      </w:r>
      <w:r>
        <w:rPr>
          <w:rFonts w:hint="eastAsia" w:ascii="Arial" w:hAnsi="Arial" w:eastAsia="仿宋" w:cs="Arial"/>
          <w:color w:val="auto"/>
          <w:sz w:val="28"/>
        </w:rPr>
        <w:t>4</w:t>
      </w:r>
      <w:r>
        <w:rPr>
          <w:rFonts w:ascii="Arial" w:hAnsi="Arial" w:eastAsia="仿宋" w:cs="Arial"/>
          <w:color w:val="auto"/>
          <w:sz w:val="28"/>
        </w:rPr>
        <w:t>月</w:t>
      </w:r>
      <w:r>
        <w:rPr>
          <w:rFonts w:hint="eastAsia" w:ascii="Arial" w:hAnsi="Arial" w:eastAsia="仿宋" w:cs="Arial"/>
          <w:color w:val="auto"/>
          <w:sz w:val="28"/>
          <w:lang w:val="en-US" w:eastAsia="zh-CN"/>
        </w:rPr>
        <w:t>21</w:t>
      </w:r>
      <w:r>
        <w:rPr>
          <w:rFonts w:ascii="Arial" w:hAnsi="Arial" w:eastAsia="仿宋" w:cs="Arial"/>
          <w:color w:val="auto"/>
          <w:sz w:val="28"/>
        </w:rPr>
        <w:t>日至202</w:t>
      </w:r>
      <w:r>
        <w:rPr>
          <w:rFonts w:hint="eastAsia" w:ascii="Arial" w:hAnsi="Arial" w:eastAsia="仿宋" w:cs="Arial"/>
          <w:color w:val="auto"/>
          <w:sz w:val="28"/>
        </w:rPr>
        <w:t>7</w:t>
      </w:r>
      <w:r>
        <w:rPr>
          <w:rFonts w:ascii="Arial" w:hAnsi="Arial" w:eastAsia="仿宋" w:cs="Arial"/>
          <w:color w:val="auto"/>
          <w:sz w:val="28"/>
        </w:rPr>
        <w:t>年</w:t>
      </w:r>
      <w:r>
        <w:rPr>
          <w:rFonts w:hint="eastAsia" w:ascii="Arial" w:hAnsi="Arial" w:eastAsia="仿宋" w:cs="Arial"/>
          <w:color w:val="auto"/>
          <w:sz w:val="28"/>
        </w:rPr>
        <w:t>4</w:t>
      </w:r>
      <w:r>
        <w:rPr>
          <w:rFonts w:ascii="Arial" w:hAnsi="Arial" w:eastAsia="仿宋" w:cs="Arial"/>
          <w:color w:val="auto"/>
          <w:sz w:val="28"/>
        </w:rPr>
        <w:t>月</w:t>
      </w:r>
      <w:r>
        <w:rPr>
          <w:rFonts w:hint="eastAsia" w:ascii="Arial" w:hAnsi="Arial" w:eastAsia="仿宋" w:cs="Arial"/>
          <w:color w:val="auto"/>
          <w:sz w:val="28"/>
          <w:lang w:val="en-US" w:eastAsia="zh-CN"/>
        </w:rPr>
        <w:t>20</w:t>
      </w:r>
      <w:r>
        <w:rPr>
          <w:rFonts w:ascii="Arial" w:hAnsi="Arial" w:eastAsia="仿宋" w:cs="Arial"/>
          <w:color w:val="auto"/>
          <w:sz w:val="28"/>
        </w:rPr>
        <w:t>日有效。</w:t>
      </w:r>
    </w:p>
    <w:p w14:paraId="37521D1D">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11.本次土地估价报告的使用权归委托估价方，土地估价报告由北京康正宏基房地产评估有限公司负责解释。</w:t>
      </w:r>
    </w:p>
    <w:p w14:paraId="6C370296">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（三）需要特殊说明的事项</w:t>
      </w:r>
    </w:p>
    <w:p w14:paraId="3E661017">
      <w:pPr>
        <w:adjustRightInd/>
        <w:spacing w:line="300" w:lineRule="auto"/>
        <w:ind w:firstLine="562" w:firstLineChars="200"/>
        <w:jc w:val="both"/>
        <w:textAlignment w:val="bottom"/>
        <w:rPr>
          <w:rFonts w:ascii="Arial" w:hAnsi="Arial" w:eastAsia="仿宋" w:cs="Arial"/>
          <w:b/>
          <w:bCs/>
          <w:color w:val="auto"/>
          <w:sz w:val="28"/>
        </w:rPr>
      </w:pPr>
      <w:r>
        <w:rPr>
          <w:rFonts w:ascii="Arial" w:hAnsi="Arial" w:eastAsia="仿宋" w:cs="Arial"/>
          <w:b/>
          <w:bCs/>
          <w:color w:val="auto"/>
          <w:sz w:val="28"/>
        </w:rPr>
        <w:t>1.资料来源说明</w:t>
      </w:r>
    </w:p>
    <w:p w14:paraId="22105191">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（1）估价对象的土地、房屋权属资料、土地利用状况、评估项目相关资料由委托估价方提供。</w:t>
      </w:r>
    </w:p>
    <w:p w14:paraId="73669F92">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（2）土地区位条件、地产市场交易资料、土地利用现状照片等相关资料由土地估价专业评估师实地调查取得。</w:t>
      </w:r>
    </w:p>
    <w:p w14:paraId="7176C11E">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（3）区域经济发展状况、统计数据、城市规划资料、基准地价资料等由土地估价专业评估师通过政府相关部门获取。</w:t>
      </w:r>
    </w:p>
    <w:p w14:paraId="7B79DC16">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（4）估价中的相关参数资料由土地估价专业评估师通过政府部门相关文件规定、公开媒体等多种途径获取。</w:t>
      </w:r>
    </w:p>
    <w:p w14:paraId="7A477CF2">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5）土地估价专业评估师结合执业经验，对上述相关评估资料的真实性、合法性、有效性、适用性进行了尽职核实、专业判断。委托估价方对所提供资料的真实性负责，估价机构对所收集资料的真实性、准确性负责。</w:t>
      </w:r>
    </w:p>
    <w:p w14:paraId="100F74A0">
      <w:pPr>
        <w:adjustRightInd/>
        <w:spacing w:line="300" w:lineRule="auto"/>
        <w:ind w:firstLine="562" w:firstLineChars="200"/>
        <w:jc w:val="both"/>
        <w:textAlignment w:val="bottom"/>
        <w:rPr>
          <w:rFonts w:ascii="Arial" w:hAnsi="Arial" w:eastAsia="仿宋" w:cs="Arial"/>
          <w:b/>
          <w:bCs/>
          <w:color w:val="auto"/>
          <w:sz w:val="28"/>
        </w:rPr>
      </w:pPr>
      <w:r>
        <w:rPr>
          <w:rFonts w:ascii="Arial" w:hAnsi="Arial" w:eastAsia="仿宋" w:cs="Arial"/>
          <w:b/>
          <w:bCs/>
          <w:color w:val="auto"/>
          <w:sz w:val="28"/>
        </w:rPr>
        <w:t>2.有关参数确定及使用说明</w:t>
      </w:r>
    </w:p>
    <w:p w14:paraId="019A9BFD">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（1）估价对象的土地面积及规划建筑规模以</w:t>
      </w:r>
      <w:r>
        <w:rPr>
          <w:rFonts w:hint="eastAsia" w:ascii="Arial" w:hAnsi="Arial" w:eastAsia="仿宋"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为依据</w:t>
      </w:r>
      <w:r>
        <w:rPr>
          <w:rFonts w:ascii="Arial" w:hAnsi="Arial" w:eastAsia="仿宋" w:cs="Arial"/>
          <w:color w:val="auto"/>
          <w:sz w:val="28"/>
          <w:szCs w:val="28"/>
        </w:rPr>
        <w:t>，</w:t>
      </w:r>
      <w:r>
        <w:rPr>
          <w:rFonts w:ascii="Arial" w:hAnsi="Arial" w:eastAsia="仿宋" w:cs="Arial"/>
          <w:color w:val="auto"/>
          <w:sz w:val="28"/>
        </w:rPr>
        <w:t>本次估价对象01</w:t>
      </w:r>
      <w:r>
        <w:rPr>
          <w:rFonts w:hint="eastAsia" w:ascii="Arial" w:hAnsi="Arial" w:eastAsia="仿宋" w:cs="Arial"/>
          <w:color w:val="auto"/>
          <w:sz w:val="28"/>
        </w:rPr>
        <w:t>－</w:t>
      </w:r>
      <w:r>
        <w:rPr>
          <w:rFonts w:ascii="Arial" w:hAnsi="Arial" w:eastAsia="仿宋" w:cs="Arial"/>
          <w:color w:val="auto"/>
          <w:sz w:val="28"/>
        </w:rPr>
        <w:t>008等地块共4宗地，用地规模合计为60990.43平方米，全部为建设用地，建筑规模合计为71508.52平方米。</w:t>
      </w:r>
      <w:r>
        <w:rPr>
          <w:rFonts w:ascii="Arial" w:hAnsi="Arial" w:eastAsia="仿宋" w:cs="Arial"/>
          <w:color w:val="auto"/>
          <w:sz w:val="28"/>
          <w:szCs w:val="28"/>
        </w:rPr>
        <w:t>其中，估价对象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008地块（R2二类居住用地）建设用地规模为24804.85平方米，地上建筑规模为29765.82平方米，容积率为1.2；</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016地块（R2二类居住用地）建设用地规模为23103.85平方米，地上建筑规模为27724.62平方米，容积率为1.2；</w:t>
      </w:r>
      <w:r>
        <w:rPr>
          <w:rFonts w:ascii="Arial" w:hAnsi="Arial" w:eastAsia="仿宋" w:cs="Arial"/>
          <w:color w:val="auto"/>
          <w:sz w:val="28"/>
          <w:szCs w:val="28"/>
        </w:rPr>
        <w:t xml:space="preserve"> 估价对象01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w:t>
      </w:r>
      <w:r>
        <w:rPr>
          <w:rFonts w:ascii="Arial" w:hAnsi="Arial" w:eastAsia="仿宋" w:cs="Arial"/>
          <w:color w:val="auto"/>
          <w:sz w:val="28"/>
        </w:rPr>
        <w:t>地块（R2二类居住用地）建设用地规模为8881.75平方米，地上建筑规模为10658.10平方米，容积率为1.2；另有</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020地块（A334托幼用地，不出让）建设用地规模为4199.98平方米，地上建筑规模为3359.98平方米，容积率为0.8。</w:t>
      </w:r>
      <w:r>
        <w:rPr>
          <w:rFonts w:hint="eastAsia" w:ascii="Arial" w:hAnsi="Arial" w:eastAsia="仿宋" w:cs="Arial"/>
          <w:color w:val="auto"/>
          <w:sz w:val="28"/>
        </w:rPr>
        <w:t>根据《北京市国有建设用地使用权出让地价评估技术导则》（2026年2月10日实施）中的相关规定，本次评估01－008、01－016、01－026－1地块（R2二类居住用地）容积率为1.2</w:t>
      </w:r>
      <w:r>
        <w:rPr>
          <w:rFonts w:ascii="Arial" w:hAnsi="Arial" w:eastAsia="仿宋" w:cs="Arial"/>
          <w:color w:val="auto"/>
          <w:sz w:val="28"/>
        </w:rPr>
        <w:t>。若上述条件发生变化，本报告估价结果需做相应的调整。</w:t>
      </w:r>
    </w:p>
    <w:p w14:paraId="29A1C3A6">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（2）根据</w:t>
      </w:r>
      <w:r>
        <w:rPr>
          <w:rFonts w:hint="eastAsia" w:ascii="Arial" w:hAnsi="Arial" w:eastAsia="仿宋"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，该项目合计应配建人防工程建筑面积不小于13674.6平方米，其中 01</w:t>
      </w:r>
      <w:r>
        <w:rPr>
          <w:rFonts w:hint="eastAsia" w:ascii="Arial" w:hAnsi="Arial" w:eastAsia="仿宋" w:cs="Arial"/>
          <w:color w:val="auto"/>
          <w:sz w:val="28"/>
        </w:rPr>
        <w:t>－</w:t>
      </w:r>
      <w:r>
        <w:rPr>
          <w:rFonts w:ascii="Arial" w:hAnsi="Arial" w:eastAsia="仿宋" w:cs="Arial"/>
          <w:color w:val="auto"/>
          <w:sz w:val="28"/>
        </w:rPr>
        <w:t>008 地块应配建不小于2000平方米二等人员掩蔽所工程； 01</w:t>
      </w:r>
      <w:r>
        <w:rPr>
          <w:rFonts w:hint="eastAsia" w:ascii="Arial" w:hAnsi="Arial" w:eastAsia="仿宋" w:cs="Arial"/>
          <w:color w:val="auto"/>
          <w:sz w:val="28"/>
        </w:rPr>
        <w:t>－</w:t>
      </w:r>
      <w:r>
        <w:rPr>
          <w:rFonts w:ascii="Arial" w:hAnsi="Arial" w:eastAsia="仿宋" w:cs="Arial"/>
          <w:color w:val="auto"/>
          <w:sz w:val="28"/>
        </w:rPr>
        <w:t>016 地块应配建不小于 3536.3平方米二等人员掩蔽所工程； 01</w:t>
      </w:r>
      <w:r>
        <w:rPr>
          <w:rFonts w:hint="eastAsia" w:ascii="Arial" w:hAnsi="Arial" w:eastAsia="仿宋" w:cs="Arial"/>
          <w:color w:val="auto"/>
          <w:sz w:val="28"/>
        </w:rPr>
        <w:t>－</w:t>
      </w:r>
      <w:r>
        <w:rPr>
          <w:rFonts w:ascii="Arial" w:hAnsi="Arial" w:eastAsia="仿宋" w:cs="Arial"/>
          <w:color w:val="auto"/>
          <w:sz w:val="28"/>
        </w:rPr>
        <w:t>026</w:t>
      </w:r>
      <w:r>
        <w:rPr>
          <w:rFonts w:hint="eastAsia" w:ascii="Arial" w:hAnsi="Arial" w:eastAsia="仿宋" w:cs="Arial"/>
          <w:color w:val="auto"/>
          <w:sz w:val="28"/>
        </w:rPr>
        <w:t>－</w:t>
      </w:r>
      <w:r>
        <w:rPr>
          <w:rFonts w:ascii="Arial" w:hAnsi="Arial" w:eastAsia="仿宋" w:cs="Arial"/>
          <w:color w:val="auto"/>
          <w:sz w:val="28"/>
        </w:rPr>
        <w:t>1地块应配建不小于1261.8平方米二等人员掩蔽所工程。将 01</w:t>
      </w:r>
      <w:r>
        <w:rPr>
          <w:rFonts w:hint="eastAsia" w:ascii="Arial" w:hAnsi="Arial" w:eastAsia="仿宋" w:cs="Arial"/>
          <w:color w:val="auto"/>
          <w:sz w:val="28"/>
        </w:rPr>
        <w:t>－</w:t>
      </w:r>
      <w:r>
        <w:rPr>
          <w:rFonts w:ascii="Arial" w:hAnsi="Arial" w:eastAsia="仿宋" w:cs="Arial"/>
          <w:color w:val="auto"/>
          <w:sz w:val="28"/>
        </w:rPr>
        <w:t>020地块统筹到 01</w:t>
      </w:r>
      <w:r>
        <w:rPr>
          <w:rFonts w:hint="eastAsia" w:ascii="Arial" w:hAnsi="Arial" w:eastAsia="仿宋" w:cs="Arial"/>
          <w:color w:val="auto"/>
          <w:sz w:val="28"/>
        </w:rPr>
        <w:t>－</w:t>
      </w:r>
      <w:r>
        <w:rPr>
          <w:rFonts w:ascii="Arial" w:hAnsi="Arial" w:eastAsia="仿宋" w:cs="Arial"/>
          <w:color w:val="auto"/>
          <w:sz w:val="28"/>
        </w:rPr>
        <w:t>026</w:t>
      </w:r>
      <w:r>
        <w:rPr>
          <w:rFonts w:hint="eastAsia" w:ascii="Arial" w:hAnsi="Arial" w:eastAsia="仿宋" w:cs="Arial"/>
          <w:color w:val="auto"/>
          <w:sz w:val="28"/>
        </w:rPr>
        <w:t>－</w:t>
      </w:r>
      <w:r>
        <w:rPr>
          <w:rFonts w:ascii="Arial" w:hAnsi="Arial" w:eastAsia="仿宋" w:cs="Arial"/>
          <w:color w:val="auto"/>
          <w:sz w:val="28"/>
        </w:rPr>
        <w:t>1二等人员掩蔽所工程抗力等级为甲6级，防空专业队队员掩蔽部工程抗力等级为甲5级。</w:t>
      </w:r>
      <w:r>
        <w:rPr>
          <w:rFonts w:hint="eastAsia" w:ascii="Arial" w:hAnsi="Arial" w:eastAsia="仿宋" w:cs="Arial"/>
          <w:color w:val="auto"/>
          <w:sz w:val="28"/>
        </w:rPr>
        <w:t>上述人防工程的建设成本在地上主用途中已考虑。</w:t>
      </w:r>
    </w:p>
    <w:p w14:paraId="598E9588">
      <w:pPr>
        <w:adjustRightInd/>
        <w:spacing w:line="300" w:lineRule="auto"/>
        <w:ind w:firstLine="560" w:firstLineChars="200"/>
        <w:jc w:val="both"/>
        <w:textAlignment w:val="bottom"/>
        <w:rPr>
          <w:rFonts w:ascii="Arial" w:hAnsi="Arial" w:eastAsia="仿宋" w:cs="Arial"/>
          <w:color w:val="auto"/>
          <w:sz w:val="28"/>
          <w:szCs w:val="28"/>
        </w:rPr>
      </w:pPr>
      <w:r>
        <w:rPr>
          <w:rFonts w:ascii="Arial" w:hAnsi="Arial" w:eastAsia="仿宋" w:cs="Arial"/>
          <w:color w:val="auto"/>
          <w:sz w:val="28"/>
        </w:rPr>
        <w:t>（3）根据《北京市人民政府关于顺义区二〇二〇年度批次建设用地的批复》（京政地字【2020】121号），</w:t>
      </w:r>
      <w:r>
        <w:rPr>
          <w:rFonts w:hint="eastAsia" w:ascii="Arial" w:hAnsi="Arial" w:eastAsia="仿宋" w:cs="Arial"/>
          <w:color w:val="auto"/>
          <w:sz w:val="28"/>
        </w:rPr>
        <w:t>同意</w:t>
      </w:r>
      <w:r>
        <w:rPr>
          <w:rFonts w:ascii="Arial" w:hAnsi="Arial" w:eastAsia="仿宋" w:cs="Arial"/>
          <w:color w:val="auto"/>
          <w:sz w:val="28"/>
        </w:rPr>
        <w:t>北京中交城市开发有限公司</w:t>
      </w:r>
      <w:r>
        <w:rPr>
          <w:rFonts w:hint="eastAsia" w:ascii="Arial" w:hAnsi="Arial" w:eastAsia="仿宋" w:cs="Arial"/>
          <w:color w:val="auto"/>
          <w:sz w:val="28"/>
        </w:rPr>
        <w:t>实施顺义区高丽营镇夏县营村棚户区改造土地开发项目</w:t>
      </w:r>
      <w:r>
        <w:rPr>
          <w:rFonts w:ascii="Arial" w:hAnsi="Arial" w:eastAsia="仿宋" w:cs="Arial"/>
          <w:color w:val="auto"/>
          <w:sz w:val="28"/>
          <w:szCs w:val="28"/>
        </w:rPr>
        <w:t>。</w:t>
      </w:r>
    </w:p>
    <w:p w14:paraId="6872394B">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4）根据《北京市人民政府关于更新出让国有建设用地使用权基准地价的通知》（京政发（2022）12号）的要求，土地估价专业评估师以北京市地价动态监测成果公布的地价增长率为准，对基准地价中的熟地价进行期日修正。</w:t>
      </w:r>
    </w:p>
    <w:p w14:paraId="6F600CBB">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（5）</w:t>
      </w:r>
      <w:r>
        <w:rPr>
          <w:rFonts w:hint="eastAsia" w:ascii="Arial" w:hAnsi="Arial" w:eastAsia="仿宋" w:cs="Arial"/>
          <w:color w:val="auto"/>
          <w:sz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hint="eastAsia" w:ascii="Arial" w:hAnsi="Arial" w:eastAsia="仿宋" w:cs="Arial"/>
          <w:color w:val="auto"/>
          <w:sz w:val="28"/>
        </w:rPr>
        <w:t>，该项目规划范围内01-020地块为托幼用地，该地块由二级竞得人负责筹措资金并组织实施，并无偿移交相关部门，即A</w:t>
      </w:r>
      <w:r>
        <w:rPr>
          <w:rFonts w:ascii="Arial" w:hAnsi="Arial" w:eastAsia="仿宋_GB2312" w:cs="Arial"/>
          <w:color w:val="auto"/>
          <w:sz w:val="28"/>
        </w:rPr>
        <w:t>334托幼用地建筑规模</w:t>
      </w:r>
      <w:r>
        <w:rPr>
          <w:rFonts w:hint="eastAsia" w:ascii="Arial" w:hAnsi="Arial" w:eastAsia="仿宋_GB2312" w:cs="Arial"/>
          <w:color w:val="auto"/>
          <w:sz w:val="28"/>
        </w:rPr>
        <w:t>3359.98</w:t>
      </w:r>
      <w:r>
        <w:rPr>
          <w:rFonts w:ascii="Arial" w:hAnsi="Arial" w:eastAsia="仿宋_GB2312" w:cs="Arial"/>
          <w:color w:val="auto"/>
          <w:sz w:val="28"/>
        </w:rPr>
        <w:t>平方米不出让</w:t>
      </w:r>
      <w:r>
        <w:rPr>
          <w:rFonts w:hint="eastAsia" w:ascii="Arial" w:hAnsi="Arial" w:eastAsia="仿宋_GB2312" w:cs="Arial"/>
          <w:color w:val="auto"/>
          <w:sz w:val="28"/>
        </w:rPr>
        <w:t>。</w:t>
      </w:r>
      <w:r>
        <w:rPr>
          <w:rFonts w:hint="eastAsia" w:ascii="Arial" w:hAnsi="Arial" w:eastAsia="仿宋" w:cs="Arial"/>
          <w:color w:val="auto"/>
          <w:sz w:val="28"/>
        </w:rPr>
        <w:t>本次评估采用的基准地价系数修正法中没有关于代建修正的因素，为确保估价结果的准确性和合理性，需充分考虑代建情况对地价的影响。本次评估采用剩余法时，按照考虑代建及不考虑代建两种情况分别测算出估价对象的楼面地价，并将二者的差值作为代建修正值，基准地价系数修正法测算的估价结果可按此差值进行代建情况的修正。</w:t>
      </w:r>
    </w:p>
    <w:p w14:paraId="0D8AE3D2">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（6）本估价报告中数据全部采用电算化连续计算得出，由于在报告中计算的数据均按四舍五入保留</w:t>
      </w:r>
      <w:r>
        <w:rPr>
          <w:rFonts w:hint="eastAsia" w:ascii="Arial" w:hAnsi="Arial" w:eastAsia="仿宋" w:cs="Arial"/>
          <w:color w:val="auto"/>
          <w:sz w:val="28"/>
        </w:rPr>
        <w:t>四</w:t>
      </w:r>
      <w:r>
        <w:rPr>
          <w:rFonts w:ascii="Arial" w:hAnsi="Arial" w:eastAsia="仿宋" w:cs="Arial"/>
          <w:color w:val="auto"/>
          <w:sz w:val="28"/>
        </w:rPr>
        <w:t>位小数或取整，故可能出现个别等式左右不完全相等的情况，但不影响计算结果及最终评估结论的准确性。</w:t>
      </w:r>
    </w:p>
    <w:p w14:paraId="6A85C37E">
      <w:pPr>
        <w:adjustRightInd/>
        <w:spacing w:line="300" w:lineRule="auto"/>
        <w:ind w:firstLine="562" w:firstLineChars="200"/>
        <w:jc w:val="both"/>
        <w:textAlignment w:val="bottom"/>
        <w:rPr>
          <w:rFonts w:ascii="Arial" w:hAnsi="Arial" w:eastAsia="仿宋" w:cs="Arial"/>
          <w:b/>
          <w:bCs/>
          <w:color w:val="auto"/>
          <w:sz w:val="28"/>
        </w:rPr>
      </w:pPr>
      <w:r>
        <w:rPr>
          <w:rFonts w:ascii="Arial" w:hAnsi="Arial" w:eastAsia="仿宋" w:cs="Arial"/>
          <w:b/>
          <w:bCs/>
          <w:color w:val="auto"/>
          <w:sz w:val="28"/>
        </w:rPr>
        <w:t>3.其他说明</w:t>
      </w:r>
    </w:p>
    <w:p w14:paraId="67839441">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（1）估价对象范围根据《国有建设用地使用权出让地价评估委托书》中确定。</w:t>
      </w:r>
    </w:p>
    <w:p w14:paraId="69E1F7E9">
      <w:pPr>
        <w:adjustRightInd/>
        <w:spacing w:line="300" w:lineRule="auto"/>
        <w:ind w:firstLine="560" w:firstLineChars="200"/>
        <w:jc w:val="both"/>
        <w:textAlignment w:val="bottom"/>
        <w:rPr>
          <w:rFonts w:ascii="Arial" w:hAnsi="Arial" w:eastAsia="仿宋" w:cs="Arial"/>
          <w:color w:val="auto"/>
          <w:sz w:val="28"/>
        </w:rPr>
      </w:pPr>
      <w:r>
        <w:rPr>
          <w:rFonts w:ascii="Arial" w:hAnsi="Arial" w:eastAsia="仿宋" w:cs="Arial"/>
          <w:color w:val="auto"/>
          <w:sz w:val="28"/>
        </w:rPr>
        <w:t>（2）本评估报告仅为出让方通过集体决策确定土地出让底价提供参考依据，最终应缴纳的地价款以</w:t>
      </w:r>
      <w:r>
        <w:rPr>
          <w:rFonts w:hint="eastAsia" w:ascii="Arial" w:hAnsi="Arial" w:eastAsia="仿宋" w:cs="Arial"/>
          <w:color w:val="auto"/>
          <w:sz w:val="28"/>
        </w:rPr>
        <w:t>北京市规划和自然资源委员会</w:t>
      </w:r>
      <w:r>
        <w:rPr>
          <w:rFonts w:ascii="Arial" w:hAnsi="Arial" w:eastAsia="仿宋" w:cs="Arial"/>
          <w:color w:val="auto"/>
          <w:sz w:val="28"/>
        </w:rPr>
        <w:t>公布结果为准。</w:t>
      </w:r>
    </w:p>
    <w:p w14:paraId="063F8E5C">
      <w:pPr>
        <w:snapToGrid w:val="0"/>
        <w:spacing w:line="300" w:lineRule="auto"/>
        <w:ind w:firstLine="560" w:firstLineChars="200"/>
        <w:jc w:val="both"/>
        <w:textAlignment w:val="bottom"/>
        <w:rPr>
          <w:rFonts w:ascii="Arial" w:hAnsi="Arial" w:eastAsia="仿宋_GB2312" w:cs="Arial"/>
          <w:color w:val="auto"/>
          <w:sz w:val="28"/>
        </w:rPr>
      </w:pPr>
      <w:r>
        <w:rPr>
          <w:rFonts w:ascii="Arial" w:hAnsi="Arial" w:eastAsia="仿宋" w:cs="Arial"/>
          <w:color w:val="auto"/>
          <w:sz w:val="28"/>
        </w:rPr>
        <w:t>（3）根据估价目的，此次评估在符合《城镇土地估价规程》（GB/T 18508</w:t>
      </w:r>
      <w:r>
        <w:rPr>
          <w:rFonts w:hint="eastAsia" w:ascii="Arial" w:hAnsi="Arial" w:eastAsia="仿宋" w:cs="Arial"/>
          <w:color w:val="auto"/>
          <w:sz w:val="28"/>
        </w:rPr>
        <w:t>－</w:t>
      </w:r>
      <w:r>
        <w:rPr>
          <w:rFonts w:ascii="Arial" w:hAnsi="Arial" w:eastAsia="仿宋" w:cs="Arial"/>
          <w:color w:val="auto"/>
          <w:sz w:val="28"/>
        </w:rPr>
        <w:t>2014）和《国土资源部办公厅关于印发〈国有建设用地使用权出让地价评估技术规范〉的通知》（国土资厅发（2018）4号）原则性要求的基础上，还需满足《北京市人民政府关于更新出让国有建设用地使用权基准地价的通知》（京政发（2022）12号）和《北京市国土资源局关于出让国有建设用地使用权基准地价应用有关问题的公告》的要求，故报告格式和具体表述在《城镇土地估价规程》（GB/T 18508</w:t>
      </w:r>
      <w:r>
        <w:rPr>
          <w:rFonts w:hint="eastAsia" w:ascii="Arial" w:hAnsi="Arial" w:eastAsia="仿宋" w:cs="Arial"/>
          <w:color w:val="auto"/>
          <w:sz w:val="28"/>
        </w:rPr>
        <w:t>－</w:t>
      </w:r>
      <w:r>
        <w:rPr>
          <w:rFonts w:ascii="Arial" w:hAnsi="Arial" w:eastAsia="仿宋" w:cs="Arial"/>
          <w:color w:val="auto"/>
          <w:sz w:val="28"/>
        </w:rPr>
        <w:t>2014）规范格式基础上，有所拓展和补充</w:t>
      </w:r>
      <w:r>
        <w:rPr>
          <w:rFonts w:ascii="Arial" w:hAnsi="Arial" w:eastAsia="仿宋_GB2312" w:cs="Arial"/>
          <w:color w:val="auto"/>
          <w:sz w:val="28"/>
        </w:rPr>
        <w:t>。</w:t>
      </w:r>
    </w:p>
    <w:p w14:paraId="66DA9EB0">
      <w:pPr>
        <w:spacing w:line="300" w:lineRule="auto"/>
        <w:outlineLvl w:val="1"/>
        <w:rPr>
          <w:rFonts w:ascii="Arial" w:hAnsi="Arial" w:eastAsia="仿宋_GB2312" w:cs="Arial"/>
          <w:color w:val="auto"/>
          <w:sz w:val="28"/>
        </w:rPr>
      </w:pPr>
      <w:bookmarkStart w:id="317" w:name="_Toc520261165"/>
      <w:bookmarkStart w:id="318" w:name="_Toc515457814"/>
      <w:bookmarkStart w:id="319" w:name="_Toc516488192"/>
      <w:r>
        <w:rPr>
          <w:rFonts w:ascii="Arial" w:hAnsi="Arial" w:eastAsia="仿宋_GB2312" w:cs="Arial"/>
          <w:b/>
          <w:color w:val="auto"/>
          <w:sz w:val="28"/>
        </w:rPr>
        <w:br w:type="page"/>
      </w:r>
      <w:bookmarkStart w:id="320" w:name="_Toc132016633"/>
      <w:bookmarkStart w:id="321" w:name="_Toc132016750"/>
      <w:bookmarkStart w:id="322" w:name="_Toc138063021"/>
      <w:r>
        <w:rPr>
          <w:rFonts w:ascii="Arial" w:hAnsi="Arial" w:eastAsia="仿宋_GB2312" w:cs="Arial"/>
          <w:b/>
          <w:color w:val="auto"/>
          <w:sz w:val="28"/>
        </w:rPr>
        <w:t>十一、土地估价专业评估师签字</w:t>
      </w:r>
      <w:bookmarkEnd w:id="314"/>
      <w:bookmarkEnd w:id="315"/>
      <w:bookmarkEnd w:id="316"/>
      <w:bookmarkEnd w:id="317"/>
      <w:bookmarkEnd w:id="318"/>
      <w:bookmarkEnd w:id="319"/>
      <w:bookmarkEnd w:id="320"/>
      <w:bookmarkEnd w:id="321"/>
      <w:bookmarkEnd w:id="322"/>
    </w:p>
    <w:tbl>
      <w:tblPr>
        <w:tblStyle w:val="34"/>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85" w:type="dxa"/>
          <w:bottom w:w="28" w:type="dxa"/>
          <w:right w:w="85" w:type="dxa"/>
        </w:tblCellMar>
      </w:tblPr>
      <w:tblGrid>
        <w:gridCol w:w="2540"/>
        <w:gridCol w:w="3931"/>
        <w:gridCol w:w="2601"/>
      </w:tblGrid>
      <w:tr w14:paraId="01719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70" w:hRule="atLeast"/>
          <w:jc w:val="center"/>
        </w:trPr>
        <w:tc>
          <w:tcPr>
            <w:tcW w:w="9299" w:type="dxa"/>
            <w:gridSpan w:val="3"/>
            <w:shd w:val="clear" w:color="auto" w:fill="auto"/>
            <w:vAlign w:val="center"/>
          </w:tcPr>
          <w:p w14:paraId="536D6693">
            <w:pPr>
              <w:widowControl/>
              <w:adjustRightInd/>
              <w:spacing w:line="300" w:lineRule="auto"/>
              <w:jc w:val="both"/>
              <w:textAlignment w:val="auto"/>
              <w:rPr>
                <w:rFonts w:ascii="Arial" w:hAnsi="Arial" w:eastAsia="仿宋_GB2312" w:cs="Arial"/>
                <w:b/>
                <w:bCs/>
                <w:color w:val="auto"/>
                <w:sz w:val="28"/>
                <w:szCs w:val="28"/>
              </w:rPr>
            </w:pPr>
            <w:r>
              <w:rPr>
                <w:rFonts w:ascii="Arial" w:hAnsi="Arial" w:eastAsia="仿宋_GB2312" w:cs="Arial"/>
                <w:b/>
                <w:bCs/>
                <w:color w:val="auto"/>
                <w:sz w:val="28"/>
                <w:szCs w:val="28"/>
              </w:rPr>
              <w:t>土地</w:t>
            </w:r>
            <w:r>
              <w:rPr>
                <w:rFonts w:hint="eastAsia" w:ascii="Arial" w:hAnsi="Arial" w:eastAsia="仿宋_GB2312" w:cs="Arial"/>
                <w:b/>
                <w:bCs/>
                <w:color w:val="auto"/>
                <w:sz w:val="28"/>
              </w:rPr>
              <w:t>估价</w:t>
            </w:r>
            <w:r>
              <w:rPr>
                <w:rFonts w:ascii="Arial" w:hAnsi="Arial" w:eastAsia="仿宋_GB2312" w:cs="Arial"/>
                <w:b/>
                <w:bCs/>
                <w:color w:val="auto"/>
                <w:sz w:val="28"/>
              </w:rPr>
              <w:t>专业评估</w:t>
            </w:r>
            <w:r>
              <w:rPr>
                <w:rFonts w:hint="eastAsia" w:ascii="Arial" w:hAnsi="Arial" w:eastAsia="仿宋_GB2312" w:cs="Arial"/>
                <w:b/>
                <w:bCs/>
                <w:color w:val="auto"/>
                <w:sz w:val="28"/>
              </w:rPr>
              <w:t>师</w:t>
            </w:r>
          </w:p>
        </w:tc>
      </w:tr>
      <w:tr w14:paraId="0EBF6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370" w:hRule="atLeast"/>
          <w:jc w:val="center"/>
        </w:trPr>
        <w:tc>
          <w:tcPr>
            <w:tcW w:w="2603" w:type="dxa"/>
            <w:shd w:val="clear" w:color="auto" w:fill="auto"/>
            <w:vAlign w:val="center"/>
          </w:tcPr>
          <w:p w14:paraId="5D182CE1">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姓名</w:t>
            </w:r>
          </w:p>
        </w:tc>
        <w:tc>
          <w:tcPr>
            <w:tcW w:w="4031" w:type="dxa"/>
            <w:shd w:val="clear" w:color="auto" w:fill="auto"/>
            <w:vAlign w:val="center"/>
          </w:tcPr>
          <w:p w14:paraId="34A24338">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资格证号</w:t>
            </w:r>
          </w:p>
        </w:tc>
        <w:tc>
          <w:tcPr>
            <w:tcW w:w="2665" w:type="dxa"/>
            <w:shd w:val="clear" w:color="auto" w:fill="auto"/>
            <w:vAlign w:val="center"/>
          </w:tcPr>
          <w:p w14:paraId="0E8E25CA">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签名</w:t>
            </w:r>
          </w:p>
        </w:tc>
      </w:tr>
      <w:tr w14:paraId="57CDB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642E1439">
            <w:pPr>
              <w:widowControl/>
              <w:adjustRightInd/>
              <w:spacing w:line="300" w:lineRule="auto"/>
              <w:jc w:val="both"/>
              <w:textAlignment w:val="auto"/>
              <w:rPr>
                <w:rFonts w:ascii="Arial" w:hAnsi="Arial" w:eastAsia="仿宋_GB2312" w:cs="Arial"/>
                <w:color w:val="auto"/>
                <w:sz w:val="28"/>
                <w:szCs w:val="28"/>
              </w:rPr>
            </w:pPr>
            <w:r>
              <w:rPr>
                <w:rFonts w:hint="eastAsia" w:ascii="Arial" w:hAnsi="Arial" w:eastAsia="仿宋_GB2312" w:cs="Arial"/>
                <w:color w:val="auto"/>
                <w:sz w:val="28"/>
                <w:szCs w:val="28"/>
              </w:rPr>
              <w:t>黄  英</w:t>
            </w:r>
          </w:p>
        </w:tc>
        <w:tc>
          <w:tcPr>
            <w:tcW w:w="4031" w:type="dxa"/>
            <w:shd w:val="clear" w:color="auto" w:fill="auto"/>
            <w:vAlign w:val="center"/>
          </w:tcPr>
          <w:p w14:paraId="6A37A8BC">
            <w:pPr>
              <w:widowControl/>
              <w:adjustRightInd/>
              <w:spacing w:line="300" w:lineRule="auto"/>
              <w:jc w:val="both"/>
              <w:textAlignment w:val="auto"/>
              <w:rPr>
                <w:rFonts w:ascii="Arial" w:hAnsi="Arial" w:eastAsia="仿宋_GB2312" w:cs="Arial"/>
                <w:color w:val="auto"/>
                <w:sz w:val="28"/>
                <w:szCs w:val="28"/>
              </w:rPr>
            </w:pPr>
            <w:r>
              <w:rPr>
                <w:rFonts w:hint="eastAsia" w:ascii="Arial" w:hAnsi="Arial" w:eastAsia="仿宋_GB2312" w:cs="Arial"/>
                <w:color w:val="auto"/>
                <w:sz w:val="28"/>
                <w:szCs w:val="28"/>
              </w:rPr>
              <w:t>30520231111000000028</w:t>
            </w:r>
          </w:p>
        </w:tc>
        <w:tc>
          <w:tcPr>
            <w:tcW w:w="2665" w:type="dxa"/>
            <w:shd w:val="clear" w:color="auto" w:fill="auto"/>
            <w:vAlign w:val="center"/>
          </w:tcPr>
          <w:p w14:paraId="6FF7E7EB">
            <w:pPr>
              <w:widowControl/>
              <w:adjustRightInd/>
              <w:spacing w:line="300" w:lineRule="auto"/>
              <w:jc w:val="both"/>
              <w:textAlignment w:val="auto"/>
              <w:rPr>
                <w:rFonts w:ascii="Arial" w:hAnsi="Arial" w:eastAsia="仿宋_GB2312" w:cs="Arial"/>
                <w:color w:val="auto"/>
                <w:sz w:val="28"/>
                <w:szCs w:val="28"/>
              </w:rPr>
            </w:pPr>
          </w:p>
        </w:tc>
      </w:tr>
      <w:tr w14:paraId="063D3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0FD039BE">
            <w:pPr>
              <w:widowControl/>
              <w:adjustRightInd/>
              <w:spacing w:line="300" w:lineRule="auto"/>
              <w:jc w:val="both"/>
              <w:textAlignment w:val="auto"/>
              <w:rPr>
                <w:rFonts w:ascii="Arial" w:hAnsi="Arial" w:eastAsia="仿宋_GB2312" w:cs="Arial"/>
                <w:color w:val="auto"/>
                <w:sz w:val="28"/>
                <w:szCs w:val="28"/>
              </w:rPr>
            </w:pPr>
            <w:r>
              <w:rPr>
                <w:rFonts w:hint="eastAsia" w:ascii="Arial" w:hAnsi="Arial" w:eastAsia="仿宋_GB2312" w:cs="Arial"/>
                <w:color w:val="auto"/>
                <w:sz w:val="28"/>
                <w:szCs w:val="28"/>
              </w:rPr>
              <w:t>叶  凌</w:t>
            </w:r>
          </w:p>
        </w:tc>
        <w:tc>
          <w:tcPr>
            <w:tcW w:w="4031" w:type="dxa"/>
            <w:shd w:val="clear" w:color="auto" w:fill="auto"/>
            <w:vAlign w:val="center"/>
          </w:tcPr>
          <w:p w14:paraId="1F54F3B1">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94010078</w:t>
            </w:r>
          </w:p>
        </w:tc>
        <w:tc>
          <w:tcPr>
            <w:tcW w:w="2665" w:type="dxa"/>
            <w:shd w:val="clear" w:color="auto" w:fill="auto"/>
            <w:vAlign w:val="center"/>
          </w:tcPr>
          <w:p w14:paraId="485E404A">
            <w:pPr>
              <w:widowControl/>
              <w:adjustRightInd/>
              <w:spacing w:line="300" w:lineRule="auto"/>
              <w:jc w:val="both"/>
              <w:textAlignment w:val="auto"/>
              <w:rPr>
                <w:rFonts w:ascii="Arial" w:hAnsi="Arial" w:eastAsia="仿宋_GB2312" w:cs="Arial"/>
                <w:color w:val="auto"/>
                <w:sz w:val="28"/>
                <w:szCs w:val="28"/>
              </w:rPr>
            </w:pPr>
          </w:p>
        </w:tc>
      </w:tr>
      <w:tr w14:paraId="5EEBA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1BAD1307">
            <w:pPr>
              <w:widowControl/>
              <w:adjustRightInd/>
              <w:spacing w:line="300" w:lineRule="auto"/>
              <w:jc w:val="both"/>
              <w:textAlignment w:val="auto"/>
              <w:rPr>
                <w:rFonts w:ascii="Arial" w:hAnsi="Arial" w:eastAsia="仿宋_GB2312" w:cs="Arial"/>
                <w:color w:val="auto"/>
                <w:sz w:val="28"/>
                <w:szCs w:val="28"/>
              </w:rPr>
            </w:pPr>
            <w:r>
              <w:rPr>
                <w:rFonts w:hint="eastAsia" w:ascii="Arial" w:hAnsi="Arial" w:eastAsia="仿宋_GB2312" w:cs="Arial"/>
                <w:color w:val="auto"/>
                <w:sz w:val="28"/>
                <w:szCs w:val="28"/>
              </w:rPr>
              <w:t>魏伯欣</w:t>
            </w:r>
          </w:p>
        </w:tc>
        <w:tc>
          <w:tcPr>
            <w:tcW w:w="4031" w:type="dxa"/>
            <w:shd w:val="clear" w:color="auto" w:fill="auto"/>
            <w:vAlign w:val="center"/>
          </w:tcPr>
          <w:p w14:paraId="3832D84A">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2000110133</w:t>
            </w:r>
          </w:p>
        </w:tc>
        <w:tc>
          <w:tcPr>
            <w:tcW w:w="2665" w:type="dxa"/>
            <w:shd w:val="clear" w:color="auto" w:fill="auto"/>
            <w:vAlign w:val="center"/>
          </w:tcPr>
          <w:p w14:paraId="11E659AF">
            <w:pPr>
              <w:widowControl/>
              <w:adjustRightInd/>
              <w:spacing w:line="300" w:lineRule="auto"/>
              <w:jc w:val="both"/>
              <w:textAlignment w:val="auto"/>
              <w:rPr>
                <w:rFonts w:ascii="Arial" w:hAnsi="Arial" w:eastAsia="仿宋_GB2312" w:cs="Arial"/>
                <w:color w:val="auto"/>
                <w:sz w:val="28"/>
                <w:szCs w:val="28"/>
              </w:rPr>
            </w:pPr>
          </w:p>
        </w:tc>
      </w:tr>
      <w:tr w14:paraId="3E2A6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94" w:hRule="atLeast"/>
          <w:jc w:val="center"/>
        </w:trPr>
        <w:tc>
          <w:tcPr>
            <w:tcW w:w="9299" w:type="dxa"/>
            <w:gridSpan w:val="3"/>
            <w:shd w:val="clear" w:color="auto" w:fill="auto"/>
            <w:vAlign w:val="center"/>
          </w:tcPr>
          <w:p w14:paraId="424A8073">
            <w:pPr>
              <w:widowControl/>
              <w:adjustRightInd/>
              <w:spacing w:line="300" w:lineRule="auto"/>
              <w:jc w:val="both"/>
              <w:textAlignment w:val="auto"/>
              <w:rPr>
                <w:rFonts w:ascii="Arial" w:hAnsi="Arial" w:eastAsia="仿宋_GB2312" w:cs="Arial"/>
                <w:b/>
                <w:bCs/>
                <w:color w:val="auto"/>
                <w:sz w:val="28"/>
                <w:szCs w:val="28"/>
              </w:rPr>
            </w:pPr>
            <w:r>
              <w:rPr>
                <w:rFonts w:ascii="Arial" w:hAnsi="Arial" w:eastAsia="仿宋_GB2312" w:cs="Arial"/>
                <w:b/>
                <w:bCs/>
                <w:color w:val="auto"/>
                <w:sz w:val="28"/>
                <w:szCs w:val="28"/>
              </w:rPr>
              <w:t>其他</w:t>
            </w:r>
            <w:r>
              <w:rPr>
                <w:rFonts w:hint="eastAsia" w:ascii="Arial" w:hAnsi="Arial" w:eastAsia="仿宋_GB2312" w:cs="Arial"/>
                <w:b/>
                <w:bCs/>
                <w:color w:val="auto"/>
                <w:sz w:val="28"/>
                <w:szCs w:val="28"/>
              </w:rPr>
              <w:t>评估</w:t>
            </w:r>
            <w:r>
              <w:rPr>
                <w:rFonts w:ascii="Arial" w:hAnsi="Arial" w:eastAsia="仿宋_GB2312" w:cs="Arial"/>
                <w:b/>
                <w:bCs/>
                <w:color w:val="auto"/>
                <w:sz w:val="28"/>
                <w:szCs w:val="28"/>
              </w:rPr>
              <w:t xml:space="preserve">专业人员 </w:t>
            </w:r>
          </w:p>
        </w:tc>
      </w:tr>
      <w:tr w14:paraId="40CF1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9" w:hRule="atLeast"/>
          <w:jc w:val="center"/>
        </w:trPr>
        <w:tc>
          <w:tcPr>
            <w:tcW w:w="2603" w:type="dxa"/>
            <w:shd w:val="clear" w:color="auto" w:fill="auto"/>
            <w:vAlign w:val="center"/>
          </w:tcPr>
          <w:p w14:paraId="36FCEE7A">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姓名</w:t>
            </w:r>
          </w:p>
        </w:tc>
        <w:tc>
          <w:tcPr>
            <w:tcW w:w="4031" w:type="dxa"/>
            <w:shd w:val="clear" w:color="auto" w:fill="auto"/>
            <w:vAlign w:val="center"/>
          </w:tcPr>
          <w:p w14:paraId="3C018E58">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相关资格或职称</w:t>
            </w:r>
          </w:p>
        </w:tc>
        <w:tc>
          <w:tcPr>
            <w:tcW w:w="2665" w:type="dxa"/>
            <w:shd w:val="clear" w:color="auto" w:fill="auto"/>
            <w:vAlign w:val="center"/>
          </w:tcPr>
          <w:p w14:paraId="7140CE52">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签名</w:t>
            </w:r>
          </w:p>
        </w:tc>
      </w:tr>
      <w:tr w14:paraId="419BB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7C8E0C86">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w:t>
            </w:r>
          </w:p>
        </w:tc>
        <w:tc>
          <w:tcPr>
            <w:tcW w:w="4031" w:type="dxa"/>
            <w:shd w:val="clear" w:color="auto" w:fill="auto"/>
            <w:vAlign w:val="center"/>
          </w:tcPr>
          <w:p w14:paraId="03EFFF28">
            <w:pPr>
              <w:widowControl/>
              <w:adjustRightInd/>
              <w:spacing w:line="300" w:lineRule="auto"/>
              <w:jc w:val="both"/>
              <w:textAlignment w:val="auto"/>
              <w:rPr>
                <w:rFonts w:ascii="Arial" w:hAnsi="Arial" w:eastAsia="仿宋_GB2312" w:cs="Arial"/>
                <w:color w:val="auto"/>
                <w:sz w:val="28"/>
                <w:szCs w:val="28"/>
              </w:rPr>
            </w:pPr>
            <w:r>
              <w:rPr>
                <w:rFonts w:ascii="Arial" w:hAnsi="Arial" w:eastAsia="仿宋_GB2312" w:cs="Arial"/>
                <w:color w:val="auto"/>
                <w:sz w:val="28"/>
                <w:szCs w:val="28"/>
              </w:rPr>
              <w:t>——</w:t>
            </w:r>
          </w:p>
        </w:tc>
        <w:tc>
          <w:tcPr>
            <w:tcW w:w="2665" w:type="dxa"/>
            <w:shd w:val="clear" w:color="auto" w:fill="auto"/>
            <w:vAlign w:val="center"/>
          </w:tcPr>
          <w:p w14:paraId="02E9E3B5">
            <w:pPr>
              <w:widowControl/>
              <w:adjustRightInd/>
              <w:spacing w:line="300" w:lineRule="auto"/>
              <w:jc w:val="both"/>
              <w:textAlignment w:val="auto"/>
              <w:rPr>
                <w:rFonts w:ascii="Arial" w:hAnsi="Arial" w:eastAsia="仿宋_GB2312" w:cs="Arial"/>
                <w:color w:val="auto"/>
                <w:sz w:val="28"/>
                <w:szCs w:val="28"/>
              </w:rPr>
            </w:pPr>
          </w:p>
        </w:tc>
      </w:tr>
    </w:tbl>
    <w:p w14:paraId="1DFF60A9">
      <w:pPr>
        <w:spacing w:line="300" w:lineRule="auto"/>
        <w:rPr>
          <w:rFonts w:ascii="Arial" w:hAnsi="Arial" w:eastAsia="仿宋_GB2312" w:cs="Arial"/>
          <w:color w:val="auto"/>
          <w:sz w:val="28"/>
        </w:rPr>
      </w:pPr>
    </w:p>
    <w:p w14:paraId="5B0A56C4">
      <w:pPr>
        <w:spacing w:line="300" w:lineRule="auto"/>
        <w:outlineLvl w:val="1"/>
        <w:rPr>
          <w:rFonts w:ascii="Arial" w:hAnsi="Arial" w:eastAsia="仿宋_GB2312" w:cs="Arial"/>
          <w:b/>
          <w:color w:val="auto"/>
          <w:sz w:val="28"/>
        </w:rPr>
      </w:pPr>
      <w:bookmarkStart w:id="323" w:name="_Toc515457815"/>
      <w:bookmarkStart w:id="324" w:name="_Toc520261166"/>
      <w:bookmarkStart w:id="325" w:name="_Toc516488193"/>
      <w:bookmarkStart w:id="326" w:name="_Toc132016634"/>
      <w:bookmarkStart w:id="327" w:name="_Toc132016751"/>
      <w:bookmarkStart w:id="328" w:name="_Toc138063022"/>
      <w:r>
        <w:rPr>
          <w:rFonts w:ascii="Arial" w:hAnsi="Arial" w:eastAsia="仿宋_GB2312" w:cs="Arial"/>
          <w:b/>
          <w:color w:val="auto"/>
          <w:sz w:val="28"/>
        </w:rPr>
        <w:t>十二、土地估价机构</w:t>
      </w:r>
      <w:bookmarkEnd w:id="323"/>
      <w:bookmarkEnd w:id="324"/>
      <w:bookmarkEnd w:id="325"/>
      <w:bookmarkEnd w:id="326"/>
      <w:bookmarkEnd w:id="327"/>
      <w:bookmarkEnd w:id="328"/>
    </w:p>
    <w:p w14:paraId="3264B257">
      <w:pPr>
        <w:spacing w:line="300" w:lineRule="auto"/>
        <w:rPr>
          <w:rFonts w:ascii="Arial" w:hAnsi="Arial" w:eastAsia="仿宋_GB2312" w:cs="Arial"/>
          <w:color w:val="auto"/>
          <w:sz w:val="28"/>
        </w:rPr>
      </w:pPr>
      <w:r>
        <w:rPr>
          <w:rFonts w:ascii="Arial" w:hAnsi="Arial" w:eastAsia="仿宋_GB2312" w:cs="Arial"/>
          <w:color w:val="auto"/>
          <w:sz w:val="28"/>
        </w:rPr>
        <w:t xml:space="preserve"> </w:t>
      </w:r>
    </w:p>
    <w:p w14:paraId="7B46B214">
      <w:pPr>
        <w:spacing w:line="300" w:lineRule="auto"/>
        <w:rPr>
          <w:rFonts w:ascii="Arial" w:hAnsi="Arial" w:eastAsia="仿宋_GB2312" w:cs="Arial"/>
          <w:color w:val="auto"/>
          <w:sz w:val="28"/>
        </w:rPr>
      </w:pPr>
      <w:r>
        <w:rPr>
          <w:rFonts w:ascii="Arial" w:hAnsi="Arial" w:eastAsia="仿宋_GB2312" w:cs="Arial"/>
          <w:color w:val="auto"/>
          <w:sz w:val="28"/>
        </w:rPr>
        <w:t xml:space="preserve">                              </w:t>
      </w:r>
    </w:p>
    <w:tbl>
      <w:tblPr>
        <w:tblStyle w:val="34"/>
        <w:tblW w:w="0" w:type="auto"/>
        <w:jc w:val="right"/>
        <w:tblLayout w:type="fixed"/>
        <w:tblCellMar>
          <w:top w:w="28" w:type="dxa"/>
          <w:left w:w="85" w:type="dxa"/>
          <w:bottom w:w="28" w:type="dxa"/>
          <w:right w:w="85" w:type="dxa"/>
        </w:tblCellMar>
      </w:tblPr>
      <w:tblGrid>
        <w:gridCol w:w="4445"/>
      </w:tblGrid>
      <w:tr w14:paraId="7DBE11CD">
        <w:tblPrEx>
          <w:tblCellMar>
            <w:top w:w="28" w:type="dxa"/>
            <w:left w:w="85" w:type="dxa"/>
            <w:bottom w:w="28" w:type="dxa"/>
            <w:right w:w="85" w:type="dxa"/>
          </w:tblCellMar>
        </w:tblPrEx>
        <w:trPr>
          <w:jc w:val="right"/>
        </w:trPr>
        <w:tc>
          <w:tcPr>
            <w:tcW w:w="4445" w:type="dxa"/>
            <w:shd w:val="clear" w:color="auto" w:fill="auto"/>
          </w:tcPr>
          <w:p w14:paraId="35B5E8C8">
            <w:pPr>
              <w:spacing w:line="300" w:lineRule="auto"/>
              <w:rPr>
                <w:rFonts w:ascii="Arial" w:hAnsi="Arial" w:eastAsia="仿宋_GB2312" w:cs="Arial"/>
                <w:color w:val="auto"/>
                <w:sz w:val="28"/>
                <w:szCs w:val="21"/>
              </w:rPr>
            </w:pPr>
            <w:r>
              <w:rPr>
                <w:rFonts w:ascii="Arial" w:hAnsi="Arial" w:eastAsia="仿宋_GB2312" w:cs="Arial"/>
                <w:color w:val="auto"/>
                <w:sz w:val="28"/>
                <w:szCs w:val="21"/>
              </w:rPr>
              <w:t>北京康正宏基房地产评估有限公司</w:t>
            </w:r>
          </w:p>
        </w:tc>
      </w:tr>
      <w:tr w14:paraId="3E0381FB">
        <w:tblPrEx>
          <w:tblCellMar>
            <w:top w:w="28" w:type="dxa"/>
            <w:left w:w="85" w:type="dxa"/>
            <w:bottom w:w="28" w:type="dxa"/>
            <w:right w:w="85" w:type="dxa"/>
          </w:tblCellMar>
        </w:tblPrEx>
        <w:trPr>
          <w:trHeight w:val="1431" w:hRule="atLeast"/>
          <w:jc w:val="right"/>
        </w:trPr>
        <w:tc>
          <w:tcPr>
            <w:tcW w:w="4445" w:type="dxa"/>
            <w:shd w:val="clear" w:color="auto" w:fill="auto"/>
          </w:tcPr>
          <w:p w14:paraId="73D54EA3">
            <w:pPr>
              <w:spacing w:line="300" w:lineRule="auto"/>
              <w:rPr>
                <w:rFonts w:ascii="Arial" w:hAnsi="Arial" w:eastAsia="仿宋_GB2312" w:cs="Arial"/>
                <w:color w:val="auto"/>
                <w:sz w:val="28"/>
                <w:szCs w:val="21"/>
              </w:rPr>
            </w:pPr>
            <w:r>
              <w:rPr>
                <w:rFonts w:ascii="Arial" w:hAnsi="Arial" w:eastAsia="仿宋_GB2312" w:cs="Arial"/>
                <w:color w:val="auto"/>
                <w:sz w:val="28"/>
                <w:szCs w:val="21"/>
              </w:rPr>
              <w:t>法定代表人：</w:t>
            </w:r>
          </w:p>
        </w:tc>
      </w:tr>
      <w:tr w14:paraId="5B2DDB95">
        <w:tblPrEx>
          <w:tblCellMar>
            <w:top w:w="28" w:type="dxa"/>
            <w:left w:w="85" w:type="dxa"/>
            <w:bottom w:w="28" w:type="dxa"/>
            <w:right w:w="85" w:type="dxa"/>
          </w:tblCellMar>
        </w:tblPrEx>
        <w:trPr>
          <w:cantSplit/>
          <w:jc w:val="right"/>
        </w:trPr>
        <w:tc>
          <w:tcPr>
            <w:tcW w:w="4445" w:type="dxa"/>
            <w:shd w:val="clear" w:color="auto" w:fill="auto"/>
          </w:tcPr>
          <w:p w14:paraId="7FD96C34">
            <w:pPr>
              <w:spacing w:line="300" w:lineRule="auto"/>
              <w:jc w:val="right"/>
              <w:rPr>
                <w:rFonts w:ascii="Arial" w:hAnsi="Arial" w:eastAsia="仿宋_GB2312" w:cs="Arial"/>
                <w:color w:val="auto"/>
                <w:sz w:val="28"/>
                <w:szCs w:val="21"/>
              </w:rPr>
            </w:pPr>
            <w:r>
              <w:rPr>
                <w:rFonts w:hint="eastAsia" w:ascii="Arial" w:hAnsi="Arial" w:eastAsia="仿宋_GB2312" w:cs="Arial"/>
                <w:color w:val="auto"/>
                <w:sz w:val="28"/>
                <w:szCs w:val="21"/>
              </w:rPr>
              <w:t>二</w:t>
            </w:r>
            <w:r>
              <w:rPr>
                <w:rFonts w:hint="eastAsia" w:ascii="微软雅黑" w:hAnsi="微软雅黑" w:eastAsia="微软雅黑" w:cs="微软雅黑"/>
                <w:color w:val="auto"/>
                <w:sz w:val="28"/>
                <w:szCs w:val="21"/>
              </w:rPr>
              <w:t>〇</w:t>
            </w:r>
            <w:r>
              <w:rPr>
                <w:rFonts w:hint="eastAsia" w:ascii="仿宋_GB2312" w:hAnsi="仿宋_GB2312" w:eastAsia="仿宋_GB2312" w:cs="仿宋_GB2312"/>
                <w:color w:val="auto"/>
                <w:sz w:val="28"/>
                <w:szCs w:val="21"/>
              </w:rPr>
              <w:t>二六年四月</w:t>
            </w:r>
            <w:r>
              <w:rPr>
                <w:rFonts w:hint="eastAsia" w:ascii="仿宋_GB2312" w:hAnsi="仿宋_GB2312" w:eastAsia="仿宋_GB2312" w:cs="仿宋_GB2312"/>
                <w:color w:val="auto"/>
                <w:sz w:val="28"/>
                <w:szCs w:val="21"/>
                <w:lang w:val="en-US" w:eastAsia="zh-CN"/>
              </w:rPr>
              <w:t>二十一</w:t>
            </w:r>
            <w:r>
              <w:rPr>
                <w:rFonts w:hint="eastAsia" w:ascii="仿宋_GB2312" w:hAnsi="仿宋_GB2312" w:eastAsia="仿宋_GB2312" w:cs="仿宋_GB2312"/>
                <w:color w:val="auto"/>
                <w:sz w:val="28"/>
                <w:szCs w:val="21"/>
              </w:rPr>
              <w:t>日</w:t>
            </w:r>
          </w:p>
        </w:tc>
      </w:tr>
    </w:tbl>
    <w:p w14:paraId="043DDD0C">
      <w:pPr>
        <w:spacing w:line="300" w:lineRule="auto"/>
        <w:rPr>
          <w:rFonts w:ascii="Arial" w:hAnsi="Arial" w:eastAsia="仿宋_GB2312" w:cs="Arial"/>
          <w:b/>
          <w:color w:val="auto"/>
          <w:sz w:val="28"/>
        </w:rPr>
      </w:pPr>
    </w:p>
    <w:p w14:paraId="2E57BB12">
      <w:pPr>
        <w:spacing w:line="300" w:lineRule="auto"/>
        <w:jc w:val="center"/>
        <w:outlineLvl w:val="0"/>
        <w:rPr>
          <w:rFonts w:ascii="Arial" w:hAnsi="Arial" w:cs="Arial"/>
          <w:b/>
          <w:color w:val="auto"/>
          <w:sz w:val="32"/>
        </w:rPr>
      </w:pPr>
      <w:r>
        <w:rPr>
          <w:rFonts w:ascii="Arial" w:hAnsi="Arial" w:eastAsia="仿宋_GB2312" w:cs="Arial"/>
          <w:color w:val="auto"/>
          <w:sz w:val="28"/>
        </w:rPr>
        <w:br w:type="page"/>
      </w:r>
      <w:bookmarkStart w:id="329" w:name="_Toc416783586"/>
      <w:bookmarkStart w:id="330" w:name="_Toc469066164"/>
      <w:bookmarkStart w:id="331" w:name="_Toc416783682"/>
      <w:bookmarkStart w:id="332" w:name="_Toc515457816"/>
      <w:bookmarkStart w:id="333" w:name="_Toc132016635"/>
      <w:bookmarkStart w:id="334" w:name="_Toc138063023"/>
      <w:bookmarkStart w:id="335" w:name="_Toc516488194"/>
      <w:bookmarkStart w:id="336" w:name="_Toc132016752"/>
      <w:r>
        <w:rPr>
          <w:rFonts w:ascii="Arial" w:hAnsi="Arial" w:cs="Arial"/>
          <w:b/>
          <w:color w:val="auto"/>
          <w:sz w:val="32"/>
        </w:rPr>
        <w:t>第二部分</w:t>
      </w:r>
      <w:r>
        <w:rPr>
          <w:rFonts w:ascii="Arial" w:hAnsi="Arial" w:eastAsia="仿宋_GB2312" w:cs="Arial"/>
          <w:b/>
          <w:color w:val="auto"/>
          <w:sz w:val="32"/>
        </w:rPr>
        <w:t xml:space="preserve">  </w:t>
      </w:r>
      <w:r>
        <w:rPr>
          <w:rFonts w:ascii="Arial" w:hAnsi="Arial" w:cs="Arial"/>
          <w:b/>
          <w:color w:val="auto"/>
          <w:sz w:val="32"/>
        </w:rPr>
        <w:t>估价对象描述及土地价格影响因素分析</w:t>
      </w:r>
      <w:bookmarkEnd w:id="329"/>
      <w:bookmarkEnd w:id="330"/>
      <w:bookmarkEnd w:id="331"/>
      <w:bookmarkEnd w:id="332"/>
      <w:bookmarkEnd w:id="333"/>
      <w:bookmarkEnd w:id="334"/>
      <w:bookmarkEnd w:id="335"/>
      <w:bookmarkEnd w:id="336"/>
    </w:p>
    <w:p w14:paraId="4FFECD89">
      <w:pPr>
        <w:rPr>
          <w:color w:val="auto"/>
        </w:rPr>
      </w:pPr>
      <w:bookmarkStart w:id="337" w:name="_Toc516488195"/>
      <w:bookmarkStart w:id="338" w:name="_Toc416783587"/>
      <w:bookmarkStart w:id="339" w:name="_Toc515457817"/>
      <w:bookmarkStart w:id="340" w:name="_Toc416783683"/>
      <w:bookmarkStart w:id="341" w:name="_Toc469066165"/>
    </w:p>
    <w:p w14:paraId="281ED381">
      <w:pPr>
        <w:spacing w:line="300" w:lineRule="auto"/>
        <w:outlineLvl w:val="1"/>
        <w:rPr>
          <w:rFonts w:ascii="Arial" w:hAnsi="Arial" w:eastAsia="仿宋_GB2312" w:cs="Arial"/>
          <w:b/>
          <w:color w:val="auto"/>
          <w:sz w:val="28"/>
        </w:rPr>
      </w:pPr>
      <w:bookmarkStart w:id="342" w:name="_Toc132016636"/>
      <w:bookmarkStart w:id="343" w:name="_Toc132016753"/>
      <w:bookmarkStart w:id="344" w:name="_Toc138063024"/>
      <w:r>
        <w:rPr>
          <w:rFonts w:ascii="Arial" w:hAnsi="Arial" w:eastAsia="仿宋_GB2312" w:cs="Arial"/>
          <w:b/>
          <w:color w:val="auto"/>
          <w:sz w:val="28"/>
        </w:rPr>
        <w:t>一、估价对象描述</w:t>
      </w:r>
      <w:bookmarkEnd w:id="337"/>
      <w:bookmarkEnd w:id="338"/>
      <w:bookmarkEnd w:id="339"/>
      <w:bookmarkEnd w:id="340"/>
      <w:bookmarkEnd w:id="341"/>
      <w:bookmarkEnd w:id="342"/>
      <w:bookmarkEnd w:id="343"/>
      <w:bookmarkEnd w:id="344"/>
    </w:p>
    <w:p w14:paraId="0477677E">
      <w:pPr>
        <w:adjustRightInd/>
        <w:spacing w:line="300" w:lineRule="auto"/>
        <w:ind w:firstLine="562" w:firstLineChars="200"/>
        <w:jc w:val="both"/>
        <w:rPr>
          <w:rFonts w:ascii="Arial" w:hAnsi="Arial" w:eastAsia="仿宋" w:cs="Arial"/>
          <w:b/>
          <w:bCs/>
          <w:color w:val="auto"/>
          <w:sz w:val="28"/>
        </w:rPr>
      </w:pPr>
      <w:bookmarkStart w:id="345" w:name="_Toc516488196"/>
      <w:bookmarkStart w:id="346" w:name="_Toc416783594"/>
      <w:bookmarkStart w:id="347" w:name="_Toc416783690"/>
      <w:bookmarkStart w:id="348" w:name="_Toc469066166"/>
      <w:bookmarkStart w:id="349" w:name="_Toc515457818"/>
      <w:r>
        <w:rPr>
          <w:rFonts w:ascii="Arial" w:hAnsi="Arial" w:eastAsia="仿宋" w:cs="Arial"/>
          <w:b/>
          <w:bCs/>
          <w:color w:val="auto"/>
          <w:sz w:val="28"/>
        </w:rPr>
        <w:t>（一）土地登记状况</w:t>
      </w:r>
    </w:p>
    <w:p w14:paraId="6624089B">
      <w:pPr>
        <w:adjustRightInd/>
        <w:spacing w:line="300" w:lineRule="auto"/>
        <w:ind w:firstLine="562" w:firstLineChars="200"/>
        <w:jc w:val="both"/>
        <w:rPr>
          <w:rFonts w:ascii="Arial" w:hAnsi="Arial" w:eastAsia="仿宋" w:cs="Arial"/>
          <w:b/>
          <w:color w:val="auto"/>
          <w:sz w:val="28"/>
        </w:rPr>
      </w:pPr>
      <w:r>
        <w:rPr>
          <w:rFonts w:hint="eastAsia" w:ascii="Arial" w:hAnsi="Arial" w:eastAsia="仿宋" w:cs="Arial"/>
          <w:b/>
          <w:color w:val="auto"/>
          <w:sz w:val="28"/>
        </w:rPr>
        <w:t>1.估价对象的</w:t>
      </w:r>
      <w:r>
        <w:rPr>
          <w:rFonts w:ascii="Arial" w:hAnsi="Arial" w:eastAsia="仿宋" w:cs="Arial"/>
          <w:b/>
          <w:color w:val="auto"/>
          <w:sz w:val="28"/>
        </w:rPr>
        <w:t>来源</w:t>
      </w:r>
      <w:r>
        <w:rPr>
          <w:rFonts w:hint="eastAsia" w:ascii="Arial" w:hAnsi="Arial" w:eastAsia="仿宋" w:cs="Arial"/>
          <w:b/>
          <w:color w:val="auto"/>
          <w:sz w:val="28"/>
        </w:rPr>
        <w:t>及历史沿革</w:t>
      </w:r>
    </w:p>
    <w:p w14:paraId="6D21239D">
      <w:pPr>
        <w:adjustRightInd/>
        <w:spacing w:line="300" w:lineRule="auto"/>
        <w:ind w:firstLine="560" w:firstLineChars="200"/>
        <w:jc w:val="both"/>
        <w:rPr>
          <w:rFonts w:ascii="Arial" w:hAnsi="Arial" w:eastAsia="仿宋" w:cs="Arial"/>
          <w:color w:val="auto"/>
          <w:spacing w:val="-6"/>
          <w:sz w:val="28"/>
        </w:rPr>
      </w:pPr>
      <w:r>
        <w:rPr>
          <w:rFonts w:ascii="Arial" w:hAnsi="Arial" w:eastAsia="仿宋" w:cs="Arial"/>
          <w:color w:val="auto"/>
          <w:sz w:val="28"/>
          <w:szCs w:val="28"/>
        </w:rPr>
        <w:t>2020</w:t>
      </w:r>
      <w:r>
        <w:rPr>
          <w:rFonts w:ascii="Arial" w:hAnsi="Arial" w:eastAsia="仿宋" w:cs="Arial"/>
          <w:color w:val="auto"/>
          <w:spacing w:val="-6"/>
          <w:sz w:val="28"/>
        </w:rPr>
        <w:t>年</w:t>
      </w:r>
      <w:r>
        <w:rPr>
          <w:rFonts w:ascii="Arial" w:hAnsi="Arial" w:eastAsia="仿宋" w:cs="Arial"/>
          <w:color w:val="auto"/>
          <w:sz w:val="28"/>
          <w:szCs w:val="28"/>
        </w:rPr>
        <w:t>12</w:t>
      </w:r>
      <w:r>
        <w:rPr>
          <w:rFonts w:ascii="Arial" w:hAnsi="Arial" w:eastAsia="仿宋" w:cs="Arial"/>
          <w:color w:val="auto"/>
          <w:spacing w:val="-6"/>
          <w:sz w:val="28"/>
        </w:rPr>
        <w:t>月</w:t>
      </w:r>
      <w:r>
        <w:rPr>
          <w:rFonts w:ascii="Arial" w:hAnsi="Arial" w:eastAsia="仿宋" w:cs="Arial"/>
          <w:color w:val="auto"/>
          <w:sz w:val="28"/>
          <w:szCs w:val="28"/>
        </w:rPr>
        <w:t>29</w:t>
      </w:r>
      <w:r>
        <w:rPr>
          <w:rFonts w:ascii="Arial" w:hAnsi="Arial" w:eastAsia="仿宋" w:cs="Arial"/>
          <w:color w:val="auto"/>
          <w:spacing w:val="-6"/>
          <w:sz w:val="28"/>
        </w:rPr>
        <w:t>日</w:t>
      </w:r>
      <w:r>
        <w:rPr>
          <w:rFonts w:hint="eastAsia" w:ascii="Arial" w:hAnsi="Arial" w:eastAsia="仿宋" w:cs="Arial"/>
          <w:color w:val="auto"/>
          <w:spacing w:val="-6"/>
          <w:sz w:val="28"/>
        </w:rPr>
        <w:t>，</w:t>
      </w:r>
      <w:r>
        <w:rPr>
          <w:rFonts w:ascii="Arial" w:hAnsi="Arial" w:eastAsia="仿宋" w:cs="Arial"/>
          <w:color w:val="auto"/>
          <w:spacing w:val="-6"/>
          <w:sz w:val="28"/>
        </w:rPr>
        <w:t>取得《北京市人民政府关于顺义区二〇二〇年度批次建设用地的批复》（京政地字【2020】121号），由农用地转为建设用地；</w:t>
      </w:r>
    </w:p>
    <w:p w14:paraId="10EC9324">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2023年5月26日，取得《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，明确了用地性质、建设用地规模及相关建筑技术指标</w:t>
      </w:r>
      <w:r>
        <w:rPr>
          <w:rFonts w:hint="eastAsia" w:ascii="Arial" w:hAnsi="Arial" w:eastAsia="仿宋" w:cs="Arial"/>
          <w:color w:val="auto"/>
          <w:sz w:val="28"/>
        </w:rPr>
        <w:t>；</w:t>
      </w:r>
    </w:p>
    <w:p w14:paraId="1CF12980">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2</w:t>
      </w:r>
      <w:r>
        <w:rPr>
          <w:rFonts w:ascii="Arial" w:hAnsi="Arial" w:eastAsia="仿宋" w:cs="Arial"/>
          <w:color w:val="auto"/>
          <w:sz w:val="28"/>
        </w:rPr>
        <w:t>023</w:t>
      </w:r>
      <w:r>
        <w:rPr>
          <w:rFonts w:hint="eastAsia" w:ascii="Arial" w:hAnsi="Arial" w:eastAsia="仿宋" w:cs="Arial"/>
          <w:color w:val="auto"/>
          <w:sz w:val="28"/>
        </w:rPr>
        <w:t>年6月2</w:t>
      </w:r>
      <w:r>
        <w:rPr>
          <w:rFonts w:ascii="Arial" w:hAnsi="Arial" w:eastAsia="仿宋" w:cs="Arial"/>
          <w:color w:val="auto"/>
          <w:sz w:val="28"/>
        </w:rPr>
        <w:t>5</w:t>
      </w:r>
      <w:r>
        <w:rPr>
          <w:rFonts w:hint="eastAsia" w:ascii="Arial" w:hAnsi="Arial" w:eastAsia="仿宋" w:cs="Arial"/>
          <w:color w:val="auto"/>
          <w:sz w:val="28"/>
        </w:rPr>
        <w:t>日，取得</w:t>
      </w:r>
      <w:r>
        <w:rPr>
          <w:rFonts w:ascii="Arial" w:hAnsi="Arial" w:eastAsia="仿宋" w:cs="Arial"/>
          <w:color w:val="auto"/>
          <w:sz w:val="28"/>
          <w:szCs w:val="28"/>
        </w:rPr>
        <w:t>《北京市顺义区人民政府关于顺义区高丽营镇夏县营村棚户区改造土地开发项目01</w:t>
      </w:r>
      <w:r>
        <w:rPr>
          <w:rFonts w:hint="eastAsia" w:ascii="Arial" w:hAnsi="Arial" w:eastAsia="仿宋" w:cs="Arial"/>
          <w:color w:val="auto"/>
          <w:sz w:val="28"/>
          <w:szCs w:val="28"/>
        </w:rPr>
        <w:t>－</w:t>
      </w:r>
      <w:r>
        <w:rPr>
          <w:rFonts w:ascii="Arial" w:hAnsi="Arial" w:eastAsia="仿宋" w:cs="Arial"/>
          <w:color w:val="auto"/>
          <w:sz w:val="28"/>
          <w:szCs w:val="28"/>
        </w:rPr>
        <w:t>008、01</w:t>
      </w:r>
      <w:r>
        <w:rPr>
          <w:rFonts w:hint="eastAsia" w:ascii="Arial" w:hAnsi="Arial" w:eastAsia="仿宋" w:cs="Arial"/>
          <w:color w:val="auto"/>
          <w:sz w:val="28"/>
          <w:szCs w:val="28"/>
        </w:rPr>
        <w:t>－</w:t>
      </w:r>
      <w:r>
        <w:rPr>
          <w:rFonts w:ascii="Arial" w:hAnsi="Arial" w:eastAsia="仿宋" w:cs="Arial"/>
          <w:color w:val="auto"/>
          <w:sz w:val="28"/>
          <w:szCs w:val="28"/>
        </w:rPr>
        <w:t>016、01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1、01</w:t>
      </w:r>
      <w:r>
        <w:rPr>
          <w:rFonts w:hint="eastAsia" w:ascii="Arial" w:hAnsi="Arial" w:eastAsia="仿宋" w:cs="Arial"/>
          <w:color w:val="auto"/>
          <w:sz w:val="28"/>
          <w:szCs w:val="28"/>
        </w:rPr>
        <w:t>－</w:t>
      </w:r>
      <w:r>
        <w:rPr>
          <w:rFonts w:ascii="Arial" w:hAnsi="Arial" w:eastAsia="仿宋" w:cs="Arial"/>
          <w:color w:val="auto"/>
          <w:sz w:val="28"/>
          <w:szCs w:val="28"/>
        </w:rPr>
        <w:t>020地块提请地价审核有关事宜的函》（顺政函【2023】151号）</w:t>
      </w:r>
      <w:r>
        <w:rPr>
          <w:rFonts w:hint="eastAsia" w:ascii="Arial" w:hAnsi="Arial" w:eastAsia="仿宋" w:cs="Arial"/>
          <w:color w:val="auto"/>
          <w:sz w:val="28"/>
          <w:szCs w:val="28"/>
        </w:rPr>
        <w:t>，该项目开发主体为北京中交城市开发有限公司，实施主体为北京中交城市开发有限公司。</w:t>
      </w:r>
      <w:r>
        <w:rPr>
          <w:rFonts w:ascii="Arial" w:hAnsi="Arial" w:eastAsia="仿宋" w:cs="Arial"/>
          <w:color w:val="auto"/>
          <w:sz w:val="28"/>
        </w:rPr>
        <w:t>估价对象为拟出让用地，截至估价期日，估价对象尚未办理登记手续。</w:t>
      </w:r>
    </w:p>
    <w:p w14:paraId="1ABFCF1F">
      <w:pPr>
        <w:adjustRightInd/>
        <w:spacing w:line="300" w:lineRule="auto"/>
        <w:ind w:firstLine="562" w:firstLineChars="200"/>
        <w:jc w:val="both"/>
        <w:rPr>
          <w:rFonts w:ascii="Arial" w:hAnsi="Arial" w:eastAsia="仿宋" w:cs="Arial"/>
          <w:b/>
          <w:color w:val="auto"/>
          <w:sz w:val="28"/>
        </w:rPr>
      </w:pPr>
      <w:r>
        <w:rPr>
          <w:rFonts w:hint="eastAsia" w:ascii="Arial" w:hAnsi="Arial" w:eastAsia="仿宋" w:cs="Arial"/>
          <w:b/>
          <w:color w:val="auto"/>
          <w:sz w:val="28"/>
        </w:rPr>
        <w:t>2.登记状况</w:t>
      </w:r>
    </w:p>
    <w:p w14:paraId="33B08E0E">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估价对象为拟入市公开交易地块，尚未办理土地出让手续，未办理不 动产权利登记。</w:t>
      </w:r>
    </w:p>
    <w:p w14:paraId="357BD924">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根据委托估价方提供的</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等资料，估价对象相关权属状况如下：</w:t>
      </w:r>
    </w:p>
    <w:p w14:paraId="08DBC599">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项目</w:t>
      </w:r>
      <w:r>
        <w:rPr>
          <w:rFonts w:hint="eastAsia" w:ascii="Arial" w:hAnsi="Arial" w:eastAsia="仿宋" w:cs="Arial"/>
          <w:color w:val="auto"/>
          <w:sz w:val="28"/>
          <w:szCs w:val="28"/>
        </w:rPr>
        <w:t>开发主体：北京中交城市开发有限公司；</w:t>
      </w:r>
    </w:p>
    <w:p w14:paraId="4D21893E">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项目实施主体：</w:t>
      </w:r>
      <w:r>
        <w:rPr>
          <w:rFonts w:hint="eastAsia" w:ascii="Arial" w:hAnsi="Arial" w:eastAsia="仿宋" w:cs="Arial"/>
          <w:color w:val="auto"/>
          <w:sz w:val="28"/>
          <w:szCs w:val="28"/>
        </w:rPr>
        <w:t>北京中交城市开发有限公司</w:t>
      </w:r>
      <w:r>
        <w:rPr>
          <w:rFonts w:ascii="Arial" w:hAnsi="Arial" w:eastAsia="仿宋" w:cs="Arial"/>
          <w:color w:val="auto"/>
          <w:sz w:val="28"/>
        </w:rPr>
        <w:t xml:space="preserve">； </w:t>
      </w:r>
    </w:p>
    <w:p w14:paraId="0A9F75D2">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地理位置：</w:t>
      </w:r>
      <w:r>
        <w:rPr>
          <w:rFonts w:hint="eastAsia" w:ascii="Arial" w:hAnsi="Arial" w:eastAsia="仿宋" w:cs="Arial"/>
          <w:color w:val="auto"/>
          <w:sz w:val="28"/>
          <w:szCs w:val="28"/>
        </w:rPr>
        <w:t>顺义区高丽营镇</w:t>
      </w:r>
      <w:r>
        <w:rPr>
          <w:rFonts w:ascii="Arial" w:hAnsi="Arial" w:eastAsia="仿宋" w:cs="Arial"/>
          <w:color w:val="auto"/>
          <w:sz w:val="28"/>
        </w:rPr>
        <w:t xml:space="preserve">； </w:t>
      </w:r>
    </w:p>
    <w:p w14:paraId="74867E1B">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规划总建设用地面积：</w:t>
      </w:r>
      <w:r>
        <w:rPr>
          <w:rFonts w:hint="eastAsia" w:ascii="Arial" w:hAnsi="Arial" w:eastAsia="仿宋" w:cs="Arial"/>
          <w:color w:val="auto"/>
          <w:sz w:val="28"/>
        </w:rPr>
        <w:t>60990.43</w:t>
      </w:r>
      <w:r>
        <w:rPr>
          <w:rFonts w:ascii="Arial" w:hAnsi="Arial" w:eastAsia="仿宋" w:cs="Arial"/>
          <w:color w:val="auto"/>
          <w:sz w:val="28"/>
        </w:rPr>
        <w:t xml:space="preserve">平方米； </w:t>
      </w:r>
    </w:p>
    <w:p w14:paraId="3ADF826C">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土地级别：根据《北京市人民政府关于更新出让国有建设用地使用权基准地价的通知》（京政发（2022）12号）的规定，估价对象属北京市基准地价住宅类九级IX</w:t>
      </w:r>
      <w:r>
        <w:rPr>
          <w:rFonts w:hint="eastAsia" w:ascii="Arial" w:hAnsi="Arial" w:eastAsia="仿宋" w:cs="Arial"/>
          <w:color w:val="auto"/>
          <w:sz w:val="28"/>
        </w:rPr>
        <w:t>－</w:t>
      </w:r>
      <w:r>
        <w:rPr>
          <w:rFonts w:ascii="Arial" w:hAnsi="Arial" w:eastAsia="仿宋" w:cs="Arial"/>
          <w:color w:val="auto"/>
          <w:sz w:val="28"/>
        </w:rPr>
        <w:t>顺5区片、商服类九级IX</w:t>
      </w:r>
      <w:r>
        <w:rPr>
          <w:rFonts w:hint="eastAsia" w:ascii="Arial" w:hAnsi="Arial" w:eastAsia="仿宋" w:cs="Arial"/>
          <w:color w:val="auto"/>
          <w:sz w:val="28"/>
        </w:rPr>
        <w:t>－</w:t>
      </w:r>
      <w:r>
        <w:rPr>
          <w:rFonts w:ascii="Arial" w:hAnsi="Arial" w:eastAsia="仿宋" w:cs="Arial"/>
          <w:color w:val="auto"/>
          <w:sz w:val="28"/>
        </w:rPr>
        <w:t>顺5区片、公共服务类九级IX</w:t>
      </w:r>
      <w:r>
        <w:rPr>
          <w:rFonts w:hint="eastAsia" w:ascii="Arial" w:hAnsi="Arial" w:eastAsia="仿宋" w:cs="Arial"/>
          <w:color w:val="auto"/>
          <w:sz w:val="28"/>
        </w:rPr>
        <w:t>－</w:t>
      </w:r>
      <w:r>
        <w:rPr>
          <w:rFonts w:ascii="Arial" w:hAnsi="Arial" w:eastAsia="仿宋" w:cs="Arial"/>
          <w:color w:val="auto"/>
          <w:sz w:val="28"/>
        </w:rPr>
        <w:t xml:space="preserve">顺5区片； </w:t>
      </w:r>
    </w:p>
    <w:p w14:paraId="7A5AF560">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 xml:space="preserve">土地权属性质及权属变更：国有储备地块拟出让； </w:t>
      </w:r>
    </w:p>
    <w:p w14:paraId="0A40DF18">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四至范围：</w:t>
      </w:r>
      <w:r>
        <w:rPr>
          <w:rFonts w:hint="eastAsia" w:ascii="Arial" w:hAnsi="Arial" w:eastAsia="仿宋" w:cs="Arial"/>
          <w:color w:val="auto"/>
          <w:sz w:val="28"/>
        </w:rPr>
        <w:t>东至火寺路，西至喜行路，南至丽喜花园，北至鑫鼎街</w:t>
      </w:r>
      <w:r>
        <w:rPr>
          <w:rFonts w:ascii="Arial" w:hAnsi="Arial" w:eastAsia="仿宋" w:cs="Arial"/>
          <w:color w:val="auto"/>
          <w:sz w:val="28"/>
        </w:rPr>
        <w:t>。</w:t>
      </w:r>
    </w:p>
    <w:p w14:paraId="762936FF">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（二）土地权利状况</w:t>
      </w:r>
    </w:p>
    <w:p w14:paraId="2D17DAC3">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 xml:space="preserve">1.土地所有权：估价对象的土地所有权属于国家。 </w:t>
      </w:r>
    </w:p>
    <w:p w14:paraId="2090D13A">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 xml:space="preserve">2.土地使用权：估价对象于估价期日为拟进行公开招拍挂出让入市交易宗地，待土地出让后，由受让方办理不动产权登记。本次评估设定土地使用权类型为出让。 </w:t>
      </w:r>
    </w:p>
    <w:p w14:paraId="3C1D4C5B">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3.</w:t>
      </w:r>
      <w:r>
        <w:rPr>
          <w:rFonts w:ascii="Arial" w:hAnsi="Arial" w:eastAsia="仿宋" w:cs="Arial"/>
          <w:color w:val="auto"/>
          <w:sz w:val="28"/>
          <w:szCs w:val="28"/>
        </w:rPr>
        <w:t>土地使用权年限</w:t>
      </w:r>
      <w:r>
        <w:rPr>
          <w:rFonts w:hint="eastAsia" w:ascii="Arial" w:hAnsi="Arial" w:eastAsia="仿宋" w:cs="Arial"/>
          <w:color w:val="auto"/>
          <w:sz w:val="28"/>
          <w:szCs w:val="28"/>
        </w:rPr>
        <w:t>：</w:t>
      </w: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估价对象规划用途为R2二类居住用地及A334托幼用地，其中A334托幼用地不出让。</w:t>
      </w:r>
      <w:r>
        <w:rPr>
          <w:rFonts w:ascii="Arial" w:hAnsi="Arial" w:eastAsia="仿宋" w:cs="Arial"/>
          <w:color w:val="auto"/>
          <w:sz w:val="28"/>
          <w:szCs w:val="28"/>
        </w:rPr>
        <w:t>估价对象于估价期日为拟出让国有建设用地使用权。考虑到本次估价目的，根据《中华人民共和国城镇国有土地使用权出让和转让暂行条例》（国务院令第55号）、</w:t>
      </w:r>
      <w:r>
        <w:rPr>
          <w:rFonts w:ascii="Arial" w:hAnsi="Arial" w:eastAsia="仿宋" w:cs="Arial"/>
          <w:color w:val="auto"/>
          <w:sz w:val="28"/>
        </w:rPr>
        <w:t>《北京市人民政府关于更新出让国有建设用地使用权基准地价的通知》（京政发（2022）12号）</w:t>
      </w:r>
      <w:r>
        <w:rPr>
          <w:rFonts w:hint="eastAsia" w:ascii="Arial" w:hAnsi="Arial" w:eastAsia="仿宋" w:cs="Arial"/>
          <w:color w:val="auto"/>
          <w:sz w:val="28"/>
          <w:szCs w:val="28"/>
        </w:rPr>
        <w:t>、《北京市国有建设用地使用权出让地价评估技术导则》（2026年2月10日实施）相关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 w:cs="Arial"/>
          <w:color w:val="auto"/>
          <w:sz w:val="28"/>
        </w:rPr>
        <w:t>”</w:t>
      </w:r>
      <w:r>
        <w:rPr>
          <w:rFonts w:ascii="Arial" w:hAnsi="Arial" w:eastAsia="仿宋" w:cs="Arial"/>
          <w:color w:val="auto"/>
          <w:sz w:val="28"/>
          <w:szCs w:val="28"/>
        </w:rPr>
        <w:t>本次评估设定土地使用年限为法定最高使用年限</w:t>
      </w:r>
      <w:r>
        <w:rPr>
          <w:rFonts w:hint="eastAsia" w:ascii="Arial" w:hAnsi="Arial" w:eastAsia="仿宋" w:cs="Arial"/>
          <w:color w:val="auto"/>
          <w:sz w:val="28"/>
          <w:szCs w:val="28"/>
        </w:rPr>
        <w:t>，即城镇住宅用地70年、其他商业服务业用地40年、</w:t>
      </w:r>
      <w:r>
        <w:rPr>
          <w:rFonts w:ascii="Arial" w:hAnsi="Arial" w:eastAsia="仿宋" w:cs="Arial"/>
          <w:color w:val="auto"/>
          <w:sz w:val="28"/>
        </w:rPr>
        <w:t>公共</w:t>
      </w:r>
      <w:r>
        <w:rPr>
          <w:rFonts w:hint="eastAsia" w:ascii="Arial" w:hAnsi="Arial" w:eastAsia="仿宋" w:cs="Arial"/>
          <w:color w:val="auto"/>
          <w:sz w:val="28"/>
        </w:rPr>
        <w:t>管理与公共</w:t>
      </w:r>
      <w:r>
        <w:rPr>
          <w:rFonts w:ascii="Arial" w:hAnsi="Arial" w:eastAsia="仿宋" w:cs="Arial"/>
          <w:color w:val="auto"/>
          <w:sz w:val="28"/>
        </w:rPr>
        <w:t>服务</w:t>
      </w:r>
      <w:r>
        <w:rPr>
          <w:rFonts w:hint="eastAsia" w:ascii="Arial" w:hAnsi="Arial" w:eastAsia="仿宋" w:cs="Arial"/>
          <w:color w:val="auto"/>
          <w:sz w:val="28"/>
        </w:rPr>
        <w:t>用地</w:t>
      </w:r>
      <w:r>
        <w:rPr>
          <w:rFonts w:ascii="Arial" w:hAnsi="Arial" w:eastAsia="仿宋" w:cs="Arial"/>
          <w:color w:val="auto"/>
          <w:sz w:val="28"/>
          <w:szCs w:val="28"/>
        </w:rPr>
        <w:t>50年。</w:t>
      </w:r>
    </w:p>
    <w:p w14:paraId="0F363CB8">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4.他项权利状况：根据委托估价方提供的《国有建设用地使用权出让地价评估委托书》，估价对象为拟入市公开交易地块，尚未办理不动产登记手续，故本次估价以估价对象不存在抵押、担保、典当、租赁等他项权利为假设前提，并假定估价对象没有影响估价对象价值的其他他项权利存在。</w:t>
      </w:r>
    </w:p>
    <w:p w14:paraId="684CE33E">
      <w:pPr>
        <w:adjustRightInd/>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5.相邻关系权利：相互毗邻的不动产使用人提供便利的同时，能确保双方正常经营及利用。经调查，此次估价对象宗地属合理行使相邻关系权利范围。</w:t>
      </w:r>
    </w:p>
    <w:p w14:paraId="68184EBA">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（三）土地利用状况</w:t>
      </w:r>
    </w:p>
    <w:p w14:paraId="03DF38E4">
      <w:pPr>
        <w:spacing w:line="300" w:lineRule="auto"/>
        <w:jc w:val="both"/>
        <w:rPr>
          <w:rFonts w:ascii="Arial" w:hAnsi="Arial" w:eastAsia="仿宋_GB2312" w:cs="Arial"/>
          <w:color w:val="auto"/>
          <w:sz w:val="28"/>
        </w:rPr>
      </w:pPr>
      <w:r>
        <w:rPr>
          <w:color w:val="auto"/>
        </w:rPr>
        <mc:AlternateContent>
          <mc:Choice Requires="wps">
            <w:drawing>
              <wp:anchor distT="0" distB="0" distL="114300" distR="114300" simplePos="0" relativeHeight="251663360" behindDoc="0" locked="0" layoutInCell="1" allowOverlap="1">
                <wp:simplePos x="0" y="0"/>
                <wp:positionH relativeFrom="column">
                  <wp:posOffset>2961640</wp:posOffset>
                </wp:positionH>
                <wp:positionV relativeFrom="paragraph">
                  <wp:posOffset>12700</wp:posOffset>
                </wp:positionV>
                <wp:extent cx="2436495" cy="1728470"/>
                <wp:effectExtent l="5080" t="4445" r="15875" b="19685"/>
                <wp:wrapNone/>
                <wp:docPr id="6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436495" cy="1728470"/>
                        </a:xfrm>
                        <a:prstGeom prst="rect">
                          <a:avLst/>
                        </a:prstGeom>
                        <a:solidFill>
                          <a:srgbClr val="FFFFFF"/>
                        </a:solidFill>
                        <a:ln w="9525">
                          <a:solidFill>
                            <a:srgbClr val="000000"/>
                          </a:solidFill>
                          <a:miter lim="800000"/>
                        </a:ln>
                      </wps:spPr>
                      <wps:txbx>
                        <w:txbxContent>
                          <w:p w14:paraId="085F161F">
                            <w:r>
                              <w:rPr>
                                <w:rFonts w:hint="eastAsia"/>
                              </w:rPr>
                              <w:drawing>
                                <wp:inline distT="0" distB="0" distL="114300" distR="114300">
                                  <wp:extent cx="2132965" cy="1599565"/>
                                  <wp:effectExtent l="0" t="0" r="635" b="635"/>
                                  <wp:docPr id="38" name="图片 38" descr="0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01-008"/>
                                          <pic:cNvPicPr>
                                            <a:picLocks noChangeAspect="1"/>
                                          </pic:cNvPicPr>
                                        </pic:nvPicPr>
                                        <pic:blipFill>
                                          <a:blip r:embed="rId38"/>
                                          <a:stretch>
                                            <a:fillRect/>
                                          </a:stretch>
                                        </pic:blipFill>
                                        <pic:spPr>
                                          <a:xfrm>
                                            <a:off x="0" y="0"/>
                                            <a:ext cx="2132965" cy="1599565"/>
                                          </a:xfrm>
                                          <a:prstGeom prst="rect">
                                            <a:avLst/>
                                          </a:prstGeom>
                                        </pic:spPr>
                                      </pic:pic>
                                    </a:graphicData>
                                  </a:graphic>
                                </wp:inline>
                              </w:drawing>
                            </w:r>
                          </w:p>
                        </w:txbxContent>
                      </wps:txbx>
                      <wps:bodyPr rot="0" vert="horz" wrap="none" lIns="91440" tIns="45720" rIns="91440" bIns="45720" anchor="t" anchorCtr="0" upright="1">
                        <a:noAutofit/>
                      </wps:bodyPr>
                    </wps:wsp>
                  </a:graphicData>
                </a:graphic>
              </wp:anchor>
            </w:drawing>
          </mc:Choice>
          <mc:Fallback>
            <w:pict>
              <v:shape id="文本框 2" o:spid="_x0000_s1026" o:spt="202" type="#_x0000_t202" style="position:absolute;left:0pt;margin-left:233.2pt;margin-top:1pt;height:136.1pt;width:191.85pt;mso-wrap-style:none;z-index:251663360;mso-width-relative:page;mso-height-relative:page;" fillcolor="#FFFFFF" filled="t" stroked="t" coordsize="21600,21600" o:gfxdata="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6pbrbYAAAACQEAAA8AAAAAAAAAAQAgAAAAIgAA&#10;AGRycy9kb3ducmV2LnhtbFBLAQIUABQAAAAIAIdO4kDm9BAuQQIAAIcEAAAOAAAAAAAAAAEAIAAA&#10;ACcBAABkcnMvZTJvRG9jLnhtbFBLBQYAAAAABgAGAFkBAADaBQAAAAA=&#10;">
                <v:fill on="t" focussize="0,0"/>
                <v:stroke color="#000000" miterlimit="8" joinstyle="miter"/>
                <v:imagedata o:title=""/>
                <o:lock v:ext="edit" aspectratio="f"/>
                <v:textbox>
                  <w:txbxContent>
                    <w:p w14:paraId="085F161F">
                      <w:r>
                        <w:rPr>
                          <w:rFonts w:hint="eastAsia"/>
                        </w:rPr>
                        <w:drawing>
                          <wp:inline distT="0" distB="0" distL="114300" distR="114300">
                            <wp:extent cx="2132965" cy="1599565"/>
                            <wp:effectExtent l="0" t="0" r="635" b="635"/>
                            <wp:docPr id="38" name="图片 38" descr="0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01-008"/>
                                    <pic:cNvPicPr>
                                      <a:picLocks noChangeAspect="1"/>
                                    </pic:cNvPicPr>
                                  </pic:nvPicPr>
                                  <pic:blipFill>
                                    <a:blip r:embed="rId38"/>
                                    <a:stretch>
                                      <a:fillRect/>
                                    </a:stretch>
                                  </pic:blipFill>
                                  <pic:spPr>
                                    <a:xfrm>
                                      <a:off x="0" y="0"/>
                                      <a:ext cx="2132965" cy="1599565"/>
                                    </a:xfrm>
                                    <a:prstGeom prst="rect">
                                      <a:avLst/>
                                    </a:prstGeom>
                                  </pic:spPr>
                                </pic:pic>
                              </a:graphicData>
                            </a:graphic>
                          </wp:inline>
                        </w:drawing>
                      </w:r>
                    </w:p>
                  </w:txbxContent>
                </v:textbox>
              </v:shape>
            </w:pict>
          </mc:Fallback>
        </mc:AlternateContent>
      </w:r>
      <w:r>
        <w:rPr>
          <w:color w:val="auto"/>
        </w:rPr>
        <mc:AlternateContent>
          <mc:Choice Requires="wps">
            <w:drawing>
              <wp:anchor distT="0" distB="0" distL="114300" distR="114300" simplePos="0" relativeHeight="251662336" behindDoc="0" locked="0" layoutInCell="1" allowOverlap="1">
                <wp:simplePos x="0" y="0"/>
                <wp:positionH relativeFrom="column">
                  <wp:posOffset>299085</wp:posOffset>
                </wp:positionH>
                <wp:positionV relativeFrom="paragraph">
                  <wp:posOffset>11430</wp:posOffset>
                </wp:positionV>
                <wp:extent cx="2352040" cy="1727835"/>
                <wp:effectExtent l="5080" t="5080" r="5080" b="19685"/>
                <wp:wrapNone/>
                <wp:docPr id="7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352040" cy="1727835"/>
                        </a:xfrm>
                        <a:prstGeom prst="rect">
                          <a:avLst/>
                        </a:prstGeom>
                        <a:solidFill>
                          <a:srgbClr val="FFFFFF"/>
                        </a:solidFill>
                        <a:ln w="9525">
                          <a:solidFill>
                            <a:srgbClr val="000000"/>
                          </a:solidFill>
                          <a:miter lim="800000"/>
                        </a:ln>
                      </wps:spPr>
                      <wps:txbx>
                        <w:txbxContent>
                          <w:p w14:paraId="695E133C">
                            <w:r>
                              <w:rPr>
                                <w:rFonts w:hint="eastAsia"/>
                              </w:rPr>
                              <w:drawing>
                                <wp:inline distT="0" distB="0" distL="114300" distR="114300">
                                  <wp:extent cx="2255520" cy="1614170"/>
                                  <wp:effectExtent l="0" t="0" r="0" b="1270"/>
                                  <wp:docPr id="37" name="图片 37" descr="01-020、026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01-020、026 (7)"/>
                                          <pic:cNvPicPr>
                                            <a:picLocks noChangeAspect="1"/>
                                          </pic:cNvPicPr>
                                        </pic:nvPicPr>
                                        <pic:blipFill>
                                          <a:blip r:embed="rId39"/>
                                          <a:stretch>
                                            <a:fillRect/>
                                          </a:stretch>
                                        </pic:blipFill>
                                        <pic:spPr>
                                          <a:xfrm>
                                            <a:off x="0" y="0"/>
                                            <a:ext cx="2255520" cy="1614170"/>
                                          </a:xfrm>
                                          <a:prstGeom prst="rect">
                                            <a:avLst/>
                                          </a:prstGeom>
                                        </pic:spPr>
                                      </pic:pic>
                                    </a:graphicData>
                                  </a:graphic>
                                </wp:inline>
                              </w:drawing>
                            </w:r>
                          </w:p>
                        </w:txbxContent>
                      </wps:txbx>
                      <wps:bodyPr rot="0" vert="horz" wrap="none" lIns="91440" tIns="45720" rIns="91440" bIns="45720" anchor="t" anchorCtr="0" upright="1">
                        <a:spAutoFit/>
                      </wps:bodyPr>
                    </wps:wsp>
                  </a:graphicData>
                </a:graphic>
              </wp:anchor>
            </w:drawing>
          </mc:Choice>
          <mc:Fallback>
            <w:pict>
              <v:shape id="文本框 2" o:spid="_x0000_s1026" o:spt="202" type="#_x0000_t202" style="position:absolute;left:0pt;margin-left:23.55pt;margin-top:0.9pt;height:136.05pt;width:185.2pt;mso-wrap-style:none;z-index:251662336;mso-width-relative:page;mso-height-relative:page;" fillcolor="#FFFFFF" filled="t" stroked="t" coordsize="21600,21600" o:gfxdata="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2fj9bNkAAAAIAQAADwAAAAAAAAABACAAAAAiAAAA&#10;ZHJzL2Rvd25yZXYueG1sUEsBAhQAFAAAAAgAh07iQAhYKWI/AgAAhwQAAA4AAAAAAAAAAQAgAAAA&#10;KAEAAGRycy9lMm9Eb2MueG1sUEsFBgAAAAAGAAYAWQEAANkFAAAAAA==&#10;">
                <v:fill on="t" focussize="0,0"/>
                <v:stroke color="#000000" miterlimit="8" joinstyle="miter"/>
                <v:imagedata o:title=""/>
                <o:lock v:ext="edit" aspectratio="f"/>
                <v:textbox style="mso-fit-shape-to-text:t;">
                  <w:txbxContent>
                    <w:p w14:paraId="695E133C">
                      <w:r>
                        <w:rPr>
                          <w:rFonts w:hint="eastAsia"/>
                        </w:rPr>
                        <w:drawing>
                          <wp:inline distT="0" distB="0" distL="114300" distR="114300">
                            <wp:extent cx="2255520" cy="1614170"/>
                            <wp:effectExtent l="0" t="0" r="0" b="1270"/>
                            <wp:docPr id="37" name="图片 37" descr="01-020、026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01-020、026 (7)"/>
                                    <pic:cNvPicPr>
                                      <a:picLocks noChangeAspect="1"/>
                                    </pic:cNvPicPr>
                                  </pic:nvPicPr>
                                  <pic:blipFill>
                                    <a:blip r:embed="rId39"/>
                                    <a:stretch>
                                      <a:fillRect/>
                                    </a:stretch>
                                  </pic:blipFill>
                                  <pic:spPr>
                                    <a:xfrm>
                                      <a:off x="0" y="0"/>
                                      <a:ext cx="2255520" cy="1614170"/>
                                    </a:xfrm>
                                    <a:prstGeom prst="rect">
                                      <a:avLst/>
                                    </a:prstGeom>
                                  </pic:spPr>
                                </pic:pic>
                              </a:graphicData>
                            </a:graphic>
                          </wp:inline>
                        </w:drawing>
                      </w:r>
                    </w:p>
                  </w:txbxContent>
                </v:textbox>
              </v:shape>
            </w:pict>
          </mc:Fallback>
        </mc:AlternateContent>
      </w:r>
      <w:r>
        <w:rPr>
          <w:rFonts w:hint="eastAsia" w:ascii="Arial" w:hAnsi="Arial" w:eastAsia="仿宋_GB2312" w:cs="Arial"/>
          <w:color w:val="auto"/>
          <w:sz w:val="28"/>
        </w:rPr>
        <w:t xml:space="preserve">     </w:t>
      </w:r>
    </w:p>
    <w:p w14:paraId="761F0B0C">
      <w:pPr>
        <w:rPr>
          <w:color w:val="auto"/>
          <w:szCs w:val="21"/>
        </w:rPr>
      </w:pPr>
    </w:p>
    <w:p w14:paraId="37482F6C">
      <w:pPr>
        <w:spacing w:line="300" w:lineRule="auto"/>
        <w:jc w:val="both"/>
        <w:rPr>
          <w:rFonts w:ascii="Arial" w:hAnsi="Arial" w:eastAsia="仿宋_GB2312" w:cs="Arial"/>
          <w:color w:val="auto"/>
          <w:sz w:val="28"/>
        </w:rPr>
      </w:pPr>
    </w:p>
    <w:p w14:paraId="04B09205">
      <w:pPr>
        <w:spacing w:line="300" w:lineRule="auto"/>
        <w:jc w:val="both"/>
        <w:rPr>
          <w:rFonts w:ascii="Arial" w:hAnsi="Arial" w:eastAsia="仿宋_GB2312" w:cs="Arial"/>
          <w:color w:val="auto"/>
          <w:sz w:val="28"/>
        </w:rPr>
      </w:pPr>
    </w:p>
    <w:p w14:paraId="7A807814">
      <w:pPr>
        <w:spacing w:line="300" w:lineRule="auto"/>
        <w:jc w:val="both"/>
        <w:rPr>
          <w:rFonts w:ascii="Arial" w:hAnsi="Arial" w:eastAsia="仿宋_GB2312" w:cs="Arial"/>
          <w:color w:val="auto"/>
          <w:sz w:val="28"/>
        </w:rPr>
      </w:pPr>
    </w:p>
    <w:p w14:paraId="6FBDD641">
      <w:pPr>
        <w:spacing w:line="300" w:lineRule="auto"/>
        <w:jc w:val="both"/>
        <w:rPr>
          <w:rFonts w:ascii="Arial" w:hAnsi="Arial" w:eastAsia="仿宋_GB2312" w:cs="Arial"/>
          <w:color w:val="auto"/>
          <w:sz w:val="28"/>
        </w:rPr>
      </w:pPr>
    </w:p>
    <w:p w14:paraId="77D13D96">
      <w:pPr>
        <w:spacing w:line="300" w:lineRule="auto"/>
        <w:jc w:val="both"/>
        <w:rPr>
          <w:rFonts w:ascii="Arial" w:hAnsi="Arial" w:eastAsia="仿宋_GB2312" w:cs="Arial"/>
          <w:color w:val="auto"/>
          <w:sz w:val="28"/>
        </w:rPr>
      </w:pPr>
    </w:p>
    <w:p w14:paraId="5ED9A44C">
      <w:pPr>
        <w:adjustRightInd/>
        <w:spacing w:before="240" w:beforeLines="100" w:line="300" w:lineRule="auto"/>
        <w:ind w:firstLine="556"/>
        <w:jc w:val="both"/>
        <w:rPr>
          <w:rFonts w:ascii="Arial" w:hAnsi="Arial" w:eastAsia="仿宋" w:cs="Arial"/>
          <w:color w:val="auto"/>
          <w:sz w:val="28"/>
        </w:rPr>
      </w:pPr>
      <w:r>
        <w:rPr>
          <w:rFonts w:ascii="Arial" w:hAnsi="Arial" w:eastAsia="仿宋" w:cs="Arial"/>
          <w:color w:val="auto"/>
          <w:sz w:val="28"/>
          <w:szCs w:val="28"/>
        </w:rPr>
        <w:t>估价对象位</w:t>
      </w:r>
      <w:r>
        <w:rPr>
          <w:rFonts w:ascii="Arial" w:hAnsi="Arial" w:eastAsia="仿宋" w:cs="Arial"/>
          <w:color w:val="auto"/>
          <w:sz w:val="28"/>
        </w:rPr>
        <w:t>北京市顺义区高丽营镇夏县营村。</w:t>
      </w: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，本次估价对象01</w:t>
      </w:r>
      <w:r>
        <w:rPr>
          <w:rFonts w:hint="eastAsia" w:ascii="Arial" w:hAnsi="Arial" w:eastAsia="仿宋" w:cs="Arial"/>
          <w:color w:val="auto"/>
          <w:sz w:val="28"/>
        </w:rPr>
        <w:t>－</w:t>
      </w:r>
      <w:r>
        <w:rPr>
          <w:rFonts w:ascii="Arial" w:hAnsi="Arial" w:eastAsia="仿宋" w:cs="Arial"/>
          <w:color w:val="auto"/>
          <w:sz w:val="28"/>
        </w:rPr>
        <w:t>008等地块共4宗地，用地规模合计为60990.43平方米，全部为建设用地，建筑规模合计为71508.52平方米。</w:t>
      </w:r>
      <w:r>
        <w:rPr>
          <w:rFonts w:ascii="Arial" w:hAnsi="Arial" w:eastAsia="仿宋" w:cs="Arial"/>
          <w:color w:val="auto"/>
          <w:sz w:val="28"/>
          <w:szCs w:val="28"/>
        </w:rPr>
        <w:t>其中，估价对象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008地块（R2二类居住用地）建设用地规模为24804.85平方米，地上建筑规模为29765.82平方米，容积率为1.2；</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016地块（R2二类居住用地）建设用地规模为23103.85平方米，地上建筑规模为27724.62平方米，容积率为1.2；</w:t>
      </w:r>
      <w:r>
        <w:rPr>
          <w:rFonts w:ascii="Arial" w:hAnsi="Arial" w:eastAsia="仿宋" w:cs="Arial"/>
          <w:color w:val="auto"/>
          <w:sz w:val="28"/>
          <w:szCs w:val="28"/>
        </w:rPr>
        <w:t xml:space="preserve"> 估价对象01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w:t>
      </w:r>
      <w:r>
        <w:rPr>
          <w:rFonts w:ascii="Arial" w:hAnsi="Arial" w:eastAsia="仿宋" w:cs="Arial"/>
          <w:color w:val="auto"/>
          <w:sz w:val="28"/>
        </w:rPr>
        <w:t>地块（R2二类居住用地）建设用地规模为8881.75平方米，地上建筑规模为10658.10平方米，容积率为1.2；另有</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020地块（A334托幼用地，不出让）建设用地规模为4199.98平方米，地上建筑规模为3359.98平方米，容积率为0.8。</w:t>
      </w:r>
      <w:r>
        <w:rPr>
          <w:rFonts w:hint="eastAsia" w:ascii="Arial" w:hAnsi="Arial" w:eastAsia="仿宋" w:cs="Arial"/>
          <w:color w:val="auto"/>
          <w:sz w:val="28"/>
        </w:rPr>
        <w:t>根据《北京市国有建设用地使用权出让地价评估技术导则》（2026年2月10日实施）中的相关规定，本次评估01－008、01－016、01－026－1地块（R2二类居住用地）容积率为1.2</w:t>
      </w:r>
      <w:r>
        <w:rPr>
          <w:rFonts w:ascii="Arial" w:hAnsi="Arial" w:eastAsia="仿宋" w:cs="Arial"/>
          <w:color w:val="auto"/>
          <w:sz w:val="28"/>
        </w:rPr>
        <w:t>。</w:t>
      </w:r>
    </w:p>
    <w:p w14:paraId="2092C1F5">
      <w:pPr>
        <w:rPr>
          <w:rFonts w:ascii="Arial" w:hAnsi="Arial" w:eastAsia="仿宋" w:cs="Arial"/>
          <w:color w:val="auto"/>
          <w:sz w:val="28"/>
        </w:rPr>
      </w:pPr>
      <w:r>
        <w:rPr>
          <w:rFonts w:ascii="Arial" w:hAnsi="Arial" w:eastAsia="仿宋" w:cs="Arial"/>
          <w:color w:val="auto"/>
          <w:sz w:val="28"/>
        </w:rPr>
        <w:br w:type="page"/>
      </w:r>
    </w:p>
    <w:p w14:paraId="047CA2E7">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本次拟出让建设用地规模为</w:t>
      </w:r>
      <w:r>
        <w:rPr>
          <w:rFonts w:hint="eastAsia" w:ascii="Arial" w:hAnsi="Arial" w:eastAsia="仿宋" w:cs="Arial"/>
          <w:color w:val="auto"/>
          <w:sz w:val="28"/>
        </w:rPr>
        <w:t>56790.45</w:t>
      </w:r>
      <w:r>
        <w:rPr>
          <w:rFonts w:ascii="Arial" w:hAnsi="Arial" w:eastAsia="仿宋" w:cs="Arial"/>
          <w:color w:val="auto"/>
          <w:sz w:val="28"/>
        </w:rPr>
        <w:t>平方米，具体规划主要技术经济指标详见下表：</w:t>
      </w:r>
    </w:p>
    <w:tbl>
      <w:tblPr>
        <w:tblStyle w:val="34"/>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443"/>
        <w:gridCol w:w="1119"/>
        <w:gridCol w:w="1248"/>
        <w:gridCol w:w="1586"/>
        <w:gridCol w:w="862"/>
        <w:gridCol w:w="1671"/>
        <w:gridCol w:w="1294"/>
        <w:gridCol w:w="849"/>
      </w:tblGrid>
      <w:tr w14:paraId="20E98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7539FEC4">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序号</w:t>
            </w:r>
          </w:p>
        </w:tc>
        <w:tc>
          <w:tcPr>
            <w:tcW w:w="617" w:type="pct"/>
            <w:vAlign w:val="center"/>
          </w:tcPr>
          <w:p w14:paraId="12744F0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规划地块编号</w:t>
            </w:r>
          </w:p>
        </w:tc>
        <w:tc>
          <w:tcPr>
            <w:tcW w:w="688" w:type="pct"/>
            <w:vAlign w:val="center"/>
          </w:tcPr>
          <w:p w14:paraId="19C1A417">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用地性质</w:t>
            </w:r>
          </w:p>
        </w:tc>
        <w:tc>
          <w:tcPr>
            <w:tcW w:w="874" w:type="pct"/>
            <w:vAlign w:val="center"/>
          </w:tcPr>
          <w:p w14:paraId="592AC40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建设用地规模</w:t>
            </w:r>
          </w:p>
          <w:p w14:paraId="31995915">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（平方米）</w:t>
            </w:r>
          </w:p>
        </w:tc>
        <w:tc>
          <w:tcPr>
            <w:tcW w:w="475" w:type="pct"/>
            <w:vAlign w:val="center"/>
          </w:tcPr>
          <w:p w14:paraId="248B3044">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容积率</w:t>
            </w:r>
          </w:p>
        </w:tc>
        <w:tc>
          <w:tcPr>
            <w:tcW w:w="921" w:type="pct"/>
            <w:vAlign w:val="center"/>
          </w:tcPr>
          <w:p w14:paraId="783572B2">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地上建筑规模</w:t>
            </w:r>
          </w:p>
          <w:p w14:paraId="4B29C9C9">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（平方米）</w:t>
            </w:r>
          </w:p>
        </w:tc>
        <w:tc>
          <w:tcPr>
            <w:tcW w:w="713" w:type="pct"/>
            <w:vAlign w:val="center"/>
          </w:tcPr>
          <w:p w14:paraId="586C12FF">
            <w:pPr>
              <w:widowControl/>
              <w:adjustRightInd/>
              <w:spacing w:line="240" w:lineRule="exact"/>
              <w:jc w:val="center"/>
              <w:textAlignment w:val="auto"/>
              <w:rPr>
                <w:rFonts w:ascii="Arial" w:hAnsi="Arial" w:eastAsia="仿宋" w:cs="Arial"/>
                <w:color w:val="auto"/>
                <w:sz w:val="18"/>
                <w:szCs w:val="18"/>
              </w:rPr>
            </w:pPr>
            <w:r>
              <w:rPr>
                <w:rFonts w:ascii="Arial" w:hAnsi="Arial" w:eastAsia="仿宋" w:cs="Arial"/>
                <w:color w:val="auto"/>
                <w:sz w:val="18"/>
                <w:szCs w:val="18"/>
              </w:rPr>
              <w:t>控制高度（m）</w:t>
            </w:r>
          </w:p>
        </w:tc>
        <w:tc>
          <w:tcPr>
            <w:tcW w:w="468" w:type="pct"/>
            <w:vAlign w:val="center"/>
          </w:tcPr>
          <w:p w14:paraId="26BE3922">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是否出让</w:t>
            </w:r>
          </w:p>
        </w:tc>
      </w:tr>
      <w:tr w14:paraId="0CB35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0A2E9AB0">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w:t>
            </w:r>
          </w:p>
        </w:tc>
        <w:tc>
          <w:tcPr>
            <w:tcW w:w="617" w:type="pct"/>
            <w:vAlign w:val="center"/>
          </w:tcPr>
          <w:p w14:paraId="0C044A21">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008</w:t>
            </w:r>
          </w:p>
        </w:tc>
        <w:tc>
          <w:tcPr>
            <w:tcW w:w="688" w:type="pct"/>
            <w:vMerge w:val="restart"/>
            <w:vAlign w:val="center"/>
          </w:tcPr>
          <w:p w14:paraId="49E78DE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R2二类居住用地</w:t>
            </w:r>
          </w:p>
        </w:tc>
        <w:tc>
          <w:tcPr>
            <w:tcW w:w="874" w:type="pct"/>
            <w:vAlign w:val="center"/>
          </w:tcPr>
          <w:p w14:paraId="7DAAC30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24804.85</w:t>
            </w:r>
          </w:p>
        </w:tc>
        <w:tc>
          <w:tcPr>
            <w:tcW w:w="475" w:type="pct"/>
            <w:vMerge w:val="restart"/>
            <w:vAlign w:val="center"/>
          </w:tcPr>
          <w:p w14:paraId="0D4DB06B">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1.2</w:t>
            </w:r>
          </w:p>
        </w:tc>
        <w:tc>
          <w:tcPr>
            <w:tcW w:w="921" w:type="pct"/>
            <w:vAlign w:val="center"/>
          </w:tcPr>
          <w:p w14:paraId="3DEFB9EE">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29765.82</w:t>
            </w:r>
          </w:p>
        </w:tc>
        <w:tc>
          <w:tcPr>
            <w:tcW w:w="713" w:type="pct"/>
            <w:vMerge w:val="restart"/>
            <w:vAlign w:val="center"/>
          </w:tcPr>
          <w:p w14:paraId="08DB3C2C">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30</w:t>
            </w:r>
          </w:p>
        </w:tc>
        <w:tc>
          <w:tcPr>
            <w:tcW w:w="468" w:type="pct"/>
            <w:vMerge w:val="restart"/>
            <w:vAlign w:val="center"/>
          </w:tcPr>
          <w:p w14:paraId="05F2D9D7">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出让</w:t>
            </w:r>
          </w:p>
        </w:tc>
      </w:tr>
      <w:tr w14:paraId="701B8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1623A8C4">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w:t>
            </w:r>
          </w:p>
        </w:tc>
        <w:tc>
          <w:tcPr>
            <w:tcW w:w="617" w:type="pct"/>
            <w:vAlign w:val="center"/>
          </w:tcPr>
          <w:p w14:paraId="1BAAEFA1">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016</w:t>
            </w:r>
          </w:p>
        </w:tc>
        <w:tc>
          <w:tcPr>
            <w:tcW w:w="688" w:type="pct"/>
            <w:vMerge w:val="continue"/>
            <w:vAlign w:val="center"/>
          </w:tcPr>
          <w:p w14:paraId="0563ACA6">
            <w:pPr>
              <w:adjustRightInd/>
              <w:spacing w:line="240" w:lineRule="exact"/>
              <w:jc w:val="center"/>
              <w:rPr>
                <w:rFonts w:ascii="Arial" w:hAnsi="Arial" w:eastAsia="仿宋" w:cs="Arial"/>
                <w:color w:val="auto"/>
                <w:sz w:val="18"/>
                <w:szCs w:val="18"/>
              </w:rPr>
            </w:pPr>
          </w:p>
        </w:tc>
        <w:tc>
          <w:tcPr>
            <w:tcW w:w="874" w:type="pct"/>
            <w:vAlign w:val="center"/>
          </w:tcPr>
          <w:p w14:paraId="187CBC43">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23103.85</w:t>
            </w:r>
          </w:p>
        </w:tc>
        <w:tc>
          <w:tcPr>
            <w:tcW w:w="475" w:type="pct"/>
            <w:vMerge w:val="continue"/>
            <w:vAlign w:val="center"/>
          </w:tcPr>
          <w:p w14:paraId="0DCB9763">
            <w:pPr>
              <w:adjustRightInd/>
              <w:spacing w:line="240" w:lineRule="exact"/>
              <w:jc w:val="center"/>
              <w:rPr>
                <w:rFonts w:ascii="Arial" w:hAnsi="Arial" w:eastAsia="仿宋" w:cs="Arial"/>
                <w:color w:val="auto"/>
                <w:sz w:val="18"/>
                <w:szCs w:val="18"/>
              </w:rPr>
            </w:pPr>
          </w:p>
        </w:tc>
        <w:tc>
          <w:tcPr>
            <w:tcW w:w="921" w:type="pct"/>
            <w:vAlign w:val="center"/>
          </w:tcPr>
          <w:p w14:paraId="270A3DAA">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27724.62</w:t>
            </w:r>
          </w:p>
        </w:tc>
        <w:tc>
          <w:tcPr>
            <w:tcW w:w="713" w:type="pct"/>
            <w:vMerge w:val="continue"/>
            <w:vAlign w:val="center"/>
          </w:tcPr>
          <w:p w14:paraId="6A31D307">
            <w:pPr>
              <w:adjustRightInd/>
              <w:spacing w:line="240" w:lineRule="exact"/>
              <w:jc w:val="center"/>
              <w:rPr>
                <w:rFonts w:ascii="Arial" w:hAnsi="Arial" w:eastAsia="仿宋" w:cs="Arial"/>
                <w:color w:val="auto"/>
                <w:sz w:val="18"/>
                <w:szCs w:val="18"/>
              </w:rPr>
            </w:pPr>
          </w:p>
        </w:tc>
        <w:tc>
          <w:tcPr>
            <w:tcW w:w="468" w:type="pct"/>
            <w:vMerge w:val="continue"/>
            <w:vAlign w:val="center"/>
          </w:tcPr>
          <w:p w14:paraId="1077F732">
            <w:pPr>
              <w:adjustRightInd/>
              <w:spacing w:line="240" w:lineRule="exact"/>
              <w:jc w:val="center"/>
              <w:rPr>
                <w:rFonts w:ascii="Arial" w:hAnsi="Arial" w:eastAsia="仿宋" w:cs="Arial"/>
                <w:color w:val="auto"/>
                <w:sz w:val="18"/>
                <w:szCs w:val="18"/>
              </w:rPr>
            </w:pPr>
          </w:p>
        </w:tc>
      </w:tr>
      <w:tr w14:paraId="01804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7D2CA5C4">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3</w:t>
            </w:r>
          </w:p>
        </w:tc>
        <w:tc>
          <w:tcPr>
            <w:tcW w:w="617" w:type="pct"/>
            <w:vAlign w:val="center"/>
          </w:tcPr>
          <w:p w14:paraId="4728BDA9">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026</w:t>
            </w:r>
            <w:r>
              <w:rPr>
                <w:rFonts w:hint="eastAsia" w:ascii="Arial" w:hAnsi="Arial" w:eastAsia="仿宋" w:cs="Arial"/>
                <w:color w:val="auto"/>
                <w:sz w:val="18"/>
                <w:szCs w:val="18"/>
              </w:rPr>
              <w:t>－</w:t>
            </w:r>
            <w:r>
              <w:rPr>
                <w:rFonts w:ascii="Arial" w:hAnsi="Arial" w:eastAsia="仿宋" w:cs="Arial"/>
                <w:color w:val="auto"/>
                <w:sz w:val="18"/>
                <w:szCs w:val="18"/>
              </w:rPr>
              <w:t>1</w:t>
            </w:r>
          </w:p>
        </w:tc>
        <w:tc>
          <w:tcPr>
            <w:tcW w:w="688" w:type="pct"/>
            <w:vMerge w:val="continue"/>
            <w:vAlign w:val="center"/>
          </w:tcPr>
          <w:p w14:paraId="24C8FE11">
            <w:pPr>
              <w:adjustRightInd/>
              <w:spacing w:line="240" w:lineRule="exact"/>
              <w:jc w:val="center"/>
              <w:rPr>
                <w:rFonts w:ascii="Arial" w:hAnsi="Arial" w:eastAsia="仿宋" w:cs="Arial"/>
                <w:color w:val="auto"/>
                <w:sz w:val="18"/>
                <w:szCs w:val="18"/>
              </w:rPr>
            </w:pPr>
          </w:p>
        </w:tc>
        <w:tc>
          <w:tcPr>
            <w:tcW w:w="874" w:type="pct"/>
            <w:vAlign w:val="center"/>
          </w:tcPr>
          <w:p w14:paraId="0373BB40">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8881.75</w:t>
            </w:r>
          </w:p>
        </w:tc>
        <w:tc>
          <w:tcPr>
            <w:tcW w:w="475" w:type="pct"/>
            <w:vMerge w:val="continue"/>
            <w:vAlign w:val="center"/>
          </w:tcPr>
          <w:p w14:paraId="4D9B0FA2">
            <w:pPr>
              <w:adjustRightInd/>
              <w:spacing w:line="240" w:lineRule="exact"/>
              <w:jc w:val="center"/>
              <w:rPr>
                <w:rFonts w:ascii="Arial" w:hAnsi="Arial" w:eastAsia="仿宋" w:cs="Arial"/>
                <w:color w:val="auto"/>
                <w:sz w:val="18"/>
                <w:szCs w:val="18"/>
              </w:rPr>
            </w:pPr>
          </w:p>
        </w:tc>
        <w:tc>
          <w:tcPr>
            <w:tcW w:w="921" w:type="pct"/>
            <w:vAlign w:val="center"/>
          </w:tcPr>
          <w:p w14:paraId="20547681">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10658.10</w:t>
            </w:r>
          </w:p>
        </w:tc>
        <w:tc>
          <w:tcPr>
            <w:tcW w:w="713" w:type="pct"/>
            <w:vMerge w:val="continue"/>
            <w:vAlign w:val="center"/>
          </w:tcPr>
          <w:p w14:paraId="028170B9">
            <w:pPr>
              <w:adjustRightInd/>
              <w:spacing w:line="240" w:lineRule="exact"/>
              <w:jc w:val="center"/>
              <w:rPr>
                <w:rFonts w:ascii="Arial" w:hAnsi="Arial" w:eastAsia="仿宋" w:cs="Arial"/>
                <w:color w:val="auto"/>
                <w:sz w:val="18"/>
                <w:szCs w:val="18"/>
              </w:rPr>
            </w:pPr>
          </w:p>
        </w:tc>
        <w:tc>
          <w:tcPr>
            <w:tcW w:w="468" w:type="pct"/>
            <w:vMerge w:val="continue"/>
            <w:vAlign w:val="center"/>
          </w:tcPr>
          <w:p w14:paraId="2F197ED2">
            <w:pPr>
              <w:adjustRightInd/>
              <w:spacing w:line="240" w:lineRule="exact"/>
              <w:jc w:val="center"/>
              <w:rPr>
                <w:rFonts w:ascii="Arial" w:hAnsi="Arial" w:eastAsia="仿宋" w:cs="Arial"/>
                <w:color w:val="auto"/>
                <w:sz w:val="18"/>
                <w:szCs w:val="18"/>
              </w:rPr>
            </w:pPr>
          </w:p>
        </w:tc>
      </w:tr>
      <w:tr w14:paraId="5FC6B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549" w:type="pct"/>
            <w:gridSpan w:val="3"/>
            <w:vAlign w:val="center"/>
          </w:tcPr>
          <w:p w14:paraId="5C4270F6">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合计</w:t>
            </w:r>
          </w:p>
        </w:tc>
        <w:tc>
          <w:tcPr>
            <w:tcW w:w="874" w:type="pct"/>
            <w:vAlign w:val="center"/>
          </w:tcPr>
          <w:p w14:paraId="58460D4C">
            <w:pPr>
              <w:adjustRightInd/>
              <w:spacing w:line="240" w:lineRule="exact"/>
              <w:jc w:val="center"/>
              <w:rPr>
                <w:rFonts w:ascii="Arial" w:hAnsi="Arial" w:eastAsia="仿宋" w:cs="Arial"/>
                <w:color w:val="auto"/>
                <w:sz w:val="18"/>
                <w:szCs w:val="18"/>
              </w:rPr>
            </w:pPr>
            <w:r>
              <w:rPr>
                <w:rFonts w:hint="eastAsia" w:ascii="Arial" w:hAnsi="Arial" w:eastAsia="仿宋" w:cs="Arial"/>
                <w:color w:val="auto"/>
                <w:sz w:val="18"/>
                <w:szCs w:val="18"/>
              </w:rPr>
              <w:t>56790.45</w:t>
            </w:r>
          </w:p>
        </w:tc>
        <w:tc>
          <w:tcPr>
            <w:tcW w:w="475" w:type="pct"/>
            <w:vAlign w:val="center"/>
          </w:tcPr>
          <w:p w14:paraId="374F11D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1.2</w:t>
            </w:r>
          </w:p>
        </w:tc>
        <w:tc>
          <w:tcPr>
            <w:tcW w:w="921" w:type="pct"/>
            <w:vAlign w:val="center"/>
          </w:tcPr>
          <w:p w14:paraId="3E9212BC">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68148.54</w:t>
            </w:r>
          </w:p>
        </w:tc>
        <w:tc>
          <w:tcPr>
            <w:tcW w:w="1181" w:type="pct"/>
            <w:gridSpan w:val="2"/>
            <w:vAlign w:val="center"/>
          </w:tcPr>
          <w:p w14:paraId="0C1AC2A8">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bl>
    <w:p w14:paraId="67A9B644">
      <w:pPr>
        <w:adjustRightInd/>
        <w:spacing w:line="240" w:lineRule="exact"/>
        <w:ind w:firstLine="360" w:firstLineChars="200"/>
        <w:jc w:val="both"/>
        <w:rPr>
          <w:rFonts w:ascii="Arial" w:hAnsi="Arial" w:eastAsia="仿宋_GB2312" w:cs="Arial"/>
          <w:color w:val="auto"/>
          <w:sz w:val="18"/>
          <w:szCs w:val="18"/>
        </w:rPr>
      </w:pPr>
    </w:p>
    <w:p w14:paraId="05F54D8E">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rPr>
        <w:t>估价对象所在宗地实际开发程度为</w:t>
      </w:r>
      <w:r>
        <w:rPr>
          <w:rFonts w:hint="eastAsia" w:ascii="仿宋_GB2312" w:hAnsi="Arial" w:eastAsia="仿宋_GB2312"/>
          <w:color w:val="auto"/>
          <w:sz w:val="28"/>
        </w:rPr>
        <w:t>“七通”（通路、通上水（自来水、中水）、通下水（雨水、污水）、通电（管沟、电缆）、通讯、通燃气、通热力）</w:t>
      </w:r>
      <w:r>
        <w:rPr>
          <w:rFonts w:ascii="Arial" w:hAnsi="Arial" w:eastAsia="仿宋_GB2312" w:cs="Arial"/>
          <w:color w:val="auto"/>
          <w:sz w:val="28"/>
          <w:szCs w:val="28"/>
        </w:rPr>
        <w:t>。</w:t>
      </w:r>
    </w:p>
    <w:p w14:paraId="6D37DE42">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根据土地估价专业评估师现场勘查，估价对象周边</w:t>
      </w:r>
      <w:r>
        <w:rPr>
          <w:rFonts w:ascii="Arial" w:hAnsi="Arial" w:eastAsia="仿宋_GB2312" w:cs="Arial"/>
          <w:color w:val="auto"/>
          <w:sz w:val="28"/>
          <w:szCs w:val="28"/>
        </w:rPr>
        <w:t>4</w:t>
      </w:r>
      <w:r>
        <w:rPr>
          <w:rFonts w:hint="eastAsia" w:ascii="Arial" w:hAnsi="Arial" w:eastAsia="仿宋_GB2312" w:cs="Arial"/>
          <w:color w:val="auto"/>
          <w:sz w:val="28"/>
          <w:szCs w:val="28"/>
        </w:rPr>
        <w:t>公里范围内有富力首开·金禧璞瑅等类似物业，交房装修标准以精装修为主。因此，本次估价设定估价对象交房装修标准为精装修。</w:t>
      </w:r>
    </w:p>
    <w:p w14:paraId="6A14F7EA">
      <w:pPr>
        <w:rPr>
          <w:color w:val="auto"/>
        </w:rPr>
      </w:pPr>
    </w:p>
    <w:p w14:paraId="05712EE0">
      <w:pPr>
        <w:rPr>
          <w:rFonts w:ascii="Arial" w:hAnsi="Arial" w:eastAsia="仿宋_GB2312" w:cs="Arial"/>
          <w:b/>
          <w:color w:val="auto"/>
          <w:sz w:val="28"/>
        </w:rPr>
      </w:pPr>
      <w:bookmarkStart w:id="350" w:name="_Toc132016754"/>
      <w:bookmarkStart w:id="351" w:name="_Toc138063025"/>
      <w:bookmarkStart w:id="352" w:name="_Toc132016637"/>
      <w:r>
        <w:rPr>
          <w:rFonts w:ascii="Arial" w:hAnsi="Arial" w:eastAsia="仿宋_GB2312" w:cs="Arial"/>
          <w:b/>
          <w:color w:val="auto"/>
          <w:sz w:val="28"/>
        </w:rPr>
        <w:br w:type="page"/>
      </w:r>
    </w:p>
    <w:p w14:paraId="706C0984">
      <w:pPr>
        <w:spacing w:line="300" w:lineRule="auto"/>
        <w:outlineLvl w:val="1"/>
        <w:rPr>
          <w:rFonts w:ascii="Arial" w:hAnsi="Arial" w:eastAsia="仿宋_GB2312" w:cs="Arial"/>
          <w:b/>
          <w:color w:val="auto"/>
          <w:sz w:val="28"/>
        </w:rPr>
      </w:pPr>
      <w:r>
        <w:rPr>
          <w:rFonts w:ascii="Arial" w:hAnsi="Arial" w:eastAsia="仿宋_GB2312" w:cs="Arial"/>
          <w:b/>
          <w:color w:val="auto"/>
          <w:sz w:val="28"/>
        </w:rPr>
        <w:t>二、地价影响因素分析</w:t>
      </w:r>
      <w:bookmarkEnd w:id="345"/>
      <w:bookmarkEnd w:id="346"/>
      <w:bookmarkEnd w:id="347"/>
      <w:bookmarkEnd w:id="348"/>
      <w:bookmarkEnd w:id="349"/>
      <w:bookmarkEnd w:id="350"/>
      <w:bookmarkEnd w:id="351"/>
      <w:bookmarkEnd w:id="352"/>
    </w:p>
    <w:p w14:paraId="3C12D899">
      <w:pPr>
        <w:widowControl/>
        <w:adjustRightInd/>
        <w:spacing w:line="300" w:lineRule="auto"/>
        <w:rPr>
          <w:rFonts w:ascii="Arial" w:hAnsi="Arial" w:eastAsia="仿宋" w:cs="Arial"/>
          <w:color w:val="auto"/>
          <w:sz w:val="28"/>
          <w:szCs w:val="28"/>
          <w:lang w:bidi="ar"/>
        </w:rPr>
      </w:pPr>
      <w:bookmarkStart w:id="353" w:name="_Toc416783695"/>
      <w:bookmarkStart w:id="354" w:name="_Toc132016638"/>
      <w:bookmarkStart w:id="355" w:name="_Toc132016755"/>
      <w:bookmarkStart w:id="356" w:name="_Toc515457822"/>
      <w:bookmarkStart w:id="357" w:name="_Toc469066168"/>
      <w:bookmarkStart w:id="358" w:name="_Toc516488204"/>
      <w:bookmarkStart w:id="359" w:name="_Toc416783599"/>
      <w:r>
        <w:rPr>
          <w:rFonts w:hint="eastAsia" w:ascii="Arial" w:hAnsi="Arial" w:eastAsia="仿宋" w:cs="Arial"/>
          <w:color w:val="auto"/>
          <w:sz w:val="28"/>
          <w:szCs w:val="28"/>
          <w:lang w:bidi="ar"/>
        </w:rPr>
        <w:t>（一） 一般因素</w:t>
      </w:r>
    </w:p>
    <w:p w14:paraId="513AC07A">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1.城市资源状况</w:t>
      </w:r>
    </w:p>
    <w:p w14:paraId="2BB2B524">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地理位置：北京，简称“京”，是中华人民共和国的首都，是全国的政治中心、文化中心，是世界著名古都和现代化国际城市。北京位于北纬39度56分、东经116度20分，地处华北大平原的北部，东面与天津市毗连，其余均与河北省相邻。</w:t>
      </w:r>
    </w:p>
    <w:p w14:paraId="28493073">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城市人口：截至2024年年末，北京市常住人口为2183.2万人，从年龄构成看，0－14岁常住人口261.2万人，占全市常住人口的比重为12.0%；15－59岁常住人口1408.0万人，占64.5%；60岁及以上常住人口514.0万人，占23.5%。</w:t>
      </w:r>
    </w:p>
    <w:p w14:paraId="12B3BA1D">
      <w:pPr>
        <w:widowControl/>
        <w:adjustRightInd/>
        <w:spacing w:line="300" w:lineRule="auto"/>
        <w:ind w:firstLine="1960" w:firstLineChars="700"/>
        <w:rPr>
          <w:rFonts w:ascii="Arial" w:hAnsi="Arial" w:eastAsia="仿宋" w:cs="Arial"/>
          <w:color w:val="auto"/>
          <w:sz w:val="28"/>
          <w:szCs w:val="28"/>
          <w:lang w:bidi="ar"/>
        </w:rPr>
      </w:pPr>
      <w:r>
        <w:rPr>
          <w:rFonts w:hint="eastAsia" w:ascii="Arial" w:hAnsi="Arial" w:eastAsia="仿宋" w:cs="Arial"/>
          <w:color w:val="auto"/>
          <w:sz w:val="28"/>
          <w:szCs w:val="28"/>
          <w:lang w:bidi="ar"/>
        </w:rPr>
        <w:t>2020－2024年常住人口增量及增长速度</w:t>
      </w:r>
    </w:p>
    <w:p w14:paraId="0129925C">
      <w:pPr>
        <w:widowControl/>
        <w:adjustRightInd/>
        <w:spacing w:line="300" w:lineRule="auto"/>
        <w:rPr>
          <w:rFonts w:ascii="Arial" w:hAnsi="Arial" w:eastAsia="仿宋" w:cs="Arial"/>
          <w:color w:val="auto"/>
          <w:sz w:val="28"/>
          <w:szCs w:val="28"/>
          <w:lang w:bidi="ar"/>
        </w:rPr>
      </w:pPr>
      <w:r>
        <w:rPr>
          <w:rFonts w:hint="eastAsia" w:ascii="Arial" w:hAnsi="Arial" w:eastAsia="仿宋" w:cs="Arial"/>
          <w:color w:val="auto"/>
          <w:sz w:val="28"/>
          <w:szCs w:val="28"/>
        </w:rPr>
        <w:drawing>
          <wp:inline distT="0" distB="0" distL="114300" distR="114300">
            <wp:extent cx="5905500" cy="2171700"/>
            <wp:effectExtent l="4445" t="4445" r="18415" b="18415"/>
            <wp:docPr id="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371F8F1">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城市面积：北京市下辖16个区（即东城、西城、海淀、朝阳、丰台、顺义、昌平、通州、门头沟、石景山、房山、大兴、怀柔、平谷、密云、延庆），行政辖区总面积为16410平方公里。</w:t>
      </w:r>
    </w:p>
    <w:p w14:paraId="08C1070C">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城市自然条件：北京气候属暖温带半湿润半干旱季风气候，夏季高温多雨，冬季寒冷干燥，春、秋短促。全年无霜期180～200天，西部山区较短。地势西北高、东南低。西部、北部和东北部三面环山，东南部是一片缓缓向渤海倾斜的平原。北京市天然河道自西向东贯穿五大水系：拒马河水系、永定河水系、北运河水系、潮白河水系和蓟运河水系。多由西北部山地发源，向东南蜿蜒流经平原地区，最后分别在海河汇入渤海（蓟运河除外）。北京市有水库85座，其中大型水库有密云水库、官厅水库、怀柔水库、海子水库。北京市地下水多年平均补给量约为29.21亿立方米，平均年可开采量约24~25亿立方米。一次性天然水资源年平均总量为55.21亿立方米。</w:t>
      </w:r>
    </w:p>
    <w:p w14:paraId="57D98372">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土地利用状况：2021年11月5日，北京市发布第三次全国国土调查主要数据公报。数据显示，北京市现有耕地93547.9公顷（1403218.5亩）、园地126274.55公顷（1894118.25亩）、林地967628.62公顷（14514429.3亩）、草地14460.44公顷（216906.6亩）、湿地3107.98公顷（46619.7亩）、城镇村及工矿用地313643.87公顷（4704658.05亩）、交通运输用地49281.38公顷（739220.7亩）、水域及水利设施用地61704公顷（925560亩），其余为其他土地。三调数据显示，北京市以林、园、水、草、湿地和公园绿地为主的生态用地逐年增加，城乡建设用地明显减少，初步实现减量目标。</w:t>
      </w:r>
    </w:p>
    <w:p w14:paraId="1D2B0C2A">
      <w:pPr>
        <w:spacing w:line="360" w:lineRule="auto"/>
        <w:jc w:val="center"/>
        <w:outlineLvl w:val="0"/>
        <w:rPr>
          <w:rFonts w:ascii="Arial" w:hAnsi="Arial" w:eastAsia="仿宋" w:cs="Arial"/>
          <w:color w:val="auto"/>
          <w:sz w:val="28"/>
          <w:szCs w:val="28"/>
        </w:rPr>
      </w:pPr>
      <w:r>
        <w:rPr>
          <w:rFonts w:ascii="Arial" w:hAnsi="Arial" w:eastAsia="仿宋" w:cs="Arial"/>
          <w:color w:val="auto"/>
          <w:sz w:val="28"/>
          <w:szCs w:val="28"/>
        </w:rPr>
        <w:drawing>
          <wp:inline distT="0" distB="0" distL="114300" distR="114300">
            <wp:extent cx="5888355" cy="3335655"/>
            <wp:effectExtent l="4445" t="4445" r="5080" b="12700"/>
            <wp:docPr id="2" name="图表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6F3FC4D">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2.不动产制度与不动产市场状况</w:t>
      </w:r>
    </w:p>
    <w:p w14:paraId="6575CBDB">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 土地使用制度及土地管理政策：</w:t>
      </w:r>
    </w:p>
    <w:p w14:paraId="06A31007">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我国当前实行土地招拍挂制度。土地招拍挂制度是国家土地资源出让、买卖的招标、拍卖、挂牌制度的简称，具体是指国家在土地出让或者买卖程序中的“招标”“拍卖”“挂牌”交易的政策或规定。2004年，国土资源部颁布第71令，《关于继续开展经营性土地使用权招标拍卖挂牌出让情况执法监察工作的通知》，规定2004年8月31号以后所有经营性用地出让全部实行招拍挂制度。该方式作为我国经营性用地出让的指定方式，对规范土地市场、提高政府的对城市土地的管理水平、促进房地产市场的有序发展等方面都有着重要意义。</w:t>
      </w:r>
    </w:p>
    <w:p w14:paraId="24F2602C">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按照“十三五”时期的规划，北京市目前已基本建立全域国土空间开发保护新格局，提升绿色生态空间本底规模质量，深化耕地保护空间与政策保障，减量发展迈出实质性步伐。“十三五”确定的土地资源保护利用任务目标基本完成，土地资源治理体系逐步完善，保障和支撑了城市发展方式实现历史性变革。</w:t>
      </w:r>
    </w:p>
    <w:p w14:paraId="5ADA7A3E">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1）在国土空间规划中统筹划定落实永久基本农田、生态保护红线、城镇开发边界三条控制线（以下简称三条控制线），确定国土空间开发保护刚性管控边界。统筹全域全类型国土空间用途管制，划定覆盖全域的11类国土空间规划分区。</w:t>
      </w:r>
    </w:p>
    <w:p w14:paraId="70AAC8BB">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（2）严守耕地规模底线，划定耕地保护空间。</w:t>
      </w:r>
    </w:p>
    <w:p w14:paraId="4ADF5A28">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强化耕地保护，深化耕地保护空间与政策保障。完善耕地主动保护机制，出台《落实城市总体规划统筹推进耕地和永久基本农田保护工作实施方案（试行）》、《北京市耕地保护责任目标考核办法》、《北京市耕地保护补偿资金管理暂行办法》，签订《耕地保护目标管理暨永久基本农田保护责任书》，全面推行四级田长制，压实耕地保护主体责任。</w:t>
      </w:r>
    </w:p>
    <w:p w14:paraId="19475896">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3）严控建设用地规模，城乡建设用地规模得到历史性控制。以疏解非首都功能为牛鼻子，深入实施疏解整治促提升专项行动，以大规模拆除腾退各类违法建设为主要抓手，以统筹集中建设区外的低效集体产业用地为重点，综合采取矿山修复、农村居民点整理等各类措施，建立多拆少建的挂钩实施机制。鼓励存量盘活，土地利用效益有所提升，为首都长远发展预留高质量发展空间。在建设用地年度供应计划中，存量建设用地供应占比由“十二五”时期的51%提升至“十三五”时期的55%以上.</w:t>
      </w:r>
    </w:p>
    <w:p w14:paraId="3310952A">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4）完善国土空间规划政策法规，出台一系列国土空间规划管控政策。修订《北京市城乡规划条例》《北京市历史文化名城保护条例》《北京市生态涵养区生态保护和绿色发展条例》等法规，出台《关于建立国土空间规划体系并监督实施的实施意见》《北京市生态控制线和城市开发边界管理办法》《北京市战略留白用地管理办法》《北京市“两图合一”规划编制技术指南》《北京市国土空间规划分区和用途管制规则》等一系列政策文件，初步建立首都“三级三类”国土空间规划体系，不断完善首都国土空间治理体系，着力提高国土空间治理能力现代化水平。</w:t>
      </w:r>
    </w:p>
    <w:p w14:paraId="4F650C5D">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逐步建立自然资源管理制度。制定《北京市自然资源资产产权制度改革方案》，统筹推进自然资源统一调查监测评价，建立全市统一的国土空间基础信息平台，结合分区规划编制，形成全市国土空间规划“一张底图”。建立北京市国有自然资源报告工作制度，自然资源统一调查、监测、确权、配置、评价、监督的管理制度逐步建立。</w:t>
      </w:r>
    </w:p>
    <w:p w14:paraId="3BE406D8">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加强推进农村土地管理改革。制定《关于进一步加强农村集体土地管理加快建立健全“村地区管”机制的指导意见》，强化区级管规划、管用途、管合同、管程序、管监督、管查处的权责；在大兴区全面推进农村土地制度改革三项试点工作，集体经营性建设用地入市试点改革取得重大成果，征地制度改革向纵深推进，宅基地制度改革取得阶段性成果，探索形成了一批可复制、可推广的改革成果。</w:t>
      </w:r>
    </w:p>
    <w:p w14:paraId="167BFF8B">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建立北京市自然资源和国土空间规划督察制度。制定并落实《北京市自然资源和国土空间规划督察工作方案（试行）》，以《城市总体规划》为引领，发挥督察工作的推动作用，强化责任落实，提高土地资源保护利用水平，提升首都城市规划建设治理能力。</w:t>
      </w:r>
    </w:p>
    <w:p w14:paraId="1E8A267B">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2022年北京市人民政府关于印发《北京市“十四五”时期土地资源保护利用规划》的通知，要求全市继续统筹土地资源保护和利用工作，强化科学布局、整体保护、系统修复、高效利用、综合治理。</w:t>
      </w:r>
    </w:p>
    <w:p w14:paraId="77EC0154">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 xml:space="preserve"> 住房制度与不动产管理政策：</w:t>
      </w:r>
    </w:p>
    <w:p w14:paraId="504D1EC8">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根据2022年发布的《北京市“十四五”时期住房保障规划》（以下简称“《保障规划》”），北京市目前执行多主体供给、多渠道保障、租购并举的住房制度。《保障规划》要求，按照“以政府为主提供基本保障，以市场为主满足多层次需求”的总方向，进一步完善以公租房、保障性租赁住房、共有产权住房和安置房为主体的首都住房保障体系。</w:t>
      </w:r>
    </w:p>
    <w:p w14:paraId="7F1B1F8A">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2024年2月21日，住房城乡建设部发布《关于做好住房发展规划和年度计划编制工作的通知》。该文件指出，住房发展规划和年度计划是建立“人、房、地、钱”要素联动机制的重要抓手。各地要充分认识做好住房发展规划和年度计划的编制实施工作的重要性，科学编制规划，认真组织实施，根据人口变化确定住房需求，根据住房需求科学安排土地供应、引导配置金融资源，实现以人定房、以房定地、以房定钱，促进房地产市场供需平衡、结构合理，防止市场大起大落。</w:t>
      </w:r>
    </w:p>
    <w:p w14:paraId="509CD5F0">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2026年1月4日，北京市规划和自然资源委员会发布《关于继续施行〈北京市建设用地功能混合使用指导意见〉的通知》，并同步印发《北京市建设用地功能混合使用流程指引》及《北京市建设用地功能混合使用案例指引》。《指导意见》作为《北京市城市更新条例》的配套政策，旨在通过规划引领和项目支持，推动产业转型升级，补齐配套短板，助力城市更新，为高质量发展提供空间资源保障。《指导意见》采用正负面清单管理兼容功能，明确各类用地的兼容内容和比例限制，如商业服务业用地可兼容公共服务等，但不能兼容工业等，强调兼容用途不能反超主用途，也不能对相邻地块造成负面影响。</w:t>
      </w:r>
    </w:p>
    <w:p w14:paraId="7A0D8B5A">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2026年1月20日，北京市规划和自然资源委员会和北京市发展和改革委员会联合发布《北京市2026年度建设用地供应计划》，明确全年建设用地供应总量为3040至3540公顷，与往年保持基本稳定。计划坚持“稳中求进、内涵式发展”总体思路，统筹增量与存量用地，强化市场在资源配置中的决定性作用，紧密衔接“十五五”规划与年度经济社会发展任务，着力提升土地要素配置效率，支撑首都高质量发展。空间布局方面，持续强化“一核一主一副、两轴多点一区”圈层协同的城市空间结构。中心城区（含核心区）土地供应规模约占全市总量的20%，重点推进中央政务功能保障、服务功能与环境品质提升；平原新城地区（含城市副中心）占比约60%，持续提高综合承载力，推动京津冀协同发展与产城融合；生态涵养区占比约20%，统筹好高水平保护与高质量发展。土地供应将向重点区域倾斜，促进土地资源配置效率最优化和效益最大化。用地结构上，住宅用地安排750－790公顷，其中商品住宅用地200－240公顷，保障性住房350公顷（含中央军队用地80公顷）；产业用地安排480－540公顷，包括研发用地80公顷、工业用地230－250公顷、仓储用地50公顷、商服用地50－70公顷、乡村产业用地70－90公顷；此外，公共管理与服务用地650公顷、交通运输用地950－1350公顷等也将同步推进，全面优化城市功能布局。供应导向上，计划突出“减量提质、激活存量”，推动城乡建设用地净减量500公顷，存量建设用地供应占比达到约65%。同时，强化对高精尖产业的空间保障，85%以上产业用地将向“三城一区”、自贸试验区等重点区域集聚。在住房领域，持续优化商品住宅供给，推动站城融合与职住平衡，多渠道加大保障性租赁住房供应，稳步推进城中村和危旧房改造。此外，还将系统提升公共服务与基础设施水平，推动花园城市建设，增强城市安全韧性。为确保计划顺利实施，北京市将强化市区两级主体责任，推动集约高效用地，推进功能混合与立体开发，鼓励弹性年期、先租后让等供地方式，并建立动态调控机制，根据市场需要适时优化项目清单，全面提升土地资源配置效益。</w:t>
      </w:r>
    </w:p>
    <w:p w14:paraId="2172F0C0">
      <w:pPr>
        <w:spacing w:line="360" w:lineRule="auto"/>
        <w:ind w:right="205"/>
        <w:jc w:val="both"/>
        <w:rPr>
          <w:rFonts w:ascii="Arial" w:hAnsi="Arial" w:eastAsia="仿宋" w:cs="Arial"/>
          <w:b/>
          <w:bCs/>
          <w:color w:val="auto"/>
          <w:sz w:val="28"/>
          <w:szCs w:val="28"/>
        </w:rPr>
      </w:pPr>
      <w:r>
        <w:rPr>
          <w:rFonts w:ascii="Cambria Math" w:hAnsi="Cambria Math" w:eastAsia="仿宋" w:cs="Cambria Math"/>
          <w:b/>
          <w:bCs/>
          <w:color w:val="auto"/>
          <w:sz w:val="28"/>
          <w:szCs w:val="28"/>
        </w:rPr>
        <w:t>◆</w:t>
      </w:r>
      <w:r>
        <w:rPr>
          <w:rFonts w:ascii="Arial" w:hAnsi="Arial" w:eastAsia="仿宋" w:cs="Arial"/>
          <w:b/>
          <w:bCs/>
          <w:color w:val="auto"/>
          <w:sz w:val="28"/>
          <w:szCs w:val="28"/>
        </w:rPr>
        <w:t xml:space="preserve">  不动产市场状况</w:t>
      </w:r>
    </w:p>
    <w:p w14:paraId="05CFF79E">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bCs/>
          <w:color w:val="auto"/>
          <w:sz w:val="28"/>
          <w:szCs w:val="28"/>
        </w:rPr>
        <w:t>（</w:t>
      </w:r>
      <w:r>
        <w:rPr>
          <w:rFonts w:hint="eastAsia" w:ascii="Arial" w:hAnsi="Arial" w:eastAsia="仿宋" w:cs="Arial"/>
          <w:color w:val="auto"/>
          <w:sz w:val="28"/>
          <w:szCs w:val="28"/>
          <w:lang w:bidi="ar"/>
        </w:rPr>
        <w:t>1）土地市场</w:t>
      </w:r>
    </w:p>
    <w:p w14:paraId="7C8F95DD">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1）土地供求分析</w:t>
      </w:r>
    </w:p>
    <w:p w14:paraId="4488F8D3">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商品住宅用地供应减量提质，核心区优质地块供应力度明显加大，共推出36宗住宅用地，累计供应规划建面306.95万平方米，同比下降37.6%。2025年北京商品住宅用地共成交40宗，成交规划建面359.07万平方米，同比下降23.7%。土地成交价款合计1427.42亿元，同比下降8.2%。成交的40宗住宅用地中，50%地块位于主城六区，其中海淀区共出让7宗住宅用地，累计成交金额超448亿元。</w:t>
      </w:r>
    </w:p>
    <w:p w14:paraId="556A902F">
      <w:pPr>
        <w:spacing w:line="360" w:lineRule="auto"/>
        <w:jc w:val="center"/>
        <w:outlineLvl w:val="0"/>
        <w:rPr>
          <w:rFonts w:ascii="Arial" w:hAnsi="Arial" w:eastAsia="仿宋" w:cs="Arial"/>
          <w:color w:val="auto"/>
          <w:kern w:val="2"/>
          <w:sz w:val="28"/>
          <w:szCs w:val="28"/>
        </w:rPr>
      </w:pPr>
      <w:r>
        <w:rPr>
          <w:color w:val="auto"/>
        </w:rPr>
        <w:drawing>
          <wp:inline distT="0" distB="0" distL="114300" distR="114300">
            <wp:extent cx="5182235" cy="2476500"/>
            <wp:effectExtent l="4445" t="4445" r="10160" b="18415"/>
            <wp:docPr id="3"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08C5251A">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2）土地成交情况</w:t>
      </w:r>
    </w:p>
    <w:p w14:paraId="43E20C76">
      <w:pPr>
        <w:widowControl/>
        <w:adjustRightInd/>
        <w:spacing w:line="300" w:lineRule="auto"/>
        <w:ind w:firstLine="560" w:firstLineChars="200"/>
        <w:rPr>
          <w:rFonts w:ascii="Arial" w:hAnsi="Arial" w:eastAsia="仿宋" w:cs="Arial"/>
          <w:bCs/>
          <w:color w:val="auto"/>
          <w:sz w:val="28"/>
          <w:szCs w:val="28"/>
        </w:rPr>
      </w:pPr>
      <w:r>
        <w:rPr>
          <w:rFonts w:hint="eastAsia" w:ascii="Arial" w:hAnsi="Arial" w:eastAsia="仿宋" w:cs="Arial"/>
          <w:color w:val="auto"/>
          <w:sz w:val="28"/>
          <w:szCs w:val="28"/>
          <w:lang w:bidi="ar"/>
        </w:rPr>
        <w:t>2025年，北京市商品住宅用地主城六区成交20宗宅地，累计成交规划建面183.78万平方米，占比51%，较上年同期上升4个百分点；其中海淀、朝阳成交规模均超59万平方米，占比分别为19%和17%。近郊区住宅用地成交规模占比降至5成以下，累计成交169.50万平方米，占比下降3个百分点至47%，其中昌平、通州为主要供地区域，成交规模均超40万平方米，成交占比分别为14%、12%。远郊区供应力度进一步减弱，累计成交5.78</w:t>
      </w:r>
      <w:r>
        <w:rPr>
          <w:rFonts w:hint="eastAsia" w:ascii="Arial" w:hAnsi="Arial" w:eastAsia="仿宋" w:cs="Arial"/>
          <w:bCs/>
          <w:color w:val="auto"/>
          <w:sz w:val="28"/>
          <w:szCs w:val="28"/>
        </w:rPr>
        <w:t>万平方米，占比下降2个百分点至2%，延庆、怀柔各成交1宗宅地</w:t>
      </w:r>
      <w:r>
        <w:rPr>
          <w:rFonts w:ascii="Arial" w:hAnsi="Arial" w:eastAsia="仿宋" w:cs="Arial"/>
          <w:bCs/>
          <w:color w:val="auto"/>
          <w:sz w:val="28"/>
          <w:szCs w:val="28"/>
        </w:rPr>
        <w:t>。</w:t>
      </w:r>
    </w:p>
    <w:p w14:paraId="0DE698CB">
      <w:pPr>
        <w:widowControl/>
        <w:spacing w:line="360" w:lineRule="auto"/>
        <w:jc w:val="center"/>
        <w:rPr>
          <w:rFonts w:ascii="Arial" w:hAnsi="Arial" w:eastAsia="仿宋" w:cs="Arial"/>
          <w:bCs/>
          <w:color w:val="auto"/>
          <w:sz w:val="28"/>
          <w:szCs w:val="28"/>
        </w:rPr>
      </w:pPr>
      <w:r>
        <w:rPr>
          <w:color w:val="auto"/>
        </w:rPr>
        <w:drawing>
          <wp:inline distT="0" distB="0" distL="114300" distR="114300">
            <wp:extent cx="5903595" cy="2995295"/>
            <wp:effectExtent l="0" t="0" r="9525" b="6985"/>
            <wp:docPr id="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0"/>
                    <pic:cNvPicPr>
                      <a:picLocks noChangeAspect="1"/>
                    </pic:cNvPicPr>
                  </pic:nvPicPr>
                  <pic:blipFill>
                    <a:blip r:embed="rId43"/>
                    <a:stretch>
                      <a:fillRect/>
                    </a:stretch>
                  </pic:blipFill>
                  <pic:spPr>
                    <a:xfrm>
                      <a:off x="0" y="0"/>
                      <a:ext cx="5903595" cy="2995295"/>
                    </a:xfrm>
                    <a:prstGeom prst="rect">
                      <a:avLst/>
                    </a:prstGeom>
                    <a:noFill/>
                    <a:ln>
                      <a:noFill/>
                    </a:ln>
                  </pic:spPr>
                </pic:pic>
              </a:graphicData>
            </a:graphic>
          </wp:inline>
        </w:drawing>
      </w:r>
    </w:p>
    <w:p w14:paraId="0AED4CA5">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从不同区域来看，各区域住宅用地成交规模同比均下降，主城六区成交规模同比下降16%，其中海淀、石景山、东城同比增长；近郊区成交规模同比下降28%，其中通州同比增长，其他区均同比下降；远郊区同比下降66%。</w:t>
      </w:r>
    </w:p>
    <w:p w14:paraId="564CF288">
      <w:pPr>
        <w:spacing w:line="360" w:lineRule="auto"/>
        <w:jc w:val="center"/>
        <w:rPr>
          <w:rFonts w:ascii="Arial" w:hAnsi="Arial" w:eastAsia="仿宋" w:cs="Arial"/>
          <w:bCs/>
          <w:color w:val="auto"/>
          <w:sz w:val="28"/>
          <w:szCs w:val="28"/>
        </w:rPr>
      </w:pPr>
      <w:r>
        <w:rPr>
          <w:rFonts w:hint="eastAsia" w:ascii="Arial" w:hAnsi="Arial" w:eastAsia="仿宋" w:cs="Arial"/>
          <w:bCs/>
          <w:color w:val="auto"/>
          <w:sz w:val="28"/>
          <w:szCs w:val="28"/>
        </w:rPr>
        <w:drawing>
          <wp:inline distT="0" distB="0" distL="114300" distR="114300">
            <wp:extent cx="3677285" cy="2943860"/>
            <wp:effectExtent l="0" t="0" r="10795" b="12700"/>
            <wp:docPr id="5" name="图片 11" descr="ScreenShot_2026-01-23_113715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1" descr="ScreenShot_2026-01-23_113715_225"/>
                    <pic:cNvPicPr>
                      <a:picLocks noChangeAspect="1"/>
                    </pic:cNvPicPr>
                  </pic:nvPicPr>
                  <pic:blipFill>
                    <a:blip r:embed="rId44"/>
                    <a:stretch>
                      <a:fillRect/>
                    </a:stretch>
                  </pic:blipFill>
                  <pic:spPr>
                    <a:xfrm>
                      <a:off x="0" y="0"/>
                      <a:ext cx="3677285" cy="2943860"/>
                    </a:xfrm>
                    <a:prstGeom prst="rect">
                      <a:avLst/>
                    </a:prstGeom>
                    <a:noFill/>
                    <a:ln>
                      <a:noFill/>
                    </a:ln>
                  </pic:spPr>
                </pic:pic>
              </a:graphicData>
            </a:graphic>
          </wp:inline>
        </w:drawing>
      </w:r>
    </w:p>
    <w:p w14:paraId="726BE21C">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3）土地成交价格</w:t>
      </w:r>
    </w:p>
    <w:p w14:paraId="48139555">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在主城六区优质地块成交带动下，北京宅地整体成交楼面均价39754元/平方米，同比增长20.3%。取消地价上限，叠加核心区优质地块竞争激烈，2025年宅地成交溢价率溢升至6.6%，同比提升3.5个百分点。市场分化明显，成交的40宗地块中，9宗地块溢价率超10%，主要集中在海淀、朝阳、通州三区；其中朝阳太阳宫地块以39.18%溢价率居首，该地块经过超330轮现场举牌竞价成交，最终以9.42万元/平方米的楼面地价刷新朝阳纪录；海淀树村地块经过274轮竞拍成交，成交楼面地价达10.23万元/平方米，成为北京首个楼面地价破10万元的住宅地块。而26宗地块均以底价成交，占比升至65%。</w:t>
      </w:r>
    </w:p>
    <w:p w14:paraId="327D5C55">
      <w:pPr>
        <w:widowControl/>
        <w:spacing w:line="360" w:lineRule="auto"/>
        <w:ind w:firstLine="480" w:firstLineChars="200"/>
        <w:jc w:val="both"/>
        <w:rPr>
          <w:color w:val="auto"/>
        </w:rPr>
      </w:pPr>
    </w:p>
    <w:p w14:paraId="6AE68A27">
      <w:pPr>
        <w:widowControl/>
        <w:spacing w:line="360" w:lineRule="auto"/>
        <w:jc w:val="center"/>
        <w:rPr>
          <w:color w:val="auto"/>
        </w:rPr>
      </w:pPr>
      <w:r>
        <w:rPr>
          <w:color w:val="auto"/>
        </w:rPr>
        <w:drawing>
          <wp:inline distT="0" distB="0" distL="114300" distR="114300">
            <wp:extent cx="4514215" cy="2228850"/>
            <wp:effectExtent l="0" t="0" r="12065" b="11430"/>
            <wp:docPr id="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2"/>
                    <pic:cNvPicPr>
                      <a:picLocks noChangeAspect="1"/>
                    </pic:cNvPicPr>
                  </pic:nvPicPr>
                  <pic:blipFill>
                    <a:blip r:embed="rId45"/>
                    <a:stretch>
                      <a:fillRect/>
                    </a:stretch>
                  </pic:blipFill>
                  <pic:spPr>
                    <a:xfrm>
                      <a:off x="0" y="0"/>
                      <a:ext cx="4514215" cy="2228850"/>
                    </a:xfrm>
                    <a:prstGeom prst="rect">
                      <a:avLst/>
                    </a:prstGeom>
                    <a:noFill/>
                    <a:ln>
                      <a:noFill/>
                    </a:ln>
                  </pic:spPr>
                </pic:pic>
              </a:graphicData>
            </a:graphic>
          </wp:inline>
        </w:drawing>
      </w:r>
    </w:p>
    <w:p w14:paraId="7447735C">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分区域来看，主城六区成交楼面地价均价相对较高，东城区成交楼面地价均价超8万元/平方米，海淀区成交楼面地价均价超6万元/平方米；近郊区成交楼面地价多介于2－3万/平方米之间，其中通州区、顺义区地价相对较高，超2.8万/平方米，房山区成交楼面地价较低，为15336元/平方米。从同比变化来看，丰台区、石景山区、房山区成交楼面地价同比下跌，其他区域成交楼面地价同比上涨，其中海淀区、朝阳区成交楼面地价均同比上涨28%。</w:t>
      </w:r>
    </w:p>
    <w:p w14:paraId="5B85C517">
      <w:pPr>
        <w:widowControl/>
        <w:adjustRightInd/>
        <w:spacing w:line="300" w:lineRule="auto"/>
        <w:rPr>
          <w:rFonts w:ascii="Arial" w:hAnsi="Arial" w:eastAsia="仿宋" w:cs="Arial"/>
          <w:color w:val="auto"/>
          <w:sz w:val="28"/>
          <w:szCs w:val="28"/>
          <w:lang w:bidi="ar"/>
        </w:rPr>
      </w:pPr>
      <w:r>
        <w:rPr>
          <w:rFonts w:hint="eastAsia" w:ascii="Arial" w:hAnsi="Arial" w:eastAsia="仿宋" w:cs="Arial"/>
          <w:color w:val="auto"/>
          <w:sz w:val="28"/>
          <w:szCs w:val="28"/>
        </w:rPr>
        <w:drawing>
          <wp:inline distT="0" distB="0" distL="114300" distR="114300">
            <wp:extent cx="5276215" cy="2885440"/>
            <wp:effectExtent l="0" t="0" r="12065" b="10160"/>
            <wp:docPr id="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3"/>
                    <pic:cNvPicPr>
                      <a:picLocks noChangeAspect="1"/>
                    </pic:cNvPicPr>
                  </pic:nvPicPr>
                  <pic:blipFill>
                    <a:blip r:embed="rId46"/>
                    <a:stretch>
                      <a:fillRect/>
                    </a:stretch>
                  </pic:blipFill>
                  <pic:spPr>
                    <a:xfrm>
                      <a:off x="0" y="0"/>
                      <a:ext cx="5276215" cy="2885440"/>
                    </a:xfrm>
                    <a:prstGeom prst="rect">
                      <a:avLst/>
                    </a:prstGeom>
                    <a:noFill/>
                    <a:ln>
                      <a:noFill/>
                    </a:ln>
                  </pic:spPr>
                </pic:pic>
              </a:graphicData>
            </a:graphic>
          </wp:inline>
        </w:drawing>
      </w:r>
    </w:p>
    <w:p w14:paraId="4DE25B87">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溢价率方面，海淀区、朝阳区土地质素高，整体溢价率较高；通州区热点地块竞争较为激烈，但地块延续分化；东城区祈年大街地块溢价率4%，其他区域地块均底价成交。</w:t>
      </w:r>
    </w:p>
    <w:p w14:paraId="571E0BF3">
      <w:pPr>
        <w:spacing w:line="360" w:lineRule="auto"/>
        <w:jc w:val="center"/>
        <w:outlineLvl w:val="0"/>
        <w:rPr>
          <w:rFonts w:ascii="Arial" w:hAnsi="Arial" w:eastAsia="仿宋" w:cs="Arial"/>
          <w:color w:val="auto"/>
          <w:kern w:val="2"/>
          <w:sz w:val="28"/>
          <w:szCs w:val="28"/>
        </w:rPr>
      </w:pPr>
      <w:r>
        <w:rPr>
          <w:color w:val="auto"/>
        </w:rPr>
        <w:drawing>
          <wp:inline distT="0" distB="0" distL="114300" distR="114300">
            <wp:extent cx="4666615" cy="2599690"/>
            <wp:effectExtent l="0" t="0" r="12065" b="6350"/>
            <wp:docPr id="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4"/>
                    <pic:cNvPicPr>
                      <a:picLocks noChangeAspect="1"/>
                    </pic:cNvPicPr>
                  </pic:nvPicPr>
                  <pic:blipFill>
                    <a:blip r:embed="rId47"/>
                    <a:stretch>
                      <a:fillRect/>
                    </a:stretch>
                  </pic:blipFill>
                  <pic:spPr>
                    <a:xfrm>
                      <a:off x="0" y="0"/>
                      <a:ext cx="4666615" cy="2599690"/>
                    </a:xfrm>
                    <a:prstGeom prst="rect">
                      <a:avLst/>
                    </a:prstGeom>
                    <a:noFill/>
                    <a:ln>
                      <a:noFill/>
                    </a:ln>
                  </pic:spPr>
                </pic:pic>
              </a:graphicData>
            </a:graphic>
          </wp:inline>
        </w:drawing>
      </w:r>
    </w:p>
    <w:p w14:paraId="1C515EBF">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4）供应计划</w:t>
      </w:r>
    </w:p>
    <w:p w14:paraId="5FB4FF86">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2026年1月20日，北京市规划和自然资源委员会和北京市发展和改革委员会联合发布《北京市2026年度建设用地供应计划》，明确全年建设用地供应总量为3040至3540公顷，与往年保持基本稳定。计划坚持“稳中求进、内涵式发展”总体思路，统筹增量与存量用地，强化市场在资源配置中的决定性作用，紧密衔接“十五五”规划与年度经济社会发展任务，着力提升土地要素配置效率，支撑首都高质量发展。</w:t>
      </w:r>
    </w:p>
    <w:p w14:paraId="6DAA1556">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（2）新建商品房住宅市场</w:t>
      </w:r>
    </w:p>
    <w:p w14:paraId="384AE7B0">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1）新建商品住宅供给状况</w:t>
      </w:r>
    </w:p>
    <w:p w14:paraId="15E3BAD1">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近几年，北京商品住宅用地供应规模减少，导致新房供应持续下滑。2025年北京新房供应止跌回升，但整体供应规模仍处于近年低位水平。</w:t>
      </w:r>
    </w:p>
    <w:p w14:paraId="27B5A90D">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根据中指研究院数据，2025年二季度以来新房取证未售库存规模持续处于中高水平，12月末库存规模约为966万平方米，较年初增长10.8%。出清周期方面， 2022年以来库存出清周期基本持续处于风险线以上；2025年北京新房库存规模增加，叠加去化速度放缓，2025年12月出清周期升至26.5个月，整体去化风险较为突出。</w:t>
      </w:r>
    </w:p>
    <w:p w14:paraId="446C3C29">
      <w:pPr>
        <w:widowControl/>
        <w:spacing w:line="360" w:lineRule="auto"/>
        <w:jc w:val="center"/>
        <w:rPr>
          <w:color w:val="auto"/>
        </w:rPr>
      </w:pPr>
      <w:r>
        <w:rPr>
          <w:color w:val="auto"/>
        </w:rPr>
        <w:drawing>
          <wp:inline distT="0" distB="0" distL="114300" distR="114300">
            <wp:extent cx="5905500" cy="2139315"/>
            <wp:effectExtent l="0" t="0" r="7620" b="9525"/>
            <wp:docPr id="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5"/>
                    <pic:cNvPicPr>
                      <a:picLocks noChangeAspect="1"/>
                    </pic:cNvPicPr>
                  </pic:nvPicPr>
                  <pic:blipFill>
                    <a:blip r:embed="rId48"/>
                    <a:stretch>
                      <a:fillRect/>
                    </a:stretch>
                  </pic:blipFill>
                  <pic:spPr>
                    <a:xfrm>
                      <a:off x="0" y="0"/>
                      <a:ext cx="5905500" cy="2139315"/>
                    </a:xfrm>
                    <a:prstGeom prst="rect">
                      <a:avLst/>
                    </a:prstGeom>
                    <a:noFill/>
                    <a:ln>
                      <a:noFill/>
                    </a:ln>
                  </pic:spPr>
                </pic:pic>
              </a:graphicData>
            </a:graphic>
          </wp:inline>
        </w:drawing>
      </w:r>
    </w:p>
    <w:p w14:paraId="30CB2B82">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分区域来看，</w:t>
      </w:r>
      <w:r>
        <w:rPr>
          <w:rFonts w:ascii="Arial" w:hAnsi="Arial" w:eastAsia="仿宋" w:cs="Arial"/>
          <w:color w:val="auto"/>
          <w:sz w:val="28"/>
          <w:szCs w:val="28"/>
          <w:lang w:bidi="ar"/>
        </w:rPr>
        <w:t>截止到2025年12月末，中心城区</w:t>
      </w:r>
      <w:r>
        <w:rPr>
          <w:rFonts w:hint="eastAsia" w:ascii="Arial" w:hAnsi="Arial" w:eastAsia="仿宋" w:cs="Arial"/>
          <w:color w:val="auto"/>
          <w:sz w:val="28"/>
          <w:szCs w:val="28"/>
          <w:lang w:bidi="ar"/>
        </w:rPr>
        <w:t>（含核心区）</w:t>
      </w:r>
      <w:r>
        <w:rPr>
          <w:rFonts w:ascii="Arial" w:hAnsi="Arial" w:eastAsia="仿宋" w:cs="Arial"/>
          <w:color w:val="auto"/>
          <w:sz w:val="28"/>
          <w:szCs w:val="28"/>
          <w:lang w:bidi="ar"/>
        </w:rPr>
        <w:t>库存规模</w:t>
      </w:r>
      <w:r>
        <w:rPr>
          <w:rFonts w:hint="eastAsia" w:ascii="Arial" w:hAnsi="Arial" w:eastAsia="仿宋" w:cs="Arial"/>
          <w:color w:val="auto"/>
          <w:sz w:val="28"/>
          <w:szCs w:val="28"/>
          <w:lang w:bidi="ar"/>
        </w:rPr>
        <w:t>约</w:t>
      </w:r>
      <w:r>
        <w:rPr>
          <w:rFonts w:ascii="Arial" w:hAnsi="Arial" w:eastAsia="仿宋" w:cs="Arial"/>
          <w:color w:val="auto"/>
          <w:sz w:val="28"/>
          <w:szCs w:val="28"/>
          <w:lang w:bidi="ar"/>
        </w:rPr>
        <w:t>348万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，其中丰台区、朝阳区库存规模均超11万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；近郊区库存规模合计约479 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，其中通州、昌平、大兴库存规模均超100万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；远郊区库存规模合计约102万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，主要集中在怀柔区、密云区。海淀、延庆短期库存去化风险较低；丰台、昌平、大兴、怀柔、密云、平谷等区域库存去化风险突出。</w:t>
      </w:r>
    </w:p>
    <w:p w14:paraId="45EBC0A3">
      <w:pPr>
        <w:widowControl/>
        <w:spacing w:line="360" w:lineRule="auto"/>
        <w:jc w:val="center"/>
        <w:rPr>
          <w:rFonts w:ascii="Arial" w:hAnsi="Arial" w:eastAsia="仿宋" w:cs="Arial"/>
          <w:bCs/>
          <w:color w:val="auto"/>
          <w:sz w:val="28"/>
          <w:szCs w:val="28"/>
        </w:rPr>
      </w:pPr>
      <w:r>
        <w:rPr>
          <w:color w:val="auto"/>
        </w:rPr>
        <w:drawing>
          <wp:inline distT="0" distB="0" distL="114300" distR="114300">
            <wp:extent cx="5906770" cy="2166620"/>
            <wp:effectExtent l="0" t="0" r="6350" b="12700"/>
            <wp:docPr id="1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6"/>
                    <pic:cNvPicPr>
                      <a:picLocks noChangeAspect="1"/>
                    </pic:cNvPicPr>
                  </pic:nvPicPr>
                  <pic:blipFill>
                    <a:blip r:embed="rId49"/>
                    <a:stretch>
                      <a:fillRect/>
                    </a:stretch>
                  </pic:blipFill>
                  <pic:spPr>
                    <a:xfrm>
                      <a:off x="0" y="0"/>
                      <a:ext cx="5906770" cy="2166620"/>
                    </a:xfrm>
                    <a:prstGeom prst="rect">
                      <a:avLst/>
                    </a:prstGeom>
                    <a:noFill/>
                    <a:ln>
                      <a:noFill/>
                    </a:ln>
                  </pic:spPr>
                </pic:pic>
              </a:graphicData>
            </a:graphic>
          </wp:inline>
        </w:drawing>
      </w:r>
    </w:p>
    <w:p w14:paraId="223276E9">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w:t>
      </w:r>
      <w:r>
        <w:rPr>
          <w:rFonts w:hint="eastAsia" w:ascii="Arial" w:hAnsi="Arial" w:eastAsia="仿宋" w:cs="Arial"/>
          <w:color w:val="auto"/>
          <w:sz w:val="28"/>
          <w:szCs w:val="28"/>
          <w:lang w:bidi="ar"/>
        </w:rPr>
        <w:t>新建</w:t>
      </w:r>
      <w:r>
        <w:rPr>
          <w:rFonts w:ascii="Arial" w:hAnsi="Arial" w:eastAsia="仿宋" w:cs="Arial"/>
          <w:color w:val="auto"/>
          <w:sz w:val="28"/>
          <w:szCs w:val="28"/>
          <w:lang w:bidi="ar"/>
        </w:rPr>
        <w:t>商品住宅成交情况</w:t>
      </w:r>
    </w:p>
    <w:p w14:paraId="660885D2">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A.成交量</w:t>
      </w:r>
    </w:p>
    <w:p w14:paraId="13F009AD">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新</w:t>
      </w:r>
      <w:r>
        <w:rPr>
          <w:rFonts w:hint="eastAsia" w:ascii="Arial" w:hAnsi="Arial" w:eastAsia="仿宋" w:cs="Arial"/>
          <w:color w:val="auto"/>
          <w:sz w:val="28"/>
          <w:szCs w:val="28"/>
          <w:lang w:bidi="ar"/>
        </w:rPr>
        <w:t>建</w:t>
      </w:r>
      <w:r>
        <w:rPr>
          <w:rFonts w:ascii="Arial" w:hAnsi="Arial" w:eastAsia="仿宋" w:cs="Arial"/>
          <w:color w:val="auto"/>
          <w:sz w:val="28"/>
          <w:szCs w:val="28"/>
          <w:lang w:bidi="ar"/>
        </w:rPr>
        <w:t>商品住宅市场成交疲软，仍处于寻底阶段。2025年北京新建商品住宅累计成交面积502.44万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，同比下降15.1%，较2021年高位下降49.4%，较近三年均值下降18.3%。</w:t>
      </w:r>
      <w:r>
        <w:rPr>
          <w:rFonts w:hint="eastAsia" w:ascii="Arial" w:hAnsi="Arial" w:eastAsia="仿宋" w:cs="Arial"/>
          <w:color w:val="auto"/>
          <w:sz w:val="28"/>
          <w:szCs w:val="28"/>
          <w:lang w:bidi="ar"/>
        </w:rPr>
        <w:t>按</w:t>
      </w:r>
      <w:r>
        <w:rPr>
          <w:rFonts w:ascii="Arial" w:hAnsi="Arial" w:eastAsia="仿宋" w:cs="Arial"/>
          <w:color w:val="auto"/>
          <w:sz w:val="28"/>
          <w:szCs w:val="28"/>
          <w:lang w:bidi="ar"/>
        </w:rPr>
        <w:t>月度</w:t>
      </w:r>
      <w:r>
        <w:rPr>
          <w:rFonts w:hint="eastAsia" w:ascii="Arial" w:hAnsi="Arial" w:eastAsia="仿宋" w:cs="Arial"/>
          <w:color w:val="auto"/>
          <w:sz w:val="28"/>
          <w:szCs w:val="28"/>
          <w:lang w:bidi="ar"/>
        </w:rPr>
        <w:t>看，</w:t>
      </w:r>
      <w:r>
        <w:rPr>
          <w:rFonts w:ascii="Arial" w:hAnsi="Arial" w:eastAsia="仿宋" w:cs="Arial"/>
          <w:color w:val="auto"/>
          <w:sz w:val="28"/>
          <w:szCs w:val="28"/>
          <w:lang w:bidi="ar"/>
        </w:rPr>
        <w:t>整体呈波浪式下滑趋势</w:t>
      </w:r>
      <w:r>
        <w:rPr>
          <w:rFonts w:hint="eastAsia" w:ascii="Arial" w:hAnsi="Arial" w:eastAsia="仿宋" w:cs="Arial"/>
          <w:color w:val="auto"/>
          <w:sz w:val="28"/>
          <w:szCs w:val="28"/>
          <w:lang w:bidi="ar"/>
        </w:rPr>
        <w:t>。</w:t>
      </w:r>
      <w:r>
        <w:rPr>
          <w:rFonts w:ascii="Arial" w:hAnsi="Arial" w:eastAsia="仿宋" w:cs="Arial"/>
          <w:color w:val="auto"/>
          <w:sz w:val="28"/>
          <w:szCs w:val="28"/>
          <w:lang w:bidi="ar"/>
        </w:rPr>
        <w:t>4</w:t>
      </w:r>
      <w:r>
        <w:rPr>
          <w:rFonts w:hint="eastAsia" w:ascii="Arial" w:hAnsi="Arial" w:eastAsia="仿宋" w:cs="Arial"/>
          <w:color w:val="auto"/>
          <w:sz w:val="28"/>
          <w:szCs w:val="28"/>
          <w:lang w:bidi="ar"/>
        </w:rPr>
        <w:t>月25日</w:t>
      </w:r>
      <w:r>
        <w:rPr>
          <w:rFonts w:ascii="Arial" w:hAnsi="Arial" w:eastAsia="仿宋" w:cs="Arial"/>
          <w:color w:val="auto"/>
          <w:sz w:val="28"/>
          <w:szCs w:val="28"/>
          <w:lang w:bidi="ar"/>
        </w:rPr>
        <w:t>政治局会议定调之后，金融部门积极跟进落实各项举措</w:t>
      </w:r>
      <w:r>
        <w:rPr>
          <w:rFonts w:hint="eastAsia" w:ascii="Arial" w:hAnsi="Arial" w:eastAsia="仿宋" w:cs="Arial"/>
          <w:color w:val="auto"/>
          <w:sz w:val="28"/>
          <w:szCs w:val="28"/>
          <w:lang w:bidi="ar"/>
        </w:rPr>
        <w:t>。</w:t>
      </w:r>
      <w:r>
        <w:rPr>
          <w:rFonts w:ascii="Arial" w:hAnsi="Arial" w:eastAsia="仿宋" w:cs="Arial"/>
          <w:color w:val="auto"/>
          <w:sz w:val="28"/>
          <w:szCs w:val="28"/>
          <w:lang w:bidi="ar"/>
        </w:rPr>
        <w:t>5月7日国常会发布降准降息等一揽子金融政策</w:t>
      </w:r>
      <w:r>
        <w:rPr>
          <w:rFonts w:hint="eastAsia" w:ascii="Arial" w:hAnsi="Arial" w:eastAsia="仿宋" w:cs="Arial"/>
          <w:color w:val="auto"/>
          <w:sz w:val="28"/>
          <w:szCs w:val="28"/>
          <w:lang w:bidi="ar"/>
        </w:rPr>
        <w:t>。</w:t>
      </w:r>
      <w:r>
        <w:rPr>
          <w:rFonts w:ascii="Arial" w:hAnsi="Arial" w:eastAsia="仿宋" w:cs="Arial"/>
          <w:color w:val="auto"/>
          <w:sz w:val="28"/>
          <w:szCs w:val="28"/>
          <w:lang w:bidi="ar"/>
        </w:rPr>
        <w:t>6月北京成交明显回升。7月，受季节性因素影响，成交环比明显下滑。8月，北京五环外解除限购同时优化公积金贷款政策，成交量环比略有增长，但新政边际效果有限</w:t>
      </w:r>
      <w:r>
        <w:rPr>
          <w:rFonts w:hint="eastAsia" w:ascii="Arial" w:hAnsi="Arial" w:eastAsia="仿宋" w:cs="Arial"/>
          <w:color w:val="auto"/>
          <w:sz w:val="28"/>
          <w:szCs w:val="28"/>
          <w:lang w:bidi="ar"/>
        </w:rPr>
        <w:t>。</w:t>
      </w:r>
      <w:r>
        <w:rPr>
          <w:rFonts w:ascii="Arial" w:hAnsi="Arial" w:eastAsia="仿宋" w:cs="Arial"/>
          <w:color w:val="auto"/>
          <w:sz w:val="28"/>
          <w:szCs w:val="28"/>
          <w:lang w:bidi="ar"/>
        </w:rPr>
        <w:t>9月， 随着</w:t>
      </w:r>
      <w:r>
        <w:rPr>
          <w:rFonts w:hint="eastAsia" w:ascii="Arial" w:hAnsi="Arial" w:eastAsia="仿宋" w:cs="Arial"/>
          <w:color w:val="auto"/>
          <w:sz w:val="28"/>
          <w:szCs w:val="28"/>
          <w:lang w:bidi="ar"/>
        </w:rPr>
        <w:t>“</w:t>
      </w:r>
      <w:r>
        <w:rPr>
          <w:rFonts w:ascii="Arial" w:hAnsi="Arial" w:eastAsia="仿宋" w:cs="Arial"/>
          <w:color w:val="auto"/>
          <w:sz w:val="28"/>
          <w:szCs w:val="28"/>
          <w:lang w:bidi="ar"/>
        </w:rPr>
        <w:t>金九银十</w:t>
      </w:r>
      <w:r>
        <w:rPr>
          <w:rFonts w:hint="eastAsia" w:ascii="Arial" w:hAnsi="Arial" w:eastAsia="仿宋" w:cs="Arial"/>
          <w:color w:val="auto"/>
          <w:sz w:val="28"/>
          <w:szCs w:val="28"/>
          <w:lang w:bidi="ar"/>
        </w:rPr>
        <w:t>”</w:t>
      </w:r>
      <w:r>
        <w:rPr>
          <w:rFonts w:ascii="Arial" w:hAnsi="Arial" w:eastAsia="仿宋" w:cs="Arial"/>
          <w:color w:val="auto"/>
          <w:sz w:val="28"/>
          <w:szCs w:val="28"/>
          <w:lang w:bidi="ar"/>
        </w:rPr>
        <w:t>行业旺季，成交环比上行</w:t>
      </w:r>
      <w:r>
        <w:rPr>
          <w:rFonts w:hint="eastAsia" w:ascii="Arial" w:hAnsi="Arial" w:eastAsia="仿宋" w:cs="Arial"/>
          <w:color w:val="auto"/>
          <w:sz w:val="28"/>
          <w:szCs w:val="28"/>
          <w:lang w:bidi="ar"/>
        </w:rPr>
        <w:t>。</w:t>
      </w:r>
      <w:r>
        <w:rPr>
          <w:rFonts w:ascii="Arial" w:hAnsi="Arial" w:eastAsia="仿宋" w:cs="Arial"/>
          <w:color w:val="auto"/>
          <w:sz w:val="28"/>
          <w:szCs w:val="28"/>
          <w:lang w:bidi="ar"/>
        </w:rPr>
        <w:t>10月，受国庆假期的影响，成交小幅下滑</w:t>
      </w:r>
      <w:r>
        <w:rPr>
          <w:rFonts w:hint="eastAsia" w:ascii="Arial" w:hAnsi="Arial" w:eastAsia="仿宋" w:cs="Arial"/>
          <w:color w:val="auto"/>
          <w:sz w:val="28"/>
          <w:szCs w:val="28"/>
          <w:lang w:bidi="ar"/>
        </w:rPr>
        <w:t>。</w:t>
      </w:r>
      <w:r>
        <w:rPr>
          <w:rFonts w:ascii="Arial" w:hAnsi="Arial" w:eastAsia="仿宋" w:cs="Arial"/>
          <w:color w:val="auto"/>
          <w:sz w:val="28"/>
          <w:szCs w:val="28"/>
          <w:lang w:bidi="ar"/>
        </w:rPr>
        <w:t>11月，市场观望情绪浓厚，成交环比下滑</w:t>
      </w:r>
      <w:r>
        <w:rPr>
          <w:rFonts w:hint="eastAsia" w:ascii="Arial" w:hAnsi="Arial" w:eastAsia="仿宋" w:cs="Arial"/>
          <w:color w:val="auto"/>
          <w:sz w:val="28"/>
          <w:szCs w:val="28"/>
          <w:lang w:bidi="ar"/>
        </w:rPr>
        <w:t>。</w:t>
      </w:r>
      <w:r>
        <w:rPr>
          <w:rFonts w:ascii="Arial" w:hAnsi="Arial" w:eastAsia="仿宋" w:cs="Arial"/>
          <w:color w:val="auto"/>
          <w:sz w:val="28"/>
          <w:szCs w:val="28"/>
          <w:lang w:bidi="ar"/>
        </w:rPr>
        <w:t>12月，房企年终业绩冲刺、 叠加放宽非京籍及多孩家庭购房限制等利好因素影响，市场成交回升。</w:t>
      </w:r>
    </w:p>
    <w:p w14:paraId="4561367E">
      <w:pPr>
        <w:widowControl/>
        <w:spacing w:line="360" w:lineRule="auto"/>
        <w:jc w:val="center"/>
        <w:rPr>
          <w:rFonts w:ascii="Arial" w:hAnsi="Arial" w:eastAsia="仿宋" w:cs="Arial"/>
          <w:bCs/>
          <w:color w:val="auto"/>
          <w:sz w:val="28"/>
          <w:szCs w:val="28"/>
        </w:rPr>
      </w:pPr>
      <w:r>
        <w:rPr>
          <w:color w:val="auto"/>
        </w:rPr>
        <w:drawing>
          <wp:inline distT="0" distB="0" distL="114300" distR="114300">
            <wp:extent cx="5909310" cy="1527175"/>
            <wp:effectExtent l="0" t="0" r="3810" b="12065"/>
            <wp:docPr id="1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7"/>
                    <pic:cNvPicPr>
                      <a:picLocks noChangeAspect="1"/>
                    </pic:cNvPicPr>
                  </pic:nvPicPr>
                  <pic:blipFill>
                    <a:blip r:embed="rId50"/>
                    <a:stretch>
                      <a:fillRect/>
                    </a:stretch>
                  </pic:blipFill>
                  <pic:spPr>
                    <a:xfrm>
                      <a:off x="0" y="0"/>
                      <a:ext cx="5909310" cy="1527175"/>
                    </a:xfrm>
                    <a:prstGeom prst="rect">
                      <a:avLst/>
                    </a:prstGeom>
                    <a:noFill/>
                    <a:ln>
                      <a:noFill/>
                    </a:ln>
                  </pic:spPr>
                </pic:pic>
              </a:graphicData>
            </a:graphic>
          </wp:inline>
        </w:drawing>
      </w:r>
    </w:p>
    <w:p w14:paraId="423DACC5">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B.成交价格</w:t>
      </w:r>
    </w:p>
    <w:p w14:paraId="10D2C82D">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a.成交价格</w:t>
      </w:r>
    </w:p>
    <w:p w14:paraId="3800EA4A">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2023年10月以来，北京新</w:t>
      </w:r>
      <w:r>
        <w:rPr>
          <w:rFonts w:hint="eastAsia" w:ascii="Arial" w:hAnsi="Arial" w:eastAsia="仿宋" w:cs="Arial"/>
          <w:color w:val="auto"/>
          <w:sz w:val="28"/>
          <w:szCs w:val="28"/>
          <w:lang w:bidi="ar"/>
        </w:rPr>
        <w:t>建商品房</w:t>
      </w:r>
      <w:r>
        <w:rPr>
          <w:rFonts w:ascii="Arial" w:hAnsi="Arial" w:eastAsia="仿宋" w:cs="Arial"/>
          <w:color w:val="auto"/>
          <w:sz w:val="28"/>
          <w:szCs w:val="28"/>
          <w:lang w:bidi="ar"/>
        </w:rPr>
        <w:t>房价进入下跌通道，2024年和2025年北京新房房价累计跌幅分别为5.4个百分点和2.4个百分点。 2025年新房房价跌幅较2024年出现收窄，但整体仍处于下跌区间，10月份以来新房房价跌幅出现扩大，11月北京新房房价环比下跌 0.5%。</w:t>
      </w:r>
    </w:p>
    <w:p w14:paraId="5FB820D9">
      <w:pPr>
        <w:widowControl/>
        <w:spacing w:line="360" w:lineRule="auto"/>
        <w:jc w:val="center"/>
        <w:rPr>
          <w:color w:val="auto"/>
        </w:rPr>
      </w:pPr>
      <w:r>
        <w:rPr>
          <w:color w:val="auto"/>
        </w:rPr>
        <w:drawing>
          <wp:inline distT="0" distB="0" distL="114300" distR="114300">
            <wp:extent cx="5142865" cy="2837815"/>
            <wp:effectExtent l="0" t="0" r="8255" b="12065"/>
            <wp:docPr id="1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8"/>
                    <pic:cNvPicPr>
                      <a:picLocks noChangeAspect="1"/>
                    </pic:cNvPicPr>
                  </pic:nvPicPr>
                  <pic:blipFill>
                    <a:blip r:embed="rId51"/>
                    <a:stretch>
                      <a:fillRect/>
                    </a:stretch>
                  </pic:blipFill>
                  <pic:spPr>
                    <a:xfrm>
                      <a:off x="0" y="0"/>
                      <a:ext cx="5142865" cy="2837815"/>
                    </a:xfrm>
                    <a:prstGeom prst="rect">
                      <a:avLst/>
                    </a:prstGeom>
                    <a:noFill/>
                    <a:ln>
                      <a:noFill/>
                    </a:ln>
                  </pic:spPr>
                </pic:pic>
              </a:graphicData>
            </a:graphic>
          </wp:inline>
        </w:drawing>
      </w:r>
    </w:p>
    <w:p w14:paraId="44141803">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从各面积段来看，</w:t>
      </w:r>
      <w:r>
        <w:rPr>
          <w:rFonts w:ascii="Arial" w:hAnsi="Arial" w:eastAsia="仿宋" w:cs="Arial"/>
          <w:color w:val="auto"/>
          <w:sz w:val="28"/>
          <w:szCs w:val="28"/>
          <w:lang w:bidi="ar"/>
        </w:rPr>
        <w:t>小户型价格跌幅相对较大，大户型价格相对坚挺。2025年，北京90㎡及以下面积段新房房价累计下跌3.7个百分点； 90</w:t>
      </w:r>
      <w:r>
        <w:rPr>
          <w:rFonts w:hint="eastAsia" w:ascii="Arial" w:hAnsi="Arial" w:eastAsia="仿宋" w:cs="Arial"/>
          <w:color w:val="auto"/>
          <w:sz w:val="28"/>
          <w:szCs w:val="28"/>
          <w:lang w:bidi="ar"/>
        </w:rPr>
        <w:t>－</w:t>
      </w:r>
      <w:r>
        <w:rPr>
          <w:rFonts w:ascii="Arial" w:hAnsi="Arial" w:eastAsia="仿宋" w:cs="Arial"/>
          <w:color w:val="auto"/>
          <w:sz w:val="28"/>
          <w:szCs w:val="28"/>
          <w:lang w:bidi="ar"/>
        </w:rPr>
        <w:t>144平新房房价累计下跌2.9个百分点；144平以上大户型新房房价累计下跌1.3个百分点。</w:t>
      </w:r>
    </w:p>
    <w:p w14:paraId="7DCF25C8">
      <w:pPr>
        <w:widowControl/>
        <w:spacing w:line="360" w:lineRule="auto"/>
        <w:jc w:val="center"/>
        <w:rPr>
          <w:rFonts w:ascii="Arial" w:hAnsi="Arial" w:eastAsia="仿宋" w:cs="Arial"/>
          <w:bCs/>
          <w:color w:val="auto"/>
          <w:sz w:val="28"/>
          <w:szCs w:val="28"/>
        </w:rPr>
      </w:pPr>
      <w:r>
        <w:rPr>
          <w:color w:val="auto"/>
        </w:rPr>
        <w:drawing>
          <wp:inline distT="0" distB="0" distL="114300" distR="114300">
            <wp:extent cx="4723765" cy="2771140"/>
            <wp:effectExtent l="0" t="0" r="635" b="2540"/>
            <wp:docPr id="1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9"/>
                    <pic:cNvPicPr>
                      <a:picLocks noChangeAspect="1"/>
                    </pic:cNvPicPr>
                  </pic:nvPicPr>
                  <pic:blipFill>
                    <a:blip r:embed="rId52"/>
                    <a:stretch>
                      <a:fillRect/>
                    </a:stretch>
                  </pic:blipFill>
                  <pic:spPr>
                    <a:xfrm>
                      <a:off x="0" y="0"/>
                      <a:ext cx="4723765" cy="2771140"/>
                    </a:xfrm>
                    <a:prstGeom prst="rect">
                      <a:avLst/>
                    </a:prstGeom>
                    <a:noFill/>
                    <a:ln>
                      <a:noFill/>
                    </a:ln>
                  </pic:spPr>
                </pic:pic>
              </a:graphicData>
            </a:graphic>
          </wp:inline>
        </w:drawing>
      </w:r>
    </w:p>
    <w:p w14:paraId="7EB813D0">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b.成交结构</w:t>
      </w:r>
    </w:p>
    <w:p w14:paraId="4D66670E">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2025年，新房以改善需求为主，中高面积段、中高价位段为市场成交主力，</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房对刚需客户分流明显。</w:t>
      </w:r>
    </w:p>
    <w:p w14:paraId="66FF0F68">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新房主力成交面积段上移，中高面积段占比大幅提升。2025年，北京商品住宅（不含保障房）中高面积成交套数占比升至71.5%，同比上升 4.2个百分点；中低面积段产品成交占比下滑4.0个百分点。细分来看，90</w:t>
      </w:r>
      <w:r>
        <w:rPr>
          <w:rFonts w:hint="eastAsia" w:ascii="Arial" w:hAnsi="Arial" w:eastAsia="仿宋" w:cs="Arial"/>
          <w:color w:val="auto"/>
          <w:sz w:val="28"/>
          <w:szCs w:val="28"/>
          <w:lang w:bidi="ar"/>
        </w:rPr>
        <w:t>－</w:t>
      </w:r>
      <w:r>
        <w:rPr>
          <w:rFonts w:ascii="Arial" w:hAnsi="Arial" w:eastAsia="仿宋" w:cs="Arial"/>
          <w:color w:val="auto"/>
          <w:sz w:val="28"/>
          <w:szCs w:val="28"/>
          <w:lang w:bidi="ar"/>
        </w:rPr>
        <w:t>120平以及120</w:t>
      </w:r>
      <w:r>
        <w:rPr>
          <w:rFonts w:hint="eastAsia" w:ascii="Arial" w:hAnsi="Arial" w:eastAsia="仿宋" w:cs="Arial"/>
          <w:color w:val="auto"/>
          <w:sz w:val="28"/>
          <w:szCs w:val="28"/>
          <w:lang w:bidi="ar"/>
        </w:rPr>
        <w:t>－</w:t>
      </w:r>
      <w:r>
        <w:rPr>
          <w:rFonts w:ascii="Arial" w:hAnsi="Arial" w:eastAsia="仿宋" w:cs="Arial"/>
          <w:color w:val="auto"/>
          <w:sz w:val="28"/>
          <w:szCs w:val="28"/>
          <w:lang w:bidi="ar"/>
        </w:rPr>
        <w:t>160平面积段产品成为北京商品住宅成交主力，成交套数占比分别为36.2%和27.6%。</w:t>
      </w:r>
    </w:p>
    <w:p w14:paraId="6C0F1E9A">
      <w:pPr>
        <w:widowControl/>
        <w:spacing w:line="360" w:lineRule="auto"/>
        <w:jc w:val="center"/>
        <w:rPr>
          <w:rFonts w:ascii="Arial" w:hAnsi="Arial" w:eastAsia="仿宋" w:cs="Arial"/>
          <w:bCs/>
          <w:color w:val="auto"/>
          <w:sz w:val="28"/>
          <w:szCs w:val="28"/>
        </w:rPr>
      </w:pPr>
      <w:r>
        <w:rPr>
          <w:color w:val="auto"/>
        </w:rPr>
        <w:drawing>
          <wp:inline distT="0" distB="0" distL="114300" distR="114300">
            <wp:extent cx="4409440" cy="3171190"/>
            <wp:effectExtent l="0" t="0" r="10160" b="13970"/>
            <wp:docPr id="6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0"/>
                    <pic:cNvPicPr>
                      <a:picLocks noChangeAspect="1"/>
                    </pic:cNvPicPr>
                  </pic:nvPicPr>
                  <pic:blipFill>
                    <a:blip r:embed="rId53"/>
                    <a:stretch>
                      <a:fillRect/>
                    </a:stretch>
                  </pic:blipFill>
                  <pic:spPr>
                    <a:xfrm>
                      <a:off x="0" y="0"/>
                      <a:ext cx="4409440" cy="3171190"/>
                    </a:xfrm>
                    <a:prstGeom prst="rect">
                      <a:avLst/>
                    </a:prstGeom>
                    <a:noFill/>
                    <a:ln>
                      <a:noFill/>
                    </a:ln>
                  </pic:spPr>
                </pic:pic>
              </a:graphicData>
            </a:graphic>
          </wp:inline>
        </w:drawing>
      </w:r>
    </w:p>
    <w:p w14:paraId="16790C0B">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高价位段产品占比提升，中高价位段产品占比保持平稳。2025年，在海淀、朝阳等高端项目带动下，高价位段产品成交占比提升3.6个百分点至14.4%；中高价位段产品占比保持平稳，而中低价位段产品占比进一步下滑至39.3%。</w:t>
      </w:r>
    </w:p>
    <w:p w14:paraId="5FA97AAE">
      <w:pPr>
        <w:widowControl/>
        <w:spacing w:line="360" w:lineRule="auto"/>
        <w:jc w:val="center"/>
        <w:rPr>
          <w:rFonts w:ascii="Arial" w:hAnsi="Arial" w:eastAsia="仿宋" w:cs="Arial"/>
          <w:bCs/>
          <w:color w:val="auto"/>
          <w:sz w:val="28"/>
          <w:szCs w:val="28"/>
        </w:rPr>
      </w:pPr>
      <w:r>
        <w:rPr>
          <w:color w:val="auto"/>
        </w:rPr>
        <w:drawing>
          <wp:inline distT="0" distB="0" distL="114300" distR="114300">
            <wp:extent cx="5180965" cy="3104515"/>
            <wp:effectExtent l="0" t="0" r="635" b="4445"/>
            <wp:docPr id="7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1"/>
                    <pic:cNvPicPr>
                      <a:picLocks noChangeAspect="1"/>
                    </pic:cNvPicPr>
                  </pic:nvPicPr>
                  <pic:blipFill>
                    <a:blip r:embed="rId54"/>
                    <a:stretch>
                      <a:fillRect/>
                    </a:stretch>
                  </pic:blipFill>
                  <pic:spPr>
                    <a:xfrm>
                      <a:off x="0" y="0"/>
                      <a:ext cx="5180965" cy="3104515"/>
                    </a:xfrm>
                    <a:prstGeom prst="rect">
                      <a:avLst/>
                    </a:prstGeom>
                    <a:noFill/>
                    <a:ln>
                      <a:noFill/>
                    </a:ln>
                  </pic:spPr>
                </pic:pic>
              </a:graphicData>
            </a:graphic>
          </wp:inline>
        </w:drawing>
      </w:r>
    </w:p>
    <w:p w14:paraId="7864E29D">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C.区域成交</w:t>
      </w:r>
    </w:p>
    <w:p w14:paraId="7D2E6EE3">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从区域成交规模来看，2025年中心城区</w:t>
      </w:r>
      <w:r>
        <w:rPr>
          <w:rFonts w:hint="eastAsia" w:ascii="Arial" w:hAnsi="Arial" w:eastAsia="仿宋" w:cs="Arial"/>
          <w:color w:val="auto"/>
          <w:sz w:val="28"/>
          <w:szCs w:val="28"/>
          <w:lang w:bidi="ar"/>
        </w:rPr>
        <w:t>（含核心区）</w:t>
      </w:r>
      <w:r>
        <w:rPr>
          <w:rFonts w:ascii="Arial" w:hAnsi="Arial" w:eastAsia="仿宋" w:cs="Arial"/>
          <w:color w:val="auto"/>
          <w:sz w:val="28"/>
          <w:szCs w:val="28"/>
          <w:lang w:bidi="ar"/>
        </w:rPr>
        <w:t>成交面积同比增长8%，占比提升6.6个百分点至41.9%。其中朝阳区成交规模超62万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居首位；在功德寺、朱房等项目带动下，海淀区成交规模同比大幅提升；近郊六区依然为北京新房成交主力区域，但成交面积同比下降20%，占比下滑至6.8个百分点至52.2%。在中建运河玖院、朝棠揽阅、长安华曦府等热点项目带动下，通州、门头沟同比增长。</w:t>
      </w:r>
    </w:p>
    <w:p w14:paraId="5169D652">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从区域成交</w:t>
      </w:r>
      <w:r>
        <w:rPr>
          <w:rFonts w:hint="eastAsia" w:ascii="Arial" w:hAnsi="Arial" w:eastAsia="仿宋" w:cs="Arial"/>
          <w:color w:val="auto"/>
          <w:sz w:val="28"/>
          <w:szCs w:val="28"/>
          <w:lang w:bidi="ar"/>
        </w:rPr>
        <w:t>价</w:t>
      </w:r>
      <w:r>
        <w:rPr>
          <w:rFonts w:ascii="Arial" w:hAnsi="Arial" w:eastAsia="仿宋" w:cs="Arial"/>
          <w:color w:val="auto"/>
          <w:sz w:val="28"/>
          <w:szCs w:val="28"/>
          <w:lang w:bidi="ar"/>
        </w:rPr>
        <w:t>来看，2025年北京中心城区</w:t>
      </w:r>
      <w:r>
        <w:rPr>
          <w:rFonts w:hint="eastAsia" w:ascii="Arial" w:hAnsi="Arial" w:eastAsia="仿宋" w:cs="Arial"/>
          <w:color w:val="auto"/>
          <w:sz w:val="28"/>
          <w:szCs w:val="28"/>
          <w:lang w:bidi="ar"/>
        </w:rPr>
        <w:t>（含核心区）</w:t>
      </w:r>
      <w:r>
        <w:rPr>
          <w:rFonts w:ascii="Arial" w:hAnsi="Arial" w:eastAsia="仿宋" w:cs="Arial"/>
          <w:color w:val="auto"/>
          <w:sz w:val="28"/>
          <w:szCs w:val="28"/>
          <w:lang w:bidi="ar"/>
        </w:rPr>
        <w:t>成交均价为83430元/</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，同比基本持平，其中海淀、朝阳成交均价同比上涨；近郊六区成交均价同比保持平稳，通州区同比小幅上涨1%，其他区成交均价同比下跌。</w:t>
      </w:r>
    </w:p>
    <w:p w14:paraId="77CFF93D">
      <w:pPr>
        <w:widowControl/>
        <w:spacing w:line="360" w:lineRule="auto"/>
        <w:jc w:val="center"/>
        <w:rPr>
          <w:rFonts w:ascii="Arial" w:hAnsi="Arial" w:eastAsia="仿宋" w:cs="Arial"/>
          <w:bCs/>
          <w:color w:val="auto"/>
          <w:sz w:val="28"/>
          <w:szCs w:val="28"/>
        </w:rPr>
      </w:pPr>
      <w:r>
        <w:rPr>
          <w:color w:val="auto"/>
        </w:rPr>
        <w:drawing>
          <wp:inline distT="0" distB="0" distL="114300" distR="114300">
            <wp:extent cx="5903595" cy="1983105"/>
            <wp:effectExtent l="0" t="0" r="9525" b="13335"/>
            <wp:docPr id="74" name="图片 22"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2" descr="222"/>
                    <pic:cNvPicPr>
                      <a:picLocks noChangeAspect="1"/>
                    </pic:cNvPicPr>
                  </pic:nvPicPr>
                  <pic:blipFill>
                    <a:blip r:embed="rId55"/>
                    <a:stretch>
                      <a:fillRect/>
                    </a:stretch>
                  </pic:blipFill>
                  <pic:spPr>
                    <a:xfrm>
                      <a:off x="0" y="0"/>
                      <a:ext cx="5903595" cy="1983105"/>
                    </a:xfrm>
                    <a:prstGeom prst="rect">
                      <a:avLst/>
                    </a:prstGeom>
                    <a:noFill/>
                    <a:ln>
                      <a:noFill/>
                    </a:ln>
                  </pic:spPr>
                </pic:pic>
              </a:graphicData>
            </a:graphic>
          </wp:inline>
        </w:drawing>
      </w:r>
    </w:p>
    <w:p w14:paraId="039A91F2">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（3）存量房住宅市场</w:t>
      </w:r>
    </w:p>
    <w:p w14:paraId="18AEA57E">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1）市场运行状况</w:t>
      </w:r>
    </w:p>
    <w:p w14:paraId="7F4521CC">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2025年上半年，北京</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商品住宅新增挂牌持续处于较高水平；下半年新增挂牌规模回落，9月新增挂牌升至下半年高位，四季度新增挂牌持续回落。5月以来累计挂牌量持续处于高位水平，</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房市场明显供大于求。截止到2025年12月，北京</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商品住宅存量挂牌套数为13.69万套，较年初增加8.5%。</w:t>
      </w:r>
    </w:p>
    <w:p w14:paraId="458C8C42">
      <w:pPr>
        <w:widowControl/>
        <w:spacing w:line="360" w:lineRule="auto"/>
        <w:jc w:val="center"/>
        <w:rPr>
          <w:rFonts w:ascii="Arial" w:hAnsi="Arial" w:eastAsia="仿宋" w:cs="Arial"/>
          <w:bCs/>
          <w:color w:val="auto"/>
          <w:sz w:val="28"/>
          <w:szCs w:val="28"/>
        </w:rPr>
      </w:pPr>
      <w:r>
        <w:rPr>
          <w:color w:val="auto"/>
        </w:rPr>
        <w:drawing>
          <wp:inline distT="0" distB="0" distL="114300" distR="114300">
            <wp:extent cx="5304790" cy="2790190"/>
            <wp:effectExtent l="0" t="0" r="13970" b="13970"/>
            <wp:docPr id="7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3"/>
                    <pic:cNvPicPr>
                      <a:picLocks noChangeAspect="1"/>
                    </pic:cNvPicPr>
                  </pic:nvPicPr>
                  <pic:blipFill>
                    <a:blip r:embed="rId56"/>
                    <a:stretch>
                      <a:fillRect/>
                    </a:stretch>
                  </pic:blipFill>
                  <pic:spPr>
                    <a:xfrm>
                      <a:off x="0" y="0"/>
                      <a:ext cx="5304790" cy="2790190"/>
                    </a:xfrm>
                    <a:prstGeom prst="rect">
                      <a:avLst/>
                    </a:prstGeom>
                    <a:noFill/>
                    <a:ln>
                      <a:noFill/>
                    </a:ln>
                  </pic:spPr>
                </pic:pic>
              </a:graphicData>
            </a:graphic>
          </wp:inline>
        </w:drawing>
      </w:r>
    </w:p>
    <w:p w14:paraId="53990128">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2025年，北京</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房市场成交活跃，全年</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商品住宅累计成交17.43万套，同比微降0.8%，连续两年成交超17万套。月度来看，上半年北京</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房市场热度较高，下半年市场热度下滑，8.8楼市新政带动9月成交量回升；四季度</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房市场热度再次回落，12月年底</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房成交集中释放，叠加放松限购政策带动，1</w:t>
      </w:r>
      <w:r>
        <w:rPr>
          <w:rFonts w:hint="eastAsia" w:ascii="Arial" w:hAnsi="Arial" w:eastAsia="仿宋" w:cs="Arial"/>
          <w:color w:val="auto"/>
          <w:sz w:val="28"/>
          <w:szCs w:val="28"/>
          <w:lang w:bidi="ar"/>
        </w:rPr>
        <w:t>2</w:t>
      </w:r>
      <w:r>
        <w:rPr>
          <w:rFonts w:ascii="Arial" w:hAnsi="Arial" w:eastAsia="仿宋" w:cs="Arial"/>
          <w:color w:val="auto"/>
          <w:sz w:val="28"/>
          <w:szCs w:val="28"/>
          <w:lang w:bidi="ar"/>
        </w:rPr>
        <w:t>月市场迎来</w:t>
      </w:r>
      <w:r>
        <w:rPr>
          <w:rFonts w:hint="eastAsia" w:ascii="Arial" w:hAnsi="Arial" w:eastAsia="仿宋" w:cs="Arial"/>
          <w:color w:val="auto"/>
          <w:sz w:val="28"/>
          <w:szCs w:val="28"/>
          <w:lang w:bidi="ar"/>
        </w:rPr>
        <w:t>“</w:t>
      </w:r>
      <w:r>
        <w:rPr>
          <w:rFonts w:ascii="Arial" w:hAnsi="Arial" w:eastAsia="仿宋" w:cs="Arial"/>
          <w:color w:val="auto"/>
          <w:sz w:val="28"/>
          <w:szCs w:val="28"/>
          <w:lang w:bidi="ar"/>
        </w:rPr>
        <w:t>翘尾</w:t>
      </w:r>
      <w:r>
        <w:rPr>
          <w:rFonts w:hint="eastAsia" w:ascii="Arial" w:hAnsi="Arial" w:eastAsia="仿宋" w:cs="Arial"/>
          <w:color w:val="auto"/>
          <w:sz w:val="28"/>
          <w:szCs w:val="28"/>
          <w:lang w:bidi="ar"/>
        </w:rPr>
        <w:t>”</w:t>
      </w:r>
      <w:r>
        <w:rPr>
          <w:rFonts w:ascii="Arial" w:hAnsi="Arial" w:eastAsia="仿宋" w:cs="Arial"/>
          <w:color w:val="auto"/>
          <w:sz w:val="28"/>
          <w:szCs w:val="28"/>
          <w:lang w:bidi="ar"/>
        </w:rPr>
        <w:t>收官，成交17200套，创下全年第二高成交量（仅次于3月小阳春的1.9万套）。</w:t>
      </w:r>
    </w:p>
    <w:p w14:paraId="45523BFE">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从</w:t>
      </w:r>
      <w:r>
        <w:rPr>
          <w:rFonts w:ascii="Arial" w:hAnsi="Arial" w:eastAsia="仿宋" w:cs="Arial"/>
          <w:color w:val="auto"/>
          <w:sz w:val="28"/>
          <w:szCs w:val="28"/>
          <w:lang w:bidi="ar"/>
        </w:rPr>
        <w:t>成交价格</w:t>
      </w:r>
      <w:r>
        <w:rPr>
          <w:rFonts w:hint="eastAsia" w:ascii="Arial" w:hAnsi="Arial" w:eastAsia="仿宋" w:cs="Arial"/>
          <w:color w:val="auto"/>
          <w:sz w:val="28"/>
          <w:szCs w:val="28"/>
          <w:lang w:bidi="ar"/>
        </w:rPr>
        <w:t>看，存量</w:t>
      </w:r>
      <w:r>
        <w:rPr>
          <w:rFonts w:ascii="Arial" w:hAnsi="Arial" w:eastAsia="仿宋" w:cs="Arial"/>
          <w:color w:val="auto"/>
          <w:sz w:val="28"/>
          <w:szCs w:val="28"/>
          <w:lang w:bidi="ar"/>
        </w:rPr>
        <w:t>房市场持续呈现</w:t>
      </w:r>
      <w:r>
        <w:rPr>
          <w:rFonts w:hint="eastAsia" w:ascii="Arial" w:hAnsi="Arial" w:eastAsia="仿宋" w:cs="Arial"/>
          <w:color w:val="auto"/>
          <w:sz w:val="28"/>
          <w:szCs w:val="28"/>
          <w:lang w:bidi="ar"/>
        </w:rPr>
        <w:t>“</w:t>
      </w:r>
      <w:r>
        <w:rPr>
          <w:rFonts w:ascii="Arial" w:hAnsi="Arial" w:eastAsia="仿宋" w:cs="Arial"/>
          <w:color w:val="auto"/>
          <w:sz w:val="28"/>
          <w:szCs w:val="28"/>
          <w:lang w:bidi="ar"/>
        </w:rPr>
        <w:t>以价换量</w:t>
      </w:r>
      <w:r>
        <w:rPr>
          <w:rFonts w:hint="eastAsia" w:ascii="Arial" w:hAnsi="Arial" w:eastAsia="仿宋" w:cs="Arial"/>
          <w:color w:val="auto"/>
          <w:sz w:val="28"/>
          <w:szCs w:val="28"/>
          <w:lang w:bidi="ar"/>
        </w:rPr>
        <w:t>”</w:t>
      </w:r>
      <w:r>
        <w:rPr>
          <w:rFonts w:ascii="Arial" w:hAnsi="Arial" w:eastAsia="仿宋" w:cs="Arial"/>
          <w:color w:val="auto"/>
          <w:sz w:val="28"/>
          <w:szCs w:val="28"/>
          <w:lang w:bidi="ar"/>
        </w:rPr>
        <w:t>特征，2025年二季度以来市场热度回落，</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住宅价格指数持续处于下跌通道，2025年北京</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住宅价格指数累计下跌8.5%。</w:t>
      </w:r>
    </w:p>
    <w:p w14:paraId="2B165B16">
      <w:pPr>
        <w:widowControl/>
        <w:spacing w:line="360" w:lineRule="auto"/>
        <w:jc w:val="center"/>
        <w:rPr>
          <w:rFonts w:ascii="Arial" w:hAnsi="Arial" w:eastAsia="仿宋" w:cs="Arial"/>
          <w:bCs/>
          <w:color w:val="auto"/>
          <w:sz w:val="28"/>
          <w:szCs w:val="28"/>
        </w:rPr>
      </w:pPr>
      <w:r>
        <w:rPr>
          <w:color w:val="auto"/>
        </w:rPr>
        <w:drawing>
          <wp:inline distT="0" distB="0" distL="114300" distR="114300">
            <wp:extent cx="5908040" cy="1624330"/>
            <wp:effectExtent l="0" t="0" r="5080" b="6350"/>
            <wp:docPr id="7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4"/>
                    <pic:cNvPicPr>
                      <a:picLocks noChangeAspect="1"/>
                    </pic:cNvPicPr>
                  </pic:nvPicPr>
                  <pic:blipFill>
                    <a:blip r:embed="rId57"/>
                    <a:stretch>
                      <a:fillRect/>
                    </a:stretch>
                  </pic:blipFill>
                  <pic:spPr>
                    <a:xfrm>
                      <a:off x="0" y="0"/>
                      <a:ext cx="5908040" cy="1624330"/>
                    </a:xfrm>
                    <a:prstGeom prst="rect">
                      <a:avLst/>
                    </a:prstGeom>
                    <a:noFill/>
                    <a:ln>
                      <a:noFill/>
                    </a:ln>
                  </pic:spPr>
                </pic:pic>
              </a:graphicData>
            </a:graphic>
          </wp:inline>
        </w:drawing>
      </w:r>
    </w:p>
    <w:p w14:paraId="462B4496">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2）各区县统计</w:t>
      </w:r>
    </w:p>
    <w:p w14:paraId="58140B12">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分区域来看，</w:t>
      </w: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朝阳区成交量达378万平方米，居各区首位；海淀、丰台、昌平、大兴、</w:t>
      </w:r>
      <w:r>
        <w:rPr>
          <w:rFonts w:hint="eastAsia" w:ascii="Arial" w:hAnsi="Arial" w:eastAsia="仿宋" w:cs="Arial"/>
          <w:color w:val="auto"/>
          <w:sz w:val="28"/>
          <w:szCs w:val="28"/>
          <w:lang w:bidi="ar"/>
        </w:rPr>
        <w:t>通州存量</w:t>
      </w:r>
      <w:r>
        <w:rPr>
          <w:rFonts w:ascii="Arial" w:hAnsi="Arial" w:eastAsia="仿宋" w:cs="Arial"/>
          <w:color w:val="auto"/>
          <w:sz w:val="28"/>
          <w:szCs w:val="28"/>
          <w:lang w:bidi="ar"/>
        </w:rPr>
        <w:t>房市场比较活跃，成交面积均超过100万平方米；同比来看，中心城区、近郊区、远郊区</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房成交规模均同比下降。门头沟、通州、昌平</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房房价跌幅较大。</w:t>
      </w:r>
    </w:p>
    <w:p w14:paraId="550207FD">
      <w:pPr>
        <w:widowControl/>
        <w:spacing w:line="360" w:lineRule="auto"/>
        <w:jc w:val="center"/>
        <w:rPr>
          <w:color w:val="auto"/>
        </w:rPr>
      </w:pPr>
      <w:r>
        <w:rPr>
          <w:color w:val="auto"/>
        </w:rPr>
        <w:drawing>
          <wp:inline distT="0" distB="0" distL="114300" distR="114300">
            <wp:extent cx="5219065" cy="6021070"/>
            <wp:effectExtent l="0" t="0" r="8255" b="13970"/>
            <wp:docPr id="77" name="图片 25"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5" descr="333"/>
                    <pic:cNvPicPr>
                      <a:picLocks noChangeAspect="1"/>
                    </pic:cNvPicPr>
                  </pic:nvPicPr>
                  <pic:blipFill>
                    <a:blip r:embed="rId58"/>
                    <a:stretch>
                      <a:fillRect/>
                    </a:stretch>
                  </pic:blipFill>
                  <pic:spPr>
                    <a:xfrm>
                      <a:off x="0" y="0"/>
                      <a:ext cx="5219065" cy="6021070"/>
                    </a:xfrm>
                    <a:prstGeom prst="rect">
                      <a:avLst/>
                    </a:prstGeom>
                    <a:noFill/>
                    <a:ln>
                      <a:noFill/>
                    </a:ln>
                  </pic:spPr>
                </pic:pic>
              </a:graphicData>
            </a:graphic>
          </wp:inline>
        </w:drawing>
      </w:r>
    </w:p>
    <w:p w14:paraId="474D4F59">
      <w:pPr>
        <w:widowControl/>
        <w:spacing w:line="360" w:lineRule="auto"/>
        <w:jc w:val="center"/>
        <w:rPr>
          <w:rFonts w:ascii="Arial" w:hAnsi="Arial" w:eastAsia="仿宋" w:cs="Arial"/>
          <w:bCs/>
          <w:color w:val="auto"/>
          <w:sz w:val="28"/>
          <w:szCs w:val="28"/>
        </w:rPr>
      </w:pPr>
    </w:p>
    <w:p w14:paraId="4D6E5A9B">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整体来看，2025年</w:t>
      </w:r>
      <w:r>
        <w:rPr>
          <w:rFonts w:hint="eastAsia" w:ascii="Arial" w:hAnsi="Arial" w:eastAsia="仿宋" w:cs="Arial"/>
          <w:color w:val="auto"/>
          <w:sz w:val="28"/>
          <w:szCs w:val="28"/>
          <w:lang w:bidi="ar"/>
        </w:rPr>
        <w:t>，</w:t>
      </w:r>
      <w:r>
        <w:rPr>
          <w:rFonts w:ascii="Arial" w:hAnsi="Arial" w:eastAsia="仿宋" w:cs="Arial"/>
          <w:color w:val="auto"/>
          <w:sz w:val="28"/>
          <w:szCs w:val="28"/>
          <w:lang w:bidi="ar"/>
        </w:rPr>
        <w:t>北京商品住宅（新建</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）累计成交面积为2093.97万</w:t>
      </w:r>
      <w:r>
        <w:rPr>
          <w:rFonts w:hint="eastAsia" w:ascii="Arial" w:hAnsi="Arial" w:eastAsia="仿宋" w:cs="Arial"/>
          <w:color w:val="auto"/>
          <w:sz w:val="28"/>
          <w:szCs w:val="28"/>
          <w:lang w:bidi="ar"/>
        </w:rPr>
        <w:t>平方米</w:t>
      </w:r>
      <w:r>
        <w:rPr>
          <w:rFonts w:ascii="Arial" w:hAnsi="Arial" w:eastAsia="仿宋" w:cs="Arial"/>
          <w:color w:val="auto"/>
          <w:sz w:val="28"/>
          <w:szCs w:val="28"/>
          <w:lang w:bidi="ar"/>
        </w:rPr>
        <w:t>，同比下降3.8%。2023</w:t>
      </w:r>
      <w:r>
        <w:rPr>
          <w:rFonts w:hint="eastAsia" w:ascii="Arial" w:hAnsi="Arial" w:eastAsia="仿宋" w:cs="Arial"/>
          <w:color w:val="auto"/>
          <w:sz w:val="28"/>
          <w:szCs w:val="28"/>
          <w:lang w:bidi="ar"/>
        </w:rPr>
        <w:t>－</w:t>
      </w:r>
      <w:r>
        <w:rPr>
          <w:rFonts w:ascii="Arial" w:hAnsi="Arial" w:eastAsia="仿宋" w:cs="Arial"/>
          <w:color w:val="auto"/>
          <w:sz w:val="28"/>
          <w:szCs w:val="28"/>
          <w:lang w:bidi="ar"/>
        </w:rPr>
        <w:t>2025年北京住宅市场累计成交规模位于2100万平方米左右，整体成交规模保持相对平稳。但市场分化明显，2022年以来新房市场表现相对较冷，新房成交规模呈现持续减少走势；而</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房市场活跃度较高，近两年成交套数均超17万套。</w:t>
      </w:r>
    </w:p>
    <w:p w14:paraId="04A05DED">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从</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房成交占比来看，2022年以来</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房成交占比呈现持续上升趋势，2025年占比上升至81%，再创历史新高水平，对新房市场形成明显的分流效应。</w:t>
      </w:r>
    </w:p>
    <w:p w14:paraId="6DAC2DD3">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rPr>
        <w:drawing>
          <wp:inline distT="0" distB="0" distL="114300" distR="114300">
            <wp:extent cx="4572000" cy="2743200"/>
            <wp:effectExtent l="4445" t="4445" r="10795" b="10795"/>
            <wp:docPr id="78" name="图表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34539DC">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（4）未来市场预期</w:t>
      </w:r>
    </w:p>
    <w:p w14:paraId="3CABBD0A">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未来北京市住宅市场预计将呈现</w:t>
      </w:r>
      <w:r>
        <w:rPr>
          <w:rFonts w:hint="eastAsia" w:ascii="Arial" w:hAnsi="Arial" w:eastAsia="仿宋" w:cs="Arial"/>
          <w:color w:val="auto"/>
          <w:sz w:val="28"/>
          <w:szCs w:val="28"/>
          <w:lang w:bidi="ar"/>
        </w:rPr>
        <w:t>“</w:t>
      </w:r>
      <w:r>
        <w:rPr>
          <w:rFonts w:ascii="Arial" w:hAnsi="Arial" w:eastAsia="仿宋" w:cs="Arial"/>
          <w:color w:val="auto"/>
          <w:sz w:val="28"/>
          <w:szCs w:val="28"/>
          <w:lang w:bidi="ar"/>
        </w:rPr>
        <w:t>整体趋稳、内部分化、渐进转型</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的演变趋势。在中央</w:t>
      </w:r>
      <w:r>
        <w:rPr>
          <w:rFonts w:hint="eastAsia" w:ascii="Arial" w:hAnsi="Arial" w:eastAsia="仿宋" w:cs="Arial"/>
          <w:color w:val="auto"/>
          <w:sz w:val="28"/>
          <w:szCs w:val="28"/>
          <w:lang w:bidi="ar"/>
        </w:rPr>
        <w:t>“</w:t>
      </w:r>
      <w:r>
        <w:rPr>
          <w:rFonts w:ascii="Arial" w:hAnsi="Arial" w:eastAsia="仿宋" w:cs="Arial"/>
          <w:color w:val="auto"/>
          <w:sz w:val="28"/>
          <w:szCs w:val="28"/>
          <w:lang w:bidi="ar"/>
        </w:rPr>
        <w:t>稳定预期、缩短调整</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的定调下，北京政策将继续以渐进式优化为主。一方面，限购政策预计将进一步放松（如五环内政策优化），公积金支持力度有望加大，以降低购房门槛、释放改善性需求。另一方面，供给端将持续推进</w:t>
      </w:r>
      <w:r>
        <w:rPr>
          <w:rFonts w:hint="eastAsia" w:ascii="Arial" w:hAnsi="Arial" w:eastAsia="仿宋" w:cs="Arial"/>
          <w:color w:val="auto"/>
          <w:sz w:val="28"/>
          <w:szCs w:val="28"/>
          <w:lang w:bidi="ar"/>
        </w:rPr>
        <w:t>“</w:t>
      </w:r>
      <w:r>
        <w:rPr>
          <w:rFonts w:ascii="Arial" w:hAnsi="Arial" w:eastAsia="仿宋" w:cs="Arial"/>
          <w:color w:val="auto"/>
          <w:sz w:val="28"/>
          <w:szCs w:val="28"/>
          <w:lang w:bidi="ar"/>
        </w:rPr>
        <w:t>好房子</w:t>
      </w:r>
      <w:r>
        <w:rPr>
          <w:rFonts w:hint="eastAsia" w:ascii="Arial" w:hAnsi="Arial" w:eastAsia="仿宋" w:cs="Arial"/>
          <w:color w:val="auto"/>
          <w:sz w:val="28"/>
          <w:szCs w:val="28"/>
          <w:lang w:bidi="ar"/>
        </w:rPr>
        <w:t>”</w:t>
      </w:r>
      <w:r>
        <w:rPr>
          <w:rFonts w:ascii="Arial" w:hAnsi="Arial" w:eastAsia="仿宋" w:cs="Arial"/>
          <w:color w:val="auto"/>
          <w:sz w:val="28"/>
          <w:szCs w:val="28"/>
          <w:lang w:bidi="ar"/>
        </w:rPr>
        <w:t>建设，通过品质提升和空间创新推动住房供给侧改革，并完善</w:t>
      </w:r>
      <w:r>
        <w:rPr>
          <w:rFonts w:hint="eastAsia" w:ascii="Arial" w:hAnsi="Arial" w:eastAsia="仿宋" w:cs="Arial"/>
          <w:color w:val="auto"/>
          <w:sz w:val="28"/>
          <w:szCs w:val="28"/>
          <w:lang w:bidi="ar"/>
        </w:rPr>
        <w:t>“</w:t>
      </w:r>
      <w:r>
        <w:rPr>
          <w:rFonts w:ascii="Arial" w:hAnsi="Arial" w:eastAsia="仿宋" w:cs="Arial"/>
          <w:color w:val="auto"/>
          <w:sz w:val="28"/>
          <w:szCs w:val="28"/>
          <w:lang w:bidi="ar"/>
        </w:rPr>
        <w:t>市场</w:t>
      </w:r>
      <w:r>
        <w:rPr>
          <w:rFonts w:hint="eastAsia" w:ascii="Arial" w:hAnsi="Arial" w:eastAsia="仿宋" w:cs="Arial"/>
          <w:color w:val="auto"/>
          <w:sz w:val="28"/>
          <w:szCs w:val="28"/>
          <w:lang w:bidi="ar"/>
        </w:rPr>
        <w:t>＋</w:t>
      </w:r>
      <w:r>
        <w:rPr>
          <w:rFonts w:ascii="Arial" w:hAnsi="Arial" w:eastAsia="仿宋" w:cs="Arial"/>
          <w:color w:val="auto"/>
          <w:sz w:val="28"/>
          <w:szCs w:val="28"/>
          <w:lang w:bidi="ar"/>
        </w:rPr>
        <w:t>保障</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的供应体系。</w:t>
      </w:r>
      <w:r>
        <w:rPr>
          <w:rFonts w:hint="eastAsia" w:ascii="Arial" w:hAnsi="Arial" w:eastAsia="仿宋" w:cs="Arial"/>
          <w:color w:val="auto"/>
          <w:sz w:val="28"/>
          <w:szCs w:val="28"/>
          <w:lang w:bidi="ar"/>
        </w:rPr>
        <w:t>同时，</w:t>
      </w:r>
      <w:r>
        <w:rPr>
          <w:rFonts w:ascii="Arial" w:hAnsi="Arial" w:eastAsia="仿宋" w:cs="Arial"/>
          <w:color w:val="auto"/>
          <w:sz w:val="28"/>
          <w:szCs w:val="28"/>
          <w:lang w:bidi="ar"/>
        </w:rPr>
        <w:t>新房与</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房分化将持续加剧。新房市场成交规模预计在低位波动，但核心区域优质改善项目凭借稀缺资源与产品力，将继续支撑价格结构性上涨，市场重心进一步向中高面积段、高总价产品集中。</w:t>
      </w:r>
      <w:r>
        <w:rPr>
          <w:rFonts w:hint="eastAsia" w:ascii="Arial" w:hAnsi="Arial" w:eastAsia="仿宋" w:cs="Arial"/>
          <w:color w:val="auto"/>
          <w:sz w:val="28"/>
          <w:szCs w:val="28"/>
          <w:lang w:bidi="ar"/>
        </w:rPr>
        <w:t>存量</w:t>
      </w:r>
      <w:r>
        <w:rPr>
          <w:rFonts w:ascii="Arial" w:hAnsi="Arial" w:eastAsia="仿宋" w:cs="Arial"/>
          <w:color w:val="auto"/>
          <w:sz w:val="28"/>
          <w:szCs w:val="28"/>
          <w:lang w:bidi="ar"/>
        </w:rPr>
        <w:t>房市场则继续承担市场交易主体角色，但</w:t>
      </w:r>
      <w:r>
        <w:rPr>
          <w:rFonts w:hint="eastAsia" w:ascii="Arial" w:hAnsi="Arial" w:eastAsia="仿宋" w:cs="Arial"/>
          <w:color w:val="auto"/>
          <w:sz w:val="28"/>
          <w:szCs w:val="28"/>
          <w:lang w:bidi="ar"/>
        </w:rPr>
        <w:t>“</w:t>
      </w:r>
      <w:r>
        <w:rPr>
          <w:rFonts w:ascii="Arial" w:hAnsi="Arial" w:eastAsia="仿宋" w:cs="Arial"/>
          <w:color w:val="auto"/>
          <w:sz w:val="28"/>
          <w:szCs w:val="28"/>
          <w:lang w:bidi="ar"/>
        </w:rPr>
        <w:t>以价换量</w:t>
      </w:r>
      <w:r>
        <w:rPr>
          <w:rFonts w:hint="eastAsia" w:ascii="Arial" w:hAnsi="Arial" w:eastAsia="仿宋" w:cs="Arial"/>
          <w:color w:val="auto"/>
          <w:sz w:val="28"/>
          <w:szCs w:val="28"/>
          <w:lang w:bidi="ar"/>
        </w:rPr>
        <w:t>”</w:t>
      </w:r>
      <w:r>
        <w:rPr>
          <w:rFonts w:ascii="Arial" w:hAnsi="Arial" w:eastAsia="仿宋" w:cs="Arial"/>
          <w:color w:val="auto"/>
          <w:sz w:val="28"/>
          <w:szCs w:val="28"/>
          <w:lang w:bidi="ar"/>
        </w:rPr>
        <w:t>态势难以扭转，价格仍面临下行压力，并对新房市场形成持续分流。土地市场热度分化显著，核心区优质地块受追捧，非核心区域多以底价成交，预示着未来住房供应将进一步向</w:t>
      </w:r>
      <w:r>
        <w:rPr>
          <w:rFonts w:hint="eastAsia" w:ascii="Arial" w:hAnsi="Arial" w:eastAsia="仿宋" w:cs="Arial"/>
          <w:color w:val="auto"/>
          <w:sz w:val="28"/>
          <w:szCs w:val="28"/>
          <w:lang w:bidi="ar"/>
        </w:rPr>
        <w:t>“</w:t>
      </w:r>
      <w:r>
        <w:rPr>
          <w:rFonts w:ascii="Arial" w:hAnsi="Arial" w:eastAsia="仿宋" w:cs="Arial"/>
          <w:color w:val="auto"/>
          <w:sz w:val="28"/>
          <w:szCs w:val="28"/>
          <w:lang w:bidi="ar"/>
        </w:rPr>
        <w:t>高品质、好区位</w:t>
      </w:r>
      <w:r>
        <w:rPr>
          <w:rFonts w:hint="eastAsia" w:ascii="Arial" w:hAnsi="Arial" w:eastAsia="仿宋" w:cs="Arial"/>
          <w:color w:val="auto"/>
          <w:sz w:val="28"/>
          <w:szCs w:val="28"/>
          <w:lang w:bidi="ar"/>
        </w:rPr>
        <w:t>”</w:t>
      </w:r>
      <w:r>
        <w:rPr>
          <w:rFonts w:ascii="Arial" w:hAnsi="Arial" w:eastAsia="仿宋" w:cs="Arial"/>
          <w:color w:val="auto"/>
          <w:sz w:val="28"/>
          <w:szCs w:val="28"/>
          <w:lang w:bidi="ar"/>
        </w:rPr>
        <w:t>倾斜。总体而言，北京住宅市场正从规模扩张转向品质与结构优化阶段，在政策托底与市场自发性调整的双重作用下，逐步向</w:t>
      </w:r>
      <w:r>
        <w:rPr>
          <w:rFonts w:hint="eastAsia" w:ascii="Arial" w:hAnsi="Arial" w:eastAsia="仿宋" w:cs="Arial"/>
          <w:color w:val="auto"/>
          <w:sz w:val="28"/>
          <w:szCs w:val="28"/>
          <w:lang w:bidi="ar"/>
        </w:rPr>
        <w:t>“</w:t>
      </w:r>
      <w:r>
        <w:rPr>
          <w:rFonts w:ascii="Arial" w:hAnsi="Arial" w:eastAsia="仿宋" w:cs="Arial"/>
          <w:color w:val="auto"/>
          <w:sz w:val="28"/>
          <w:szCs w:val="28"/>
          <w:lang w:bidi="ar"/>
        </w:rPr>
        <w:t>量稳价稳、质升区异</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的新发展模式过渡。</w:t>
      </w:r>
    </w:p>
    <w:p w14:paraId="6394B660">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3.产业政策</w:t>
      </w:r>
    </w:p>
    <w:p w14:paraId="72B77E54">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  产业优惠政策</w:t>
      </w:r>
    </w:p>
    <w:p w14:paraId="5FF6AE57">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全国：</w:t>
      </w:r>
    </w:p>
    <w:p w14:paraId="72B6EB41">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202</w:t>
      </w:r>
      <w:r>
        <w:rPr>
          <w:rFonts w:hint="eastAsia" w:ascii="Arial" w:hAnsi="Arial" w:eastAsia="仿宋" w:cs="Arial"/>
          <w:color w:val="auto"/>
          <w:sz w:val="28"/>
          <w:szCs w:val="28"/>
          <w:lang w:bidi="ar"/>
        </w:rPr>
        <w:t>5</w:t>
      </w:r>
      <w:r>
        <w:rPr>
          <w:rFonts w:ascii="Arial" w:hAnsi="Arial" w:eastAsia="仿宋" w:cs="Arial"/>
          <w:color w:val="auto"/>
          <w:sz w:val="28"/>
          <w:szCs w:val="28"/>
          <w:lang w:bidi="ar"/>
        </w:rPr>
        <w:t>年3月</w:t>
      </w:r>
      <w:r>
        <w:rPr>
          <w:rFonts w:hint="eastAsia" w:ascii="Arial" w:hAnsi="Arial" w:eastAsia="仿宋" w:cs="Arial"/>
          <w:color w:val="auto"/>
          <w:sz w:val="28"/>
          <w:szCs w:val="28"/>
          <w:lang w:bidi="ar"/>
        </w:rPr>
        <w:t>5</w:t>
      </w:r>
      <w:r>
        <w:rPr>
          <w:rFonts w:ascii="Arial" w:hAnsi="Arial" w:eastAsia="仿宋" w:cs="Arial"/>
          <w:color w:val="auto"/>
          <w:sz w:val="28"/>
          <w:szCs w:val="28"/>
          <w:lang w:bidi="ar"/>
        </w:rPr>
        <w:t>日全国两会召开。关于房地产的定调，政府工作报告延续了去年底中央经济工作会议基调，</w:t>
      </w:r>
      <w:r>
        <w:rPr>
          <w:rFonts w:hint="eastAsia" w:ascii="Arial" w:hAnsi="Arial" w:eastAsia="仿宋" w:cs="Arial"/>
          <w:color w:val="auto"/>
          <w:sz w:val="28"/>
          <w:szCs w:val="28"/>
          <w:lang w:bidi="ar"/>
        </w:rPr>
        <w:t>在2025年政府工作任务“有效防范化解重点领域风险,牢牢守住不发生系统性风险底线”中确立了“持续用力推动房地产市场止跌回稳”的政策目标，并从需求不断加力、供给持续调整、风险防范化解和行业长远发展四个方面给出了大段论述。</w:t>
      </w:r>
    </w:p>
    <w:p w14:paraId="3703E4FC">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2025年4月3日，</w:t>
      </w:r>
      <w:r>
        <w:rPr>
          <w:rFonts w:ascii="Arial" w:hAnsi="Arial" w:eastAsia="仿宋" w:cs="Arial"/>
          <w:color w:val="auto"/>
          <w:sz w:val="28"/>
          <w:szCs w:val="28"/>
          <w:lang w:bidi="ar"/>
        </w:rPr>
        <w:t>财政部办公厅</w:t>
      </w:r>
      <w:r>
        <w:rPr>
          <w:rFonts w:hint="eastAsia" w:ascii="Arial" w:hAnsi="Arial" w:eastAsia="仿宋" w:cs="Arial"/>
          <w:color w:val="auto"/>
          <w:sz w:val="28"/>
          <w:szCs w:val="28"/>
          <w:lang w:bidi="ar"/>
        </w:rPr>
        <w:t>、</w:t>
      </w:r>
      <w:r>
        <w:rPr>
          <w:rFonts w:ascii="Arial" w:hAnsi="Arial" w:eastAsia="仿宋" w:cs="Arial"/>
          <w:color w:val="auto"/>
          <w:sz w:val="28"/>
          <w:szCs w:val="28"/>
          <w:lang w:bidi="ar"/>
        </w:rPr>
        <w:t>住房城乡建设部办公厅</w:t>
      </w:r>
      <w:r>
        <w:rPr>
          <w:rFonts w:hint="eastAsia" w:ascii="Arial" w:hAnsi="Arial" w:eastAsia="仿宋" w:cs="Arial"/>
          <w:color w:val="auto"/>
          <w:sz w:val="28"/>
          <w:szCs w:val="28"/>
          <w:lang w:bidi="ar"/>
        </w:rPr>
        <w:t>联合发布</w:t>
      </w:r>
      <w:r>
        <w:rPr>
          <w:rFonts w:ascii="Arial" w:hAnsi="Arial" w:eastAsia="仿宋" w:cs="Arial"/>
          <w:color w:val="auto"/>
          <w:sz w:val="28"/>
          <w:szCs w:val="28"/>
          <w:lang w:bidi="ar"/>
        </w:rPr>
        <w:t>《关于开展2025年度中央财政支持实施城市更新行动的通知》</w:t>
      </w:r>
      <w:r>
        <w:rPr>
          <w:rFonts w:hint="eastAsia" w:ascii="Arial" w:hAnsi="Arial" w:eastAsia="仿宋" w:cs="Arial"/>
          <w:color w:val="auto"/>
          <w:sz w:val="28"/>
          <w:szCs w:val="28"/>
          <w:lang w:bidi="ar"/>
        </w:rPr>
        <w:t>。《通知》提出</w:t>
      </w:r>
      <w:r>
        <w:rPr>
          <w:rFonts w:ascii="Arial" w:hAnsi="Arial" w:eastAsia="仿宋" w:cs="Arial"/>
          <w:color w:val="auto"/>
          <w:sz w:val="28"/>
          <w:szCs w:val="28"/>
          <w:lang w:bidi="ar"/>
        </w:rPr>
        <w:t>通过竞争性选拔，确定部分基础条件好、积极性高、特色突出的城市，在城市层面探索整合各类资源，探索建立资金、用地、金融等各类要素保障机制，形成工作合力。中央财政对入围城市给予定额补助，支持城市更新的样板项目建设和机制建设2个方向</w:t>
      </w:r>
      <w:r>
        <w:rPr>
          <w:rFonts w:hint="eastAsia" w:ascii="Arial" w:hAnsi="Arial" w:eastAsia="仿宋" w:cs="Arial"/>
          <w:color w:val="auto"/>
          <w:sz w:val="28"/>
          <w:szCs w:val="28"/>
          <w:lang w:bidi="ar"/>
        </w:rPr>
        <w:t>。</w:t>
      </w:r>
    </w:p>
    <w:p w14:paraId="09361B6D">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2025年4月25日</w:t>
      </w:r>
      <w:r>
        <w:rPr>
          <w:rFonts w:ascii="Arial" w:hAnsi="Arial" w:eastAsia="仿宋" w:cs="Arial"/>
          <w:color w:val="auto"/>
          <w:sz w:val="28"/>
          <w:szCs w:val="28"/>
          <w:lang w:bidi="ar"/>
        </w:rPr>
        <w:t>中共中央政治局召开会议，分析研究当前经济形势和经济工作。会议强调，要加紧实施更加积极有为的宏观政策，用好用足更加积极的财政政策和适度宽松的货币政策；加快地方政府专项债券、超长期特别国债等发行使用；适时降准降息，保持流动性充裕。会议指出，要持续用力防范化解重点领域风险；继续实施地方政府一揽子化债政策；加力实施城市更新行动，有力有序推进城中村和危旧房改造；加快构建房地产发展新 模式，加大高品质住房供给，优化存量商品房收购政策，持续巩固房地产市场稳定态势。</w:t>
      </w:r>
    </w:p>
    <w:p w14:paraId="2F2F9AC6">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2025年5月15日，中共中央办公厅与国务院办公厅公开发布《关于持续推进城市更新行动的意见》。《意见》</w:t>
      </w:r>
      <w:r>
        <w:rPr>
          <w:rFonts w:ascii="Arial" w:hAnsi="Arial" w:eastAsia="仿宋" w:cs="Arial"/>
          <w:color w:val="auto"/>
          <w:sz w:val="28"/>
          <w:szCs w:val="28"/>
          <w:lang w:bidi="ar"/>
        </w:rPr>
        <w:t>提出总体要求、八个主要任务、六项支撑保障措施以及组织实施强化。其中完善用地政策方面包括混合开发利用和用途转换，盘活存量低效用地，闲置土地收回，优化零星用地集中改造、容积率转移或奖励政策，优化地价计收规则等。</w:t>
      </w:r>
    </w:p>
    <w:p w14:paraId="51E6F0FC">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2025年6月13日</w:t>
      </w:r>
      <w:r>
        <w:rPr>
          <w:rFonts w:ascii="Arial" w:hAnsi="Arial" w:eastAsia="仿宋" w:cs="Arial"/>
          <w:color w:val="auto"/>
          <w:sz w:val="28"/>
          <w:szCs w:val="28"/>
          <w:lang w:bidi="ar"/>
        </w:rPr>
        <w:t>国务院常务会议召开，其中重点部署了房地产相关政策，核心目标是</w:t>
      </w:r>
      <w:r>
        <w:rPr>
          <w:rFonts w:hint="eastAsia" w:ascii="Arial" w:hAnsi="Arial" w:eastAsia="仿宋" w:cs="Arial"/>
          <w:color w:val="auto"/>
          <w:sz w:val="28"/>
          <w:szCs w:val="28"/>
          <w:lang w:bidi="ar"/>
        </w:rPr>
        <w:t>“</w:t>
      </w:r>
      <w:r>
        <w:rPr>
          <w:rFonts w:ascii="Arial" w:hAnsi="Arial" w:eastAsia="仿宋" w:cs="Arial"/>
          <w:color w:val="auto"/>
          <w:sz w:val="28"/>
          <w:szCs w:val="28"/>
          <w:lang w:bidi="ar"/>
        </w:rPr>
        <w:t>更大力度推动房地产市场止跌回稳</w:t>
      </w:r>
      <w:r>
        <w:rPr>
          <w:rFonts w:hint="eastAsia" w:ascii="Arial" w:hAnsi="Arial" w:eastAsia="仿宋" w:cs="Arial"/>
          <w:color w:val="auto"/>
          <w:sz w:val="28"/>
          <w:szCs w:val="28"/>
          <w:lang w:bidi="ar"/>
        </w:rPr>
        <w:t>”</w:t>
      </w:r>
      <w:r>
        <w:rPr>
          <w:rFonts w:ascii="Arial" w:hAnsi="Arial" w:eastAsia="仿宋" w:cs="Arial"/>
          <w:color w:val="auto"/>
          <w:sz w:val="28"/>
          <w:szCs w:val="28"/>
          <w:lang w:bidi="ar"/>
        </w:rPr>
        <w:t>，并围绕构建房地产发展新模式、推进</w:t>
      </w:r>
      <w:r>
        <w:rPr>
          <w:rFonts w:hint="eastAsia" w:ascii="Arial" w:hAnsi="Arial" w:eastAsia="仿宋" w:cs="Arial"/>
          <w:color w:val="auto"/>
          <w:sz w:val="28"/>
          <w:szCs w:val="28"/>
          <w:lang w:bidi="ar"/>
        </w:rPr>
        <w:t>“好房子”</w:t>
      </w:r>
      <w:r>
        <w:rPr>
          <w:rFonts w:ascii="Arial" w:hAnsi="Arial" w:eastAsia="仿宋" w:cs="Arial"/>
          <w:color w:val="auto"/>
          <w:sz w:val="28"/>
          <w:szCs w:val="28"/>
          <w:lang w:bidi="ar"/>
        </w:rPr>
        <w:t>建设、盘活存量资源等方面提出具体措施。</w:t>
      </w:r>
    </w:p>
    <w:p w14:paraId="478A44C0">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2025年7月1</w:t>
      </w:r>
      <w:r>
        <w:rPr>
          <w:rFonts w:ascii="Arial" w:hAnsi="Arial" w:eastAsia="仿宋" w:cs="Arial"/>
          <w:color w:val="auto"/>
          <w:sz w:val="28"/>
          <w:szCs w:val="28"/>
          <w:lang w:bidi="ar"/>
        </w:rPr>
        <w:t>4日至</w:t>
      </w:r>
      <w:r>
        <w:rPr>
          <w:rFonts w:hint="eastAsia" w:ascii="Arial" w:hAnsi="Arial" w:eastAsia="仿宋" w:cs="Arial"/>
          <w:color w:val="auto"/>
          <w:sz w:val="28"/>
          <w:szCs w:val="28"/>
          <w:lang w:bidi="ar"/>
        </w:rPr>
        <w:t>1</w:t>
      </w:r>
      <w:r>
        <w:rPr>
          <w:rFonts w:ascii="Arial" w:hAnsi="Arial" w:eastAsia="仿宋" w:cs="Arial"/>
          <w:color w:val="auto"/>
          <w:sz w:val="28"/>
          <w:szCs w:val="28"/>
          <w:lang w:bidi="ar"/>
        </w:rPr>
        <w:t>5日中央城市工作会议在北京举行，部署城市工作7个方面的重点任务：一是着力优化现代化城市体系；二是着力建设富有活力的创新城市，高质量开展城市更新；三是着力建设舒适便利的宜居城市，优化城市空间结构；加快构建房地产发展新模式，稳步推进城中村和危旧房改造；四是着力建设绿色低碳的美丽城市；五是着力建设安全可靠的韧性城市，严格限制超高层建筑，全面提升房屋安全保障水平；六是着力建设崇德向善的文明城市，完善历史文化保护传承体系；七是着力建设便捷高效的智慧城市</w:t>
      </w:r>
      <w:r>
        <w:rPr>
          <w:rFonts w:hint="eastAsia" w:ascii="Arial" w:hAnsi="Arial" w:eastAsia="仿宋" w:cs="Arial"/>
          <w:color w:val="auto"/>
          <w:sz w:val="28"/>
          <w:szCs w:val="28"/>
          <w:lang w:bidi="ar"/>
        </w:rPr>
        <w:t>。</w:t>
      </w:r>
    </w:p>
    <w:p w14:paraId="2C9FC854">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2025年7月16日，国务院公布《住房租赁条例》</w:t>
      </w:r>
      <w:r>
        <w:rPr>
          <w:rFonts w:ascii="Arial" w:hAnsi="Arial" w:eastAsia="仿宋" w:cs="Arial"/>
          <w:color w:val="auto"/>
          <w:sz w:val="28"/>
          <w:szCs w:val="28"/>
          <w:lang w:bidi="ar"/>
        </w:rPr>
        <w:t>。该条例旨在规范住房租赁活动，维护住房租赁活动当事人合法权益，稳定住房租赁关系，促进住房租赁市场高质量发展，推动加快建立租购并举的住房制度</w:t>
      </w:r>
      <w:r>
        <w:rPr>
          <w:rFonts w:hint="eastAsia" w:ascii="Arial" w:hAnsi="Arial" w:eastAsia="仿宋" w:cs="Arial"/>
          <w:color w:val="auto"/>
          <w:sz w:val="28"/>
          <w:szCs w:val="28"/>
          <w:lang w:bidi="ar"/>
        </w:rPr>
        <w:t>，《条例》</w:t>
      </w:r>
      <w:r>
        <w:rPr>
          <w:rFonts w:ascii="Arial" w:hAnsi="Arial" w:eastAsia="仿宋" w:cs="Arial"/>
          <w:color w:val="auto"/>
          <w:sz w:val="28"/>
          <w:szCs w:val="28"/>
          <w:lang w:bidi="ar"/>
        </w:rPr>
        <w:t>自2025年9月15日施行。</w:t>
      </w:r>
    </w:p>
    <w:p w14:paraId="2D4037BD">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2025年8月28日，《中共中央 国务院关于推动城市高质量发展的意见》公开发布，</w:t>
      </w:r>
      <w:r>
        <w:rPr>
          <w:rFonts w:ascii="Arial" w:hAnsi="Arial" w:eastAsia="仿宋" w:cs="Arial"/>
          <w:color w:val="auto"/>
          <w:sz w:val="28"/>
          <w:szCs w:val="28"/>
          <w:lang w:bidi="ar"/>
        </w:rPr>
        <w:t>在城市发展正从大规模增量扩张阶段转向存量提质增效为主的阶段，为加快城市发展方式转型提出二十三条指导意见。其中， 第五条激活城市存量资源潜力，提出：全面摸清城市房屋、设施、土地等资产资源底数；改造利用老旧厂房、低效楼宇、闲置传统商业设施等存量房屋，建立与建筑功能转换和混合利用需求相适应的规划调整机制；加强和规范存量城市基础设施资产管理，提高运行效能；优化产权归集、整合、置换和登记政策，盘活利用存量低效用地。第八条系统推进</w:t>
      </w:r>
      <w:r>
        <w:rPr>
          <w:rFonts w:hint="eastAsia" w:ascii="Arial" w:hAnsi="Arial" w:eastAsia="仿宋" w:cs="Arial"/>
          <w:color w:val="auto"/>
          <w:sz w:val="28"/>
          <w:szCs w:val="28"/>
          <w:lang w:bidi="ar"/>
        </w:rPr>
        <w:t>“</w:t>
      </w:r>
      <w:r>
        <w:rPr>
          <w:rFonts w:ascii="Arial" w:hAnsi="Arial" w:eastAsia="仿宋" w:cs="Arial"/>
          <w:color w:val="auto"/>
          <w:sz w:val="28"/>
          <w:szCs w:val="28"/>
          <w:lang w:bidi="ar"/>
        </w:rPr>
        <w:t>好房子</w:t>
      </w:r>
      <w:r>
        <w:rPr>
          <w:rFonts w:hint="eastAsia" w:ascii="Arial" w:hAnsi="Arial" w:eastAsia="仿宋" w:cs="Arial"/>
          <w:color w:val="auto"/>
          <w:sz w:val="28"/>
          <w:szCs w:val="28"/>
          <w:lang w:bidi="ar"/>
        </w:rPr>
        <w:t>”</w:t>
      </w:r>
      <w:r>
        <w:rPr>
          <w:rFonts w:ascii="Arial" w:hAnsi="Arial" w:eastAsia="仿宋" w:cs="Arial"/>
          <w:color w:val="auto"/>
          <w:sz w:val="28"/>
          <w:szCs w:val="28"/>
          <w:lang w:bidi="ar"/>
        </w:rPr>
        <w:t>和完整社区建设，提出：加快构建房地产发展新模式，更好满足群众刚性和多样化改善性住房需求；全链条提升住房设计、建造、维护、服务水平，大力推进安全、舒适、绿色、智慧的</w:t>
      </w:r>
      <w:r>
        <w:rPr>
          <w:rFonts w:hint="eastAsia" w:ascii="Arial" w:hAnsi="Arial" w:eastAsia="仿宋" w:cs="Arial"/>
          <w:color w:val="auto"/>
          <w:sz w:val="28"/>
          <w:szCs w:val="28"/>
          <w:lang w:bidi="ar"/>
        </w:rPr>
        <w:t>“</w:t>
      </w:r>
      <w:r>
        <w:rPr>
          <w:rFonts w:ascii="Arial" w:hAnsi="Arial" w:eastAsia="仿宋" w:cs="Arial"/>
          <w:color w:val="auto"/>
          <w:sz w:val="28"/>
          <w:szCs w:val="28"/>
          <w:lang w:bidi="ar"/>
        </w:rPr>
        <w:t>好房子</w:t>
      </w:r>
      <w:r>
        <w:rPr>
          <w:rFonts w:hint="eastAsia" w:ascii="Arial" w:hAnsi="Arial" w:eastAsia="仿宋" w:cs="Arial"/>
          <w:color w:val="auto"/>
          <w:sz w:val="28"/>
          <w:szCs w:val="28"/>
          <w:lang w:bidi="ar"/>
        </w:rPr>
        <w:t>”</w:t>
      </w:r>
      <w:r>
        <w:rPr>
          <w:rFonts w:ascii="Arial" w:hAnsi="Arial" w:eastAsia="仿宋" w:cs="Arial"/>
          <w:color w:val="auto"/>
          <w:sz w:val="28"/>
          <w:szCs w:val="28"/>
          <w:lang w:bidi="ar"/>
        </w:rPr>
        <w:t>建设；实施物业服务质量提升行动；稳步推进城中村和危旧房改造，支持老旧住房自主更新、原拆原建；持续推动城镇老旧小区改造；坚持人口、产业、城镇、交通一体规划，建设创新型产业社区、商务社区；加快建设完整社区，完善城市社区嵌入式服务设施，构建城市便民生活圈；科学制定实施城市更新专项规划，一体化推进城市体检和城市更新，创造宜业、宜居、宜乐、宜游的良好城市环境，促进产城融合、职住平 衡。</w:t>
      </w:r>
    </w:p>
    <w:p w14:paraId="40E08C5F">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9月11日，《国务院关于全国部分地区要素市场化配置综合改革试点实施方案的批复》发布，同意自即日起2年内开展北京城市副中心等10个要素市场化配置综合改革试点。北京城市副中心试点范围包括通州区全域，关于土地要素，提出：探索土地管理制度改革；深化产业用地市场化改革；盘活存量土地和低效建设用地；健全城乡统一的建设用地市场。</w:t>
      </w:r>
    </w:p>
    <w:p w14:paraId="7F0A682F">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10月20日至23日，中国共产党第二十届中央委员会第四次全体会议在北京召开，会议分析了当前形势和任务，强调坚决实现全年经济社会发展目标；着力稳就业、稳企业、稳市场、稳预期，稳住经济基本盘，巩固拓展经济回升向好势头；宏观政策要持续发力、适时加力，落实好企业帮扶政策，深入实施提振消费专项行动，兜牢基层</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三保</w:t>
      </w:r>
      <w:r>
        <w:rPr>
          <w:rFonts w:hint="eastAsia" w:ascii="Arial" w:hAnsi="Arial" w:eastAsia="仿宋" w:cs="Arial"/>
          <w:color w:val="auto"/>
          <w:sz w:val="28"/>
          <w:szCs w:val="28"/>
          <w:lang w:bidi="ar"/>
        </w:rPr>
        <w:t>”</w:t>
      </w:r>
      <w:r>
        <w:rPr>
          <w:rFonts w:ascii="Arial" w:hAnsi="Arial" w:eastAsia="仿宋" w:cs="Arial"/>
          <w:color w:val="auto"/>
          <w:sz w:val="28"/>
          <w:szCs w:val="28"/>
          <w:lang w:bidi="ar"/>
        </w:rPr>
        <w:t>底线，积极稳妥化解地方政府债务风险。明确提出要</w:t>
      </w:r>
      <w:r>
        <w:rPr>
          <w:rFonts w:hint="eastAsia" w:ascii="Arial" w:hAnsi="Arial" w:eastAsia="仿宋" w:cs="Arial"/>
          <w:color w:val="auto"/>
          <w:sz w:val="28"/>
          <w:szCs w:val="28"/>
          <w:lang w:bidi="ar"/>
        </w:rPr>
        <w:t>“</w:t>
      </w:r>
      <w:r>
        <w:rPr>
          <w:rFonts w:ascii="Arial" w:hAnsi="Arial" w:eastAsia="仿宋" w:cs="Arial"/>
          <w:color w:val="auto"/>
          <w:sz w:val="28"/>
          <w:szCs w:val="28"/>
          <w:lang w:bidi="ar"/>
        </w:rPr>
        <w:t>推动房地产高质量发展</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p>
    <w:p w14:paraId="2164D6CB">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2025年10月28日，</w:t>
      </w:r>
      <w:r>
        <w:rPr>
          <w:rFonts w:ascii="Arial" w:hAnsi="Arial" w:eastAsia="仿宋" w:cs="Arial"/>
          <w:color w:val="auto"/>
          <w:sz w:val="28"/>
          <w:szCs w:val="28"/>
          <w:lang w:bidi="ar"/>
        </w:rPr>
        <w:t>《中共中央关于制定国民经济和社会发展第十五个五年规划的建议》全文发布，</w:t>
      </w:r>
      <w:r>
        <w:rPr>
          <w:rFonts w:hint="eastAsia" w:ascii="Arial" w:hAnsi="Arial" w:eastAsia="仿宋" w:cs="Arial"/>
          <w:color w:val="auto"/>
          <w:sz w:val="28"/>
          <w:szCs w:val="28"/>
          <w:lang w:bidi="ar"/>
        </w:rPr>
        <w:t>关于房地产</w:t>
      </w:r>
      <w:r>
        <w:rPr>
          <w:rFonts w:ascii="Arial" w:hAnsi="Arial" w:eastAsia="仿宋" w:cs="Arial"/>
          <w:color w:val="auto"/>
          <w:sz w:val="28"/>
          <w:szCs w:val="28"/>
          <w:lang w:bidi="ar"/>
        </w:rPr>
        <w:t>提出：（1）加快完善要素市场化配置体制机制：促进各类要素资源高效配置，建立健全城乡统一的建设用地市场、功能完善的资本市场、流动顺畅的劳动力市场、转化高效的技术市场，完善并购、破产、置换等政策，盘活用好低效用地、闲置房产、存量基础设施，完善工商业用地使用权续期法律法规，依法稳妥推进续期工作；（</w:t>
      </w:r>
      <w:r>
        <w:rPr>
          <w:rFonts w:hint="eastAsia" w:ascii="Arial" w:hAnsi="Arial" w:eastAsia="仿宋" w:cs="Arial"/>
          <w:color w:val="auto"/>
          <w:sz w:val="28"/>
          <w:szCs w:val="28"/>
          <w:lang w:bidi="ar"/>
        </w:rPr>
        <w:t>2</w:t>
      </w:r>
      <w:r>
        <w:rPr>
          <w:rFonts w:ascii="Arial" w:hAnsi="Arial" w:eastAsia="仿宋" w:cs="Arial"/>
          <w:color w:val="auto"/>
          <w:sz w:val="28"/>
          <w:szCs w:val="28"/>
          <w:lang w:bidi="ar"/>
        </w:rPr>
        <w:t>）优化国土空间发展格局：赋予省级政府统筹建设用地更大自主权，探索实施建设用地总量按规划期管控模式，实行统筹存量和增量综合供地；（</w:t>
      </w:r>
      <w:r>
        <w:rPr>
          <w:rFonts w:hint="eastAsia" w:ascii="Arial" w:hAnsi="Arial" w:eastAsia="仿宋" w:cs="Arial"/>
          <w:color w:val="auto"/>
          <w:sz w:val="28"/>
          <w:szCs w:val="28"/>
          <w:lang w:bidi="ar"/>
        </w:rPr>
        <w:t>3</w:t>
      </w:r>
      <w:r>
        <w:rPr>
          <w:rFonts w:ascii="Arial" w:hAnsi="Arial" w:eastAsia="仿宋" w:cs="Arial"/>
          <w:color w:val="auto"/>
          <w:sz w:val="28"/>
          <w:szCs w:val="28"/>
          <w:lang w:bidi="ar"/>
        </w:rPr>
        <w:t>）坚持城市内涵式发展，大力实施城市更新，建设创新、宜居、美丽、韧性、文明、智慧的现代化人民城市；（</w:t>
      </w:r>
      <w:r>
        <w:rPr>
          <w:rFonts w:hint="eastAsia" w:ascii="Arial" w:hAnsi="Arial" w:eastAsia="仿宋" w:cs="Arial"/>
          <w:color w:val="auto"/>
          <w:sz w:val="28"/>
          <w:szCs w:val="28"/>
          <w:lang w:bidi="ar"/>
        </w:rPr>
        <w:t>4</w:t>
      </w:r>
      <w:r>
        <w:rPr>
          <w:rFonts w:ascii="Arial" w:hAnsi="Arial" w:eastAsia="仿宋" w:cs="Arial"/>
          <w:color w:val="auto"/>
          <w:sz w:val="28"/>
          <w:szCs w:val="28"/>
          <w:lang w:bidi="ar"/>
        </w:rPr>
        <w:t>）推动房地产高质量发展：加快构建房地产发展新模式，完善商品房开发、融资、销售等基础制度；优化保障性住房供给，满足城镇工薪群体和各类困难家庭基本住房需求；因城施策增加改善性住房供给；建设安全舒适绿色智慧的</w:t>
      </w:r>
      <w:r>
        <w:rPr>
          <w:rFonts w:hint="eastAsia" w:ascii="Arial" w:hAnsi="Arial" w:eastAsia="仿宋" w:cs="Arial"/>
          <w:color w:val="auto"/>
          <w:sz w:val="28"/>
          <w:szCs w:val="28"/>
          <w:lang w:bidi="ar"/>
        </w:rPr>
        <w:t>“</w:t>
      </w:r>
      <w:r>
        <w:rPr>
          <w:rFonts w:ascii="Arial" w:hAnsi="Arial" w:eastAsia="仿宋" w:cs="Arial"/>
          <w:color w:val="auto"/>
          <w:sz w:val="28"/>
          <w:szCs w:val="28"/>
          <w:lang w:bidi="ar"/>
        </w:rPr>
        <w:t>好房子</w:t>
      </w:r>
      <w:r>
        <w:rPr>
          <w:rFonts w:hint="eastAsia" w:ascii="Arial" w:hAnsi="Arial" w:eastAsia="仿宋" w:cs="Arial"/>
          <w:color w:val="auto"/>
          <w:sz w:val="28"/>
          <w:szCs w:val="28"/>
          <w:lang w:bidi="ar"/>
        </w:rPr>
        <w:t>”</w:t>
      </w:r>
      <w:r>
        <w:rPr>
          <w:rFonts w:ascii="Arial" w:hAnsi="Arial" w:eastAsia="仿宋" w:cs="Arial"/>
          <w:color w:val="auto"/>
          <w:sz w:val="28"/>
          <w:szCs w:val="28"/>
          <w:lang w:bidi="ar"/>
        </w:rPr>
        <w:t>，实施房屋品质提升工程和物业服务质量提升行动；建立房屋全生命周期安全管理制度；（</w:t>
      </w:r>
      <w:r>
        <w:rPr>
          <w:rFonts w:hint="eastAsia" w:ascii="Arial" w:hAnsi="Arial" w:eastAsia="仿宋" w:cs="Arial"/>
          <w:color w:val="auto"/>
          <w:sz w:val="28"/>
          <w:szCs w:val="28"/>
          <w:lang w:bidi="ar"/>
        </w:rPr>
        <w:t>5</w:t>
      </w:r>
      <w:r>
        <w:rPr>
          <w:rFonts w:ascii="Arial" w:hAnsi="Arial" w:eastAsia="仿宋" w:cs="Arial"/>
          <w:color w:val="auto"/>
          <w:sz w:val="28"/>
          <w:szCs w:val="28"/>
          <w:lang w:bidi="ar"/>
        </w:rPr>
        <w:t>）提高防范化解重点领域风险能力，统筹推进房地产、地方政府债务、中小金融机构等风险有序化解，严防系统性风险。</w:t>
      </w:r>
    </w:p>
    <w:p w14:paraId="775B095A">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202</w:t>
      </w:r>
      <w:r>
        <w:rPr>
          <w:rFonts w:hint="eastAsia" w:ascii="Arial" w:hAnsi="Arial" w:eastAsia="仿宋" w:cs="Arial"/>
          <w:color w:val="auto"/>
          <w:sz w:val="28"/>
          <w:szCs w:val="28"/>
          <w:lang w:bidi="ar"/>
        </w:rPr>
        <w:t>5</w:t>
      </w:r>
      <w:r>
        <w:rPr>
          <w:rFonts w:ascii="Arial" w:hAnsi="Arial" w:eastAsia="仿宋" w:cs="Arial"/>
          <w:color w:val="auto"/>
          <w:sz w:val="28"/>
          <w:szCs w:val="28"/>
          <w:lang w:bidi="ar"/>
        </w:rPr>
        <w:t>年12月1</w:t>
      </w:r>
      <w:r>
        <w:rPr>
          <w:rFonts w:hint="eastAsia" w:ascii="Arial" w:hAnsi="Arial" w:eastAsia="仿宋" w:cs="Arial"/>
          <w:color w:val="auto"/>
          <w:sz w:val="28"/>
          <w:szCs w:val="28"/>
          <w:lang w:bidi="ar"/>
        </w:rPr>
        <w:t>0</w:t>
      </w:r>
      <w:r>
        <w:rPr>
          <w:rFonts w:ascii="Arial" w:hAnsi="Arial" w:eastAsia="仿宋" w:cs="Arial"/>
          <w:color w:val="auto"/>
          <w:sz w:val="28"/>
          <w:szCs w:val="28"/>
          <w:lang w:bidi="ar"/>
        </w:rPr>
        <w:t>日至1</w:t>
      </w:r>
      <w:r>
        <w:rPr>
          <w:rFonts w:hint="eastAsia" w:ascii="Arial" w:hAnsi="Arial" w:eastAsia="仿宋" w:cs="Arial"/>
          <w:color w:val="auto"/>
          <w:sz w:val="28"/>
          <w:szCs w:val="28"/>
          <w:lang w:bidi="ar"/>
        </w:rPr>
        <w:t>1</w:t>
      </w:r>
      <w:r>
        <w:rPr>
          <w:rFonts w:ascii="Arial" w:hAnsi="Arial" w:eastAsia="仿宋" w:cs="Arial"/>
          <w:color w:val="auto"/>
          <w:sz w:val="28"/>
          <w:szCs w:val="28"/>
          <w:lang w:bidi="ar"/>
        </w:rPr>
        <w:t>日，202</w:t>
      </w:r>
      <w:r>
        <w:rPr>
          <w:rFonts w:hint="eastAsia" w:ascii="Arial" w:hAnsi="Arial" w:eastAsia="仿宋" w:cs="Arial"/>
          <w:color w:val="auto"/>
          <w:sz w:val="28"/>
          <w:szCs w:val="28"/>
          <w:lang w:bidi="ar"/>
        </w:rPr>
        <w:t>5</w:t>
      </w:r>
      <w:r>
        <w:rPr>
          <w:rFonts w:ascii="Arial" w:hAnsi="Arial" w:eastAsia="仿宋" w:cs="Arial"/>
          <w:color w:val="auto"/>
          <w:sz w:val="28"/>
          <w:szCs w:val="28"/>
          <w:lang w:bidi="ar"/>
        </w:rPr>
        <w:t>年中央经济工作会议举行。会议总结202</w:t>
      </w:r>
      <w:r>
        <w:rPr>
          <w:rFonts w:hint="eastAsia" w:ascii="Arial" w:hAnsi="Arial" w:eastAsia="仿宋" w:cs="Arial"/>
          <w:color w:val="auto"/>
          <w:sz w:val="28"/>
          <w:szCs w:val="28"/>
          <w:lang w:bidi="ar"/>
        </w:rPr>
        <w:t>5</w:t>
      </w:r>
      <w:r>
        <w:rPr>
          <w:rFonts w:ascii="Arial" w:hAnsi="Arial" w:eastAsia="仿宋" w:cs="Arial"/>
          <w:color w:val="auto"/>
          <w:sz w:val="28"/>
          <w:szCs w:val="28"/>
          <w:lang w:bidi="ar"/>
        </w:rPr>
        <w:t>年经济工作，</w:t>
      </w:r>
      <w:r>
        <w:rPr>
          <w:rFonts w:hint="eastAsia" w:ascii="Arial" w:hAnsi="Arial" w:eastAsia="仿宋" w:cs="Arial"/>
          <w:color w:val="auto"/>
          <w:sz w:val="28"/>
          <w:szCs w:val="28"/>
          <w:lang w:bidi="ar"/>
        </w:rPr>
        <w:t>分析当前经济形势，部署2026年经济工作</w:t>
      </w:r>
      <w:r>
        <w:rPr>
          <w:rFonts w:ascii="Arial" w:hAnsi="Arial" w:eastAsia="仿宋" w:cs="Arial"/>
          <w:color w:val="auto"/>
          <w:sz w:val="28"/>
          <w:szCs w:val="28"/>
          <w:lang w:bidi="ar"/>
        </w:rPr>
        <w:t>。会议提出</w:t>
      </w:r>
      <w:r>
        <w:rPr>
          <w:rFonts w:hint="eastAsia" w:ascii="Arial" w:hAnsi="Arial" w:eastAsia="仿宋" w:cs="Arial"/>
          <w:color w:val="auto"/>
          <w:sz w:val="28"/>
          <w:szCs w:val="28"/>
          <w:lang w:bidi="ar"/>
        </w:rPr>
        <w:t>“着力稳定房地产市场，因城施策控增量、去库存、优供给，鼓励收购存量商品房重点用于保障性住房等。深化住房公积金制度改革，有序推动‘好房子’建设。加快构建房地产发展新模式</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可以预见，房地产行业的发展潜力和空间依然巨大，中国城市房地产大规模增量扩张的时代已经结束，存量提质增效的新阶段已然开启，房地产行业的未来增长，不再局限于新建开发，而是更多来自存量资产的精细化运营、物业服务的品质升级、租赁市场的规范发展等多元赛道。</w:t>
      </w:r>
    </w:p>
    <w:p w14:paraId="1A3D0841">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202</w:t>
      </w:r>
      <w:r>
        <w:rPr>
          <w:rFonts w:hint="eastAsia" w:ascii="Arial" w:hAnsi="Arial" w:eastAsia="仿宋" w:cs="Arial"/>
          <w:color w:val="auto"/>
          <w:sz w:val="28"/>
          <w:szCs w:val="28"/>
          <w:lang w:bidi="ar"/>
        </w:rPr>
        <w:t>5</w:t>
      </w:r>
      <w:r>
        <w:rPr>
          <w:rFonts w:ascii="Arial" w:hAnsi="Arial" w:eastAsia="仿宋" w:cs="Arial"/>
          <w:color w:val="auto"/>
          <w:sz w:val="28"/>
          <w:szCs w:val="28"/>
          <w:lang w:bidi="ar"/>
        </w:rPr>
        <w:t>年12月2</w:t>
      </w:r>
      <w:r>
        <w:rPr>
          <w:rFonts w:hint="eastAsia" w:ascii="Arial" w:hAnsi="Arial" w:eastAsia="仿宋" w:cs="Arial"/>
          <w:color w:val="auto"/>
          <w:sz w:val="28"/>
          <w:szCs w:val="28"/>
          <w:lang w:bidi="ar"/>
        </w:rPr>
        <w:t>2</w:t>
      </w:r>
      <w:r>
        <w:rPr>
          <w:rFonts w:ascii="Arial" w:hAnsi="Arial" w:eastAsia="仿宋" w:cs="Arial"/>
          <w:color w:val="auto"/>
          <w:sz w:val="28"/>
          <w:szCs w:val="28"/>
          <w:lang w:bidi="ar"/>
        </w:rPr>
        <w:t>日至2</w:t>
      </w:r>
      <w:r>
        <w:rPr>
          <w:rFonts w:hint="eastAsia" w:ascii="Arial" w:hAnsi="Arial" w:eastAsia="仿宋" w:cs="Arial"/>
          <w:color w:val="auto"/>
          <w:sz w:val="28"/>
          <w:szCs w:val="28"/>
          <w:lang w:bidi="ar"/>
        </w:rPr>
        <w:t>3</w:t>
      </w:r>
      <w:r>
        <w:rPr>
          <w:rFonts w:ascii="Arial" w:hAnsi="Arial" w:eastAsia="仿宋" w:cs="Arial"/>
          <w:color w:val="auto"/>
          <w:sz w:val="28"/>
          <w:szCs w:val="28"/>
          <w:lang w:bidi="ar"/>
        </w:rPr>
        <w:t>日，全国住房城乡建设工作会议在北京召开。会议</w:t>
      </w:r>
      <w:r>
        <w:rPr>
          <w:rFonts w:hint="eastAsia" w:ascii="Arial" w:hAnsi="Arial" w:eastAsia="仿宋" w:cs="Arial"/>
          <w:color w:val="auto"/>
          <w:sz w:val="28"/>
          <w:szCs w:val="28"/>
          <w:lang w:bidi="ar"/>
        </w:rPr>
        <w:t>全面盘点2025年工作，系统总结“十四五”时期住房城乡建设事业发展成就，研究部署“十五五”时期和2026年重点任务</w:t>
      </w:r>
      <w:r>
        <w:rPr>
          <w:rFonts w:ascii="Arial" w:hAnsi="Arial" w:eastAsia="仿宋" w:cs="Arial"/>
          <w:color w:val="auto"/>
          <w:sz w:val="28"/>
          <w:szCs w:val="28"/>
          <w:lang w:bidi="ar"/>
        </w:rPr>
        <w:t>。会议强调，202</w:t>
      </w:r>
      <w:r>
        <w:rPr>
          <w:rFonts w:hint="eastAsia" w:ascii="Arial" w:hAnsi="Arial" w:eastAsia="仿宋" w:cs="Arial"/>
          <w:color w:val="auto"/>
          <w:sz w:val="28"/>
          <w:szCs w:val="28"/>
          <w:lang w:bidi="ar"/>
        </w:rPr>
        <w:t>6</w:t>
      </w:r>
      <w:r>
        <w:rPr>
          <w:rFonts w:ascii="Arial" w:hAnsi="Arial" w:eastAsia="仿宋" w:cs="Arial"/>
          <w:color w:val="auto"/>
          <w:sz w:val="28"/>
          <w:szCs w:val="28"/>
          <w:lang w:bidi="ar"/>
        </w:rPr>
        <w:t>年的工作要重点抓好</w:t>
      </w:r>
      <w:r>
        <w:rPr>
          <w:rFonts w:hint="eastAsia" w:ascii="Arial" w:hAnsi="Arial" w:eastAsia="仿宋" w:cs="Arial"/>
          <w:color w:val="auto"/>
          <w:sz w:val="28"/>
          <w:szCs w:val="28"/>
          <w:lang w:bidi="ar"/>
        </w:rPr>
        <w:t>4</w:t>
      </w:r>
      <w:r>
        <w:rPr>
          <w:rFonts w:ascii="Arial" w:hAnsi="Arial" w:eastAsia="仿宋" w:cs="Arial"/>
          <w:color w:val="auto"/>
          <w:sz w:val="28"/>
          <w:szCs w:val="28"/>
          <w:lang w:bidi="ar"/>
        </w:rPr>
        <w:t>个方面工作。一、</w:t>
      </w:r>
      <w:r>
        <w:rPr>
          <w:rFonts w:hint="eastAsia" w:ascii="Arial" w:hAnsi="Arial" w:eastAsia="仿宋" w:cs="Arial"/>
          <w:color w:val="auto"/>
          <w:sz w:val="28"/>
          <w:szCs w:val="28"/>
          <w:lang w:bidi="ar"/>
        </w:rPr>
        <w:t>推进现代化人民城市建设，重点是：高质量开展城市更新，编制实施“十五五”城市更新专项规划，抓好城市体检、更新试点，实施一批民生工程、发展工程、安全工程。</w:t>
      </w:r>
      <w:r>
        <w:rPr>
          <w:rFonts w:ascii="Arial" w:hAnsi="Arial" w:eastAsia="仿宋" w:cs="Arial"/>
          <w:color w:val="auto"/>
          <w:sz w:val="28"/>
          <w:szCs w:val="28"/>
          <w:lang w:bidi="ar"/>
        </w:rPr>
        <w:t>二、</w:t>
      </w:r>
      <w:r>
        <w:rPr>
          <w:rFonts w:hint="eastAsia" w:ascii="Arial" w:hAnsi="Arial" w:eastAsia="仿宋" w:cs="Arial"/>
          <w:color w:val="auto"/>
          <w:sz w:val="28"/>
          <w:szCs w:val="28"/>
          <w:lang w:bidi="ar"/>
        </w:rPr>
        <w:t>着力稳定房地产市场，重点是：因城施策控增量、去库存、优供给，结合城市更新、城中村改造盘活利用存量用地，推动收购存量商品房用作保障性住房、安置房、宿舍、人才房等。优化和精准实施保障性住房供应，实施房屋品质提升工程，有序推进“好房子”建设；进一步发挥房地产项目“白名单”制度作用，支持房地产企业合理融资需求</w:t>
      </w:r>
      <w:r>
        <w:rPr>
          <w:rFonts w:ascii="Arial" w:hAnsi="Arial" w:eastAsia="仿宋" w:cs="Arial"/>
          <w:color w:val="auto"/>
          <w:sz w:val="28"/>
          <w:szCs w:val="28"/>
          <w:lang w:bidi="ar"/>
        </w:rPr>
        <w:t>。三、</w:t>
      </w:r>
      <w:r>
        <w:rPr>
          <w:rFonts w:hint="eastAsia" w:ascii="Arial" w:hAnsi="Arial" w:eastAsia="仿宋" w:cs="Arial"/>
          <w:color w:val="auto"/>
          <w:sz w:val="28"/>
          <w:szCs w:val="28"/>
          <w:lang w:bidi="ar"/>
        </w:rPr>
        <w:t>加快建筑业提质升级，重点是：推动产业转型升级，大力发展智能建造、绿色建造，培育现代化建筑产业链，加快新型建材研发应用，加快培育绿色建筑新增长点；规范建筑市场秩序，深入开展房屋和市政领域工程招标投标突出问题专项整治；强化现场监督管理，扎实推动安全生产治本攻坚三年行动，建立房屋全生命周期安全管理制度</w:t>
      </w:r>
      <w:r>
        <w:rPr>
          <w:rFonts w:ascii="Arial" w:hAnsi="Arial" w:eastAsia="仿宋" w:cs="Arial"/>
          <w:color w:val="auto"/>
          <w:sz w:val="28"/>
          <w:szCs w:val="28"/>
          <w:lang w:bidi="ar"/>
        </w:rPr>
        <w:t>。四、</w:t>
      </w:r>
      <w:r>
        <w:rPr>
          <w:rFonts w:hint="eastAsia" w:ascii="Arial" w:hAnsi="Arial" w:eastAsia="仿宋" w:cs="Arial"/>
          <w:color w:val="auto"/>
          <w:sz w:val="28"/>
          <w:szCs w:val="28"/>
          <w:lang w:bidi="ar"/>
        </w:rPr>
        <w:t>夯实高质量发展基础支撑，重点是：提升法治建设水平，完善标准体系，加快推出一批工作急需的工程建设标准。加强统计分析，推动优化现行统计指标，强化统计数据分析应用</w:t>
      </w:r>
      <w:r>
        <w:rPr>
          <w:rFonts w:ascii="Arial" w:hAnsi="Arial" w:eastAsia="仿宋" w:cs="Arial"/>
          <w:color w:val="auto"/>
          <w:sz w:val="28"/>
          <w:szCs w:val="28"/>
          <w:lang w:bidi="ar"/>
        </w:rPr>
        <w:t>。</w:t>
      </w:r>
    </w:p>
    <w:p w14:paraId="409248E2">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北京：</w:t>
      </w:r>
    </w:p>
    <w:p w14:paraId="6B74576F">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2025年2月12日，</w:t>
      </w:r>
      <w:r>
        <w:rPr>
          <w:rFonts w:ascii="Arial" w:hAnsi="Arial" w:eastAsia="仿宋" w:cs="Arial"/>
          <w:color w:val="auto"/>
          <w:sz w:val="28"/>
          <w:szCs w:val="28"/>
          <w:lang w:bidi="ar"/>
        </w:rPr>
        <w:t>北京市规划和自然资源委员会发布</w:t>
      </w:r>
      <w:r>
        <w:rPr>
          <w:rFonts w:hint="eastAsia" w:ascii="Arial" w:hAnsi="Arial" w:eastAsia="仿宋" w:cs="Arial"/>
          <w:color w:val="auto"/>
          <w:sz w:val="28"/>
          <w:szCs w:val="28"/>
          <w:lang w:bidi="ar"/>
        </w:rPr>
        <w:t>《关于印发〈北京市平原多点地区“好房子”规划管理相关技术要点（试行）〉的通知》，</w:t>
      </w:r>
      <w:r>
        <w:rPr>
          <w:rFonts w:ascii="Arial" w:hAnsi="Arial" w:eastAsia="仿宋" w:cs="Arial"/>
          <w:color w:val="auto"/>
          <w:sz w:val="28"/>
          <w:szCs w:val="28"/>
          <w:lang w:bidi="ar"/>
        </w:rPr>
        <w:t>旨在提升住房品质，满足多样化居住需求。主要内容包括：允许按需设置封闭或开敞阳台，面积不超过套内建筑面积的10%；鼓励在140平方米以上住宅设置挑空空间；合理利用底层架空空间作为公共活动区域；设置开敞式风雨连廊以方便居民活动；增配邻里共享公共空间，提供便民服务；允许跨城市支路空间利用以优化布局；建筑高度可局部上浮以形成错落天际线；鼓励使用高品质材料提升立面品质。这些措施适用于顺义、大兴、亦庄、昌平、房山等平原多点地区，城市副中心可参照执行</w:t>
      </w:r>
      <w:r>
        <w:rPr>
          <w:rFonts w:hint="eastAsia" w:ascii="Arial" w:hAnsi="Arial" w:eastAsia="仿宋" w:cs="Arial"/>
          <w:color w:val="auto"/>
          <w:sz w:val="28"/>
          <w:szCs w:val="28"/>
          <w:lang w:bidi="ar"/>
        </w:rPr>
        <w:t>。</w:t>
      </w:r>
    </w:p>
    <w:p w14:paraId="76425A25">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5月9日，北京市住房和城乡建设委员会</w:t>
      </w:r>
      <w:r>
        <w:rPr>
          <w:rFonts w:hint="eastAsia" w:ascii="Arial" w:hAnsi="Arial" w:eastAsia="仿宋" w:cs="Arial"/>
          <w:color w:val="auto"/>
          <w:sz w:val="28"/>
          <w:szCs w:val="28"/>
          <w:lang w:bidi="ar"/>
        </w:rPr>
        <w:t>发布</w:t>
      </w:r>
      <w:r>
        <w:rPr>
          <w:rFonts w:ascii="Arial" w:hAnsi="Arial" w:eastAsia="仿宋" w:cs="Arial"/>
          <w:color w:val="auto"/>
          <w:sz w:val="28"/>
          <w:szCs w:val="28"/>
          <w:lang w:bidi="ar"/>
        </w:rPr>
        <w:t>《关于印发</w:t>
      </w:r>
      <w:r>
        <w:rPr>
          <w:rFonts w:hint="eastAsia" w:ascii="Arial" w:hAnsi="Arial" w:eastAsia="仿宋" w:cs="Arial"/>
          <w:color w:val="auto"/>
          <w:sz w:val="28"/>
          <w:szCs w:val="28"/>
          <w:lang w:bidi="ar"/>
        </w:rPr>
        <w:t>〈</w:t>
      </w:r>
      <w:r>
        <w:rPr>
          <w:rFonts w:ascii="Arial" w:hAnsi="Arial" w:eastAsia="仿宋" w:cs="Arial"/>
          <w:color w:val="auto"/>
          <w:sz w:val="28"/>
          <w:szCs w:val="28"/>
          <w:lang w:bidi="ar"/>
        </w:rPr>
        <w:t>2025年北京市住房发展年度计划</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的通知》</w:t>
      </w:r>
      <w:r>
        <w:rPr>
          <w:rFonts w:hint="eastAsia" w:ascii="Arial" w:hAnsi="Arial" w:eastAsia="仿宋" w:cs="Arial"/>
          <w:color w:val="auto"/>
          <w:sz w:val="28"/>
          <w:szCs w:val="28"/>
          <w:lang w:bidi="ar"/>
        </w:rPr>
        <w:t>。《通知》</w:t>
      </w:r>
      <w:r>
        <w:rPr>
          <w:rFonts w:ascii="Arial" w:hAnsi="Arial" w:eastAsia="仿宋" w:cs="Arial"/>
          <w:color w:val="auto"/>
          <w:sz w:val="28"/>
          <w:szCs w:val="28"/>
          <w:lang w:bidi="ar"/>
        </w:rPr>
        <w:t>围绕优化住房用地供应、推进房地产市场回稳向好、加强住房保障、规范住房租赁市场、发挥住房公积金作用、提升住房质量、推进城市更新、健全物业管理服务体系等八个方面，提出了具体任务、行动计划和工作举措。</w:t>
      </w:r>
    </w:p>
    <w:p w14:paraId="5BD72561">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2025年7月10日，北京市人民政府发布</w:t>
      </w:r>
      <w:r>
        <w:rPr>
          <w:rFonts w:ascii="Arial" w:hAnsi="Arial" w:eastAsia="仿宋" w:cs="Arial"/>
          <w:color w:val="auto"/>
          <w:sz w:val="28"/>
          <w:szCs w:val="28"/>
          <w:lang w:bidi="ar"/>
        </w:rPr>
        <w:t>《关于印发</w:t>
      </w:r>
      <w:r>
        <w:rPr>
          <w:rFonts w:hint="eastAsia" w:ascii="Arial" w:hAnsi="Arial" w:eastAsia="仿宋" w:cs="Arial"/>
          <w:color w:val="auto"/>
          <w:sz w:val="28"/>
          <w:szCs w:val="28"/>
          <w:lang w:bidi="ar"/>
        </w:rPr>
        <w:t>〈北京市深化改革提振消费专项行动方案〉</w:t>
      </w:r>
      <w:r>
        <w:rPr>
          <w:rFonts w:ascii="Arial" w:hAnsi="Arial" w:eastAsia="仿宋" w:cs="Arial"/>
          <w:color w:val="auto"/>
          <w:sz w:val="28"/>
          <w:szCs w:val="28"/>
          <w:lang w:bidi="ar"/>
        </w:rPr>
        <w:t>的通知》，提出共计24项具体方案。其中，</w:t>
      </w:r>
      <w:r>
        <w:rPr>
          <w:rFonts w:hint="eastAsia" w:ascii="Arial" w:hAnsi="Arial" w:eastAsia="仿宋" w:cs="Arial"/>
          <w:color w:val="auto"/>
          <w:sz w:val="28"/>
          <w:szCs w:val="28"/>
          <w:lang w:bidi="ar"/>
        </w:rPr>
        <w:t>第14项“</w:t>
      </w:r>
      <w:r>
        <w:rPr>
          <w:rFonts w:ascii="Arial" w:hAnsi="Arial" w:eastAsia="仿宋" w:cs="Arial"/>
          <w:color w:val="auto"/>
          <w:sz w:val="28"/>
          <w:szCs w:val="28"/>
          <w:lang w:bidi="ar"/>
        </w:rPr>
        <w:t>优化住房消费新供给</w:t>
      </w:r>
      <w:r>
        <w:rPr>
          <w:rFonts w:hint="eastAsia" w:ascii="Arial" w:hAnsi="Arial" w:eastAsia="仿宋" w:cs="Arial"/>
          <w:color w:val="auto"/>
          <w:sz w:val="28"/>
          <w:szCs w:val="28"/>
          <w:lang w:bidi="ar"/>
        </w:rPr>
        <w:t>”</w:t>
      </w:r>
      <w:r>
        <w:rPr>
          <w:rFonts w:ascii="Arial" w:hAnsi="Arial" w:eastAsia="仿宋" w:cs="Arial"/>
          <w:color w:val="auto"/>
          <w:sz w:val="28"/>
          <w:szCs w:val="28"/>
          <w:lang w:bidi="ar"/>
        </w:rPr>
        <w:t>：优先向轨道交通站点和就业密集地区 供应住宅用地，完善</w:t>
      </w:r>
      <w:r>
        <w:rPr>
          <w:rFonts w:hint="eastAsia" w:ascii="Arial" w:hAnsi="Arial" w:eastAsia="仿宋" w:cs="Arial"/>
          <w:color w:val="auto"/>
          <w:sz w:val="28"/>
          <w:szCs w:val="28"/>
          <w:lang w:bidi="ar"/>
        </w:rPr>
        <w:t>“</w:t>
      </w:r>
      <w:r>
        <w:rPr>
          <w:rFonts w:ascii="Arial" w:hAnsi="Arial" w:eastAsia="仿宋" w:cs="Arial"/>
          <w:color w:val="auto"/>
          <w:sz w:val="28"/>
          <w:szCs w:val="28"/>
          <w:lang w:bidi="ar"/>
        </w:rPr>
        <w:t>保障</w:t>
      </w:r>
      <w:r>
        <w:rPr>
          <w:rFonts w:hint="eastAsia" w:ascii="Arial" w:hAnsi="Arial" w:eastAsia="仿宋" w:cs="Arial"/>
          <w:color w:val="auto"/>
          <w:sz w:val="28"/>
          <w:szCs w:val="28"/>
          <w:lang w:bidi="ar"/>
        </w:rPr>
        <w:t>＋</w:t>
      </w:r>
      <w:r>
        <w:rPr>
          <w:rFonts w:ascii="Arial" w:hAnsi="Arial" w:eastAsia="仿宋" w:cs="Arial"/>
          <w:color w:val="auto"/>
          <w:sz w:val="28"/>
          <w:szCs w:val="28"/>
          <w:lang w:bidi="ar"/>
        </w:rPr>
        <w:t>市场</w:t>
      </w:r>
      <w:r>
        <w:rPr>
          <w:rFonts w:hint="eastAsia" w:ascii="Arial" w:hAnsi="Arial" w:eastAsia="仿宋" w:cs="Arial"/>
          <w:color w:val="auto"/>
          <w:sz w:val="28"/>
          <w:szCs w:val="28"/>
          <w:lang w:bidi="ar"/>
        </w:rPr>
        <w:t>”</w:t>
      </w:r>
      <w:r>
        <w:rPr>
          <w:rFonts w:ascii="Arial" w:hAnsi="Arial" w:eastAsia="仿宋" w:cs="Arial"/>
          <w:color w:val="auto"/>
          <w:sz w:val="28"/>
          <w:szCs w:val="28"/>
          <w:lang w:bidi="ar"/>
        </w:rPr>
        <w:t>住房供应体系。进一步发挥住房公积金促进作用，支持缴存人在提取公积 金支付购房首付款的同时申请住房公积金个人住房贷款。研究制定住房公积金个人住房贷款</w:t>
      </w:r>
      <w:r>
        <w:rPr>
          <w:rFonts w:hint="eastAsia" w:ascii="Arial" w:hAnsi="Arial" w:eastAsia="仿宋" w:cs="Arial"/>
          <w:color w:val="auto"/>
          <w:sz w:val="28"/>
          <w:szCs w:val="28"/>
          <w:lang w:bidi="ar"/>
        </w:rPr>
        <w:t>“</w:t>
      </w:r>
      <w:r>
        <w:rPr>
          <w:rFonts w:ascii="Arial" w:hAnsi="Arial" w:eastAsia="仿宋" w:cs="Arial"/>
          <w:color w:val="auto"/>
          <w:sz w:val="28"/>
          <w:szCs w:val="28"/>
          <w:lang w:bidi="ar"/>
        </w:rPr>
        <w:t>带押过户</w:t>
      </w:r>
      <w:r>
        <w:rPr>
          <w:rFonts w:hint="eastAsia" w:ascii="Arial" w:hAnsi="Arial" w:eastAsia="仿宋" w:cs="Arial"/>
          <w:color w:val="auto"/>
          <w:sz w:val="28"/>
          <w:szCs w:val="28"/>
          <w:lang w:bidi="ar"/>
        </w:rPr>
        <w:t>”</w:t>
      </w:r>
      <w:r>
        <w:rPr>
          <w:rFonts w:ascii="Arial" w:hAnsi="Arial" w:eastAsia="仿宋" w:cs="Arial"/>
          <w:color w:val="auto"/>
          <w:sz w:val="28"/>
          <w:szCs w:val="28"/>
          <w:lang w:bidi="ar"/>
        </w:rPr>
        <w:t>政策，并开展相关业务。</w:t>
      </w:r>
    </w:p>
    <w:p w14:paraId="7E572B27">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2025年8月8日，</w:t>
      </w:r>
      <w:r>
        <w:rPr>
          <w:rFonts w:ascii="Arial" w:hAnsi="Arial" w:eastAsia="仿宋" w:cs="Arial"/>
          <w:color w:val="auto"/>
          <w:sz w:val="28"/>
          <w:szCs w:val="28"/>
          <w:lang w:bidi="ar"/>
        </w:rPr>
        <w:t>北京市住房和城乡建设委员会、</w:t>
      </w:r>
      <w:r>
        <w:rPr>
          <w:rFonts w:hint="eastAsia" w:ascii="Arial" w:hAnsi="Arial" w:eastAsia="仿宋" w:cs="Arial"/>
          <w:color w:val="auto"/>
          <w:sz w:val="28"/>
          <w:szCs w:val="28"/>
          <w:lang w:bidi="ar"/>
        </w:rPr>
        <w:t>北京住房公积金管理中心</w:t>
      </w:r>
      <w:r>
        <w:rPr>
          <w:rFonts w:ascii="Arial" w:hAnsi="Arial" w:eastAsia="仿宋" w:cs="Arial"/>
          <w:color w:val="auto"/>
          <w:sz w:val="28"/>
          <w:szCs w:val="28"/>
          <w:lang w:bidi="ar"/>
        </w:rPr>
        <w:t>联合发布</w:t>
      </w:r>
      <w:r>
        <w:rPr>
          <w:rFonts w:hint="eastAsia" w:ascii="Arial" w:hAnsi="Arial" w:eastAsia="仿宋" w:cs="Arial"/>
          <w:color w:val="auto"/>
          <w:sz w:val="28"/>
          <w:szCs w:val="28"/>
          <w:lang w:bidi="ar"/>
        </w:rPr>
        <w:t>《关于进一步优化调整本市房地产相关政策的通知》。此次政策调整聚焦于优化住房限购政策和加大公积金贷款支持力度两大方面，其中五环外限购松绑以及公积金政策的多项优化举措，印发广泛关注。《通知》自2025年8月9日起正式施行。</w:t>
      </w:r>
    </w:p>
    <w:p w14:paraId="4E2EFA3F">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9月29日，</w:t>
      </w:r>
      <w:r>
        <w:rPr>
          <w:rFonts w:hint="eastAsia" w:ascii="Arial" w:hAnsi="Arial" w:eastAsia="仿宋" w:cs="Arial"/>
          <w:color w:val="auto"/>
          <w:sz w:val="28"/>
          <w:szCs w:val="28"/>
          <w:lang w:bidi="ar"/>
        </w:rPr>
        <w:t>《</w:t>
      </w:r>
      <w:r>
        <w:rPr>
          <w:rFonts w:ascii="Arial" w:hAnsi="Arial" w:eastAsia="仿宋" w:cs="Arial"/>
          <w:color w:val="auto"/>
          <w:sz w:val="28"/>
          <w:szCs w:val="28"/>
          <w:lang w:bidi="ar"/>
        </w:rPr>
        <w:t>北京市人民政府印发</w:t>
      </w:r>
      <w:r>
        <w:rPr>
          <w:rFonts w:hint="eastAsia" w:ascii="Arial" w:hAnsi="Arial" w:eastAsia="仿宋" w:cs="Arial"/>
          <w:color w:val="auto"/>
          <w:sz w:val="28"/>
          <w:szCs w:val="28"/>
          <w:lang w:bidi="ar"/>
        </w:rPr>
        <w:t>〈北京市居住公共服务设施配置指标〉和〈北京市居住公共服务设施配置指标实施意见〉的通知》发布</w:t>
      </w:r>
      <w:r>
        <w:rPr>
          <w:rFonts w:ascii="Arial" w:hAnsi="Arial" w:eastAsia="仿宋" w:cs="Arial"/>
          <w:color w:val="auto"/>
          <w:sz w:val="28"/>
          <w:szCs w:val="28"/>
          <w:lang w:bidi="ar"/>
        </w:rPr>
        <w:t>，对2015年印发的文件进行了全面修订</w:t>
      </w:r>
      <w:r>
        <w:rPr>
          <w:rFonts w:hint="eastAsia" w:ascii="Arial" w:hAnsi="Arial" w:eastAsia="仿宋" w:cs="Arial"/>
          <w:color w:val="auto"/>
          <w:sz w:val="28"/>
          <w:szCs w:val="28"/>
          <w:lang w:bidi="ar"/>
        </w:rPr>
        <w:t>。《通知》</w:t>
      </w:r>
      <w:r>
        <w:rPr>
          <w:rFonts w:ascii="Arial" w:hAnsi="Arial" w:eastAsia="仿宋" w:cs="Arial"/>
          <w:color w:val="auto"/>
          <w:sz w:val="28"/>
          <w:szCs w:val="28"/>
          <w:lang w:bidi="ar"/>
        </w:rPr>
        <w:t>于2025年 12月1日起实施。鼓励空间复合利用，增设综合服务设施，将文体活动、党群服务设施指标统筹使用；增设托育设施和老幼服务用房，强化</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一老一小</w:t>
      </w:r>
      <w:r>
        <w:rPr>
          <w:rFonts w:hint="eastAsia" w:ascii="Arial" w:hAnsi="Arial" w:eastAsia="仿宋" w:cs="Arial"/>
          <w:color w:val="auto"/>
          <w:sz w:val="28"/>
          <w:szCs w:val="28"/>
          <w:lang w:bidi="ar"/>
        </w:rPr>
        <w:t>”</w:t>
      </w:r>
      <w:r>
        <w:rPr>
          <w:rFonts w:ascii="Arial" w:hAnsi="Arial" w:eastAsia="仿宋" w:cs="Arial"/>
          <w:color w:val="auto"/>
          <w:sz w:val="28"/>
          <w:szCs w:val="28"/>
          <w:lang w:bidi="ar"/>
        </w:rPr>
        <w:t>服务功能；调整了停车指标，电动自行车原则在地上停放；增加末端物流设施、垃圾分类收集设施；增设社区级商业设施</w:t>
      </w:r>
      <w:r>
        <w:rPr>
          <w:rFonts w:hint="eastAsia" w:ascii="Arial" w:hAnsi="Arial" w:eastAsia="仿宋" w:cs="Arial"/>
          <w:color w:val="auto"/>
          <w:sz w:val="28"/>
          <w:szCs w:val="28"/>
          <w:lang w:bidi="ar"/>
        </w:rPr>
        <w:t>。</w:t>
      </w:r>
    </w:p>
    <w:p w14:paraId="20A81739">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2025年12月24日，北京市住房和城乡建设委员会、中国人民银行北京市分行、北京市发展和改革委员会和北京住房公积金管理中心联合发布《关于进一步优化调整本市房地产相关政策的通知》。《通知》</w:t>
      </w:r>
      <w:r>
        <w:rPr>
          <w:rFonts w:ascii="Arial" w:hAnsi="Arial" w:eastAsia="仿宋" w:cs="Arial"/>
          <w:color w:val="auto"/>
          <w:sz w:val="28"/>
          <w:szCs w:val="28"/>
          <w:lang w:bidi="ar"/>
        </w:rPr>
        <w:t>核心内容包括放宽非京籍购房条件、支持多子女家庭购房、优化信贷及公积金政策等，自发布当日施行</w:t>
      </w:r>
      <w:r>
        <w:rPr>
          <w:rFonts w:hint="eastAsia" w:ascii="Arial" w:hAnsi="Arial" w:eastAsia="仿宋" w:cs="Arial"/>
          <w:color w:val="auto"/>
          <w:sz w:val="28"/>
          <w:szCs w:val="28"/>
          <w:lang w:bidi="ar"/>
        </w:rPr>
        <w:t>。</w:t>
      </w:r>
    </w:p>
    <w:p w14:paraId="158A01D6">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bCs/>
          <w:color w:val="auto"/>
          <w:sz w:val="28"/>
          <w:szCs w:val="28"/>
        </w:rPr>
        <w:t>2025年12月31日，北京市规划和自然资源委员会和北京市住房和城乡建设委员会联合发布《关于印发</w:t>
      </w:r>
      <w:r>
        <w:rPr>
          <w:rFonts w:hint="eastAsia" w:ascii="仿宋" w:hAnsi="仿宋" w:eastAsia="仿宋" w:cs="Arial"/>
          <w:bCs/>
          <w:color w:val="auto"/>
          <w:sz w:val="28"/>
          <w:szCs w:val="28"/>
        </w:rPr>
        <w:t>〈</w:t>
      </w:r>
      <w:r>
        <w:rPr>
          <w:rFonts w:hint="eastAsia" w:ascii="Arial" w:hAnsi="Arial" w:eastAsia="仿宋" w:cs="Arial"/>
          <w:bCs/>
          <w:color w:val="auto"/>
          <w:sz w:val="28"/>
          <w:szCs w:val="28"/>
        </w:rPr>
        <w:t>北京市城市更新范围内无手续建筑认定处理指导意见（试行）</w:t>
      </w:r>
      <w:r>
        <w:rPr>
          <w:rFonts w:hint="eastAsia" w:ascii="仿宋" w:hAnsi="仿宋" w:eastAsia="仿宋" w:cs="Arial"/>
          <w:bCs/>
          <w:color w:val="auto"/>
          <w:sz w:val="28"/>
          <w:szCs w:val="28"/>
        </w:rPr>
        <w:t>〉</w:t>
      </w:r>
      <w:r>
        <w:rPr>
          <w:rFonts w:hint="eastAsia" w:ascii="Arial" w:hAnsi="Arial" w:eastAsia="仿宋" w:cs="Arial"/>
          <w:bCs/>
          <w:color w:val="auto"/>
          <w:sz w:val="28"/>
          <w:szCs w:val="28"/>
        </w:rPr>
        <w:t>的通知》，该文件</w:t>
      </w:r>
      <w:r>
        <w:rPr>
          <w:rFonts w:ascii="Arial" w:hAnsi="Arial" w:eastAsia="仿宋" w:cs="Arial"/>
          <w:bCs/>
          <w:color w:val="auto"/>
          <w:sz w:val="28"/>
          <w:szCs w:val="28"/>
        </w:rPr>
        <w:t>属于《北京市城市更新条例》配套政策文件，旨在推动化解城市更新范围内部分现状建筑物因历史原因形成的无手续或手续不完善问题，激励城市更新项目实施，进一步优化城市功能布局，促进存量空间资源提质增效，加快推进城市更新项</w:t>
      </w:r>
      <w:r>
        <w:rPr>
          <w:rFonts w:ascii="Arial" w:hAnsi="Arial" w:eastAsia="仿宋" w:cs="Arial"/>
          <w:color w:val="auto"/>
          <w:sz w:val="28"/>
          <w:szCs w:val="28"/>
          <w:lang w:bidi="ar"/>
        </w:rPr>
        <w:t>目实施</w:t>
      </w:r>
      <w:r>
        <w:rPr>
          <w:rFonts w:hint="eastAsia" w:ascii="Arial" w:hAnsi="Arial" w:eastAsia="仿宋" w:cs="Arial"/>
          <w:color w:val="auto"/>
          <w:sz w:val="28"/>
          <w:szCs w:val="28"/>
          <w:lang w:bidi="ar"/>
        </w:rPr>
        <w:t>。</w:t>
      </w:r>
    </w:p>
    <w:p w14:paraId="5D2F40CF">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  税收政策：</w:t>
      </w:r>
    </w:p>
    <w:p w14:paraId="444423B4">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2025年4月，</w:t>
      </w:r>
      <w:r>
        <w:rPr>
          <w:rFonts w:ascii="Arial" w:hAnsi="Arial" w:eastAsia="仿宋" w:cs="Arial"/>
          <w:color w:val="auto"/>
          <w:sz w:val="28"/>
          <w:szCs w:val="28"/>
          <w:lang w:bidi="ar"/>
        </w:rPr>
        <w:t>国家税务总局12366纳税服务平台以热点问题答复形式回应：纳税人按照《关于降低存量首套住房贷款 利率有关事项的通知》规定</w:t>
      </w:r>
      <w:r>
        <w:rPr>
          <w:rFonts w:hint="eastAsia" w:ascii="Arial" w:hAnsi="Arial" w:eastAsia="仿宋" w:cs="Arial"/>
          <w:color w:val="auto"/>
          <w:sz w:val="28"/>
          <w:szCs w:val="28"/>
          <w:lang w:bidi="ar"/>
        </w:rPr>
        <w:t>“</w:t>
      </w:r>
      <w:r>
        <w:rPr>
          <w:rFonts w:ascii="Arial" w:hAnsi="Arial" w:eastAsia="仿宋" w:cs="Arial"/>
          <w:color w:val="auto"/>
          <w:sz w:val="28"/>
          <w:szCs w:val="28"/>
          <w:lang w:bidi="ar"/>
        </w:rPr>
        <w:t>二套转首套</w:t>
      </w:r>
      <w:r>
        <w:rPr>
          <w:rFonts w:hint="eastAsia" w:ascii="Arial" w:hAnsi="Arial" w:eastAsia="仿宋" w:cs="Arial"/>
          <w:color w:val="auto"/>
          <w:sz w:val="28"/>
          <w:szCs w:val="28"/>
          <w:lang w:bidi="ar"/>
        </w:rPr>
        <w:t>”</w:t>
      </w:r>
      <w:r>
        <w:rPr>
          <w:rFonts w:ascii="Arial" w:hAnsi="Arial" w:eastAsia="仿宋" w:cs="Arial"/>
          <w:color w:val="auto"/>
          <w:sz w:val="28"/>
          <w:szCs w:val="28"/>
          <w:lang w:bidi="ar"/>
        </w:rPr>
        <w:t>，其商业住房贷款部分已执行首套住房贷款利率的，符合《国务院 关于印发个人所得税专项附加扣除暂行办法的通知》</w:t>
      </w:r>
      <w:r>
        <w:rPr>
          <w:rFonts w:hint="eastAsia" w:ascii="Arial" w:hAnsi="Arial" w:eastAsia="仿宋" w:cs="Arial"/>
          <w:color w:val="auto"/>
          <w:sz w:val="28"/>
          <w:szCs w:val="28"/>
          <w:lang w:bidi="ar"/>
        </w:rPr>
        <w:t>（</w:t>
      </w:r>
      <w:r>
        <w:rPr>
          <w:rFonts w:ascii="Arial" w:hAnsi="Arial" w:eastAsia="仿宋" w:cs="Arial"/>
          <w:color w:val="auto"/>
          <w:sz w:val="28"/>
          <w:szCs w:val="28"/>
          <w:lang w:bidi="ar"/>
        </w:rPr>
        <w:t>国发〔2018〕41号</w:t>
      </w:r>
      <w:r>
        <w:rPr>
          <w:rFonts w:hint="eastAsia" w:ascii="Arial" w:hAnsi="Arial" w:eastAsia="仿宋" w:cs="Arial"/>
          <w:color w:val="auto"/>
          <w:sz w:val="28"/>
          <w:szCs w:val="28"/>
          <w:lang w:bidi="ar"/>
        </w:rPr>
        <w:t>）</w:t>
      </w:r>
      <w:r>
        <w:rPr>
          <w:rFonts w:ascii="Arial" w:hAnsi="Arial" w:eastAsia="仿宋" w:cs="Arial"/>
          <w:color w:val="auto"/>
          <w:sz w:val="28"/>
          <w:szCs w:val="28"/>
          <w:lang w:bidi="ar"/>
        </w:rPr>
        <w:t>有关住房贷款利息专项附加扣除的规定且之前未享受过住房贷款利息专项附加扣除的，可以自按照首套住房贷款利率开始还款的当月起享受住房贷款利息专项附加扣除。</w:t>
      </w:r>
    </w:p>
    <w:p w14:paraId="3B87A1BE">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w:t>
      </w:r>
      <w:r>
        <w:rPr>
          <w:rFonts w:ascii="Arial" w:hAnsi="Arial" w:eastAsia="仿宋" w:cs="Arial"/>
          <w:color w:val="auto"/>
          <w:sz w:val="28"/>
          <w:szCs w:val="28"/>
          <w:lang w:bidi="ar"/>
        </w:rPr>
        <w:t>10月15日，北京市住房和城乡建设委员会、北京市财政局、国家税务总局北京市税务局发布《关于进一步明确本市住房租赁企业税收政策适用有关事项的通知》，明确符合条件的住房租赁企业，可以按照《关于完善住房租赁有关税收政策的公告》（财政部、税务总局、住房城乡建设部公告2021 年第24号》享受相应的税收优惠政策。将专业化规模化住房租赁企业标准下调50%，即在本市持有或者经营租赁住房500 套（间）及以上或者建筑面积1.5 万平方米及以上，进一步扩大专业化规模化住房租赁企业税收优惠覆盖面。</w:t>
      </w:r>
    </w:p>
    <w:p w14:paraId="1B78285C">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12月30日，财政部、税务总局联合发布《关于个人销售住房增值税政策的公告》，个人将购买不足2年的住房对外销售的，按照3%的征收率全额缴纳增值税；个人将购买2年以上（含2年）的住房对外销售的，免征增值税。本次政策调整主要针对购买不足2年的住房，将出售增值税率由5%调整至3%，购买2年以上的住房对外销售的，没有调整，仍免征增值税。公告自2026年1月1日起施行。</w:t>
      </w:r>
    </w:p>
    <w:p w14:paraId="2C19EFC9">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  金融政策：</w:t>
      </w:r>
    </w:p>
    <w:p w14:paraId="35974A30">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全国：</w:t>
      </w:r>
    </w:p>
    <w:p w14:paraId="241B0160">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2025年5月7日，</w:t>
      </w:r>
      <w:r>
        <w:rPr>
          <w:rFonts w:ascii="Arial" w:hAnsi="Arial" w:eastAsia="仿宋" w:cs="Arial"/>
          <w:color w:val="auto"/>
          <w:sz w:val="28"/>
          <w:szCs w:val="28"/>
          <w:lang w:bidi="ar"/>
        </w:rPr>
        <w:t>中国人民银行公告，下调金融机构存款准备金率、下调再贷款利率、下调个人住房公积金贷款利率：自5月15日起，下调金融机构存款准备金率0.5个百分点；自5月7日起，下调再贷款利率0.25个百分点；自5月 8日起，下调个人住房公积金贷款利率0.25个百分点。</w:t>
      </w:r>
    </w:p>
    <w:p w14:paraId="65E82E66">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北京：</w:t>
      </w:r>
    </w:p>
    <w:p w14:paraId="4A07E7D9">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2024年9月30日，北京市住房和城乡建设委员会、北京市财政局、中国人民银行北京市分行、国家金融监督管理总局北京监管局、国家税务总局北京市税务局、北京住房公积金管理中心联合发布《关于进一步优化调整本市房地产相关政策的通知》。《通知》提出，加大信贷政策支持力度。一是降低存量房贷利率。引导商业银行稳妥有序将存量房贷利率降至新发放贷款利率附近，切实减轻购房人房贷利息负担。二是下调房贷首付款比例。将商业性个人住房贷款首套房贷最低首付款比例由不低于20%下调至不低于15%，二套房贷由不低于35%（购买五环内住房）、不低于30%（购买五环外住房）统一下调至不低于20%。三是更好发挥住房公积金贷款作用。京籍二孩以上家庭购房的，公积金可贷款额度上浮40万元。</w:t>
      </w:r>
    </w:p>
    <w:p w14:paraId="0F6216BB">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2024年12月31日，北京住房公积金管理中心发布《关于调整住房公积金个人住房贷款借款人年龄上限的通知》，将住房公积金个人住房贷款借款期限调整到可计算到借款申请人法定退休年龄后5年，原则上最高不超过68周岁，贷款期限最长为30年。《通知》自2025年1月1日起执行。</w:t>
      </w:r>
    </w:p>
    <w:p w14:paraId="4DA1AB1C">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2025年5月8日，</w:t>
      </w:r>
      <w:r>
        <w:rPr>
          <w:rFonts w:ascii="Arial" w:hAnsi="Arial" w:eastAsia="仿宋" w:cs="Arial"/>
          <w:color w:val="auto"/>
          <w:sz w:val="28"/>
          <w:szCs w:val="28"/>
          <w:lang w:bidi="ar"/>
        </w:rPr>
        <w:t>北京住房公积金管理中心发布《</w:t>
      </w:r>
      <w:r>
        <w:rPr>
          <w:rFonts w:hint="eastAsia" w:ascii="Arial" w:hAnsi="Arial" w:eastAsia="仿宋" w:cs="Arial"/>
          <w:color w:val="auto"/>
          <w:sz w:val="28"/>
          <w:szCs w:val="28"/>
          <w:lang w:bidi="ar"/>
        </w:rPr>
        <w:t>关于下调个人住房公积金贷款利率的公告</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2025年5月8日（含）之后新发放的贷款，5年以下（含5年）和5年以上首套个人住房公积金贷款利率分别为2.1％和2.6％，5年以下 （含5年）和5年以上第二套个人住房公积金贷款利率分别为2.525％和3.075％。</w:t>
      </w:r>
    </w:p>
    <w:p w14:paraId="04330D88">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4.城市规划与发展目标</w:t>
      </w:r>
    </w:p>
    <w:p w14:paraId="4DE0A8DC">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（1）《北京城市总体规划</w:t>
      </w:r>
      <w:r>
        <w:rPr>
          <w:rFonts w:hint="eastAsia" w:ascii="Arial" w:hAnsi="Arial" w:eastAsia="仿宋" w:cs="Arial"/>
          <w:color w:val="auto"/>
          <w:sz w:val="28"/>
          <w:szCs w:val="28"/>
          <w:lang w:bidi="ar"/>
        </w:rPr>
        <w:t>（</w:t>
      </w:r>
      <w:r>
        <w:rPr>
          <w:rFonts w:ascii="Arial" w:hAnsi="Arial" w:eastAsia="仿宋" w:cs="Arial"/>
          <w:color w:val="auto"/>
          <w:sz w:val="28"/>
          <w:szCs w:val="28"/>
          <w:lang w:bidi="ar"/>
        </w:rPr>
        <w:t>2016年</w:t>
      </w:r>
      <w:r>
        <w:rPr>
          <w:rFonts w:hint="eastAsia" w:ascii="Arial" w:hAnsi="Arial" w:eastAsia="仿宋" w:cs="Arial"/>
          <w:color w:val="auto"/>
          <w:sz w:val="28"/>
          <w:szCs w:val="28"/>
          <w:lang w:bidi="ar"/>
        </w:rPr>
        <w:t>－</w:t>
      </w:r>
      <w:r>
        <w:rPr>
          <w:rFonts w:ascii="Arial" w:hAnsi="Arial" w:eastAsia="仿宋" w:cs="Arial"/>
          <w:color w:val="auto"/>
          <w:sz w:val="28"/>
          <w:szCs w:val="28"/>
          <w:lang w:bidi="ar"/>
        </w:rPr>
        <w:t>2035年</w:t>
      </w:r>
      <w:r>
        <w:rPr>
          <w:rFonts w:hint="eastAsia" w:ascii="Arial" w:hAnsi="Arial" w:eastAsia="仿宋" w:cs="Arial"/>
          <w:color w:val="auto"/>
          <w:sz w:val="28"/>
          <w:szCs w:val="28"/>
          <w:lang w:bidi="ar"/>
        </w:rPr>
        <w:t>）</w:t>
      </w:r>
      <w:r>
        <w:rPr>
          <w:rFonts w:ascii="Arial" w:hAnsi="Arial" w:eastAsia="仿宋" w:cs="Arial"/>
          <w:color w:val="auto"/>
          <w:sz w:val="28"/>
          <w:szCs w:val="28"/>
          <w:lang w:bidi="ar"/>
        </w:rPr>
        <w:t>》于2017年9月29日正式发布。新版总体规划以资源环境为硬约束，确定了人口总量上限、生态控制线、城市开发边界</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三条红线</w:t>
      </w:r>
      <w:r>
        <w:rPr>
          <w:rFonts w:hint="eastAsia" w:ascii="Arial" w:hAnsi="Arial" w:eastAsia="仿宋" w:cs="Arial"/>
          <w:color w:val="auto"/>
          <w:sz w:val="28"/>
          <w:szCs w:val="28"/>
          <w:lang w:bidi="ar"/>
        </w:rPr>
        <w:t>”</w:t>
      </w:r>
      <w:r>
        <w:rPr>
          <w:rFonts w:ascii="Arial" w:hAnsi="Arial" w:eastAsia="仿宋" w:cs="Arial"/>
          <w:color w:val="auto"/>
          <w:sz w:val="28"/>
          <w:szCs w:val="28"/>
          <w:lang w:bidi="ar"/>
        </w:rPr>
        <w:t>。通过疏解非首都功能，实现人随功能走、人随产业走。北京市常住人口规模2020年控制在2300万人以内，2020年以后长期稳定在这一水平。到2035年，北京市生态控制区面积占市域面积的比例要提高到75%。到2020年，北京市城乡建设用地规模将由2015年的2921平方公里减到2860平方公里。深入推进京津冀协同发展。发挥北京的辐射带动作用，打造以首都为核心的世界级城市群。全方位对接支持河北雄安新区规划建设。与河北共同筹办好2022年北京冬奥会和冬残奥会，促进区域整体发展水平提升。聚焦重点领域，优化区域交通体系，推进交通互联互通，疏解过境交通；建设好北京新机场，打造区域世界级机场群；加强产业协作和转移，构建区域协同创新共同体。加强与天津、河北交界地区统一规划、统一政策、统一管控。</w:t>
      </w:r>
    </w:p>
    <w:p w14:paraId="3CAAD94C">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（2）2021年1月27日，北京市第十五届人民代表大会第四次会议批准了《北京市国民经济和社会发展第十四个五年规划和二〇三五年远景目标纲要》（以下简称《纲要》）。《纲要》的指导思想，是要统筹推进</w:t>
      </w:r>
      <w:r>
        <w:rPr>
          <w:rFonts w:hint="eastAsia" w:ascii="Arial" w:hAnsi="Arial" w:eastAsia="仿宋" w:cs="Arial"/>
          <w:color w:val="auto"/>
          <w:sz w:val="28"/>
          <w:szCs w:val="28"/>
          <w:lang w:bidi="ar"/>
        </w:rPr>
        <w:t>“</w:t>
      </w:r>
      <w:r>
        <w:rPr>
          <w:rFonts w:ascii="Arial" w:hAnsi="Arial" w:eastAsia="仿宋" w:cs="Arial"/>
          <w:color w:val="auto"/>
          <w:sz w:val="28"/>
          <w:szCs w:val="28"/>
          <w:lang w:bidi="ar"/>
        </w:rPr>
        <w:t>五位一体</w:t>
      </w:r>
      <w:r>
        <w:rPr>
          <w:rFonts w:hint="eastAsia" w:ascii="Arial" w:hAnsi="Arial" w:eastAsia="仿宋" w:cs="Arial"/>
          <w:color w:val="auto"/>
          <w:sz w:val="28"/>
          <w:szCs w:val="28"/>
          <w:lang w:bidi="ar"/>
        </w:rPr>
        <w:t>”</w:t>
      </w:r>
      <w:r>
        <w:rPr>
          <w:rFonts w:ascii="Arial" w:hAnsi="Arial" w:eastAsia="仿宋" w:cs="Arial"/>
          <w:color w:val="auto"/>
          <w:sz w:val="28"/>
          <w:szCs w:val="28"/>
          <w:lang w:bidi="ar"/>
        </w:rPr>
        <w:t>总体布局，协调推进</w:t>
      </w:r>
      <w:r>
        <w:rPr>
          <w:rFonts w:hint="eastAsia" w:ascii="Arial" w:hAnsi="Arial" w:eastAsia="仿宋" w:cs="Arial"/>
          <w:color w:val="auto"/>
          <w:sz w:val="28"/>
          <w:szCs w:val="28"/>
          <w:lang w:bidi="ar"/>
        </w:rPr>
        <w:t>“</w:t>
      </w:r>
      <w:r>
        <w:rPr>
          <w:rFonts w:ascii="Arial" w:hAnsi="Arial" w:eastAsia="仿宋" w:cs="Arial"/>
          <w:color w:val="auto"/>
          <w:sz w:val="28"/>
          <w:szCs w:val="28"/>
          <w:lang w:bidi="ar"/>
        </w:rPr>
        <w:t>四个全面</w:t>
      </w:r>
      <w:r>
        <w:rPr>
          <w:rFonts w:hint="eastAsia" w:ascii="Arial" w:hAnsi="Arial" w:eastAsia="仿宋" w:cs="Arial"/>
          <w:color w:val="auto"/>
          <w:sz w:val="28"/>
          <w:szCs w:val="28"/>
          <w:lang w:bidi="ar"/>
        </w:rPr>
        <w:t>”</w:t>
      </w:r>
      <w:r>
        <w:rPr>
          <w:rFonts w:ascii="Arial" w:hAnsi="Arial" w:eastAsia="仿宋" w:cs="Arial"/>
          <w:color w:val="auto"/>
          <w:sz w:val="28"/>
          <w:szCs w:val="28"/>
          <w:lang w:bidi="ar"/>
        </w:rPr>
        <w:t>战略布局，坚定不移贯彻创新、协调、绿色、开放、共享的新发展理念，坚持稳中求进工作总基调，立足首都城市战略定位，深入实施人文北京、科技北京、绿色北京战略，以首都发展为统领，以推进高质量发展为主题，以深化供给侧结构性改革为主线，以改革创新为根本动力，以满足人民日益增长的美好生活需要为根本目的，以建设国际科技创新中心为新引擎，以疏解非首都功能为</w:t>
      </w:r>
      <w:r>
        <w:rPr>
          <w:rFonts w:hint="eastAsia" w:ascii="Arial" w:hAnsi="Arial" w:eastAsia="仿宋" w:cs="Arial"/>
          <w:color w:val="auto"/>
          <w:sz w:val="28"/>
          <w:szCs w:val="28"/>
          <w:lang w:bidi="ar"/>
        </w:rPr>
        <w:t>“</w:t>
      </w:r>
      <w:r>
        <w:rPr>
          <w:rFonts w:ascii="Arial" w:hAnsi="Arial" w:eastAsia="仿宋" w:cs="Arial"/>
          <w:color w:val="auto"/>
          <w:sz w:val="28"/>
          <w:szCs w:val="28"/>
          <w:lang w:bidi="ar"/>
        </w:rPr>
        <w:t>牛鼻子</w:t>
      </w:r>
      <w:r>
        <w:rPr>
          <w:rFonts w:hint="eastAsia" w:ascii="Arial" w:hAnsi="Arial" w:eastAsia="仿宋" w:cs="Arial"/>
          <w:color w:val="auto"/>
          <w:sz w:val="28"/>
          <w:szCs w:val="28"/>
          <w:lang w:bidi="ar"/>
        </w:rPr>
        <w:t>”</w:t>
      </w:r>
      <w:r>
        <w:rPr>
          <w:rFonts w:ascii="Arial" w:hAnsi="Arial" w:eastAsia="仿宋" w:cs="Arial"/>
          <w:color w:val="auto"/>
          <w:sz w:val="28"/>
          <w:szCs w:val="28"/>
          <w:lang w:bidi="ar"/>
        </w:rPr>
        <w:t>推动京津冀协同发展，以高水平对外开放打造国际合作和竞争新优势，统筹发展和安全，加快建设现代化经济体系，率先探索构建新发展格局的有效路径，推进首都治理体系和治理能力现代化，实现经济行稳致远、社会安定和谐，为率先基本实现社会主义现代化开好局、起好步。</w:t>
      </w:r>
    </w:p>
    <w:p w14:paraId="6CA4A40B">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纲要》提出，建设高品质宜居城市，优化城市空间功能布局，加快推进城市更新。大力推进老旧小区改造，促进存量产业空间活力复兴。研究推进区域整体转型开发、节余土地分割转让等机制，鼓励市场主体利用老旧厂房发展科技研发、商务服务、文化创意等产业。</w:t>
      </w:r>
    </w:p>
    <w:p w14:paraId="716BDCD0">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完善多层次住房保障体系，加大住房有效供给，优化房地产市场管理和服务。坚持</w:t>
      </w:r>
      <w:r>
        <w:rPr>
          <w:rFonts w:hint="eastAsia" w:ascii="Arial" w:hAnsi="Arial" w:eastAsia="仿宋" w:cs="Arial"/>
          <w:color w:val="auto"/>
          <w:sz w:val="28"/>
          <w:szCs w:val="28"/>
          <w:lang w:bidi="ar"/>
        </w:rPr>
        <w:t>“</w:t>
      </w:r>
      <w:r>
        <w:rPr>
          <w:rFonts w:ascii="Arial" w:hAnsi="Arial" w:eastAsia="仿宋" w:cs="Arial"/>
          <w:color w:val="auto"/>
          <w:sz w:val="28"/>
          <w:szCs w:val="28"/>
          <w:lang w:bidi="ar"/>
        </w:rPr>
        <w:t>房住不炒</w:t>
      </w:r>
      <w:r>
        <w:rPr>
          <w:rFonts w:hint="eastAsia" w:ascii="Arial" w:hAnsi="Arial" w:eastAsia="仿宋" w:cs="Arial"/>
          <w:color w:val="auto"/>
          <w:sz w:val="28"/>
          <w:szCs w:val="28"/>
          <w:lang w:bidi="ar"/>
        </w:rPr>
        <w:t>”</w:t>
      </w:r>
      <w:r>
        <w:rPr>
          <w:rFonts w:ascii="Arial" w:hAnsi="Arial" w:eastAsia="仿宋" w:cs="Arial"/>
          <w:color w:val="auto"/>
          <w:sz w:val="28"/>
          <w:szCs w:val="28"/>
          <w:lang w:bidi="ar"/>
        </w:rPr>
        <w:t>，完善房地产市场平稳健康发展长效机制，构建与城市功能定位和发展需求相适应的住房体系，努力实现住有所居、居有所安。加大住房有效供给，统筹住房保障、职住平衡和区域协调发展，提升住房供给体系的适配性。坚持保障和改善民生优先导向，增加住房供应，规划期内新增各类居住用地5000公顷、供应各类住房100万套左右，基本实现总体供需平衡。加大多层次保障性租赁住房供给，针对中低收入家庭自住需求，大力筹集建设各类租赁型住房，提高公共租赁住房备案家庭保障率，新增供应套数占比不低于40%。新增集体土地租赁住房等政策性租赁住房供地占比不低于供应总量的15%，鼓励存量低效商业、办公、厂房等建筑改造为租赁型职工集体宿舍或公寓。加快高层次人才公租房和国际人才公寓建设。确保住房交易市场平稳有序，规范发展住房租赁市场，保持调控政策连续性稳定性，坚决遏制投机炒房，按照</w:t>
      </w:r>
      <w:r>
        <w:rPr>
          <w:rFonts w:hint="eastAsia" w:ascii="Arial" w:hAnsi="Arial" w:eastAsia="仿宋" w:cs="Arial"/>
          <w:color w:val="auto"/>
          <w:sz w:val="28"/>
          <w:szCs w:val="28"/>
          <w:lang w:bidi="ar"/>
        </w:rPr>
        <w:t>“</w:t>
      </w:r>
      <w:r>
        <w:rPr>
          <w:rFonts w:ascii="Arial" w:hAnsi="Arial" w:eastAsia="仿宋" w:cs="Arial"/>
          <w:color w:val="auto"/>
          <w:sz w:val="28"/>
          <w:szCs w:val="28"/>
          <w:lang w:bidi="ar"/>
        </w:rPr>
        <w:t>全市统筹、因区施策</w:t>
      </w:r>
      <w:r>
        <w:rPr>
          <w:rFonts w:hint="eastAsia" w:ascii="Arial" w:hAnsi="Arial" w:eastAsia="仿宋" w:cs="Arial"/>
          <w:color w:val="auto"/>
          <w:sz w:val="28"/>
          <w:szCs w:val="28"/>
          <w:lang w:bidi="ar"/>
        </w:rPr>
        <w:t>”</w:t>
      </w:r>
      <w:r>
        <w:rPr>
          <w:rFonts w:ascii="Arial" w:hAnsi="Arial" w:eastAsia="仿宋" w:cs="Arial"/>
          <w:color w:val="auto"/>
          <w:sz w:val="28"/>
          <w:szCs w:val="28"/>
          <w:lang w:bidi="ar"/>
        </w:rPr>
        <w:t>原则，逐步完善各区域调控长效机制，合理设定调控目标，全面落实稳地价、稳房价、稳预期。</w:t>
      </w:r>
    </w:p>
    <w:p w14:paraId="7A7411ED">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（3）2022年5月18日，北京市印发《北京市城市更新专项规划（</w:t>
      </w:r>
      <w:r>
        <w:rPr>
          <w:rFonts w:hint="eastAsia" w:ascii="Arial" w:hAnsi="Arial" w:eastAsia="仿宋" w:cs="Arial"/>
          <w:color w:val="auto"/>
          <w:sz w:val="28"/>
          <w:szCs w:val="28"/>
          <w:lang w:bidi="ar"/>
        </w:rPr>
        <w:t>“</w:t>
      </w:r>
      <w:r>
        <w:rPr>
          <w:rFonts w:ascii="Arial" w:hAnsi="Arial" w:eastAsia="仿宋" w:cs="Arial"/>
          <w:color w:val="auto"/>
          <w:sz w:val="28"/>
          <w:szCs w:val="28"/>
          <w:lang w:bidi="ar"/>
        </w:rPr>
        <w:t>十四五</w:t>
      </w:r>
      <w:r>
        <w:rPr>
          <w:rFonts w:hint="eastAsia" w:ascii="Arial" w:hAnsi="Arial" w:eastAsia="仿宋" w:cs="Arial"/>
          <w:color w:val="auto"/>
          <w:sz w:val="28"/>
          <w:szCs w:val="28"/>
          <w:lang w:bidi="ar"/>
        </w:rPr>
        <w:t>”</w:t>
      </w:r>
      <w:r>
        <w:rPr>
          <w:rFonts w:ascii="Arial" w:hAnsi="Arial" w:eastAsia="仿宋" w:cs="Arial"/>
          <w:color w:val="auto"/>
          <w:sz w:val="28"/>
          <w:szCs w:val="28"/>
          <w:lang w:bidi="ar"/>
        </w:rPr>
        <w:t>时期）》（以下简称‘《专项规划》’），严控大拆大建，采取小规模、渐进式、可持续的更新，依托新版《北京城市总规》确定的</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一核一主一副、两轴多点一区</w:t>
      </w:r>
      <w:r>
        <w:rPr>
          <w:rFonts w:hint="eastAsia" w:ascii="Arial" w:hAnsi="Arial" w:eastAsia="仿宋" w:cs="Arial"/>
          <w:color w:val="auto"/>
          <w:sz w:val="28"/>
          <w:szCs w:val="28"/>
          <w:lang w:bidi="ar"/>
        </w:rPr>
        <w:t>”</w:t>
      </w:r>
      <w:r>
        <w:rPr>
          <w:rFonts w:ascii="Arial" w:hAnsi="Arial" w:eastAsia="仿宋" w:cs="Arial"/>
          <w:color w:val="auto"/>
          <w:sz w:val="28"/>
          <w:szCs w:val="28"/>
          <w:lang w:bidi="ar"/>
        </w:rPr>
        <w:t>的城市空间结构，分圈层差异化明确更新方向，将首都功能核心区和城市副中心作为更新重点；划定近期178个城市更新重点街区，到2025年，将完成全市2000年底前建成需改造的1.6亿平方米老旧小区改造任务。</w:t>
      </w:r>
    </w:p>
    <w:p w14:paraId="417C005F">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《专项规划》要求健全完善多主体供给、多渠道保障、租购并举的住房制度和住房体系，增加保障性住房与共有产权住房供给；明确城市更新应坚持</w:t>
      </w:r>
      <w:r>
        <w:rPr>
          <w:rFonts w:hint="eastAsia" w:ascii="Arial" w:hAnsi="Arial" w:eastAsia="仿宋" w:cs="Arial"/>
          <w:color w:val="auto"/>
          <w:sz w:val="28"/>
          <w:szCs w:val="28"/>
          <w:lang w:bidi="ar"/>
        </w:rPr>
        <w:t>“</w:t>
      </w:r>
      <w:r>
        <w:rPr>
          <w:rFonts w:ascii="Arial" w:hAnsi="Arial" w:eastAsia="仿宋" w:cs="Arial"/>
          <w:color w:val="auto"/>
          <w:sz w:val="28"/>
          <w:szCs w:val="28"/>
          <w:lang w:bidi="ar"/>
        </w:rPr>
        <w:t>留改拆</w:t>
      </w:r>
      <w:r>
        <w:rPr>
          <w:rFonts w:hint="eastAsia" w:ascii="Arial" w:hAnsi="Arial" w:eastAsia="仿宋" w:cs="Arial"/>
          <w:color w:val="auto"/>
          <w:sz w:val="28"/>
          <w:szCs w:val="28"/>
          <w:lang w:bidi="ar"/>
        </w:rPr>
        <w:t>”</w:t>
      </w:r>
      <w:r>
        <w:rPr>
          <w:rFonts w:ascii="Arial" w:hAnsi="Arial" w:eastAsia="仿宋" w:cs="Arial"/>
          <w:color w:val="auto"/>
          <w:sz w:val="28"/>
          <w:szCs w:val="28"/>
          <w:lang w:bidi="ar"/>
        </w:rPr>
        <w:t>并举、以保留利用提升为主；要全面推进老旧小区更新改造；将老旧楼宇纳入城市更新范围；要塑造</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两轴</w:t>
      </w:r>
      <w:r>
        <w:rPr>
          <w:rFonts w:hint="eastAsia" w:ascii="Arial" w:hAnsi="Arial" w:eastAsia="仿宋" w:cs="Arial"/>
          <w:color w:val="auto"/>
          <w:sz w:val="28"/>
          <w:szCs w:val="28"/>
          <w:lang w:bidi="ar"/>
        </w:rPr>
        <w:t>”</w:t>
      </w:r>
      <w:r>
        <w:rPr>
          <w:rFonts w:ascii="Arial" w:hAnsi="Arial" w:eastAsia="仿宋" w:cs="Arial"/>
          <w:color w:val="auto"/>
          <w:sz w:val="28"/>
          <w:szCs w:val="28"/>
          <w:lang w:bidi="ar"/>
        </w:rPr>
        <w:t>沿线公共空间。</w:t>
      </w:r>
    </w:p>
    <w:p w14:paraId="078FA3CC">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5.城市经济发展运行状况</w:t>
      </w:r>
    </w:p>
    <w:p w14:paraId="180765EF">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根据北京市统计局地区生产总值统一核算结果，2025年全年，北京市实现地区生产总值52073.4亿元，按不变价格计算，比上年增长5.4%。分产业看，第一产业实现增加值109.2亿元，下降0.7%；第二产业实现增加值7187.4亿元，增长3.5%；第三产业实现增加值44776.9亿元，增长5.8%。</w:t>
      </w:r>
    </w:p>
    <w:p w14:paraId="6585D61D">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（1）</w:t>
      </w:r>
      <w:r>
        <w:rPr>
          <w:rFonts w:ascii="Arial" w:hAnsi="Arial" w:eastAsia="仿宋" w:cs="Arial"/>
          <w:color w:val="auto"/>
          <w:sz w:val="28"/>
          <w:szCs w:val="28"/>
          <w:lang w:bidi="ar"/>
        </w:rPr>
        <w:t>农业生产保持稳定，设施农业发展较好</w:t>
      </w:r>
    </w:p>
    <w:p w14:paraId="067B52FD">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实现农林牧渔业总产值249.8亿元，按可比价格计算，与上年持平。其中，实现农业（种植业）产值135.4亿元，受极端天气影响，下降3.5%，粮食播种面积148.4万亩、产量59.6万吨，分别增长5.0%和3.5%，蔬菜（含食用菌）、园林水果产量分别下降0.6%和12.2%；实现林业产值56.3亿元，下降5.2%；实现牧业产值42.6亿元，增长9.4%，猪、牛、羊、家禽出栏量均实现两位数增长。设施农业实现产值60.1亿元，增长1.1%，蔬菜、食用菌产值分别为38.2亿元和4.7亿元，分别增长0.9%和11.6%。</w:t>
      </w:r>
    </w:p>
    <w:p w14:paraId="418B1633">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（2）工业生产提质增效，新兴领域加速布局</w:t>
      </w:r>
    </w:p>
    <w:p w14:paraId="4F8EBB2E">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规模以上工业增加值按可比价格计算，比上年增长6.5%。重点行业中，计算机、通信和其他电子设备制造业，汽车制造业分别增长20.2%和17.7%，新能源汽车、消费电子、集成电路等领域发挥带动作用；电力、热力生产和供应业增长5.5%；医药制造业下降8.6%；五大装备制造业增长4.9%。新质生产力加快发展，规模以上工业战略性新兴产业、高技术制造业增加值分别增长15.5%和7.5%（二者有交叉），新能源汽车、锂离子电池、服务机器人、风力发电机组产量分别增长1.4倍、1.2倍、47.6%和21.6%。实现规模以上工业出口交货值2113.4亿元，增长6.4%，其中汽车制造业、专用设备制造业分别增长24.6%和10.8%</w:t>
      </w:r>
      <w:r>
        <w:rPr>
          <w:rFonts w:ascii="Arial" w:hAnsi="Arial" w:eastAsia="仿宋" w:cs="Arial"/>
          <w:color w:val="auto"/>
          <w:sz w:val="28"/>
          <w:szCs w:val="28"/>
          <w:lang w:bidi="ar"/>
        </w:rPr>
        <w:t>。</w:t>
      </w:r>
    </w:p>
    <w:p w14:paraId="054559B1">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（3）服务业稳中向好，优势行业稳固支撑</w:t>
      </w:r>
    </w:p>
    <w:p w14:paraId="07845505">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第三产业增加值按不变价格计算，比上年增长5.8%。其中，信息传输、软件和信息技术服务业实现增加值12192.4亿元，增长11.0%，金融业实现增加值8668.2亿元，增长8.7%，两个行业对全市经济增长的贡献率超过7成；租赁和商务服务业实现增加值3171.4亿元，增长4.7%；交通运输、仓储和邮政业实现增加值1343.1亿元，增长8.9%。</w:t>
      </w:r>
    </w:p>
    <w:p w14:paraId="75352402">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（4）固定资产投资较快增长，有效投资持续增加</w:t>
      </w:r>
    </w:p>
    <w:p w14:paraId="304AB8B9">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固定资产投资（不含农户）比上年增长5.5%。其中，反映企业生产能力扩大的设备购置投资增长66.0%，占固定资产投资的比重为32.3%，同比提高11.7个百分点，新一代信息技术、集成电路领域相关项目是主要带动力量。分领域看，基础设施投资下降1.6%，房地产开发投资下降15.5%。分产业看，第一产业投资增长6.3%；第二产业投资增长4.3%；第三产业投资增长5.6%，其中，信息传输、软件和信息技术服务业，科学研究和技术服务业投资分别增长83.0%和8.5%；“投资于人”稳步推进，教育、文化体育和娱乐业投资分别增长30.7%和30.1%。高技术产业投资保持活跃，增长40.1%，其中高技术服务业投资增长64.9%，互联网企业算力设备更新等领域加大投入。</w:t>
      </w:r>
    </w:p>
    <w:p w14:paraId="37891429">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2025年末，北京市房屋施工面积10307.8万平方米，比上年末下降8.9%，其中，住宅施工面积5149.6万平方米，下降9.1%。全年商品房销售面积1041.0万平方米，下降6.9%，其中，住宅销售面积724.0万平方米，下降7.9%</w:t>
      </w:r>
      <w:r>
        <w:rPr>
          <w:rFonts w:ascii="Arial" w:hAnsi="Arial" w:eastAsia="仿宋" w:cs="Arial"/>
          <w:color w:val="auto"/>
          <w:sz w:val="28"/>
          <w:szCs w:val="28"/>
          <w:lang w:bidi="ar"/>
        </w:rPr>
        <w:t>。</w:t>
      </w:r>
    </w:p>
    <w:p w14:paraId="31500628">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（5）服务性消费较为活跃，升级类商品销售良好</w:t>
      </w:r>
    </w:p>
    <w:p w14:paraId="66C8F6BF">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市场总消费额比上年增长1.6%。其中，服务性消费额在信息、交通等领域带动下，增长5.0%；实现社会消费品零售总额13677.0亿元，下降2.9%，降幅比前三季度收窄2.2个百分点。社会消费品零售总额中，按消费形态分，商品零售12353.5亿元，下降2.9%，餐饮收入1323.5亿元，下降3.0%，分别收窄2.4个、0.7个百分点。从商品类别看，限额以上批发和零售业中，金银珠宝类、化妆品类、新能源汽车类等升级类商品零售额分别增长39.5%、12.6%和13.2%；与基本生活相关的粮油食品类商品零售额增长5.7%；汽车类、通讯器材类商品零售额分别下降13.7%和15.9%，降幅自四季度以来逐步收窄。</w:t>
      </w:r>
    </w:p>
    <w:p w14:paraId="6DD42760">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（6）居民消费价格低位平稳运行，工业生产者出厂价格延续降势</w:t>
      </w:r>
      <w:r>
        <w:rPr>
          <w:rFonts w:ascii="Arial" w:hAnsi="Arial" w:eastAsia="仿宋" w:cs="Arial"/>
          <w:color w:val="auto"/>
          <w:sz w:val="28"/>
          <w:szCs w:val="28"/>
          <w:lang w:bidi="ar"/>
        </w:rPr>
        <w:t> </w:t>
      </w:r>
    </w:p>
    <w:p w14:paraId="04573EE9">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居民消费价格同比下降0.1%。其中，消费品价格下降0.3%，服务价格同比持平。八大类商品和服务项目中，其他用品及服务类价格上涨13.1%，生活用品及服务类价格上涨2.1%，衣着类价格上涨0.4%，居住类价格同比持平，交通通信类价格下降2.2%，食品烟酒类价格下降1.2%，教育文化娱乐类价格下降1.2%，医疗保健类价格下降0.5%。12月份，居民消费价格同比上涨1.0%，环比上涨0.3%。</w:t>
      </w:r>
    </w:p>
    <w:p w14:paraId="530B51FA">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2025年，北京市工业生产者出厂价格同比下降1.7%，购进价格同比下降1.8%。12月份，工业生产者出厂价格同比下降1.6%，环比上涨0.1%；购进价格同比下降2.5%，环比上涨0.8%。</w:t>
      </w:r>
    </w:p>
    <w:p w14:paraId="2B07C1E0">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（7）就业形势总体平稳，居民收入稳步增长 </w:t>
      </w:r>
    </w:p>
    <w:p w14:paraId="3D2547BE">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2025年，北京市城镇调查失业率均值为4.1%，与上年持平；12月份，城镇调查失业率为4.0%，环比回落0.1个百分点点。</w:t>
      </w:r>
    </w:p>
    <w:p w14:paraId="4193ABE7">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2025年，北京市居民人均可支配收入89090元，同比增长4.3%，扣除价格因素增长4.4%。其中，工资性收入增长4.9%，经营净收入增长3.2%，财产净收入增长0.7%，转移净收入增长4.9%。城镇居民人均可支配收入96292元，同比增长4.1%，农村居民人均可支配收入42012元，同比增长5.4%。</w:t>
      </w:r>
    </w:p>
    <w:p w14:paraId="656C5ADC">
      <w:pPr>
        <w:widowControl/>
        <w:adjustRightInd/>
        <w:spacing w:line="300" w:lineRule="auto"/>
        <w:ind w:firstLine="560" w:firstLineChars="200"/>
        <w:rPr>
          <w:rFonts w:ascii="Arial" w:hAnsi="Arial" w:eastAsia="仿宋" w:cs="Arial"/>
          <w:color w:val="auto"/>
          <w:sz w:val="28"/>
          <w:szCs w:val="28"/>
          <w:lang w:bidi="ar"/>
        </w:rPr>
      </w:pPr>
      <w:r>
        <w:rPr>
          <w:rFonts w:hint="eastAsia" w:ascii="Arial" w:hAnsi="Arial" w:eastAsia="仿宋" w:cs="Arial"/>
          <w:color w:val="auto"/>
          <w:sz w:val="28"/>
          <w:szCs w:val="28"/>
          <w:lang w:bidi="ar"/>
        </w:rPr>
        <w:t>总的来看，2025年北京市坚持稳中求进工作总基调，完整准确全面贯彻新发展理念，落实落细稳经济系列政策措施，积极应对各类风险挑战，全市经济保持平稳运行，生产需求稳中向好，就业物价保持稳定，居民收入稳步增加，新质生产力培育壮大，高质量发展取得积极成效，实现“十四五”圆满收官。</w:t>
      </w:r>
    </w:p>
    <w:p w14:paraId="686D93AF">
      <w:pPr>
        <w:adjustRightInd/>
        <w:spacing w:line="300" w:lineRule="auto"/>
        <w:jc w:val="both"/>
        <w:rPr>
          <w:rFonts w:ascii="Arial" w:hAnsi="Arial" w:eastAsia="仿宋" w:cs="Arial"/>
          <w:color w:val="auto"/>
          <w:sz w:val="28"/>
          <w:szCs w:val="28"/>
        </w:rPr>
      </w:pPr>
      <w:r>
        <w:rPr>
          <w:rFonts w:ascii="Arial" w:hAnsi="Arial" w:eastAsia="仿宋" w:cs="Arial"/>
          <w:color w:val="auto"/>
          <w:sz w:val="28"/>
          <w:szCs w:val="28"/>
        </w:rPr>
        <w:t>（二）区域因素</w:t>
      </w:r>
    </w:p>
    <w:p w14:paraId="4DE67E55">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1.区域概况</w:t>
      </w:r>
    </w:p>
    <w:p w14:paraId="31A78A56">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顺义区位于北京市东北部，距市区30公里，毗邻北京城市副中心，是首都国际机场所在地，北邻</w:t>
      </w:r>
      <w:r>
        <w:rPr>
          <w:color w:val="auto"/>
        </w:rPr>
        <w:fldChar w:fldCharType="begin"/>
      </w:r>
      <w:r>
        <w:rPr>
          <w:color w:val="auto"/>
        </w:rPr>
        <w:instrText xml:space="preserve"> HYPERLINK "https://baike.baidu.com/item/%E6%80%80%E6%9F%94%E5%8C%BA/5105451?fromModule=lemma_inlink" \t "/Users/liuning/Documentsx/_blank" </w:instrText>
      </w:r>
      <w:r>
        <w:rPr>
          <w:color w:val="auto"/>
        </w:rPr>
        <w:fldChar w:fldCharType="separate"/>
      </w:r>
      <w:r>
        <w:rPr>
          <w:rFonts w:ascii="Arial" w:hAnsi="Arial" w:eastAsia="仿宋" w:cs="Arial"/>
          <w:color w:val="auto"/>
          <w:sz w:val="28"/>
          <w:szCs w:val="28"/>
          <w:lang w:bidi="ar"/>
        </w:rPr>
        <w:t>怀柔区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w:t>
      </w:r>
      <w:r>
        <w:rPr>
          <w:color w:val="auto"/>
        </w:rPr>
        <w:fldChar w:fldCharType="begin"/>
      </w:r>
      <w:r>
        <w:rPr>
          <w:color w:val="auto"/>
        </w:rPr>
        <w:instrText xml:space="preserve"> HYPERLINK "https://baike.baidu.com/item/%E5%AF%86%E4%BA%91%E5%8C%BA/18830737?fromModule=lemma_inlink" \t "/Users/liuning/Documentsx/_blank" </w:instrText>
      </w:r>
      <w:r>
        <w:rPr>
          <w:color w:val="auto"/>
        </w:rPr>
        <w:fldChar w:fldCharType="separate"/>
      </w:r>
      <w:r>
        <w:rPr>
          <w:rFonts w:ascii="Arial" w:hAnsi="Arial" w:eastAsia="仿宋" w:cs="Arial"/>
          <w:color w:val="auto"/>
          <w:sz w:val="28"/>
          <w:szCs w:val="28"/>
          <w:lang w:bidi="ar"/>
        </w:rPr>
        <w:t>密云区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，东界</w:t>
      </w:r>
      <w:r>
        <w:rPr>
          <w:color w:val="auto"/>
        </w:rPr>
        <w:fldChar w:fldCharType="begin"/>
      </w:r>
      <w:r>
        <w:rPr>
          <w:color w:val="auto"/>
        </w:rPr>
        <w:instrText xml:space="preserve"> HYPERLINK "https://baike.baidu.com/item/%E5%B9%B3%E8%B0%B7%E5%8C%BA/4461548?fromModule=lemma_inlink" \t "/Users/liuning/Documentsx/_blank" </w:instrText>
      </w:r>
      <w:r>
        <w:rPr>
          <w:color w:val="auto"/>
        </w:rPr>
        <w:fldChar w:fldCharType="separate"/>
      </w:r>
      <w:r>
        <w:rPr>
          <w:rFonts w:ascii="Arial" w:hAnsi="Arial" w:eastAsia="仿宋" w:cs="Arial"/>
          <w:color w:val="auto"/>
          <w:sz w:val="28"/>
          <w:szCs w:val="28"/>
          <w:lang w:bidi="ar"/>
        </w:rPr>
        <w:t>平谷区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，南与</w:t>
      </w:r>
      <w:r>
        <w:rPr>
          <w:color w:val="auto"/>
        </w:rPr>
        <w:fldChar w:fldCharType="begin"/>
      </w:r>
      <w:r>
        <w:rPr>
          <w:color w:val="auto"/>
        </w:rPr>
        <w:instrText xml:space="preserve"> HYPERLINK "https://baike.baidu.com/item/%E9%80%9A%E5%B7%9E%E5%8C%BA/5203?fromModule=lemma_inlink" \t "/Users/liuning/Documentsx/_blank" </w:instrText>
      </w:r>
      <w:r>
        <w:rPr>
          <w:color w:val="auto"/>
        </w:rPr>
        <w:fldChar w:fldCharType="separate"/>
      </w:r>
      <w:r>
        <w:rPr>
          <w:rFonts w:ascii="Arial" w:hAnsi="Arial" w:eastAsia="仿宋" w:cs="Arial"/>
          <w:color w:val="auto"/>
          <w:sz w:val="28"/>
          <w:szCs w:val="28"/>
          <w:lang w:bidi="ar"/>
        </w:rPr>
        <w:t>通州区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、河北省廊坊市三河市接壤，西南、西与</w:t>
      </w:r>
      <w:r>
        <w:rPr>
          <w:color w:val="auto"/>
        </w:rPr>
        <w:fldChar w:fldCharType="begin"/>
      </w:r>
      <w:r>
        <w:rPr>
          <w:color w:val="auto"/>
        </w:rPr>
        <w:instrText xml:space="preserve"> HYPERLINK "https://baike.baidu.com/item/%E6%98%8C%E5%B9%B3%E5%8C%BA/2504992?fromModule=lemma_inlink" \t "/Users/liuning/Documentsx/_blank" </w:instrText>
      </w:r>
      <w:r>
        <w:rPr>
          <w:color w:val="auto"/>
        </w:rPr>
        <w:fldChar w:fldCharType="separate"/>
      </w:r>
      <w:r>
        <w:rPr>
          <w:rFonts w:ascii="Arial" w:hAnsi="Arial" w:eastAsia="仿宋" w:cs="Arial"/>
          <w:color w:val="auto"/>
          <w:sz w:val="28"/>
          <w:szCs w:val="28"/>
          <w:lang w:bidi="ar"/>
        </w:rPr>
        <w:t>昌平区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w:t>
      </w:r>
      <w:r>
        <w:rPr>
          <w:color w:val="auto"/>
        </w:rPr>
        <w:fldChar w:fldCharType="begin"/>
      </w:r>
      <w:r>
        <w:rPr>
          <w:color w:val="auto"/>
        </w:rPr>
        <w:instrText xml:space="preserve"> HYPERLINK "https://baike.baidu.com/item/%E6%9C%9D%E9%98%B3%E5%8C%BA/2134?fromModule=lemma_inlink" \t "/Users/liuning/Documentsx/_blank" </w:instrText>
      </w:r>
      <w:r>
        <w:rPr>
          <w:color w:val="auto"/>
        </w:rPr>
        <w:fldChar w:fldCharType="separate"/>
      </w:r>
      <w:r>
        <w:rPr>
          <w:rFonts w:ascii="Arial" w:hAnsi="Arial" w:eastAsia="仿宋" w:cs="Arial"/>
          <w:color w:val="auto"/>
          <w:sz w:val="28"/>
          <w:szCs w:val="28"/>
          <w:lang w:bidi="ar"/>
        </w:rPr>
        <w:t>朝阳区</w:t>
      </w:r>
      <w:r>
        <w:rPr>
          <w:rFonts w:ascii="Arial" w:hAnsi="Arial" w:eastAsia="仿宋" w:cs="Arial"/>
          <w:color w:val="auto"/>
          <w:sz w:val="28"/>
          <w:szCs w:val="28"/>
          <w:lang w:bidi="ar"/>
        </w:rPr>
        <w:fldChar w:fldCharType="end"/>
      </w:r>
      <w:r>
        <w:rPr>
          <w:rFonts w:ascii="Arial" w:hAnsi="Arial" w:eastAsia="仿宋" w:cs="Arial"/>
          <w:color w:val="auto"/>
          <w:sz w:val="28"/>
          <w:szCs w:val="28"/>
          <w:lang w:bidi="ar"/>
        </w:rPr>
        <w:t>隔温榆河为界。总面积1021平方公里，其中平原面积占95.7%。全区常住人口132.5万人，下辖19个建制镇和6个街道办事处。按照新版北京城市总体规划，顺义区是北京市</w:t>
      </w:r>
      <w:r>
        <w:rPr>
          <w:rFonts w:hint="eastAsia" w:ascii="Arial" w:hAnsi="Arial" w:eastAsia="仿宋" w:cs="Arial"/>
          <w:color w:val="auto"/>
          <w:sz w:val="28"/>
          <w:szCs w:val="28"/>
          <w:lang w:bidi="ar"/>
        </w:rPr>
        <w:t>“</w:t>
      </w:r>
      <w:r>
        <w:rPr>
          <w:rFonts w:ascii="Arial" w:hAnsi="Arial" w:eastAsia="仿宋" w:cs="Arial"/>
          <w:color w:val="auto"/>
          <w:sz w:val="28"/>
          <w:szCs w:val="28"/>
          <w:lang w:bidi="ar"/>
        </w:rPr>
        <w:t>一核一主一副、两轴多点一区</w:t>
      </w:r>
      <w:r>
        <w:rPr>
          <w:rFonts w:hint="eastAsia" w:ascii="Arial" w:hAnsi="Arial" w:eastAsia="仿宋" w:cs="Arial"/>
          <w:color w:val="auto"/>
          <w:sz w:val="28"/>
          <w:szCs w:val="28"/>
          <w:lang w:bidi="ar"/>
        </w:rPr>
        <w:t>”</w:t>
      </w:r>
      <w:r>
        <w:rPr>
          <w:rFonts w:ascii="Arial" w:hAnsi="Arial" w:eastAsia="仿宋" w:cs="Arial"/>
          <w:color w:val="auto"/>
          <w:sz w:val="28"/>
          <w:szCs w:val="28"/>
          <w:lang w:bidi="ar"/>
        </w:rPr>
        <w:t>城市空间结构中的</w:t>
      </w:r>
      <w:r>
        <w:rPr>
          <w:rFonts w:hint="eastAsia" w:ascii="Arial" w:hAnsi="Arial" w:eastAsia="仿宋" w:cs="Arial"/>
          <w:color w:val="auto"/>
          <w:sz w:val="28"/>
          <w:szCs w:val="28"/>
          <w:lang w:bidi="ar"/>
        </w:rPr>
        <w:t>“</w:t>
      </w:r>
      <w:r>
        <w:rPr>
          <w:rFonts w:ascii="Arial" w:hAnsi="Arial" w:eastAsia="仿宋" w:cs="Arial"/>
          <w:color w:val="auto"/>
          <w:sz w:val="28"/>
          <w:szCs w:val="28"/>
          <w:lang w:bidi="ar"/>
        </w:rPr>
        <w:t>多点</w:t>
      </w:r>
      <w:r>
        <w:rPr>
          <w:rFonts w:hint="eastAsia" w:ascii="Arial" w:hAnsi="Arial" w:eastAsia="仿宋" w:cs="Arial"/>
          <w:color w:val="auto"/>
          <w:sz w:val="28"/>
          <w:szCs w:val="28"/>
          <w:lang w:bidi="ar"/>
        </w:rPr>
        <w:t>”</w:t>
      </w:r>
      <w:r>
        <w:rPr>
          <w:rFonts w:ascii="Arial" w:hAnsi="Arial" w:eastAsia="仿宋" w:cs="Arial"/>
          <w:color w:val="auto"/>
          <w:sz w:val="28"/>
          <w:szCs w:val="28"/>
          <w:lang w:bidi="ar"/>
        </w:rPr>
        <w:t>之一，也是</w:t>
      </w:r>
      <w:r>
        <w:rPr>
          <w:rFonts w:hint="eastAsia" w:ascii="Arial" w:hAnsi="Arial" w:eastAsia="仿宋" w:cs="Arial"/>
          <w:color w:val="auto"/>
          <w:sz w:val="28"/>
          <w:szCs w:val="28"/>
          <w:lang w:bidi="ar"/>
        </w:rPr>
        <w:t>“</w:t>
      </w:r>
      <w:r>
        <w:rPr>
          <w:rFonts w:ascii="Arial" w:hAnsi="Arial" w:eastAsia="仿宋" w:cs="Arial"/>
          <w:color w:val="auto"/>
          <w:sz w:val="28"/>
          <w:szCs w:val="28"/>
          <w:lang w:bidi="ar"/>
        </w:rPr>
        <w:t>国门</w:t>
      </w:r>
      <w:r>
        <w:rPr>
          <w:rFonts w:hint="eastAsia" w:ascii="Arial" w:hAnsi="Arial" w:eastAsia="仿宋" w:cs="Arial"/>
          <w:color w:val="auto"/>
          <w:sz w:val="28"/>
          <w:szCs w:val="28"/>
          <w:lang w:bidi="ar"/>
        </w:rPr>
        <w:t>”</w:t>
      </w:r>
      <w:r>
        <w:rPr>
          <w:rFonts w:ascii="Arial" w:hAnsi="Arial" w:eastAsia="仿宋" w:cs="Arial"/>
          <w:color w:val="auto"/>
          <w:sz w:val="28"/>
          <w:szCs w:val="28"/>
          <w:lang w:bidi="ar"/>
        </w:rPr>
        <w:t>所在地、首都重点平原新城、中心城区适宜功能产业的重要承接地，正在建设</w:t>
      </w:r>
      <w:r>
        <w:rPr>
          <w:rFonts w:hint="eastAsia" w:ascii="Arial" w:hAnsi="Arial" w:eastAsia="仿宋" w:cs="Arial"/>
          <w:color w:val="auto"/>
          <w:sz w:val="28"/>
          <w:szCs w:val="28"/>
          <w:lang w:bidi="ar"/>
        </w:rPr>
        <w:t>“</w:t>
      </w:r>
      <w:r>
        <w:rPr>
          <w:rFonts w:ascii="Arial" w:hAnsi="Arial" w:eastAsia="仿宋" w:cs="Arial"/>
          <w:color w:val="auto"/>
          <w:sz w:val="28"/>
          <w:szCs w:val="28"/>
          <w:lang w:bidi="ar"/>
        </w:rPr>
        <w:t>港城融合的国际航空中心核心区，创新引领的区域经济提升发展先行区，城乡协调的首都和谐宜居示范区</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p>
    <w:p w14:paraId="7CB71446">
      <w:pPr>
        <w:widowControl/>
        <w:adjustRightInd/>
        <w:spacing w:line="300" w:lineRule="auto"/>
        <w:ind w:firstLine="560" w:firstLineChars="200"/>
        <w:rPr>
          <w:rFonts w:ascii="Arial" w:hAnsi="Arial" w:eastAsia="仿宋" w:cs="Arial"/>
          <w:color w:val="auto"/>
          <w:sz w:val="28"/>
          <w:szCs w:val="28"/>
          <w:lang w:bidi="ar"/>
        </w:rPr>
      </w:pPr>
      <w:r>
        <w:rPr>
          <w:rFonts w:ascii="Arial" w:hAnsi="Arial" w:eastAsia="仿宋" w:cs="Arial"/>
          <w:color w:val="auto"/>
          <w:sz w:val="28"/>
          <w:szCs w:val="28"/>
          <w:lang w:bidi="ar"/>
        </w:rPr>
        <w:t>顺义区地势北高南低，东北边界屏障燕山，境内平原为河流洪水携带沉积物质造成，表面堆积物主要是砂、亚砂土，面积占95.7%。北部山地最高点海拔为637米，境内最低点海拔为24米，平均海拔35米。顺义区境内有大小河流20余条，潮白河等河流分流其间，均呈南北走向，分属北运河、潮白河、蓟运河3个水系。河道总长232千米，径流总量1.7亿立方米。</w:t>
      </w:r>
    </w:p>
    <w:p w14:paraId="1CF3194C">
      <w:pPr>
        <w:adjustRightInd/>
        <w:spacing w:line="300" w:lineRule="auto"/>
        <w:ind w:firstLine="560" w:firstLineChars="200"/>
        <w:jc w:val="both"/>
        <w:rPr>
          <w:rFonts w:ascii="Arial" w:hAnsi="Arial" w:eastAsia="仿宋" w:cs="Arial"/>
          <w:i/>
          <w:color w:val="auto"/>
          <w:sz w:val="28"/>
          <w:szCs w:val="28"/>
        </w:rPr>
      </w:pPr>
      <w:r>
        <w:rPr>
          <w:rFonts w:ascii="Arial" w:hAnsi="Arial" w:eastAsia="仿宋" w:cs="Arial"/>
          <w:color w:val="auto"/>
          <w:sz w:val="28"/>
          <w:szCs w:val="28"/>
          <w:lang w:bidi="ar"/>
        </w:rPr>
        <w:t>顺义区公路已形成机场高速、京承高速、机场北线高速、京平高速、机场南线高速、六环路等高速公路为龙头，京密路、顺平路等国、市道主干线路网为骨架，县乡公路为支脉，</w:t>
      </w:r>
      <w:r>
        <w:rPr>
          <w:rFonts w:hint="eastAsia" w:ascii="Arial" w:hAnsi="Arial" w:eastAsia="仿宋" w:cs="Arial"/>
          <w:color w:val="auto"/>
          <w:sz w:val="28"/>
          <w:szCs w:val="28"/>
          <w:lang w:bidi="ar"/>
        </w:rPr>
        <w:t>“</w:t>
      </w:r>
      <w:r>
        <w:rPr>
          <w:rFonts w:ascii="Arial" w:hAnsi="Arial" w:eastAsia="仿宋" w:cs="Arial"/>
          <w:color w:val="auto"/>
          <w:sz w:val="28"/>
          <w:szCs w:val="28"/>
          <w:lang w:bidi="ar"/>
        </w:rPr>
        <w:t>六横</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十四纵</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二放射</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六高速</w:t>
      </w:r>
      <w:r>
        <w:rPr>
          <w:rFonts w:hint="eastAsia" w:ascii="Arial" w:hAnsi="Arial" w:eastAsia="仿宋" w:cs="Arial"/>
          <w:color w:val="auto"/>
          <w:sz w:val="28"/>
          <w:szCs w:val="28"/>
          <w:lang w:bidi="ar"/>
        </w:rPr>
        <w:t>”</w:t>
      </w:r>
      <w:r>
        <w:rPr>
          <w:rFonts w:ascii="Arial" w:hAnsi="Arial" w:eastAsia="仿宋" w:cs="Arial"/>
          <w:color w:val="auto"/>
          <w:sz w:val="28"/>
          <w:szCs w:val="28"/>
          <w:lang w:bidi="ar"/>
        </w:rPr>
        <w:t>，</w:t>
      </w:r>
      <w:r>
        <w:rPr>
          <w:rFonts w:hint="eastAsia" w:ascii="Arial" w:hAnsi="Arial" w:eastAsia="仿宋" w:cs="Arial"/>
          <w:color w:val="auto"/>
          <w:sz w:val="28"/>
          <w:szCs w:val="28"/>
          <w:lang w:bidi="ar"/>
        </w:rPr>
        <w:t>“</w:t>
      </w:r>
      <w:r>
        <w:rPr>
          <w:rFonts w:ascii="Arial" w:hAnsi="Arial" w:eastAsia="仿宋" w:cs="Arial"/>
          <w:color w:val="auto"/>
          <w:sz w:val="28"/>
          <w:szCs w:val="28"/>
          <w:lang w:bidi="ar"/>
        </w:rPr>
        <w:t>棋盘</w:t>
      </w:r>
      <w:r>
        <w:rPr>
          <w:rFonts w:hint="eastAsia" w:ascii="Arial" w:hAnsi="Arial" w:eastAsia="仿宋" w:cs="Arial"/>
          <w:color w:val="auto"/>
          <w:sz w:val="28"/>
          <w:szCs w:val="28"/>
          <w:lang w:bidi="ar"/>
        </w:rPr>
        <w:t>＋</w:t>
      </w:r>
      <w:r>
        <w:rPr>
          <w:rFonts w:ascii="Arial" w:hAnsi="Arial" w:eastAsia="仿宋" w:cs="Arial"/>
          <w:color w:val="auto"/>
          <w:sz w:val="28"/>
          <w:szCs w:val="28"/>
          <w:lang w:bidi="ar"/>
        </w:rPr>
        <w:t>网格</w:t>
      </w:r>
      <w:r>
        <w:rPr>
          <w:rFonts w:hint="eastAsia" w:ascii="Arial" w:hAnsi="Arial" w:eastAsia="仿宋" w:cs="Arial"/>
          <w:color w:val="auto"/>
          <w:sz w:val="28"/>
          <w:szCs w:val="28"/>
          <w:lang w:bidi="ar"/>
        </w:rPr>
        <w:t>＋</w:t>
      </w:r>
      <w:r>
        <w:rPr>
          <w:rFonts w:ascii="Arial" w:hAnsi="Arial" w:eastAsia="仿宋" w:cs="Arial"/>
          <w:color w:val="auto"/>
          <w:sz w:val="28"/>
          <w:szCs w:val="28"/>
          <w:lang w:bidi="ar"/>
        </w:rPr>
        <w:t>环线</w:t>
      </w:r>
      <w:r>
        <w:rPr>
          <w:rFonts w:hint="eastAsia" w:ascii="Arial" w:hAnsi="Arial" w:eastAsia="仿宋" w:cs="Arial"/>
          <w:color w:val="auto"/>
          <w:sz w:val="28"/>
          <w:szCs w:val="28"/>
          <w:lang w:bidi="ar"/>
        </w:rPr>
        <w:t>”</w:t>
      </w:r>
      <w:r>
        <w:rPr>
          <w:rFonts w:ascii="Arial" w:hAnsi="Arial" w:eastAsia="仿宋" w:cs="Arial"/>
          <w:color w:val="auto"/>
          <w:sz w:val="28"/>
          <w:szCs w:val="28"/>
          <w:lang w:bidi="ar"/>
        </w:rPr>
        <w:t>纵横交错、四通八达的公路网体系。</w:t>
      </w:r>
    </w:p>
    <w:p w14:paraId="41C20821">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2.交通条件</w:t>
      </w:r>
    </w:p>
    <w:p w14:paraId="4A557DA5">
      <w:pPr>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估价对象属于北京市顺义区高丽营镇夏县营村，估价对象紧临城市主干道——火寺路、周边1公里范围内有顺25路、顺42路、顺49路、顺69路等公交线路，区域内交通一般，区域间通达性较差，综合评价交通便捷度较差。</w:t>
      </w:r>
    </w:p>
    <w:p w14:paraId="57DAA3FE">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3.环境条件</w:t>
      </w:r>
    </w:p>
    <w:p w14:paraId="7CC4E404">
      <w:pPr>
        <w:adjustRightInd/>
        <w:spacing w:line="300" w:lineRule="auto"/>
        <w:ind w:firstLine="560" w:firstLineChars="200"/>
        <w:jc w:val="both"/>
        <w:rPr>
          <w:rFonts w:ascii="Arial" w:hAnsi="Arial" w:eastAsia="仿宋" w:cs="Arial"/>
          <w:color w:val="auto"/>
          <w:sz w:val="28"/>
          <w:szCs w:val="28"/>
          <w:lang w:bidi="ar"/>
        </w:rPr>
      </w:pPr>
      <w:r>
        <w:rPr>
          <w:rFonts w:ascii="Arial" w:hAnsi="Arial" w:eastAsia="仿宋" w:cs="Arial"/>
          <w:color w:val="auto"/>
          <w:sz w:val="28"/>
          <w:szCs w:val="28"/>
          <w:lang w:bidi="ar"/>
        </w:rPr>
        <w:t>估价对位于北京市顺义区高丽营镇夏县营村，</w:t>
      </w:r>
      <w:r>
        <w:rPr>
          <w:rFonts w:hint="eastAsia" w:ascii="Arial" w:hAnsi="Arial" w:eastAsia="仿宋" w:cs="Arial"/>
          <w:color w:val="auto"/>
          <w:sz w:val="28"/>
          <w:szCs w:val="28"/>
          <w:lang w:bidi="ar"/>
        </w:rPr>
        <w:t>周边2公里范围内有南郎中休闲公园、口袋公园、方氏渠等自然环境；人文环境较少</w:t>
      </w:r>
      <w:r>
        <w:rPr>
          <w:rFonts w:ascii="Arial" w:hAnsi="Arial" w:eastAsia="仿宋" w:cs="Arial"/>
          <w:color w:val="auto"/>
          <w:sz w:val="28"/>
          <w:szCs w:val="28"/>
          <w:lang w:bidi="ar"/>
        </w:rPr>
        <w:t>；综合评价环境状况一般。</w:t>
      </w:r>
    </w:p>
    <w:p w14:paraId="10A4E951">
      <w:pPr>
        <w:adjustRightInd/>
        <w:spacing w:line="300" w:lineRule="auto"/>
        <w:ind w:firstLine="562" w:firstLineChars="200"/>
        <w:jc w:val="both"/>
        <w:rPr>
          <w:rFonts w:ascii="Arial" w:hAnsi="Arial" w:eastAsia="仿宋" w:cs="Arial"/>
          <w:b/>
          <w:bCs/>
          <w:i/>
          <w:color w:val="auto"/>
          <w:sz w:val="28"/>
          <w:szCs w:val="28"/>
        </w:rPr>
      </w:pPr>
      <w:r>
        <w:rPr>
          <w:rFonts w:ascii="Arial" w:hAnsi="Arial" w:eastAsia="仿宋" w:cs="Arial"/>
          <w:b/>
          <w:bCs/>
          <w:color w:val="auto"/>
          <w:sz w:val="28"/>
          <w:szCs w:val="28"/>
        </w:rPr>
        <w:t>4.基础设施设施条件</w:t>
      </w:r>
    </w:p>
    <w:p w14:paraId="31643680">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估价对象所在区域内基础设施配套条件达到</w:t>
      </w:r>
      <w:r>
        <w:rPr>
          <w:rFonts w:hint="eastAsia" w:ascii="Arial" w:hAnsi="Arial" w:eastAsia="仿宋" w:cs="Arial"/>
          <w:color w:val="auto"/>
          <w:sz w:val="28"/>
          <w:szCs w:val="28"/>
        </w:rPr>
        <w:t>“七通”</w:t>
      </w:r>
      <w:r>
        <w:rPr>
          <w:rFonts w:ascii="Arial" w:hAnsi="Arial" w:eastAsia="仿宋" w:cs="Arial"/>
          <w:color w:val="auto"/>
          <w:sz w:val="28"/>
          <w:szCs w:val="28"/>
        </w:rPr>
        <w:t>（即通路、通上水、通下水、通电、通讯、通燃气、通热力），能够保证工作、生产需要，基础设施配套完善度好。</w:t>
      </w:r>
    </w:p>
    <w:p w14:paraId="58D2FAF4">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5.公共服务设施状况</w:t>
      </w:r>
    </w:p>
    <w:p w14:paraId="0504C662">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估价对象周边</w:t>
      </w:r>
      <w:r>
        <w:rPr>
          <w:rFonts w:ascii="Arial" w:hAnsi="Arial" w:eastAsia="仿宋" w:cs="Arial"/>
          <w:color w:val="auto"/>
          <w:sz w:val="28"/>
          <w:szCs w:val="28"/>
          <w:lang w:bidi="ar"/>
        </w:rPr>
        <w:t>约</w:t>
      </w:r>
      <w:r>
        <w:rPr>
          <w:rFonts w:ascii="Arial" w:hAnsi="Arial" w:eastAsia="仿宋" w:cs="Arial"/>
          <w:color w:val="auto"/>
          <w:sz w:val="28"/>
          <w:szCs w:val="28"/>
        </w:rPr>
        <w:t>2公里范围内</w:t>
      </w:r>
      <w:r>
        <w:rPr>
          <w:rFonts w:hint="eastAsia" w:ascii="Arial" w:hAnsi="Arial" w:eastAsia="仿宋" w:cs="Arial"/>
          <w:color w:val="auto"/>
          <w:sz w:val="28"/>
          <w:szCs w:val="28"/>
        </w:rPr>
        <w:t>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w:t>
      </w:r>
      <w:r>
        <w:rPr>
          <w:rFonts w:ascii="Arial" w:hAnsi="Arial" w:eastAsia="仿宋" w:cs="Arial"/>
          <w:color w:val="auto"/>
          <w:sz w:val="28"/>
          <w:szCs w:val="28"/>
        </w:rPr>
        <w:t>，公共配套设施齐备情况一般。</w:t>
      </w:r>
    </w:p>
    <w:p w14:paraId="6BB43DA2">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6</w:t>
      </w:r>
      <w:r>
        <w:rPr>
          <w:rFonts w:ascii="Arial" w:hAnsi="Arial" w:eastAsia="仿宋" w:cs="Arial"/>
          <w:b/>
          <w:bCs/>
          <w:color w:val="auto"/>
          <w:sz w:val="28"/>
          <w:szCs w:val="28"/>
          <w:lang w:eastAsia="zh-Hans"/>
        </w:rPr>
        <w:t>.</w:t>
      </w:r>
      <w:r>
        <w:rPr>
          <w:rFonts w:ascii="Arial" w:hAnsi="Arial" w:eastAsia="仿宋" w:cs="Arial"/>
          <w:b/>
          <w:bCs/>
          <w:color w:val="auto"/>
          <w:sz w:val="28"/>
          <w:szCs w:val="28"/>
        </w:rPr>
        <w:t>居住社区成熟度</w:t>
      </w:r>
    </w:p>
    <w:p w14:paraId="12C408F2">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估价对象位于</w:t>
      </w:r>
      <w:r>
        <w:rPr>
          <w:rFonts w:ascii="Arial" w:hAnsi="Arial" w:eastAsia="仿宋" w:cs="Arial"/>
          <w:color w:val="auto"/>
          <w:sz w:val="28"/>
          <w:szCs w:val="28"/>
          <w:lang w:bidi="ar"/>
        </w:rPr>
        <w:t>北京市顺义区高丽营镇夏县营村</w:t>
      </w:r>
      <w:r>
        <w:rPr>
          <w:rFonts w:ascii="Arial" w:hAnsi="Arial" w:eastAsia="仿宋" w:cs="Arial"/>
          <w:color w:val="auto"/>
          <w:sz w:val="28"/>
          <w:szCs w:val="28"/>
        </w:rPr>
        <w:t>，周边</w:t>
      </w:r>
      <w:r>
        <w:rPr>
          <w:rFonts w:ascii="Arial" w:hAnsi="Arial" w:eastAsia="仿宋" w:cs="Arial"/>
          <w:color w:val="auto"/>
          <w:sz w:val="28"/>
          <w:szCs w:val="28"/>
          <w:lang w:bidi="ar"/>
        </w:rPr>
        <w:t>约</w:t>
      </w:r>
      <w:r>
        <w:rPr>
          <w:rFonts w:ascii="Arial" w:hAnsi="Arial" w:eastAsia="仿宋" w:cs="Arial"/>
          <w:color w:val="auto"/>
          <w:sz w:val="28"/>
          <w:szCs w:val="28"/>
        </w:rPr>
        <w:t>2公里范围内有丽喜花园、东君府、moma万万树、壹号东临院等社区，居住小区规模和社区发展完善程度较完善，综合评价居住社区成熟度一般。</w:t>
      </w:r>
    </w:p>
    <w:p w14:paraId="4341E6C0">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7.商服繁华程度</w:t>
      </w:r>
    </w:p>
    <w:p w14:paraId="088FB9DA">
      <w:pPr>
        <w:adjustRightInd/>
        <w:spacing w:line="300" w:lineRule="auto"/>
        <w:ind w:firstLine="560" w:firstLineChars="200"/>
        <w:jc w:val="both"/>
        <w:rPr>
          <w:rFonts w:ascii="Arial" w:hAnsi="Arial" w:eastAsia="仿宋" w:cs="Arial"/>
          <w:color w:val="auto"/>
          <w:sz w:val="28"/>
          <w:szCs w:val="28"/>
          <w:lang w:eastAsia="zh-Hans"/>
        </w:rPr>
      </w:pPr>
      <w:r>
        <w:rPr>
          <w:rFonts w:ascii="Arial" w:hAnsi="Arial" w:eastAsia="仿宋" w:cs="Arial"/>
          <w:color w:val="auto"/>
          <w:sz w:val="28"/>
          <w:szCs w:val="28"/>
        </w:rPr>
        <w:t>估价对象位于</w:t>
      </w:r>
      <w:r>
        <w:rPr>
          <w:rFonts w:ascii="Arial" w:hAnsi="Arial" w:eastAsia="仿宋" w:cs="Arial"/>
          <w:color w:val="auto"/>
          <w:sz w:val="28"/>
          <w:szCs w:val="28"/>
          <w:lang w:bidi="ar"/>
        </w:rPr>
        <w:t>北京市顺义区高丽营镇夏县营村</w:t>
      </w:r>
      <w:r>
        <w:rPr>
          <w:rFonts w:ascii="Arial" w:hAnsi="Arial" w:eastAsia="仿宋" w:cs="Arial"/>
          <w:color w:val="auto"/>
          <w:sz w:val="28"/>
          <w:szCs w:val="28"/>
        </w:rPr>
        <w:t>，周边</w:t>
      </w:r>
      <w:r>
        <w:rPr>
          <w:rFonts w:ascii="Arial" w:hAnsi="Arial" w:eastAsia="仿宋" w:cs="Arial"/>
          <w:color w:val="auto"/>
          <w:sz w:val="28"/>
          <w:szCs w:val="28"/>
          <w:lang w:bidi="ar"/>
        </w:rPr>
        <w:t>约</w:t>
      </w:r>
      <w:r>
        <w:rPr>
          <w:rFonts w:ascii="Arial" w:hAnsi="Arial" w:eastAsia="仿宋" w:cs="Arial"/>
          <w:color w:val="auto"/>
          <w:sz w:val="28"/>
          <w:szCs w:val="28"/>
        </w:rPr>
        <w:t>2公里范围内有社区商业街，北京超天商贸中心、隆华购物中心以及零星临街商铺，无大型购物中心，商业繁华度较差。</w:t>
      </w:r>
    </w:p>
    <w:p w14:paraId="07119FFE">
      <w:pPr>
        <w:adjustRightInd/>
        <w:spacing w:line="300" w:lineRule="auto"/>
        <w:ind w:firstLine="562" w:firstLineChars="200"/>
        <w:jc w:val="both"/>
        <w:rPr>
          <w:rFonts w:ascii="Arial" w:hAnsi="Arial" w:eastAsia="仿宋" w:cs="Arial"/>
          <w:b/>
          <w:bCs/>
          <w:color w:val="auto"/>
          <w:sz w:val="28"/>
          <w:szCs w:val="28"/>
          <w:lang w:eastAsia="zh-Hans"/>
        </w:rPr>
      </w:pPr>
      <w:r>
        <w:rPr>
          <w:rFonts w:ascii="Arial" w:hAnsi="Arial" w:eastAsia="仿宋" w:cs="Arial"/>
          <w:b/>
          <w:bCs/>
          <w:color w:val="auto"/>
          <w:sz w:val="28"/>
          <w:szCs w:val="28"/>
          <w:lang w:eastAsia="zh-Hans"/>
        </w:rPr>
        <w:t>8.物业集聚程度</w:t>
      </w:r>
    </w:p>
    <w:p w14:paraId="77D67CB7">
      <w:pPr>
        <w:adjustRightInd/>
        <w:spacing w:line="300" w:lineRule="auto"/>
        <w:ind w:firstLine="560" w:firstLineChars="200"/>
        <w:jc w:val="both"/>
        <w:rPr>
          <w:rFonts w:ascii="Arial" w:hAnsi="Arial" w:eastAsia="仿宋" w:cs="Arial"/>
          <w:color w:val="auto"/>
          <w:sz w:val="28"/>
          <w:szCs w:val="28"/>
          <w:lang w:eastAsia="zh-Hans"/>
        </w:rPr>
      </w:pPr>
      <w:r>
        <w:rPr>
          <w:rFonts w:ascii="Arial" w:hAnsi="Arial" w:eastAsia="仿宋" w:cs="Arial"/>
          <w:color w:val="auto"/>
          <w:sz w:val="28"/>
          <w:szCs w:val="28"/>
        </w:rPr>
        <w:t>估价对象位于</w:t>
      </w:r>
      <w:r>
        <w:rPr>
          <w:rFonts w:ascii="Arial" w:hAnsi="Arial" w:eastAsia="仿宋" w:cs="Arial"/>
          <w:color w:val="auto"/>
          <w:sz w:val="28"/>
          <w:szCs w:val="28"/>
          <w:lang w:bidi="ar"/>
        </w:rPr>
        <w:t>北京市顺义区高丽营镇夏县营村</w:t>
      </w:r>
      <w:r>
        <w:rPr>
          <w:rFonts w:ascii="Arial" w:hAnsi="Arial" w:eastAsia="仿宋" w:cs="Arial"/>
          <w:color w:val="auto"/>
          <w:sz w:val="28"/>
          <w:szCs w:val="28"/>
        </w:rPr>
        <w:t>，</w:t>
      </w:r>
      <w:r>
        <w:rPr>
          <w:rFonts w:ascii="Arial" w:hAnsi="Arial" w:eastAsia="仿宋" w:cs="Arial"/>
          <w:color w:val="auto"/>
          <w:sz w:val="28"/>
          <w:szCs w:val="28"/>
          <w:lang w:eastAsia="zh-Hans"/>
        </w:rPr>
        <w:t>周边</w:t>
      </w:r>
      <w:r>
        <w:rPr>
          <w:rFonts w:ascii="Arial" w:hAnsi="Arial" w:eastAsia="仿宋" w:cs="Arial"/>
          <w:color w:val="auto"/>
          <w:sz w:val="28"/>
          <w:szCs w:val="28"/>
          <w:lang w:bidi="ar"/>
        </w:rPr>
        <w:t>约</w:t>
      </w:r>
      <w:r>
        <w:rPr>
          <w:rFonts w:ascii="Arial" w:hAnsi="Arial" w:eastAsia="仿宋" w:cs="Arial"/>
          <w:color w:val="auto"/>
          <w:sz w:val="28"/>
          <w:szCs w:val="28"/>
          <w:lang w:eastAsia="zh-Hans"/>
        </w:rPr>
        <w:t>2公里范围内有双悦大楼、智慧谷商务中心等办公项目，周边公共服务物业数量较少，物业集聚程度较差。</w:t>
      </w:r>
    </w:p>
    <w:p w14:paraId="1FB188A2">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9.规划限制</w:t>
      </w:r>
    </w:p>
    <w:p w14:paraId="4430221F">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估价对象位于</w:t>
      </w:r>
      <w:r>
        <w:rPr>
          <w:rFonts w:ascii="Arial" w:hAnsi="Arial" w:eastAsia="仿宋" w:cs="Arial"/>
          <w:color w:val="auto"/>
          <w:sz w:val="28"/>
          <w:szCs w:val="28"/>
          <w:lang w:bidi="ar"/>
        </w:rPr>
        <w:t>北京市顺义区高丽营镇夏县营村</w:t>
      </w:r>
      <w:r>
        <w:rPr>
          <w:rFonts w:ascii="Arial" w:hAnsi="Arial" w:eastAsia="仿宋" w:cs="Arial"/>
          <w:color w:val="auto"/>
          <w:sz w:val="28"/>
          <w:szCs w:val="28"/>
        </w:rPr>
        <w:t>，无特别规划限制，对估价对象土地发展利用无不利影响。</w:t>
      </w:r>
    </w:p>
    <w:p w14:paraId="236AA784">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综上所述，估价对象所处区域</w:t>
      </w:r>
      <w:r>
        <w:rPr>
          <w:rFonts w:ascii="Arial" w:hAnsi="Arial" w:eastAsia="仿宋" w:cs="Arial"/>
          <w:iCs/>
          <w:color w:val="auto"/>
          <w:sz w:val="28"/>
          <w:szCs w:val="28"/>
        </w:rPr>
        <w:t>地理位置条件</w:t>
      </w:r>
      <w:r>
        <w:rPr>
          <w:rFonts w:ascii="Arial" w:hAnsi="Arial" w:eastAsia="仿宋" w:cs="Arial"/>
          <w:iCs/>
          <w:color w:val="auto"/>
          <w:sz w:val="28"/>
          <w:szCs w:val="28"/>
          <w:lang w:eastAsia="zh-Hans"/>
        </w:rPr>
        <w:t>较差</w:t>
      </w:r>
      <w:r>
        <w:rPr>
          <w:rFonts w:ascii="Arial" w:hAnsi="Arial" w:eastAsia="仿宋" w:cs="Arial"/>
          <w:iCs/>
          <w:color w:val="auto"/>
          <w:sz w:val="28"/>
          <w:szCs w:val="28"/>
        </w:rPr>
        <w:t>、交通条件</w:t>
      </w:r>
      <w:r>
        <w:rPr>
          <w:rFonts w:ascii="Arial" w:hAnsi="Arial" w:eastAsia="仿宋" w:cs="Arial"/>
          <w:iCs/>
          <w:color w:val="auto"/>
          <w:sz w:val="28"/>
          <w:szCs w:val="28"/>
          <w:lang w:eastAsia="zh-Hans"/>
        </w:rPr>
        <w:t>较差</w:t>
      </w:r>
      <w:r>
        <w:rPr>
          <w:rFonts w:ascii="Arial" w:hAnsi="Arial" w:eastAsia="仿宋" w:cs="Arial"/>
          <w:iCs/>
          <w:color w:val="auto"/>
          <w:sz w:val="28"/>
          <w:szCs w:val="28"/>
        </w:rPr>
        <w:t>，公用设施一般，基础设施水平好，环境条件</w:t>
      </w:r>
      <w:r>
        <w:rPr>
          <w:rFonts w:ascii="Arial" w:hAnsi="Arial" w:eastAsia="仿宋" w:cs="Arial"/>
          <w:iCs/>
          <w:color w:val="auto"/>
          <w:sz w:val="28"/>
          <w:szCs w:val="28"/>
          <w:lang w:eastAsia="zh-Hans"/>
        </w:rPr>
        <w:t>一般</w:t>
      </w:r>
      <w:r>
        <w:rPr>
          <w:rFonts w:ascii="Arial" w:hAnsi="Arial" w:eastAsia="仿宋" w:cs="Arial"/>
          <w:iCs/>
          <w:color w:val="auto"/>
          <w:sz w:val="28"/>
          <w:szCs w:val="28"/>
        </w:rPr>
        <w:t>，</w:t>
      </w:r>
      <w:r>
        <w:rPr>
          <w:rFonts w:ascii="Arial" w:hAnsi="Arial" w:eastAsia="仿宋" w:cs="Arial"/>
          <w:iCs/>
          <w:color w:val="auto"/>
          <w:sz w:val="28"/>
          <w:szCs w:val="28"/>
          <w:lang w:eastAsia="zh-Hans"/>
        </w:rPr>
        <w:t>居住社区成熟度一般，商业繁华程度较差，</w:t>
      </w:r>
      <w:r>
        <w:rPr>
          <w:rFonts w:ascii="Arial" w:hAnsi="Arial" w:eastAsia="仿宋" w:cs="Arial"/>
          <w:color w:val="auto"/>
          <w:sz w:val="28"/>
          <w:szCs w:val="28"/>
          <w:lang w:eastAsia="zh-Hans"/>
        </w:rPr>
        <w:t>物业集聚程度</w:t>
      </w:r>
      <w:r>
        <w:rPr>
          <w:rFonts w:ascii="Arial" w:hAnsi="Arial" w:eastAsia="仿宋" w:cs="Arial"/>
          <w:iCs/>
          <w:color w:val="auto"/>
          <w:sz w:val="28"/>
          <w:szCs w:val="28"/>
          <w:lang w:eastAsia="zh-Hans"/>
        </w:rPr>
        <w:t>较差</w:t>
      </w:r>
      <w:r>
        <w:rPr>
          <w:rFonts w:ascii="Arial" w:hAnsi="Arial" w:eastAsia="仿宋" w:cs="Arial"/>
          <w:iCs/>
          <w:color w:val="auto"/>
          <w:sz w:val="28"/>
          <w:szCs w:val="28"/>
        </w:rPr>
        <w:t>。综合区域发展空间进行综合评价，</w:t>
      </w:r>
      <w:r>
        <w:rPr>
          <w:rFonts w:ascii="Arial" w:hAnsi="Arial" w:eastAsia="仿宋" w:cs="Arial"/>
          <w:color w:val="auto"/>
          <w:sz w:val="28"/>
          <w:szCs w:val="28"/>
        </w:rPr>
        <w:t>总体评价影响估价对象的区域因素</w:t>
      </w:r>
      <w:r>
        <w:rPr>
          <w:rFonts w:ascii="Arial" w:hAnsi="Arial" w:eastAsia="仿宋" w:cs="Arial"/>
          <w:iCs/>
          <w:color w:val="auto"/>
          <w:sz w:val="28"/>
          <w:szCs w:val="28"/>
          <w:lang w:eastAsia="zh-Hans"/>
        </w:rPr>
        <w:t>较差</w:t>
      </w:r>
      <w:r>
        <w:rPr>
          <w:rFonts w:ascii="Arial" w:hAnsi="Arial" w:eastAsia="仿宋" w:cs="Arial"/>
          <w:color w:val="auto"/>
          <w:sz w:val="28"/>
          <w:szCs w:val="28"/>
        </w:rPr>
        <w:t>。</w:t>
      </w:r>
    </w:p>
    <w:p w14:paraId="5C33450E">
      <w:pPr>
        <w:adjustRightInd/>
        <w:spacing w:line="300" w:lineRule="auto"/>
        <w:jc w:val="both"/>
        <w:rPr>
          <w:rFonts w:ascii="Arial" w:hAnsi="Arial" w:eastAsia="仿宋" w:cs="Arial"/>
          <w:color w:val="auto"/>
          <w:sz w:val="28"/>
          <w:szCs w:val="28"/>
        </w:rPr>
      </w:pPr>
      <w:r>
        <w:rPr>
          <w:rFonts w:ascii="Arial" w:hAnsi="Arial" w:eastAsia="仿宋" w:cs="Arial"/>
          <w:color w:val="auto"/>
          <w:sz w:val="28"/>
          <w:szCs w:val="28"/>
        </w:rPr>
        <w:t>（三）个别因素</w:t>
      </w:r>
    </w:p>
    <w:p w14:paraId="77C21F1B">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估价对象位于</w:t>
      </w:r>
      <w:r>
        <w:rPr>
          <w:rFonts w:ascii="Arial" w:hAnsi="Arial" w:eastAsia="仿宋" w:cs="Arial"/>
          <w:color w:val="auto"/>
          <w:sz w:val="28"/>
          <w:szCs w:val="28"/>
          <w:lang w:bidi="ar"/>
        </w:rPr>
        <w:t>北京市顺义区高丽营镇夏县营村</w:t>
      </w:r>
      <w:r>
        <w:rPr>
          <w:rFonts w:ascii="Arial" w:hAnsi="Arial" w:eastAsia="仿宋" w:cs="Arial"/>
          <w:color w:val="auto"/>
          <w:sz w:val="28"/>
          <w:szCs w:val="28"/>
        </w:rPr>
        <w:t>，为北京市顺义区高丽营镇夏县营村棚户区改造土地开发项目01</w:t>
      </w:r>
      <w:r>
        <w:rPr>
          <w:rFonts w:hint="eastAsia" w:ascii="Arial" w:hAnsi="Arial" w:eastAsia="仿宋" w:cs="Arial"/>
          <w:color w:val="auto"/>
          <w:sz w:val="28"/>
          <w:szCs w:val="28"/>
        </w:rPr>
        <w:t>－</w:t>
      </w:r>
      <w:r>
        <w:rPr>
          <w:rFonts w:ascii="Arial" w:hAnsi="Arial" w:eastAsia="仿宋" w:cs="Arial"/>
          <w:color w:val="auto"/>
          <w:sz w:val="28"/>
          <w:szCs w:val="28"/>
        </w:rPr>
        <w:t>008、01</w:t>
      </w:r>
      <w:r>
        <w:rPr>
          <w:rFonts w:hint="eastAsia" w:ascii="Arial" w:hAnsi="Arial" w:eastAsia="仿宋" w:cs="Arial"/>
          <w:color w:val="auto"/>
          <w:sz w:val="28"/>
          <w:szCs w:val="28"/>
        </w:rPr>
        <w:t>－</w:t>
      </w:r>
      <w:r>
        <w:rPr>
          <w:rFonts w:ascii="Arial" w:hAnsi="Arial" w:eastAsia="仿宋" w:cs="Arial"/>
          <w:color w:val="auto"/>
          <w:sz w:val="28"/>
          <w:szCs w:val="28"/>
        </w:rPr>
        <w:t>016、01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1、01</w:t>
      </w:r>
      <w:r>
        <w:rPr>
          <w:rFonts w:hint="eastAsia" w:ascii="Arial" w:hAnsi="Arial" w:eastAsia="仿宋" w:cs="Arial"/>
          <w:color w:val="auto"/>
          <w:sz w:val="28"/>
          <w:szCs w:val="28"/>
        </w:rPr>
        <w:t>－</w:t>
      </w:r>
      <w:r>
        <w:rPr>
          <w:rFonts w:ascii="Arial" w:hAnsi="Arial" w:eastAsia="仿宋" w:cs="Arial"/>
          <w:color w:val="auto"/>
          <w:sz w:val="28"/>
          <w:szCs w:val="28"/>
        </w:rPr>
        <w:t>020地块R2二类居住用地、A334托幼用地国有建设用地使用权项目。根据《北京市人民政府关于更新出让国有建设用地使用权基准地价的通知》（京政发（2022）12号）的规定，估价对象属于住宅类九级IX</w:t>
      </w:r>
      <w:r>
        <w:rPr>
          <w:rFonts w:hint="eastAsia" w:ascii="Arial" w:hAnsi="Arial" w:eastAsia="仿宋" w:cs="Arial"/>
          <w:color w:val="auto"/>
          <w:sz w:val="28"/>
          <w:szCs w:val="28"/>
        </w:rPr>
        <w:t>－</w:t>
      </w:r>
      <w:r>
        <w:rPr>
          <w:rFonts w:ascii="Arial" w:hAnsi="Arial" w:eastAsia="仿宋" w:cs="Arial"/>
          <w:color w:val="auto"/>
          <w:sz w:val="28"/>
          <w:szCs w:val="28"/>
        </w:rPr>
        <w:t>顺5区片、商服类九级IX</w:t>
      </w:r>
      <w:r>
        <w:rPr>
          <w:rFonts w:hint="eastAsia" w:ascii="Arial" w:hAnsi="Arial" w:eastAsia="仿宋" w:cs="Arial"/>
          <w:color w:val="auto"/>
          <w:sz w:val="28"/>
          <w:szCs w:val="28"/>
        </w:rPr>
        <w:t>－</w:t>
      </w:r>
      <w:r>
        <w:rPr>
          <w:rFonts w:ascii="Arial" w:hAnsi="Arial" w:eastAsia="仿宋" w:cs="Arial"/>
          <w:color w:val="auto"/>
          <w:sz w:val="28"/>
          <w:szCs w:val="28"/>
        </w:rPr>
        <w:t>顺5区片、公共服务类九级IX</w:t>
      </w:r>
      <w:r>
        <w:rPr>
          <w:rFonts w:hint="eastAsia" w:ascii="Arial" w:hAnsi="Arial" w:eastAsia="仿宋" w:cs="Arial"/>
          <w:color w:val="auto"/>
          <w:sz w:val="28"/>
          <w:szCs w:val="28"/>
        </w:rPr>
        <w:t>－</w:t>
      </w:r>
      <w:r>
        <w:rPr>
          <w:rFonts w:ascii="Arial" w:hAnsi="Arial" w:eastAsia="仿宋" w:cs="Arial"/>
          <w:color w:val="auto"/>
          <w:sz w:val="28"/>
          <w:szCs w:val="28"/>
        </w:rPr>
        <w:t>顺5区片范围内。</w:t>
      </w:r>
    </w:p>
    <w:p w14:paraId="4E01280C">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1.临街道路状况</w:t>
      </w:r>
    </w:p>
    <w:p w14:paraId="1A38EABC">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bCs/>
          <w:color w:val="auto"/>
          <w:sz w:val="28"/>
          <w:szCs w:val="28"/>
        </w:rPr>
        <w:t>估价对象紧邻城市主干道——</w:t>
      </w:r>
      <w:r>
        <w:rPr>
          <w:rFonts w:ascii="Arial" w:hAnsi="Arial" w:eastAsia="仿宋" w:cs="Arial"/>
          <w:color w:val="auto"/>
          <w:sz w:val="28"/>
          <w:szCs w:val="28"/>
        </w:rPr>
        <w:t>火寺路</w:t>
      </w:r>
      <w:r>
        <w:rPr>
          <w:rFonts w:ascii="Arial" w:hAnsi="Arial" w:eastAsia="仿宋" w:cs="Arial"/>
          <w:bCs/>
          <w:color w:val="auto"/>
          <w:sz w:val="28"/>
          <w:szCs w:val="28"/>
        </w:rPr>
        <w:t>。</w:t>
      </w:r>
      <w:r>
        <w:rPr>
          <w:rFonts w:ascii="Arial" w:hAnsi="Arial" w:eastAsia="仿宋" w:cs="Arial"/>
          <w:color w:val="auto"/>
          <w:sz w:val="28"/>
          <w:szCs w:val="28"/>
        </w:rPr>
        <w:t>道路状况较好。</w:t>
      </w:r>
    </w:p>
    <w:p w14:paraId="659571B7">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2.临街宽度和深度</w:t>
      </w:r>
    </w:p>
    <w:p w14:paraId="45CC82FD">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经土地估价专业评估师实地查勘，估价对象临街宽度与深度比例值较适合于住宅项目的开发，临街宽度和深度条件一般。</w:t>
      </w:r>
    </w:p>
    <w:p w14:paraId="0E7EF0E1">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3.宗地形状及可利用程度</w:t>
      </w:r>
    </w:p>
    <w:p w14:paraId="2A0C1BB6">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宗地形状规则，对宗地利用无不利影响 宗地形状及可利用程度好。</w:t>
      </w:r>
    </w:p>
    <w:p w14:paraId="27FFD73E">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4.地形、地质条件</w:t>
      </w:r>
    </w:p>
    <w:p w14:paraId="6F077C3D">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估价对象地形平坦，地基承载力基本满足建筑要求。</w:t>
      </w:r>
    </w:p>
    <w:p w14:paraId="2997C4B9">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5.容积率</w:t>
      </w:r>
    </w:p>
    <w:p w14:paraId="7332FB9D">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估价对象容积率设定为1.2。</w:t>
      </w:r>
    </w:p>
    <w:p w14:paraId="72D1762E">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6.土地开发程度</w:t>
      </w:r>
    </w:p>
    <w:p w14:paraId="139A52F2">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本次评估设定的估价对象土地开发程度为</w:t>
      </w:r>
      <w:r>
        <w:rPr>
          <w:rFonts w:hint="eastAsia" w:ascii="Arial" w:hAnsi="Arial" w:eastAsia="仿宋" w:cs="Arial"/>
          <w:color w:val="auto"/>
          <w:sz w:val="28"/>
          <w:szCs w:val="28"/>
        </w:rPr>
        <w:t>“七通”（通路、通上水（自来水、中水）、通下水（雨水、污水）、通电、通讯、通燃气、通热力）</w:t>
      </w:r>
      <w:r>
        <w:rPr>
          <w:rFonts w:ascii="Arial" w:hAnsi="Arial" w:eastAsia="仿宋" w:cs="Arial"/>
          <w:color w:val="auto"/>
          <w:sz w:val="28"/>
          <w:szCs w:val="28"/>
        </w:rPr>
        <w:t>。</w:t>
      </w:r>
    </w:p>
    <w:p w14:paraId="6D171B8E">
      <w:pPr>
        <w:adjustRightInd/>
        <w:spacing w:line="300" w:lineRule="auto"/>
        <w:ind w:firstLine="562" w:firstLineChars="200"/>
        <w:jc w:val="both"/>
        <w:rPr>
          <w:rFonts w:ascii="Arial" w:hAnsi="Arial" w:eastAsia="仿宋" w:cs="Arial"/>
          <w:b/>
          <w:bCs/>
          <w:color w:val="auto"/>
          <w:sz w:val="28"/>
          <w:szCs w:val="28"/>
        </w:rPr>
      </w:pPr>
      <w:r>
        <w:rPr>
          <w:rFonts w:ascii="Arial" w:hAnsi="Arial" w:eastAsia="仿宋" w:cs="Arial"/>
          <w:b/>
          <w:bCs/>
          <w:color w:val="auto"/>
          <w:sz w:val="28"/>
          <w:szCs w:val="28"/>
        </w:rPr>
        <w:t>7.规划条件</w:t>
      </w:r>
    </w:p>
    <w:p w14:paraId="69F4595D">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，本次估价对象01</w:t>
      </w:r>
      <w:r>
        <w:rPr>
          <w:rFonts w:hint="eastAsia" w:ascii="Arial" w:hAnsi="Arial" w:eastAsia="仿宋" w:cs="Arial"/>
          <w:color w:val="auto"/>
          <w:sz w:val="28"/>
          <w:szCs w:val="28"/>
        </w:rPr>
        <w:t>－</w:t>
      </w:r>
      <w:r>
        <w:rPr>
          <w:rFonts w:ascii="Arial" w:hAnsi="Arial" w:eastAsia="仿宋" w:cs="Arial"/>
          <w:color w:val="auto"/>
          <w:sz w:val="28"/>
          <w:szCs w:val="28"/>
        </w:rPr>
        <w:t>008等地块共4宗地，用地规模合计为60990.43平方米，全部为建设用地，建筑规模合计为71508.52平方米。其中，估价对象01</w:t>
      </w:r>
      <w:r>
        <w:rPr>
          <w:rFonts w:hint="eastAsia" w:ascii="Arial" w:hAnsi="Arial" w:eastAsia="仿宋" w:cs="Arial"/>
          <w:color w:val="auto"/>
          <w:sz w:val="28"/>
          <w:szCs w:val="28"/>
        </w:rPr>
        <w:t>－</w:t>
      </w:r>
      <w:r>
        <w:rPr>
          <w:rFonts w:ascii="Arial" w:hAnsi="Arial" w:eastAsia="仿宋" w:cs="Arial"/>
          <w:color w:val="auto"/>
          <w:sz w:val="28"/>
          <w:szCs w:val="28"/>
        </w:rPr>
        <w:t>008地块（R2二类居住用地）建设用地规模为24804.85平方米，地上建筑规模为29765.82平方米，容积率为1.2；估价对象01</w:t>
      </w:r>
      <w:r>
        <w:rPr>
          <w:rFonts w:hint="eastAsia" w:ascii="Arial" w:hAnsi="Arial" w:eastAsia="仿宋" w:cs="Arial"/>
          <w:color w:val="auto"/>
          <w:sz w:val="28"/>
          <w:szCs w:val="28"/>
        </w:rPr>
        <w:t>－</w:t>
      </w:r>
      <w:r>
        <w:rPr>
          <w:rFonts w:ascii="Arial" w:hAnsi="Arial" w:eastAsia="仿宋" w:cs="Arial"/>
          <w:color w:val="auto"/>
          <w:sz w:val="28"/>
          <w:szCs w:val="28"/>
        </w:rPr>
        <w:t>016地块（R2二类居住用地）建设用地规模为23103.85平方米，地上建筑规模为27724.62平方米，容积率为1.2； 估价对象01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1地块（R2二类居住用地）建设用地规模为8881.75平方米，地上建筑规模为10658.10平方米，容积率为1.2；另有估价对象01</w:t>
      </w:r>
      <w:r>
        <w:rPr>
          <w:rFonts w:hint="eastAsia" w:ascii="Arial" w:hAnsi="Arial" w:eastAsia="仿宋" w:cs="Arial"/>
          <w:color w:val="auto"/>
          <w:sz w:val="28"/>
          <w:szCs w:val="28"/>
        </w:rPr>
        <w:t>－</w:t>
      </w:r>
      <w:r>
        <w:rPr>
          <w:rFonts w:ascii="Arial" w:hAnsi="Arial" w:eastAsia="仿宋" w:cs="Arial"/>
          <w:color w:val="auto"/>
          <w:sz w:val="28"/>
          <w:szCs w:val="28"/>
        </w:rPr>
        <w:t>020地块（A334托幼用地，不出让）建设用地规模为4199.98平方米，地上建筑规模为3359.98平方米，容积率为0.8。</w:t>
      </w:r>
      <w:r>
        <w:rPr>
          <w:rFonts w:hint="eastAsia" w:ascii="Arial" w:hAnsi="Arial" w:eastAsia="仿宋" w:cs="Arial"/>
          <w:color w:val="auto"/>
          <w:sz w:val="28"/>
          <w:szCs w:val="28"/>
        </w:rPr>
        <w:t>根据《北京市国有建设用地使用权出让地价评估技术导则》（2026年2月10日实施）中的相关规定，本次评估01－008、01－016、01－026－1地块（R2二类居住用地）容积率为1.2</w:t>
      </w:r>
      <w:r>
        <w:rPr>
          <w:rFonts w:ascii="Arial" w:hAnsi="Arial" w:eastAsia="仿宋" w:cs="Arial"/>
          <w:color w:val="auto"/>
          <w:sz w:val="28"/>
          <w:szCs w:val="28"/>
        </w:rPr>
        <w:t>。</w:t>
      </w:r>
    </w:p>
    <w:p w14:paraId="3ECB254D">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本次拟出让建设用地规模为</w:t>
      </w:r>
      <w:r>
        <w:rPr>
          <w:rFonts w:hint="eastAsia" w:ascii="Arial" w:hAnsi="Arial" w:eastAsia="仿宋" w:cs="Arial"/>
          <w:color w:val="auto"/>
          <w:sz w:val="28"/>
          <w:szCs w:val="28"/>
        </w:rPr>
        <w:t>56790.45</w:t>
      </w:r>
      <w:r>
        <w:rPr>
          <w:rFonts w:ascii="Arial" w:hAnsi="Arial" w:eastAsia="仿宋" w:cs="Arial"/>
          <w:color w:val="auto"/>
          <w:sz w:val="28"/>
          <w:szCs w:val="28"/>
        </w:rPr>
        <w:t>平方米，具体规划主要技术经济指标详见下表：</w:t>
      </w:r>
    </w:p>
    <w:tbl>
      <w:tblPr>
        <w:tblStyle w:val="34"/>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443"/>
        <w:gridCol w:w="1119"/>
        <w:gridCol w:w="1248"/>
        <w:gridCol w:w="1586"/>
        <w:gridCol w:w="862"/>
        <w:gridCol w:w="1671"/>
        <w:gridCol w:w="1294"/>
        <w:gridCol w:w="849"/>
      </w:tblGrid>
      <w:tr w14:paraId="59497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66AF571E">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序号</w:t>
            </w:r>
          </w:p>
        </w:tc>
        <w:tc>
          <w:tcPr>
            <w:tcW w:w="617" w:type="pct"/>
            <w:vAlign w:val="center"/>
          </w:tcPr>
          <w:p w14:paraId="7EF03FE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规划地块编号</w:t>
            </w:r>
          </w:p>
        </w:tc>
        <w:tc>
          <w:tcPr>
            <w:tcW w:w="688" w:type="pct"/>
            <w:vAlign w:val="center"/>
          </w:tcPr>
          <w:p w14:paraId="38574BE8">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用地性质</w:t>
            </w:r>
          </w:p>
        </w:tc>
        <w:tc>
          <w:tcPr>
            <w:tcW w:w="874" w:type="pct"/>
            <w:vAlign w:val="center"/>
          </w:tcPr>
          <w:p w14:paraId="67D93A8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建设用地规模</w:t>
            </w:r>
          </w:p>
          <w:p w14:paraId="34815FE1">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（平方米）</w:t>
            </w:r>
          </w:p>
        </w:tc>
        <w:tc>
          <w:tcPr>
            <w:tcW w:w="475" w:type="pct"/>
            <w:vAlign w:val="center"/>
          </w:tcPr>
          <w:p w14:paraId="2DCE4502">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容积率</w:t>
            </w:r>
          </w:p>
        </w:tc>
        <w:tc>
          <w:tcPr>
            <w:tcW w:w="921" w:type="pct"/>
            <w:vAlign w:val="center"/>
          </w:tcPr>
          <w:p w14:paraId="49D20870">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地上建筑规模</w:t>
            </w:r>
          </w:p>
          <w:p w14:paraId="5C97EA68">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（平方米）</w:t>
            </w:r>
          </w:p>
        </w:tc>
        <w:tc>
          <w:tcPr>
            <w:tcW w:w="713" w:type="pct"/>
            <w:vAlign w:val="center"/>
          </w:tcPr>
          <w:p w14:paraId="38C1F795">
            <w:pPr>
              <w:widowControl/>
              <w:adjustRightInd/>
              <w:spacing w:line="240" w:lineRule="exact"/>
              <w:jc w:val="center"/>
              <w:textAlignment w:val="auto"/>
              <w:rPr>
                <w:rFonts w:ascii="Arial" w:hAnsi="Arial" w:eastAsia="仿宋" w:cs="Arial"/>
                <w:color w:val="auto"/>
                <w:sz w:val="18"/>
                <w:szCs w:val="18"/>
              </w:rPr>
            </w:pPr>
            <w:r>
              <w:rPr>
                <w:rFonts w:ascii="Arial" w:hAnsi="Arial" w:eastAsia="仿宋" w:cs="Arial"/>
                <w:color w:val="auto"/>
                <w:sz w:val="18"/>
                <w:szCs w:val="18"/>
              </w:rPr>
              <w:t>控制高度（m）</w:t>
            </w:r>
          </w:p>
        </w:tc>
        <w:tc>
          <w:tcPr>
            <w:tcW w:w="468" w:type="pct"/>
            <w:vAlign w:val="center"/>
          </w:tcPr>
          <w:p w14:paraId="52FB9CE4">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是否出让</w:t>
            </w:r>
          </w:p>
        </w:tc>
      </w:tr>
      <w:tr w14:paraId="686D9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2FECE17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w:t>
            </w:r>
          </w:p>
        </w:tc>
        <w:tc>
          <w:tcPr>
            <w:tcW w:w="617" w:type="pct"/>
            <w:vAlign w:val="center"/>
          </w:tcPr>
          <w:p w14:paraId="4EC0216A">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008</w:t>
            </w:r>
          </w:p>
        </w:tc>
        <w:tc>
          <w:tcPr>
            <w:tcW w:w="688" w:type="pct"/>
            <w:vMerge w:val="restart"/>
            <w:vAlign w:val="center"/>
          </w:tcPr>
          <w:p w14:paraId="151DE516">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R2二类居住用地</w:t>
            </w:r>
          </w:p>
        </w:tc>
        <w:tc>
          <w:tcPr>
            <w:tcW w:w="874" w:type="pct"/>
            <w:vAlign w:val="center"/>
          </w:tcPr>
          <w:p w14:paraId="0F151B8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24804.85</w:t>
            </w:r>
          </w:p>
        </w:tc>
        <w:tc>
          <w:tcPr>
            <w:tcW w:w="475" w:type="pct"/>
            <w:vMerge w:val="restart"/>
            <w:vAlign w:val="center"/>
          </w:tcPr>
          <w:p w14:paraId="6C70E04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1.2</w:t>
            </w:r>
          </w:p>
        </w:tc>
        <w:tc>
          <w:tcPr>
            <w:tcW w:w="921" w:type="pct"/>
            <w:vAlign w:val="center"/>
          </w:tcPr>
          <w:p w14:paraId="3CA532B6">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29765.82</w:t>
            </w:r>
          </w:p>
        </w:tc>
        <w:tc>
          <w:tcPr>
            <w:tcW w:w="713" w:type="pct"/>
            <w:vMerge w:val="restart"/>
            <w:vAlign w:val="center"/>
          </w:tcPr>
          <w:p w14:paraId="2E40C89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30</w:t>
            </w:r>
          </w:p>
        </w:tc>
        <w:tc>
          <w:tcPr>
            <w:tcW w:w="468" w:type="pct"/>
            <w:vMerge w:val="restart"/>
            <w:vAlign w:val="center"/>
          </w:tcPr>
          <w:p w14:paraId="26B29EF2">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出让</w:t>
            </w:r>
          </w:p>
        </w:tc>
      </w:tr>
      <w:tr w14:paraId="15F80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65C75598">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w:t>
            </w:r>
          </w:p>
        </w:tc>
        <w:tc>
          <w:tcPr>
            <w:tcW w:w="617" w:type="pct"/>
            <w:vAlign w:val="center"/>
          </w:tcPr>
          <w:p w14:paraId="0EE69A0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016</w:t>
            </w:r>
          </w:p>
        </w:tc>
        <w:tc>
          <w:tcPr>
            <w:tcW w:w="688" w:type="pct"/>
            <w:vMerge w:val="continue"/>
            <w:vAlign w:val="center"/>
          </w:tcPr>
          <w:p w14:paraId="08A8F656">
            <w:pPr>
              <w:adjustRightInd/>
              <w:spacing w:line="240" w:lineRule="exact"/>
              <w:jc w:val="center"/>
              <w:rPr>
                <w:rFonts w:ascii="Arial" w:hAnsi="Arial" w:eastAsia="仿宋" w:cs="Arial"/>
                <w:color w:val="auto"/>
                <w:sz w:val="18"/>
                <w:szCs w:val="18"/>
              </w:rPr>
            </w:pPr>
          </w:p>
        </w:tc>
        <w:tc>
          <w:tcPr>
            <w:tcW w:w="874" w:type="pct"/>
            <w:vAlign w:val="center"/>
          </w:tcPr>
          <w:p w14:paraId="3425C4C5">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23103.85</w:t>
            </w:r>
          </w:p>
        </w:tc>
        <w:tc>
          <w:tcPr>
            <w:tcW w:w="475" w:type="pct"/>
            <w:vMerge w:val="continue"/>
            <w:vAlign w:val="center"/>
          </w:tcPr>
          <w:p w14:paraId="630FEBD8">
            <w:pPr>
              <w:adjustRightInd/>
              <w:spacing w:line="240" w:lineRule="exact"/>
              <w:jc w:val="center"/>
              <w:rPr>
                <w:rFonts w:ascii="Arial" w:hAnsi="Arial" w:eastAsia="仿宋" w:cs="Arial"/>
                <w:color w:val="auto"/>
                <w:sz w:val="18"/>
                <w:szCs w:val="18"/>
              </w:rPr>
            </w:pPr>
          </w:p>
        </w:tc>
        <w:tc>
          <w:tcPr>
            <w:tcW w:w="921" w:type="pct"/>
            <w:vAlign w:val="center"/>
          </w:tcPr>
          <w:p w14:paraId="55D0FC9C">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27724.62</w:t>
            </w:r>
          </w:p>
        </w:tc>
        <w:tc>
          <w:tcPr>
            <w:tcW w:w="713" w:type="pct"/>
            <w:vMerge w:val="continue"/>
            <w:vAlign w:val="center"/>
          </w:tcPr>
          <w:p w14:paraId="6523CE65">
            <w:pPr>
              <w:adjustRightInd/>
              <w:spacing w:line="240" w:lineRule="exact"/>
              <w:jc w:val="center"/>
              <w:rPr>
                <w:rFonts w:ascii="Arial" w:hAnsi="Arial" w:eastAsia="仿宋" w:cs="Arial"/>
                <w:color w:val="auto"/>
                <w:sz w:val="18"/>
                <w:szCs w:val="18"/>
              </w:rPr>
            </w:pPr>
          </w:p>
        </w:tc>
        <w:tc>
          <w:tcPr>
            <w:tcW w:w="468" w:type="pct"/>
            <w:vMerge w:val="continue"/>
            <w:vAlign w:val="center"/>
          </w:tcPr>
          <w:p w14:paraId="10CEA0E4">
            <w:pPr>
              <w:adjustRightInd/>
              <w:spacing w:line="240" w:lineRule="exact"/>
              <w:jc w:val="center"/>
              <w:rPr>
                <w:rFonts w:ascii="Arial" w:hAnsi="Arial" w:eastAsia="仿宋" w:cs="Arial"/>
                <w:color w:val="auto"/>
                <w:sz w:val="18"/>
                <w:szCs w:val="18"/>
              </w:rPr>
            </w:pPr>
          </w:p>
        </w:tc>
      </w:tr>
      <w:tr w14:paraId="15C79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73989686">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3</w:t>
            </w:r>
          </w:p>
        </w:tc>
        <w:tc>
          <w:tcPr>
            <w:tcW w:w="617" w:type="pct"/>
            <w:vAlign w:val="center"/>
          </w:tcPr>
          <w:p w14:paraId="25C85C93">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026</w:t>
            </w:r>
            <w:r>
              <w:rPr>
                <w:rFonts w:hint="eastAsia" w:ascii="Arial" w:hAnsi="Arial" w:eastAsia="仿宋" w:cs="Arial"/>
                <w:color w:val="auto"/>
                <w:sz w:val="18"/>
                <w:szCs w:val="18"/>
              </w:rPr>
              <w:t>－</w:t>
            </w:r>
            <w:r>
              <w:rPr>
                <w:rFonts w:ascii="Arial" w:hAnsi="Arial" w:eastAsia="仿宋" w:cs="Arial"/>
                <w:color w:val="auto"/>
                <w:sz w:val="18"/>
                <w:szCs w:val="18"/>
              </w:rPr>
              <w:t>1</w:t>
            </w:r>
          </w:p>
        </w:tc>
        <w:tc>
          <w:tcPr>
            <w:tcW w:w="688" w:type="pct"/>
            <w:vMerge w:val="continue"/>
            <w:vAlign w:val="center"/>
          </w:tcPr>
          <w:p w14:paraId="1BD77977">
            <w:pPr>
              <w:adjustRightInd/>
              <w:spacing w:line="240" w:lineRule="exact"/>
              <w:jc w:val="center"/>
              <w:rPr>
                <w:rFonts w:ascii="Arial" w:hAnsi="Arial" w:eastAsia="仿宋" w:cs="Arial"/>
                <w:color w:val="auto"/>
                <w:sz w:val="18"/>
                <w:szCs w:val="18"/>
              </w:rPr>
            </w:pPr>
          </w:p>
        </w:tc>
        <w:tc>
          <w:tcPr>
            <w:tcW w:w="874" w:type="pct"/>
            <w:vAlign w:val="center"/>
          </w:tcPr>
          <w:p w14:paraId="1E515493">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8881.75</w:t>
            </w:r>
          </w:p>
        </w:tc>
        <w:tc>
          <w:tcPr>
            <w:tcW w:w="475" w:type="pct"/>
            <w:vMerge w:val="continue"/>
            <w:vAlign w:val="center"/>
          </w:tcPr>
          <w:p w14:paraId="7A56A621">
            <w:pPr>
              <w:adjustRightInd/>
              <w:spacing w:line="240" w:lineRule="exact"/>
              <w:jc w:val="center"/>
              <w:rPr>
                <w:rFonts w:ascii="Arial" w:hAnsi="Arial" w:eastAsia="仿宋" w:cs="Arial"/>
                <w:color w:val="auto"/>
                <w:sz w:val="18"/>
                <w:szCs w:val="18"/>
              </w:rPr>
            </w:pPr>
          </w:p>
        </w:tc>
        <w:tc>
          <w:tcPr>
            <w:tcW w:w="921" w:type="pct"/>
            <w:vAlign w:val="center"/>
          </w:tcPr>
          <w:p w14:paraId="4F99783E">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10658.10</w:t>
            </w:r>
          </w:p>
        </w:tc>
        <w:tc>
          <w:tcPr>
            <w:tcW w:w="713" w:type="pct"/>
            <w:vMerge w:val="continue"/>
            <w:vAlign w:val="center"/>
          </w:tcPr>
          <w:p w14:paraId="5FA0A1F3">
            <w:pPr>
              <w:adjustRightInd/>
              <w:spacing w:line="240" w:lineRule="exact"/>
              <w:jc w:val="center"/>
              <w:rPr>
                <w:rFonts w:ascii="Arial" w:hAnsi="Arial" w:eastAsia="仿宋" w:cs="Arial"/>
                <w:color w:val="auto"/>
                <w:sz w:val="18"/>
                <w:szCs w:val="18"/>
              </w:rPr>
            </w:pPr>
          </w:p>
        </w:tc>
        <w:tc>
          <w:tcPr>
            <w:tcW w:w="468" w:type="pct"/>
            <w:vMerge w:val="continue"/>
            <w:vAlign w:val="center"/>
          </w:tcPr>
          <w:p w14:paraId="0D2B6F46">
            <w:pPr>
              <w:adjustRightInd/>
              <w:spacing w:line="240" w:lineRule="exact"/>
              <w:jc w:val="center"/>
              <w:rPr>
                <w:rFonts w:ascii="Arial" w:hAnsi="Arial" w:eastAsia="仿宋" w:cs="Arial"/>
                <w:color w:val="auto"/>
                <w:sz w:val="18"/>
                <w:szCs w:val="18"/>
              </w:rPr>
            </w:pPr>
          </w:p>
        </w:tc>
      </w:tr>
      <w:tr w14:paraId="2A7F7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549" w:type="pct"/>
            <w:gridSpan w:val="3"/>
            <w:vAlign w:val="center"/>
          </w:tcPr>
          <w:p w14:paraId="45F546C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合计</w:t>
            </w:r>
          </w:p>
        </w:tc>
        <w:tc>
          <w:tcPr>
            <w:tcW w:w="874" w:type="pct"/>
            <w:vAlign w:val="center"/>
          </w:tcPr>
          <w:p w14:paraId="1D951992">
            <w:pPr>
              <w:adjustRightInd/>
              <w:spacing w:line="240" w:lineRule="exact"/>
              <w:jc w:val="center"/>
              <w:rPr>
                <w:rFonts w:ascii="Arial" w:hAnsi="Arial" w:eastAsia="仿宋" w:cs="Arial"/>
                <w:color w:val="auto"/>
                <w:sz w:val="18"/>
                <w:szCs w:val="18"/>
              </w:rPr>
            </w:pPr>
            <w:r>
              <w:rPr>
                <w:rFonts w:hint="eastAsia" w:ascii="Arial" w:hAnsi="Arial" w:eastAsia="仿宋" w:cs="Arial"/>
                <w:color w:val="auto"/>
                <w:sz w:val="18"/>
                <w:szCs w:val="18"/>
              </w:rPr>
              <w:t>56790.45</w:t>
            </w:r>
          </w:p>
        </w:tc>
        <w:tc>
          <w:tcPr>
            <w:tcW w:w="475" w:type="pct"/>
            <w:vAlign w:val="center"/>
          </w:tcPr>
          <w:p w14:paraId="687C59F5">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1.2</w:t>
            </w:r>
          </w:p>
        </w:tc>
        <w:tc>
          <w:tcPr>
            <w:tcW w:w="921" w:type="pct"/>
            <w:vAlign w:val="center"/>
          </w:tcPr>
          <w:p w14:paraId="2C7FDC76">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68148.54</w:t>
            </w:r>
          </w:p>
        </w:tc>
        <w:tc>
          <w:tcPr>
            <w:tcW w:w="1181" w:type="pct"/>
            <w:gridSpan w:val="2"/>
            <w:vAlign w:val="center"/>
          </w:tcPr>
          <w:p w14:paraId="3F2ABFC5">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bl>
    <w:p w14:paraId="74987087">
      <w:pPr>
        <w:spacing w:line="300" w:lineRule="auto"/>
        <w:ind w:firstLine="560" w:firstLineChars="200"/>
        <w:jc w:val="both"/>
        <w:rPr>
          <w:rFonts w:ascii="Arial" w:hAnsi="Arial" w:eastAsia="仿宋_GB2312" w:cs="Arial"/>
          <w:i/>
          <w:color w:val="auto"/>
          <w:sz w:val="28"/>
        </w:rPr>
      </w:pPr>
      <w:r>
        <w:rPr>
          <w:rFonts w:ascii="Arial" w:hAnsi="Arial" w:eastAsia="仿宋_GB2312" w:cs="Arial"/>
          <w:i/>
          <w:color w:val="auto"/>
          <w:sz w:val="28"/>
        </w:rPr>
        <w:br w:type="page"/>
      </w:r>
    </w:p>
    <w:p w14:paraId="6275F12E">
      <w:pPr>
        <w:spacing w:line="300" w:lineRule="auto"/>
        <w:jc w:val="center"/>
        <w:outlineLvl w:val="0"/>
        <w:rPr>
          <w:rFonts w:ascii="Arial" w:hAnsi="Arial" w:cs="Arial"/>
          <w:b/>
          <w:color w:val="auto"/>
          <w:sz w:val="32"/>
        </w:rPr>
      </w:pPr>
      <w:bookmarkStart w:id="360" w:name="_Toc138063027"/>
      <w:r>
        <w:rPr>
          <w:rFonts w:ascii="Arial" w:hAnsi="Arial" w:cs="Arial"/>
          <w:b/>
          <w:color w:val="auto"/>
          <w:sz w:val="32"/>
        </w:rPr>
        <w:t>第三部分  土地估价</w:t>
      </w:r>
      <w:bookmarkEnd w:id="353"/>
      <w:bookmarkEnd w:id="354"/>
      <w:bookmarkEnd w:id="355"/>
      <w:bookmarkEnd w:id="356"/>
      <w:bookmarkEnd w:id="357"/>
      <w:bookmarkEnd w:id="358"/>
      <w:bookmarkEnd w:id="359"/>
      <w:bookmarkEnd w:id="360"/>
    </w:p>
    <w:p w14:paraId="23212DFA">
      <w:pPr>
        <w:spacing w:line="300" w:lineRule="auto"/>
        <w:rPr>
          <w:rFonts w:ascii="Arial" w:hAnsi="Arial" w:eastAsia="仿宋_GB2312" w:cs="Arial"/>
          <w:b/>
          <w:color w:val="auto"/>
          <w:sz w:val="28"/>
        </w:rPr>
      </w:pPr>
    </w:p>
    <w:p w14:paraId="6F487FC1">
      <w:pPr>
        <w:spacing w:line="300" w:lineRule="auto"/>
        <w:outlineLvl w:val="1"/>
        <w:rPr>
          <w:rFonts w:ascii="Arial" w:hAnsi="Arial" w:eastAsia="仿宋_GB2312" w:cs="Arial"/>
          <w:color w:val="auto"/>
          <w:sz w:val="28"/>
        </w:rPr>
      </w:pPr>
      <w:bookmarkStart w:id="361" w:name="_Toc132016639"/>
      <w:bookmarkStart w:id="362" w:name="_Toc416783600"/>
      <w:bookmarkStart w:id="363" w:name="_Toc469066169"/>
      <w:bookmarkStart w:id="364" w:name="_Toc516488205"/>
      <w:bookmarkStart w:id="365" w:name="_Toc138063028"/>
      <w:bookmarkStart w:id="366" w:name="_Toc132016756"/>
      <w:bookmarkStart w:id="367" w:name="_Toc515457823"/>
      <w:bookmarkStart w:id="368" w:name="_Toc416783696"/>
      <w:r>
        <w:rPr>
          <w:rFonts w:ascii="Arial" w:hAnsi="Arial" w:eastAsia="仿宋_GB2312" w:cs="Arial"/>
          <w:b/>
          <w:color w:val="auto"/>
          <w:sz w:val="28"/>
        </w:rPr>
        <w:t>一、估价原则</w:t>
      </w:r>
      <w:bookmarkEnd w:id="361"/>
      <w:bookmarkEnd w:id="362"/>
      <w:bookmarkEnd w:id="363"/>
      <w:bookmarkEnd w:id="364"/>
      <w:bookmarkEnd w:id="365"/>
      <w:bookmarkEnd w:id="366"/>
      <w:bookmarkEnd w:id="367"/>
      <w:bookmarkEnd w:id="368"/>
    </w:p>
    <w:p w14:paraId="68FAA2C2">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土地价格是由其效用、相对稀缺性及有效需求三者相互作用和影响而形成，这些因素又经常处于变动之中，土地估价必须要对此进行细致分析并正确判断其变动趋向，了解土地价格组成的各项因素及各因素之间的相互作用，才能做出正确估价。在土地估价的实践和理论的探索中，在对土地价格形成和变化的规律认识的基础上，总结出一些在估价活动中应当遵循的法则或标准，而在估价作业时，这些原则又指导人们的估价实践。</w:t>
      </w:r>
    </w:p>
    <w:p w14:paraId="2F9D92D5">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土地估价机构及其土地估价专业人员从事土地估价活动，应当坚持独立、客观、公正原则、回避原则、保密原则，保持专业独立性，杜绝外部不当干预。具体业务实施中，还应遵循以下技术原则。</w:t>
      </w:r>
    </w:p>
    <w:p w14:paraId="36262333">
      <w:pPr>
        <w:kinsoku w:val="0"/>
        <w:overflowPunct w:val="0"/>
        <w:autoSpaceDE w:val="0"/>
        <w:autoSpaceDN w:val="0"/>
        <w:adjustRightInd/>
        <w:spacing w:line="300" w:lineRule="auto"/>
        <w:ind w:firstLine="562" w:firstLineChars="200"/>
        <w:jc w:val="both"/>
        <w:rPr>
          <w:rFonts w:ascii="Arial" w:hAnsi="Arial" w:eastAsia="仿宋_GB2312" w:cs="Arial"/>
          <w:b/>
          <w:bCs/>
          <w:color w:val="auto"/>
          <w:sz w:val="28"/>
          <w:szCs w:val="28"/>
        </w:rPr>
      </w:pPr>
      <w:r>
        <w:rPr>
          <w:rFonts w:ascii="Arial" w:hAnsi="Arial" w:eastAsia="仿宋_GB2312" w:cs="Arial"/>
          <w:b/>
          <w:bCs/>
          <w:color w:val="auto"/>
          <w:sz w:val="28"/>
          <w:szCs w:val="28"/>
        </w:rPr>
        <w:t>1</w:t>
      </w:r>
      <w:r>
        <w:rPr>
          <w:rFonts w:hint="eastAsia" w:ascii="Arial" w:hAnsi="Arial" w:eastAsia="仿宋_GB2312" w:cs="Arial"/>
          <w:b/>
          <w:bCs/>
          <w:color w:val="auto"/>
          <w:sz w:val="28"/>
          <w:szCs w:val="28"/>
        </w:rPr>
        <w:t>.</w:t>
      </w:r>
      <w:r>
        <w:rPr>
          <w:rFonts w:ascii="Arial" w:hAnsi="Arial" w:eastAsia="仿宋_GB2312" w:cs="Arial"/>
          <w:b/>
          <w:bCs/>
          <w:color w:val="auto"/>
          <w:sz w:val="28"/>
          <w:szCs w:val="28"/>
        </w:rPr>
        <w:t>土地估价应遵循的基本原则</w:t>
      </w:r>
    </w:p>
    <w:p w14:paraId="0FE05B9E">
      <w:pPr>
        <w:kinsoku w:val="0"/>
        <w:overflowPunct w:val="0"/>
        <w:autoSpaceDE w:val="0"/>
        <w:autoSpaceDN w:val="0"/>
        <w:adjustRightInd/>
        <w:spacing w:line="300" w:lineRule="auto"/>
        <w:ind w:firstLine="562" w:firstLineChars="200"/>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（1）合法原则</w:t>
      </w:r>
    </w:p>
    <w:p w14:paraId="6B3C1A76">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 xml:space="preserve">土地估价应以估价对象的合法权益为前提进行。合法权益包括合法产权、合法使用、合法处置等几个方面。在合法委托估价方面，应以房地产权属证书、权属档案的记载或其他合法证件为依据；在合法使用方面，应以使用管制（如城市规划、土地用途管制）为依据；在合法处置方面，应以法律、法规或合同等允许的处置方式为依据。 </w:t>
      </w:r>
    </w:p>
    <w:p w14:paraId="155DE996">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估价对象已取得</w:t>
      </w:r>
      <w:r>
        <w:rPr>
          <w:rFonts w:hint="eastAsia" w:ascii="Arial" w:hAnsi="Arial" w:eastAsia="仿宋"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hint="eastAsia" w:ascii="Arial" w:hAnsi="Arial" w:eastAsia="仿宋_GB2312" w:cs="Arial"/>
          <w:color w:val="auto"/>
          <w:sz w:val="28"/>
          <w:szCs w:val="28"/>
        </w:rPr>
        <w:t>并以这些资料为合法性依</w:t>
      </w:r>
      <w:r>
        <w:rPr>
          <w:rFonts w:ascii="Arial" w:hAnsi="Arial" w:eastAsia="仿宋_GB2312" w:cs="Arial"/>
          <w:color w:val="auto"/>
          <w:sz w:val="28"/>
          <w:szCs w:val="28"/>
        </w:rPr>
        <w:t>据；在合法使用方面，估价对象的规划条件符合城市规划和土地用途管制，故本次估价遵循合法原则。</w:t>
      </w:r>
    </w:p>
    <w:p w14:paraId="5374075E">
      <w:pPr>
        <w:adjustRightInd/>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（2）</w:t>
      </w:r>
      <w:r>
        <w:rPr>
          <w:rFonts w:ascii="Arial" w:hAnsi="Arial" w:eastAsia="仿宋_GB2312" w:cs="Arial"/>
          <w:b/>
          <w:bCs/>
          <w:color w:val="auto"/>
          <w:sz w:val="28"/>
        </w:rPr>
        <w:t>替代原则</w:t>
      </w:r>
    </w:p>
    <w:p w14:paraId="5CF4455D">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替代原则是指土地估价应以相邻地区或类似地区功能相同、条件相似的土地市场交易价格为依据，估价结果不得明显偏离具有替代性质的土地正常价格。</w:t>
      </w:r>
    </w:p>
    <w:p w14:paraId="05F08CD2">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经济学认为，根据市场运行规律，在同一商品市场中，商品或提供服务的效用相同或大致相似时，价格最低者吸引最大需求；价格相同时效用大者吸引最大需求，即当同时存在两个以上的有互相替代性的商品或服务时，商品或服务的价格是经过相互影响比较后才决定的，并最后趋于一致。同一原理同样适用于土地市场，即具有相同使用价值、有替代性的宗地之间的价格会相互影响、相互牵制而最终趋于一致。</w:t>
      </w:r>
    </w:p>
    <w:p w14:paraId="4379D4EE">
      <w:pPr>
        <w:kinsoku w:val="0"/>
        <w:overflowPunct w:val="0"/>
        <w:autoSpaceDE w:val="0"/>
        <w:autoSpaceDN w:val="0"/>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替代原则可以概括为三点：（1）土地价格水平由具有相同性质的替代性土地的价格所决定；（2）土地价格水平是由最了解行情的买卖者按市场交易实例相互比较后决定；（3）土地价格可以通过比较地块的条件及使用价值来确定。因此，替代原则中所指土地估价应以相邻地区或类似地区功能相同、条件相似的土地市场交易价格为依据，估价结果不得明显偏离具有替代性质的土地正常价格。</w:t>
      </w:r>
    </w:p>
    <w:p w14:paraId="59929426">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替代原则的适用范围广，是本次估价基准地价系数修正法、剩余法中嵌套的市场比较法的理论基础。</w:t>
      </w:r>
    </w:p>
    <w:p w14:paraId="34EBD071">
      <w:pPr>
        <w:adjustRightInd/>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（3）</w:t>
      </w:r>
      <w:r>
        <w:rPr>
          <w:rFonts w:ascii="Arial" w:hAnsi="Arial" w:eastAsia="仿宋_GB2312" w:cs="Arial"/>
          <w:b/>
          <w:bCs/>
          <w:color w:val="auto"/>
          <w:sz w:val="28"/>
        </w:rPr>
        <w:t>最有效利用原则</w:t>
      </w:r>
    </w:p>
    <w:p w14:paraId="1DC2A9A5">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由于土地具有用途的多样性，不同的利用方式能为权利人带来不同的收益量，且土地权利人都期望从其所占有的土地上获取更多的收益，并以能满足这一目的为确定土地利用方式的依据。所以，土地估价应以宗地的最有效利用为前提的。本次评估以设定规划条件符合最有效使用原则为前提。</w:t>
      </w:r>
    </w:p>
    <w:p w14:paraId="6DA80CEB">
      <w:pPr>
        <w:adjustRightInd/>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（4）</w:t>
      </w:r>
      <w:r>
        <w:rPr>
          <w:rFonts w:ascii="Arial" w:hAnsi="Arial" w:eastAsia="仿宋_GB2312" w:cs="Arial"/>
          <w:b/>
          <w:bCs/>
          <w:color w:val="auto"/>
          <w:sz w:val="28"/>
        </w:rPr>
        <w:t>预期收益原则</w:t>
      </w:r>
    </w:p>
    <w:p w14:paraId="0CEFBEE3">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对于价格的评估，重要的并非是过去，而是未来。过去收益的重要意义，在于为推测未来的收益变化动向提供依据。因此，商品的价格是由反映该商品将来的总收益所决定的。土地也是如此，它的价格也是受预期收益形成因素的变动所左右。所以，土地投资者是在预测该土地将来所能带来的收益或效用后进行投资的。这就要求估价者必须了解过去的收益状况，并对土地市场现状、发展趋势、政治经济形势及政策规定对土地市场的影响进行细致分析，预测以待估宗地在正常利用条件下的未来客观有效的预期收益。本次评估在运用剩余法计算估价对象土地价格时，就是以该原则为原理。</w:t>
      </w:r>
    </w:p>
    <w:p w14:paraId="2BC9118E">
      <w:pPr>
        <w:adjustRightInd/>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（5）</w:t>
      </w:r>
      <w:r>
        <w:rPr>
          <w:rFonts w:ascii="Arial" w:hAnsi="Arial" w:eastAsia="仿宋_GB2312" w:cs="Arial"/>
          <w:b/>
          <w:bCs/>
          <w:color w:val="auto"/>
          <w:sz w:val="28"/>
        </w:rPr>
        <w:t>供需原则</w:t>
      </w:r>
    </w:p>
    <w:p w14:paraId="1485A21E">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在完全的市场竞争中，一般商品的价格取决于供求的均衡点，需求大于供给，价格就会提高，否则价格就会降低。由于土地与一般商品相比，具有独特的人文和自然条件，因此土地市场形成了自己的供求规律，主要表现在土地的价格容易形成垄断，所以地价形成于不完全竞争的市场。在评估中我们以市场供需决定土地价格为依据，并充分的考虑了土地供需的特殊性和土地市场的地域性。估价对象位于</w:t>
      </w:r>
      <w:r>
        <w:rPr>
          <w:rFonts w:hint="eastAsia" w:ascii="Arial" w:hAnsi="Arial" w:eastAsia="仿宋_GB2312" w:cs="Arial"/>
          <w:color w:val="auto"/>
          <w:sz w:val="28"/>
        </w:rPr>
        <w:t>顺义区高丽营镇</w:t>
      </w:r>
      <w:r>
        <w:rPr>
          <w:rFonts w:ascii="Arial" w:hAnsi="Arial" w:eastAsia="仿宋_GB2312" w:cs="Arial"/>
          <w:color w:val="auto"/>
          <w:sz w:val="28"/>
        </w:rPr>
        <w:t>，土地用途为</w:t>
      </w:r>
      <w:r>
        <w:rPr>
          <w:rFonts w:hint="eastAsia" w:ascii="Arial" w:hAnsi="Arial" w:eastAsia="仿宋_GB2312" w:cs="Arial"/>
          <w:color w:val="auto"/>
          <w:sz w:val="28"/>
        </w:rPr>
        <w:t>城镇住宅用地、其他商业服务业用地、公共管理与公共服务用地</w:t>
      </w:r>
      <w:r>
        <w:rPr>
          <w:rFonts w:ascii="Arial" w:hAnsi="Arial" w:eastAsia="仿宋_GB2312" w:cs="Arial"/>
          <w:color w:val="auto"/>
          <w:sz w:val="28"/>
        </w:rPr>
        <w:t>，土地性质为出让国有建设用地使用权。估价对象所处区域内土地资产存在较大增值潜力。评估中剩余法的运用主要考虑此项原则。</w:t>
      </w:r>
    </w:p>
    <w:p w14:paraId="7F6C9674">
      <w:pPr>
        <w:adjustRightInd/>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（6）</w:t>
      </w:r>
      <w:r>
        <w:rPr>
          <w:rFonts w:ascii="Arial" w:hAnsi="Arial" w:eastAsia="仿宋_GB2312" w:cs="Arial"/>
          <w:b/>
          <w:bCs/>
          <w:color w:val="auto"/>
          <w:sz w:val="28"/>
        </w:rPr>
        <w:t>贡献原则</w:t>
      </w:r>
    </w:p>
    <w:p w14:paraId="508C92AC">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不动产的总收益是由土地及建筑物等其他生产要素共同作用的结果。就土地部分的贡献而言，由于地价是在生产经营活动之前优先支付的，故土地的贡献具有优先性和特殊性，评估时应特别考虑。同时，土地的价格可根据土地对不动产收益的贡献大小确定。</w:t>
      </w:r>
    </w:p>
    <w:p w14:paraId="0EA35BF7">
      <w:pPr>
        <w:adjustRightInd/>
        <w:spacing w:line="300" w:lineRule="auto"/>
        <w:ind w:firstLine="562" w:firstLineChars="200"/>
        <w:jc w:val="both"/>
        <w:rPr>
          <w:rFonts w:ascii="Arial" w:hAnsi="Arial" w:eastAsia="仿宋_GB2312" w:cs="Arial"/>
          <w:b/>
          <w:bCs/>
          <w:color w:val="auto"/>
          <w:sz w:val="28"/>
        </w:rPr>
      </w:pPr>
      <w:r>
        <w:rPr>
          <w:rFonts w:ascii="Arial" w:hAnsi="Arial" w:eastAsia="仿宋_GB2312" w:cs="Arial"/>
          <w:b/>
          <w:bCs/>
          <w:color w:val="auto"/>
          <w:sz w:val="28"/>
        </w:rPr>
        <w:t>2</w:t>
      </w:r>
      <w:r>
        <w:rPr>
          <w:rFonts w:hint="eastAsia" w:ascii="Arial" w:hAnsi="Arial" w:eastAsia="仿宋_GB2312" w:cs="Arial"/>
          <w:b/>
          <w:bCs/>
          <w:color w:val="auto"/>
          <w:sz w:val="28"/>
        </w:rPr>
        <w:t>.</w:t>
      </w:r>
      <w:r>
        <w:rPr>
          <w:rFonts w:ascii="Arial" w:hAnsi="Arial" w:eastAsia="仿宋_GB2312" w:cs="Arial"/>
          <w:b/>
          <w:bCs/>
          <w:color w:val="auto"/>
          <w:sz w:val="28"/>
        </w:rPr>
        <w:t>出让地价评估应遵循的原则</w:t>
      </w:r>
    </w:p>
    <w:p w14:paraId="3CAADE94">
      <w:pPr>
        <w:adjustRightInd/>
        <w:spacing w:line="300" w:lineRule="auto"/>
        <w:ind w:firstLine="562" w:firstLineChars="200"/>
        <w:jc w:val="both"/>
        <w:rPr>
          <w:rFonts w:ascii="Arial" w:hAnsi="Arial" w:eastAsia="仿宋_GB2312" w:cs="Arial"/>
          <w:b/>
          <w:bCs/>
          <w:color w:val="auto"/>
          <w:sz w:val="28"/>
          <w:szCs w:val="28"/>
        </w:rPr>
      </w:pPr>
      <w:r>
        <w:rPr>
          <w:rFonts w:hint="eastAsia" w:ascii="Arial" w:hAnsi="Arial" w:eastAsia="仿宋_GB2312" w:cs="Arial"/>
          <w:b/>
          <w:bCs/>
          <w:color w:val="auto"/>
          <w:sz w:val="28"/>
        </w:rPr>
        <w:t>（1）</w:t>
      </w:r>
      <w:r>
        <w:rPr>
          <w:rFonts w:ascii="Arial" w:hAnsi="Arial" w:eastAsia="仿宋_GB2312" w:cs="Arial"/>
          <w:b/>
          <w:bCs/>
          <w:color w:val="auto"/>
          <w:sz w:val="28"/>
          <w:szCs w:val="28"/>
        </w:rPr>
        <w:t>价值主导原则</w:t>
      </w:r>
    </w:p>
    <w:p w14:paraId="6B704D27">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价值主导原则是指</w:t>
      </w:r>
      <w:r>
        <w:rPr>
          <w:rFonts w:ascii="Arial" w:hAnsi="Arial" w:eastAsia="仿宋_GB2312" w:cs="Arial"/>
          <w:color w:val="auto"/>
          <w:sz w:val="28"/>
        </w:rPr>
        <w:t>土地</w:t>
      </w:r>
      <w:r>
        <w:rPr>
          <w:rFonts w:ascii="Arial" w:hAnsi="Arial" w:eastAsia="仿宋_GB2312" w:cs="Arial"/>
          <w:color w:val="auto"/>
          <w:sz w:val="28"/>
          <w:szCs w:val="28"/>
        </w:rPr>
        <w:t>综合质量优劣是对土地价格产生影响的主要因素。</w:t>
      </w:r>
    </w:p>
    <w:p w14:paraId="584B9A7F">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城镇土地分等定级就是根据土地的经济和自然两个方面的属性及其在城镇社会经济中的地位和作用，综合评定土地质量，划分城镇土地等级的过程。</w:t>
      </w:r>
    </w:p>
    <w:p w14:paraId="57A4A9ED">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估价对象位于</w:t>
      </w:r>
      <w:r>
        <w:rPr>
          <w:rFonts w:hint="eastAsia" w:ascii="Arial" w:hAnsi="Arial" w:eastAsia="仿宋_GB2312" w:cs="Arial"/>
          <w:color w:val="auto"/>
          <w:sz w:val="28"/>
        </w:rPr>
        <w:t>顺义区高丽营镇</w:t>
      </w:r>
      <w:r>
        <w:rPr>
          <w:rFonts w:ascii="Arial" w:hAnsi="Arial" w:eastAsia="仿宋_GB2312" w:cs="Arial"/>
          <w:color w:val="auto"/>
          <w:sz w:val="28"/>
          <w:szCs w:val="28"/>
        </w:rPr>
        <w:t>，属于</w:t>
      </w:r>
      <w:r>
        <w:rPr>
          <w:rFonts w:ascii="Arial" w:hAnsi="Arial" w:eastAsia="仿宋_GB2312" w:cs="Arial"/>
          <w:color w:val="auto"/>
          <w:sz w:val="28"/>
        </w:rPr>
        <w:t>住宅类</w:t>
      </w:r>
      <w:r>
        <w:rPr>
          <w:rFonts w:hint="eastAsia" w:ascii="Arial" w:hAnsi="Arial" w:eastAsia="仿宋_GB2312" w:cs="Arial"/>
          <w:color w:val="auto"/>
          <w:sz w:val="28"/>
        </w:rPr>
        <w:t>九级</w:t>
      </w:r>
      <w:r>
        <w:rPr>
          <w:rFonts w:ascii="Arial" w:hAnsi="Arial" w:eastAsia="仿宋_GB2312" w:cs="Arial"/>
          <w:color w:val="auto"/>
          <w:sz w:val="28"/>
        </w:rPr>
        <w:t>IX</w:t>
      </w:r>
      <w:r>
        <w:rPr>
          <w:rFonts w:hint="eastAsia" w:ascii="Arial" w:hAnsi="Arial" w:eastAsia="仿宋_GB2312" w:cs="Arial"/>
          <w:color w:val="auto"/>
          <w:sz w:val="28"/>
        </w:rPr>
        <w:t>－顺5区片</w:t>
      </w:r>
      <w:r>
        <w:rPr>
          <w:rFonts w:ascii="Arial" w:hAnsi="Arial" w:eastAsia="仿宋_GB2312" w:cs="Arial"/>
          <w:color w:val="auto"/>
          <w:sz w:val="28"/>
        </w:rPr>
        <w:t>、商</w:t>
      </w:r>
      <w:r>
        <w:rPr>
          <w:rFonts w:hint="eastAsia" w:ascii="Arial" w:hAnsi="Arial" w:eastAsia="仿宋_GB2312" w:cs="Arial"/>
          <w:color w:val="auto"/>
          <w:sz w:val="28"/>
        </w:rPr>
        <w:t>服</w:t>
      </w:r>
      <w:r>
        <w:rPr>
          <w:rFonts w:ascii="Arial" w:hAnsi="Arial" w:eastAsia="仿宋_GB2312" w:cs="Arial"/>
          <w:color w:val="auto"/>
          <w:sz w:val="28"/>
        </w:rPr>
        <w:t>类</w:t>
      </w:r>
      <w:r>
        <w:rPr>
          <w:rFonts w:hint="eastAsia" w:ascii="Arial" w:hAnsi="Arial" w:eastAsia="仿宋_GB2312" w:cs="Arial"/>
          <w:color w:val="auto"/>
          <w:sz w:val="28"/>
        </w:rPr>
        <w:t>九级</w:t>
      </w:r>
      <w:r>
        <w:rPr>
          <w:rFonts w:ascii="Arial" w:hAnsi="Arial" w:eastAsia="仿宋_GB2312" w:cs="Arial"/>
          <w:color w:val="auto"/>
          <w:sz w:val="28"/>
        </w:rPr>
        <w:t>IX</w:t>
      </w:r>
      <w:r>
        <w:rPr>
          <w:rFonts w:hint="eastAsia" w:ascii="Arial" w:hAnsi="Arial" w:eastAsia="仿宋_GB2312" w:cs="Arial"/>
          <w:color w:val="auto"/>
          <w:sz w:val="28"/>
        </w:rPr>
        <w:t>－顺5区片</w:t>
      </w:r>
      <w:r>
        <w:rPr>
          <w:rFonts w:ascii="Arial" w:hAnsi="Arial" w:eastAsia="仿宋_GB2312" w:cs="Arial"/>
          <w:color w:val="auto"/>
          <w:sz w:val="28"/>
        </w:rPr>
        <w:t>、</w:t>
      </w:r>
      <w:r>
        <w:rPr>
          <w:rFonts w:hint="eastAsia" w:ascii="Arial" w:hAnsi="Arial" w:eastAsia="仿宋_GB2312" w:cs="Arial"/>
          <w:color w:val="auto"/>
          <w:sz w:val="28"/>
        </w:rPr>
        <w:t>公共</w:t>
      </w:r>
      <w:r>
        <w:rPr>
          <w:rFonts w:ascii="Arial" w:hAnsi="Arial" w:eastAsia="仿宋_GB2312" w:cs="Arial"/>
          <w:color w:val="auto"/>
          <w:sz w:val="28"/>
        </w:rPr>
        <w:t>服务类</w:t>
      </w:r>
      <w:r>
        <w:rPr>
          <w:rFonts w:hint="eastAsia" w:ascii="Arial" w:hAnsi="Arial" w:eastAsia="仿宋_GB2312" w:cs="Arial"/>
          <w:color w:val="auto"/>
          <w:sz w:val="28"/>
        </w:rPr>
        <w:t>九级</w:t>
      </w:r>
      <w:r>
        <w:rPr>
          <w:rFonts w:ascii="Arial" w:hAnsi="Arial" w:eastAsia="仿宋_GB2312" w:cs="Arial"/>
          <w:color w:val="auto"/>
          <w:sz w:val="28"/>
        </w:rPr>
        <w:t>IX</w:t>
      </w:r>
      <w:r>
        <w:rPr>
          <w:rFonts w:hint="eastAsia" w:ascii="Arial" w:hAnsi="Arial" w:eastAsia="仿宋_GB2312" w:cs="Arial"/>
          <w:color w:val="auto"/>
          <w:sz w:val="28"/>
        </w:rPr>
        <w:t>－顺5区片</w:t>
      </w:r>
      <w:r>
        <w:rPr>
          <w:rFonts w:ascii="Arial" w:hAnsi="Arial" w:eastAsia="仿宋_GB2312" w:cs="Arial"/>
          <w:color w:val="auto"/>
          <w:sz w:val="28"/>
          <w:szCs w:val="28"/>
        </w:rPr>
        <w:t>，估价中土地估价专业评估师是根据现场查勘，并依据《城镇土地分等定级规程》对估价对象进行综合判断。</w:t>
      </w:r>
    </w:p>
    <w:p w14:paraId="41DF9549">
      <w:pPr>
        <w:adjustRightInd/>
        <w:spacing w:line="300" w:lineRule="auto"/>
        <w:ind w:firstLine="562" w:firstLineChars="200"/>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（2）</w:t>
      </w:r>
      <w:r>
        <w:rPr>
          <w:rFonts w:ascii="Arial" w:hAnsi="Arial" w:eastAsia="仿宋_GB2312" w:cs="Arial"/>
          <w:b/>
          <w:bCs/>
          <w:color w:val="auto"/>
          <w:sz w:val="28"/>
          <w:szCs w:val="28"/>
        </w:rPr>
        <w:t xml:space="preserve">审慎原则 </w:t>
      </w:r>
    </w:p>
    <w:p w14:paraId="61C60BB3">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审慎原则是指在评估中确定相关参数和结果时，应分析并充分考虑土地市场运行状况、有关行业发展状况，以及存在的风险。在不确定性条件下做出估计和判断时要保持一定程度的谨慎，以便不高估也不低估估价对象的价值。</w:t>
      </w:r>
    </w:p>
    <w:p w14:paraId="7CAA5F45">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本次估价考虑估价对象的具体情况，结合估价目的，在估价过程中确定相关参数和结果时，仔细分析并充分考虑土地市场运行状况、有关行业发展状况、存在的风险，严格遵循着审慎原则。</w:t>
      </w:r>
    </w:p>
    <w:p w14:paraId="547B3E34">
      <w:pPr>
        <w:adjustRightInd/>
        <w:spacing w:line="300" w:lineRule="auto"/>
        <w:ind w:firstLine="562" w:firstLineChars="200"/>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（3）</w:t>
      </w:r>
      <w:r>
        <w:rPr>
          <w:rFonts w:ascii="Arial" w:hAnsi="Arial" w:eastAsia="仿宋_GB2312" w:cs="Arial"/>
          <w:b/>
          <w:bCs/>
          <w:color w:val="auto"/>
          <w:sz w:val="28"/>
          <w:szCs w:val="28"/>
        </w:rPr>
        <w:t>公开市场原则</w:t>
      </w:r>
    </w:p>
    <w:p w14:paraId="37B313F6">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公开市场原则是指评估结果在公平、公正、公开的土地市场上可实现。</w:t>
      </w:r>
    </w:p>
    <w:p w14:paraId="660AD1A3">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公开市场是指交易双方的交易的目的在于最大限度地追求经济利益，并掌握必要的市场信息，有较充裕的时间进行交易，交易对象具有必要的专业知识，交易条件公开并不具有排它性的交易市场。本次估价结果是估价对象所在区域内的正常市场价格（熟地价），即在公平、公正、公开的土地市场上可实现的价格。</w:t>
      </w:r>
    </w:p>
    <w:p w14:paraId="396749DE">
      <w:pPr>
        <w:adjustRightInd/>
        <w:spacing w:line="300" w:lineRule="auto"/>
        <w:ind w:firstLine="562" w:firstLineChars="200"/>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（4）其他原则</w:t>
      </w:r>
    </w:p>
    <w:p w14:paraId="540DB6F2">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评估公共管理与公共服务用地价格</w:t>
      </w:r>
      <w:r>
        <w:rPr>
          <w:rFonts w:hint="eastAsia" w:ascii="Arial" w:hAnsi="Arial" w:eastAsia="仿宋_GB2312" w:cs="Arial"/>
          <w:color w:val="auto"/>
          <w:sz w:val="28"/>
          <w:szCs w:val="28"/>
        </w:rPr>
        <w:t>，</w:t>
      </w:r>
      <w:r>
        <w:rPr>
          <w:rFonts w:ascii="Arial" w:hAnsi="Arial" w:eastAsia="仿宋_GB2312" w:cs="Arial"/>
          <w:color w:val="auto"/>
          <w:sz w:val="28"/>
          <w:szCs w:val="28"/>
        </w:rPr>
        <w:t>首先应考虑发现并模拟市场价格原则</w:t>
      </w:r>
      <w:r>
        <w:rPr>
          <w:rFonts w:hint="eastAsia" w:ascii="Arial" w:hAnsi="Arial" w:eastAsia="仿宋_GB2312" w:cs="Arial"/>
          <w:color w:val="auto"/>
          <w:sz w:val="28"/>
          <w:szCs w:val="28"/>
        </w:rPr>
        <w:t>，</w:t>
      </w:r>
      <w:r>
        <w:rPr>
          <w:rFonts w:ascii="Arial" w:hAnsi="Arial" w:eastAsia="仿宋_GB2312" w:cs="Arial"/>
          <w:color w:val="auto"/>
          <w:sz w:val="28"/>
          <w:szCs w:val="28"/>
        </w:rPr>
        <w:t>评估该类用地的正常市场价格</w:t>
      </w:r>
      <w:r>
        <w:rPr>
          <w:rFonts w:hint="eastAsia" w:ascii="Arial" w:hAnsi="Arial" w:eastAsia="仿宋_GB2312" w:cs="Arial"/>
          <w:color w:val="auto"/>
          <w:sz w:val="28"/>
          <w:szCs w:val="28"/>
        </w:rPr>
        <w:t>。</w:t>
      </w:r>
      <w:r>
        <w:rPr>
          <w:rFonts w:ascii="Arial" w:hAnsi="Arial" w:eastAsia="仿宋_GB2312" w:cs="Arial"/>
          <w:color w:val="auto"/>
          <w:sz w:val="28"/>
          <w:szCs w:val="28"/>
        </w:rPr>
        <w:t>在特定市场情况下</w:t>
      </w:r>
      <w:r>
        <w:rPr>
          <w:rFonts w:hint="eastAsia" w:ascii="Arial" w:hAnsi="Arial" w:eastAsia="仿宋_GB2312" w:cs="Arial"/>
          <w:color w:val="auto"/>
          <w:sz w:val="28"/>
          <w:szCs w:val="28"/>
        </w:rPr>
        <w:t>，</w:t>
      </w:r>
      <w:r>
        <w:rPr>
          <w:rFonts w:ascii="Arial" w:hAnsi="Arial" w:eastAsia="仿宋_GB2312" w:cs="Arial"/>
          <w:color w:val="auto"/>
          <w:sz w:val="28"/>
          <w:szCs w:val="28"/>
        </w:rPr>
        <w:t>可根据国家及北京市的相关法规与政策</w:t>
      </w:r>
      <w:r>
        <w:rPr>
          <w:rFonts w:hint="eastAsia" w:ascii="Arial" w:hAnsi="Arial" w:eastAsia="仿宋_GB2312" w:cs="Arial"/>
          <w:color w:val="auto"/>
          <w:sz w:val="28"/>
          <w:szCs w:val="28"/>
        </w:rPr>
        <w:t>，</w:t>
      </w:r>
      <w:r>
        <w:rPr>
          <w:rFonts w:ascii="Arial" w:hAnsi="Arial" w:eastAsia="仿宋_GB2312" w:cs="Arial"/>
          <w:color w:val="auto"/>
          <w:sz w:val="28"/>
          <w:szCs w:val="28"/>
        </w:rPr>
        <w:t>对前述的正常市场价格进行修正</w:t>
      </w:r>
      <w:r>
        <w:rPr>
          <w:rFonts w:hint="eastAsia" w:ascii="Arial" w:hAnsi="Arial" w:eastAsia="仿宋_GB2312" w:cs="Arial"/>
          <w:color w:val="auto"/>
          <w:sz w:val="28"/>
          <w:szCs w:val="28"/>
        </w:rPr>
        <w:t>，</w:t>
      </w:r>
      <w:r>
        <w:rPr>
          <w:rFonts w:ascii="Arial" w:hAnsi="Arial" w:eastAsia="仿宋_GB2312" w:cs="Arial"/>
          <w:color w:val="auto"/>
          <w:sz w:val="28"/>
          <w:szCs w:val="28"/>
        </w:rPr>
        <w:t>测算基于特定正常约束下的参考性价格</w:t>
      </w:r>
      <w:r>
        <w:rPr>
          <w:rFonts w:hint="eastAsia" w:ascii="Arial" w:hAnsi="Arial" w:eastAsia="仿宋_GB2312" w:cs="Arial"/>
          <w:color w:val="auto"/>
          <w:sz w:val="28"/>
          <w:szCs w:val="28"/>
        </w:rPr>
        <w:t>，体现</w:t>
      </w:r>
      <w:r>
        <w:rPr>
          <w:rFonts w:ascii="Arial" w:hAnsi="Arial" w:eastAsia="仿宋_GB2312" w:cs="Arial"/>
          <w:color w:val="auto"/>
          <w:sz w:val="28"/>
          <w:szCs w:val="28"/>
        </w:rPr>
        <w:t>区分市场定价与政策优惠的原则</w:t>
      </w:r>
      <w:r>
        <w:rPr>
          <w:rFonts w:hint="eastAsia" w:ascii="Arial" w:hAnsi="Arial" w:eastAsia="仿宋_GB2312" w:cs="Arial"/>
          <w:color w:val="auto"/>
          <w:sz w:val="28"/>
          <w:szCs w:val="28"/>
        </w:rPr>
        <w:t>。同时，在评估时应考虑</w:t>
      </w:r>
      <w:r>
        <w:rPr>
          <w:rFonts w:ascii="Arial" w:hAnsi="Arial" w:eastAsia="仿宋_GB2312" w:cs="Arial"/>
          <w:color w:val="auto"/>
          <w:sz w:val="28"/>
          <w:szCs w:val="28"/>
        </w:rPr>
        <w:t>区位效用为主</w:t>
      </w:r>
      <w:r>
        <w:rPr>
          <w:rFonts w:hint="eastAsia" w:ascii="Arial" w:hAnsi="Arial" w:eastAsia="仿宋_GB2312" w:cs="Arial"/>
          <w:color w:val="auto"/>
          <w:sz w:val="28"/>
          <w:szCs w:val="28"/>
        </w:rPr>
        <w:t>、</w:t>
      </w:r>
      <w:r>
        <w:rPr>
          <w:rFonts w:ascii="Arial" w:hAnsi="Arial" w:eastAsia="仿宋_GB2312" w:cs="Arial"/>
          <w:color w:val="auto"/>
          <w:sz w:val="28"/>
          <w:szCs w:val="28"/>
        </w:rPr>
        <w:t>兼顾用途差异的原则</w:t>
      </w:r>
      <w:r>
        <w:rPr>
          <w:rFonts w:hint="eastAsia" w:ascii="Arial" w:hAnsi="Arial" w:eastAsia="仿宋_GB2312" w:cs="Arial"/>
          <w:color w:val="auto"/>
          <w:sz w:val="28"/>
          <w:szCs w:val="28"/>
        </w:rPr>
        <w:t>。</w:t>
      </w:r>
    </w:p>
    <w:p w14:paraId="4C6F59C2">
      <w:pPr>
        <w:adjustRightInd/>
        <w:spacing w:line="300" w:lineRule="auto"/>
        <w:ind w:firstLine="560" w:firstLineChars="200"/>
        <w:jc w:val="both"/>
        <w:rPr>
          <w:rFonts w:ascii="Arial" w:hAnsi="Arial" w:eastAsia="仿宋_GB2312" w:cs="Arial"/>
          <w:b/>
          <w:color w:val="auto"/>
          <w:sz w:val="28"/>
        </w:rPr>
      </w:pPr>
      <w:r>
        <w:rPr>
          <w:rFonts w:hint="eastAsia" w:ascii="Arial" w:hAnsi="Arial" w:eastAsia="仿宋_GB2312" w:cs="Arial"/>
          <w:color w:val="auto"/>
          <w:sz w:val="28"/>
          <w:szCs w:val="28"/>
        </w:rPr>
        <w:t>估价对象土地用途为</w:t>
      </w:r>
      <w:r>
        <w:rPr>
          <w:rFonts w:hint="eastAsia" w:ascii="Arial" w:hAnsi="Arial" w:eastAsia="仿宋" w:cs="Arial"/>
          <w:color w:val="auto"/>
          <w:sz w:val="28"/>
          <w:szCs w:val="28"/>
        </w:rPr>
        <w:t>城镇住宅用地、其他商业服务业用地及公共管理与公共服务用地</w:t>
      </w:r>
      <w:r>
        <w:rPr>
          <w:rFonts w:hint="eastAsia" w:ascii="Arial" w:hAnsi="Arial" w:eastAsia="仿宋_GB2312" w:cs="Arial"/>
          <w:color w:val="auto"/>
          <w:sz w:val="28"/>
          <w:szCs w:val="28"/>
        </w:rPr>
        <w:t>，包含</w:t>
      </w:r>
      <w:r>
        <w:rPr>
          <w:rFonts w:ascii="Arial" w:hAnsi="Arial" w:eastAsia="仿宋_GB2312" w:cs="Arial"/>
          <w:color w:val="auto"/>
          <w:sz w:val="28"/>
          <w:szCs w:val="28"/>
        </w:rPr>
        <w:t>公共管理与公共服务用途</w:t>
      </w:r>
      <w:r>
        <w:rPr>
          <w:rFonts w:hint="eastAsia" w:ascii="Arial" w:hAnsi="Arial" w:eastAsia="仿宋_GB2312" w:cs="Arial"/>
          <w:color w:val="auto"/>
          <w:sz w:val="28"/>
          <w:szCs w:val="28"/>
        </w:rPr>
        <w:t>。本次评估选取周边</w:t>
      </w:r>
      <w:r>
        <w:rPr>
          <w:rFonts w:ascii="Arial" w:hAnsi="Arial" w:eastAsia="仿宋_GB2312" w:cs="Arial"/>
          <w:color w:val="auto"/>
          <w:sz w:val="28"/>
          <w:szCs w:val="28"/>
        </w:rPr>
        <w:t>4</w:t>
      </w:r>
      <w:r>
        <w:rPr>
          <w:rFonts w:hint="eastAsia" w:ascii="Arial" w:hAnsi="Arial" w:eastAsia="仿宋_GB2312" w:cs="Arial"/>
          <w:color w:val="auto"/>
          <w:sz w:val="28"/>
          <w:szCs w:val="28"/>
        </w:rPr>
        <w:t>公里范围内类似不动产的交易实例，考虑用途差异进行修正，对估价对象市场价格形成过程进行模拟，正是考虑了</w:t>
      </w:r>
      <w:r>
        <w:rPr>
          <w:rFonts w:ascii="Arial" w:hAnsi="Arial" w:eastAsia="仿宋_GB2312" w:cs="Arial"/>
          <w:color w:val="auto"/>
          <w:sz w:val="28"/>
          <w:szCs w:val="28"/>
        </w:rPr>
        <w:t>发现并模拟市场价格的原则</w:t>
      </w:r>
      <w:r>
        <w:rPr>
          <w:rFonts w:hint="eastAsia" w:ascii="Arial" w:hAnsi="Arial" w:eastAsia="仿宋_GB2312" w:cs="Arial"/>
          <w:color w:val="auto"/>
          <w:sz w:val="28"/>
          <w:szCs w:val="28"/>
        </w:rPr>
        <w:t>、</w:t>
      </w:r>
      <w:r>
        <w:rPr>
          <w:rFonts w:ascii="Arial" w:hAnsi="Arial" w:eastAsia="仿宋_GB2312" w:cs="Arial"/>
          <w:color w:val="auto"/>
          <w:sz w:val="28"/>
          <w:szCs w:val="28"/>
        </w:rPr>
        <w:t>区分市场定价与政策优惠的原则</w:t>
      </w:r>
      <w:r>
        <w:rPr>
          <w:rFonts w:hint="eastAsia" w:ascii="Arial" w:hAnsi="Arial" w:eastAsia="仿宋_GB2312" w:cs="Arial"/>
          <w:color w:val="auto"/>
          <w:sz w:val="28"/>
          <w:szCs w:val="28"/>
        </w:rPr>
        <w:t>和</w:t>
      </w:r>
      <w:r>
        <w:rPr>
          <w:rFonts w:ascii="Arial" w:hAnsi="Arial" w:eastAsia="仿宋_GB2312" w:cs="Arial"/>
          <w:color w:val="auto"/>
          <w:sz w:val="28"/>
          <w:szCs w:val="28"/>
        </w:rPr>
        <w:t>区位效用为主兼顾用途差异的原则</w:t>
      </w:r>
      <w:r>
        <w:rPr>
          <w:rFonts w:hint="eastAsia" w:ascii="Arial" w:hAnsi="Arial" w:eastAsia="仿宋_GB2312" w:cs="Arial"/>
          <w:color w:val="auto"/>
          <w:sz w:val="28"/>
          <w:szCs w:val="28"/>
        </w:rPr>
        <w:t>。</w:t>
      </w:r>
      <w:r>
        <w:rPr>
          <w:rFonts w:ascii="Arial" w:hAnsi="Arial" w:eastAsia="仿宋_GB2312" w:cs="Arial"/>
          <w:color w:val="auto"/>
          <w:sz w:val="28"/>
          <w:szCs w:val="28"/>
        </w:rPr>
        <w:t xml:space="preserve"> </w:t>
      </w:r>
    </w:p>
    <w:p w14:paraId="02FB33EF">
      <w:pPr>
        <w:spacing w:line="300" w:lineRule="auto"/>
        <w:jc w:val="both"/>
        <w:outlineLvl w:val="1"/>
        <w:rPr>
          <w:rFonts w:ascii="Arial" w:hAnsi="Arial" w:eastAsia="仿宋_GB2312" w:cs="Arial"/>
          <w:b/>
          <w:color w:val="auto"/>
          <w:sz w:val="28"/>
        </w:rPr>
      </w:pPr>
      <w:bookmarkStart w:id="369" w:name="_Toc416783601"/>
      <w:bookmarkStart w:id="370" w:name="_Toc469066170"/>
      <w:bookmarkStart w:id="371" w:name="_Toc416783697"/>
      <w:bookmarkStart w:id="372" w:name="_Toc515457824"/>
      <w:bookmarkStart w:id="373" w:name="_Toc516488206"/>
      <w:bookmarkStart w:id="374" w:name="_Toc132016640"/>
      <w:bookmarkStart w:id="375" w:name="_Toc132016757"/>
      <w:bookmarkStart w:id="376" w:name="_Toc138063029"/>
      <w:r>
        <w:rPr>
          <w:rFonts w:ascii="Arial" w:hAnsi="Arial" w:eastAsia="仿宋_GB2312" w:cs="Arial"/>
          <w:b/>
          <w:color w:val="auto"/>
          <w:sz w:val="28"/>
        </w:rPr>
        <w:t>二、估价方法与估价过程</w:t>
      </w:r>
      <w:bookmarkEnd w:id="369"/>
      <w:bookmarkEnd w:id="370"/>
      <w:bookmarkEnd w:id="371"/>
      <w:bookmarkEnd w:id="372"/>
      <w:bookmarkEnd w:id="373"/>
      <w:bookmarkEnd w:id="374"/>
      <w:bookmarkEnd w:id="375"/>
      <w:bookmarkEnd w:id="376"/>
    </w:p>
    <w:p w14:paraId="0B50C27B">
      <w:pPr>
        <w:pStyle w:val="57"/>
        <w:autoSpaceDE w:val="0"/>
        <w:autoSpaceDN w:val="0"/>
        <w:adjustRightInd/>
        <w:spacing w:line="300" w:lineRule="auto"/>
        <w:jc w:val="both"/>
        <w:textAlignment w:val="bottom"/>
        <w:rPr>
          <w:rFonts w:ascii="Arial" w:hAnsi="Arial" w:eastAsia="仿宋_GB2312" w:cs="Arial"/>
          <w:b/>
          <w:color w:val="auto"/>
          <w:sz w:val="28"/>
        </w:rPr>
      </w:pPr>
      <w:r>
        <w:rPr>
          <w:rFonts w:ascii="Arial" w:hAnsi="Arial" w:eastAsia="仿宋_GB2312" w:cs="Arial"/>
          <w:b/>
          <w:color w:val="auto"/>
          <w:sz w:val="28"/>
        </w:rPr>
        <w:t>（一）估价方法选择</w:t>
      </w:r>
    </w:p>
    <w:p w14:paraId="32C6B8BA">
      <w:pPr>
        <w:adjustRightInd/>
        <w:spacing w:line="300" w:lineRule="auto"/>
        <w:ind w:firstLine="562"/>
        <w:jc w:val="both"/>
        <w:rPr>
          <w:rFonts w:ascii="Arial" w:hAnsi="Arial" w:eastAsia="仿宋_GB2312" w:cs="Arial"/>
          <w:color w:val="auto"/>
          <w:sz w:val="28"/>
          <w:szCs w:val="28"/>
        </w:rPr>
      </w:pPr>
      <w:bookmarkStart w:id="377" w:name="_Toc416783698"/>
      <w:bookmarkStart w:id="378" w:name="_Toc416783602"/>
      <w:r>
        <w:rPr>
          <w:rFonts w:ascii="Arial" w:hAnsi="Arial" w:eastAsia="仿宋_GB2312" w:cs="Arial"/>
          <w:color w:val="auto"/>
          <w:sz w:val="28"/>
          <w:szCs w:val="28"/>
        </w:rPr>
        <w:drawing>
          <wp:anchor distT="0" distB="0" distL="114300" distR="114300" simplePos="0" relativeHeight="251661312" behindDoc="0" locked="0" layoutInCell="1" allowOverlap="0">
            <wp:simplePos x="0" y="0"/>
            <wp:positionH relativeFrom="page">
              <wp:posOffset>804545</wp:posOffset>
            </wp:positionH>
            <wp:positionV relativeFrom="page">
              <wp:posOffset>4762500</wp:posOffset>
            </wp:positionV>
            <wp:extent cx="24130" cy="12065"/>
            <wp:effectExtent l="0" t="0" r="0" b="0"/>
            <wp:wrapSquare wrapText="bothSides"/>
            <wp:docPr id="27" name="Picture 20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0430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24130" cy="12065"/>
                    </a:xfrm>
                    <a:prstGeom prst="rect">
                      <a:avLst/>
                    </a:prstGeom>
                    <a:noFill/>
                    <a:ln>
                      <a:noFill/>
                    </a:ln>
                  </pic:spPr>
                </pic:pic>
              </a:graphicData>
            </a:graphic>
          </wp:anchor>
        </w:drawing>
      </w:r>
      <w:r>
        <w:rPr>
          <w:rFonts w:ascii="Arial" w:hAnsi="Arial" w:eastAsia="仿宋_GB2312" w:cs="Arial"/>
          <w:color w:val="auto"/>
          <w:sz w:val="28"/>
          <w:szCs w:val="28"/>
        </w:rPr>
        <w:t>根据《城镇土地估价规程》</w:t>
      </w:r>
      <w:r>
        <w:rPr>
          <w:rFonts w:ascii="Arial" w:hAnsi="Arial" w:eastAsia="仿宋_GB2312" w:cs="Arial"/>
          <w:color w:val="auto"/>
          <w:sz w:val="28"/>
        </w:rPr>
        <w:t>（GB/T 18508</w:t>
      </w:r>
      <w:r>
        <w:rPr>
          <w:rFonts w:hint="eastAsia" w:ascii="Arial" w:hAnsi="Arial" w:eastAsia="仿宋_GB2312" w:cs="Arial"/>
          <w:color w:val="auto"/>
          <w:sz w:val="28"/>
        </w:rPr>
        <w:t>－</w:t>
      </w:r>
      <w:r>
        <w:rPr>
          <w:rFonts w:ascii="Arial" w:hAnsi="Arial" w:eastAsia="仿宋_GB2312" w:cs="Arial"/>
          <w:color w:val="auto"/>
          <w:sz w:val="28"/>
        </w:rPr>
        <w:t>2014）</w:t>
      </w:r>
      <w:r>
        <w:rPr>
          <w:rFonts w:ascii="Arial" w:hAnsi="Arial" w:eastAsia="仿宋_GB2312" w:cs="Arial"/>
          <w:color w:val="auto"/>
          <w:sz w:val="28"/>
          <w:szCs w:val="28"/>
        </w:rPr>
        <w:t>，</w:t>
      </w:r>
      <w:r>
        <w:rPr>
          <w:rFonts w:hint="eastAsia" w:ascii="Arial" w:hAnsi="Arial" w:eastAsia="仿宋_GB2312" w:cs="Arial"/>
          <w:color w:val="auto"/>
          <w:sz w:val="28"/>
          <w:szCs w:val="28"/>
        </w:rPr>
        <w:t>地价</w:t>
      </w:r>
      <w:r>
        <w:rPr>
          <w:rFonts w:ascii="Arial" w:hAnsi="Arial" w:eastAsia="仿宋_GB2312" w:cs="Arial"/>
          <w:color w:val="auto"/>
          <w:sz w:val="28"/>
          <w:szCs w:val="28"/>
        </w:rPr>
        <w:t>估价方法有市场比较法、收益还原法、剩余法、成本逼近法、公示地价系数修正法等。估价方法的选择应按照《城镇土地估价规程》</w:t>
      </w:r>
      <w:r>
        <w:rPr>
          <w:rFonts w:ascii="Arial" w:hAnsi="Arial" w:eastAsia="仿宋_GB2312" w:cs="Arial"/>
          <w:color w:val="auto"/>
          <w:sz w:val="28"/>
        </w:rPr>
        <w:t>（GB/T 18508</w:t>
      </w:r>
      <w:r>
        <w:rPr>
          <w:rFonts w:hint="eastAsia" w:ascii="Arial" w:hAnsi="Arial" w:eastAsia="仿宋_GB2312" w:cs="Arial"/>
          <w:color w:val="auto"/>
          <w:sz w:val="28"/>
        </w:rPr>
        <w:t>－</w:t>
      </w:r>
      <w:r>
        <w:rPr>
          <w:rFonts w:ascii="Arial" w:hAnsi="Arial" w:eastAsia="仿宋_GB2312" w:cs="Arial"/>
          <w:color w:val="auto"/>
          <w:sz w:val="28"/>
        </w:rPr>
        <w:t>2014）</w:t>
      </w:r>
      <w:r>
        <w:rPr>
          <w:rFonts w:ascii="Arial" w:hAnsi="Arial" w:eastAsia="仿宋_GB2312" w:cs="Arial"/>
          <w:color w:val="auto"/>
          <w:sz w:val="28"/>
          <w:szCs w:val="28"/>
        </w:rPr>
        <w:t>，根据区域内地产市场发育情况并结合估价对象的特点及估价目的等，选择适当的估价方法。在一项土地估价中所选方法不少于两种。</w:t>
      </w:r>
    </w:p>
    <w:p w14:paraId="14BCB75C">
      <w:pPr>
        <w:adjustRightInd/>
        <w:spacing w:line="300" w:lineRule="auto"/>
        <w:ind w:firstLine="557"/>
        <w:jc w:val="both"/>
        <w:rPr>
          <w:rFonts w:ascii="Arial" w:hAnsi="Arial" w:eastAsia="仿宋_GB2312" w:cs="Arial"/>
          <w:color w:val="auto"/>
          <w:sz w:val="28"/>
          <w:szCs w:val="28"/>
        </w:rPr>
      </w:pPr>
      <w:r>
        <w:rPr>
          <w:rFonts w:ascii="Arial" w:hAnsi="Arial" w:eastAsia="仿宋_GB2312" w:cs="Arial"/>
          <w:color w:val="auto"/>
          <w:sz w:val="28"/>
          <w:szCs w:val="28"/>
        </w:rPr>
        <w:t>根据《</w:t>
      </w:r>
      <w:r>
        <w:rPr>
          <w:rFonts w:ascii="Arial" w:hAnsi="Arial" w:eastAsia="仿宋_GB2312" w:cs="Arial"/>
          <w:color w:val="auto"/>
          <w:sz w:val="28"/>
        </w:rPr>
        <w:t>国土资源部办公厅关于发布&lt;国有建设用地使用权出让地价评估技术规范&gt;的通知》（国土资厅发（2018）4号</w:t>
      </w:r>
      <w:r>
        <w:rPr>
          <w:rFonts w:hint="eastAsia" w:ascii="Arial" w:hAnsi="Arial" w:eastAsia="仿宋_GB2312" w:cs="Arial"/>
          <w:color w:val="auto"/>
          <w:sz w:val="28"/>
        </w:rPr>
        <w:t>）、《北京市国有建设用地使用权出让地价评估技术导则》（2026年2月10日实施）</w:t>
      </w:r>
      <w:r>
        <w:rPr>
          <w:rFonts w:ascii="Arial" w:hAnsi="Arial" w:eastAsia="仿宋_GB2312" w:cs="Arial"/>
          <w:color w:val="auto"/>
          <w:sz w:val="28"/>
          <w:szCs w:val="28"/>
        </w:rPr>
        <w:t>，出让地价评估，应至少采用两种评估方法，包括市场比较法、收益还原法、剩余法之一，以及成本逼近法或公示地价系数修正法。</w:t>
      </w:r>
    </w:p>
    <w:p w14:paraId="4C6CF884">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szCs w:val="28"/>
        </w:rPr>
      </w:pPr>
      <w:r>
        <w:rPr>
          <w:rFonts w:ascii="Arial" w:hAnsi="Arial" w:eastAsia="仿宋_GB2312" w:cs="Arial"/>
          <w:color w:val="auto"/>
          <w:sz w:val="28"/>
          <w:szCs w:val="28"/>
        </w:rPr>
        <w:t>根据估价对象土地的本身的实际状况及项目特点，结合目前北京市房地产市场的发展状况与现行政策，本次评估采用基准地价系数修正法和剩余法进行评估。这是出于以下考虑：一是估价对象位于北京市国有建设用地使用权基准地价覆盖区域；二是估价对象为规划新建项目，符合剩余法的应用条件及适用范围。</w:t>
      </w:r>
    </w:p>
    <w:p w14:paraId="6938E3D6">
      <w:pPr>
        <w:adjustRightInd/>
        <w:spacing w:line="300" w:lineRule="auto"/>
        <w:ind w:firstLine="562" w:firstLineChars="200"/>
        <w:jc w:val="both"/>
        <w:rPr>
          <w:rFonts w:ascii="Arial" w:hAnsi="Arial" w:eastAsia="仿宋_GB2312" w:cs="Arial"/>
          <w:b/>
          <w:bCs/>
          <w:color w:val="auto"/>
          <w:sz w:val="28"/>
        </w:rPr>
      </w:pPr>
      <w:r>
        <w:rPr>
          <w:rFonts w:ascii="Arial" w:hAnsi="Arial" w:eastAsia="仿宋_GB2312" w:cs="Arial"/>
          <w:b/>
          <w:bCs/>
          <w:color w:val="auto"/>
          <w:sz w:val="28"/>
        </w:rPr>
        <w:t>1.</w:t>
      </w:r>
      <w:r>
        <w:rPr>
          <w:rFonts w:hint="eastAsia" w:ascii="Arial" w:hAnsi="Arial" w:eastAsia="仿宋_GB2312" w:cs="Arial"/>
          <w:b/>
          <w:bCs/>
          <w:color w:val="auto"/>
          <w:sz w:val="28"/>
        </w:rPr>
        <w:t>选用</w:t>
      </w:r>
      <w:r>
        <w:rPr>
          <w:rFonts w:ascii="Arial" w:hAnsi="Arial" w:eastAsia="仿宋_GB2312" w:cs="Arial"/>
          <w:b/>
          <w:bCs/>
          <w:color w:val="auto"/>
          <w:sz w:val="28"/>
        </w:rPr>
        <w:t>方法</w:t>
      </w:r>
      <w:r>
        <w:rPr>
          <w:rFonts w:hint="eastAsia" w:ascii="Arial" w:hAnsi="Arial" w:eastAsia="仿宋_GB2312" w:cs="Arial"/>
          <w:b/>
          <w:bCs/>
          <w:color w:val="auto"/>
          <w:sz w:val="28"/>
        </w:rPr>
        <w:t>的理由</w:t>
      </w:r>
    </w:p>
    <w:p w14:paraId="0D600E6A">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szCs w:val="28"/>
        </w:rPr>
      </w:pPr>
      <w:r>
        <w:rPr>
          <w:rFonts w:ascii="Arial" w:hAnsi="Arial" w:eastAsia="仿宋_GB2312" w:cs="Arial"/>
          <w:color w:val="auto"/>
          <w:sz w:val="28"/>
          <w:szCs w:val="28"/>
        </w:rPr>
        <w:t>（1）基准地价系数修正法</w:t>
      </w:r>
    </w:p>
    <w:p w14:paraId="63A4E1EF">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szCs w:val="28"/>
        </w:rPr>
      </w:pPr>
      <w:r>
        <w:rPr>
          <w:rFonts w:hint="eastAsia" w:ascii="Arial" w:hAnsi="Arial" w:eastAsia="仿宋_GB2312" w:cs="Arial"/>
          <w:color w:val="auto"/>
          <w:sz w:val="28"/>
          <w:szCs w:val="28"/>
        </w:rPr>
        <w:t>基准地价系数修正法是利用城镇基准地价和基准地价修正系数表等评估成果，按照替代原则，就待估宗地的区域条件和个别条件等与其所处区域的平均条件相比较，并对照修正系数表选取相应的修正系数对基准地价进行修正，进而求取待估宗地在估价期日价格的方法。</w:t>
      </w:r>
    </w:p>
    <w:p w14:paraId="735F735F">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首先，北京市人民政府于2022年3月14日发布了北京市基准地价更新成果，基准地价基准期日为2021年1月1日。北京市基准地价更新成果作为政府公示价格，在现行土地估价实际工作中起着重要指导意义，是确定国有建设用地使用权出让价格审定、国有建设用地租赁租金审定、企业改制土地资产价格处置等依据之一。本次评估估价目的为出让方通过集体决策确定土地出让底价提供参考依据，其估价目的与基准地价系数修正法适用范围完全吻合。估价对象属于北京市基准地价覆盖范围内，可直观获取基准地价系数修正法所需评估参数。《自然资源部办公厅关于加强城镇建设用地基准地价管理的通知》（自然资办发（2024）45号）规定：基准地价原则上每3年全面更新一次，土地级别因素、土地质量空间分布或不动产市场价格水平发生重大变化时，基准地价应当及时更新。凡现有基准地价已3年以上未及时更新或地价水平已发生重大变化的，要立即部署启动基准地价更新工作。超过6年未全面更新的，宗地评估不得使用基准地价系数修正法，集体决策确定土地供应底价时不能作为依据使用。市、县自然资源主管部门应及时向社会公布基准地价更新成果。公布内容要包括各用途各级别或均质区域的范围界线价格标准、修正体系等。</w:t>
      </w:r>
    </w:p>
    <w:p w14:paraId="378E3A0D">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szCs w:val="28"/>
        </w:rPr>
      </w:pPr>
      <w:r>
        <w:rPr>
          <w:rFonts w:hint="eastAsia" w:ascii="Arial" w:hAnsi="Arial" w:eastAsia="仿宋_GB2312" w:cs="Arial"/>
          <w:color w:val="auto"/>
          <w:sz w:val="28"/>
          <w:szCs w:val="28"/>
        </w:rPr>
        <w:t>根据《北京市出让国有建设用地使用权基准地价更新成果》（2022年3月14日印发），基准期日为2021年1月1日，本次估价的估价期日为2026年3月26日，估价期日距基准期日超过3年未超过6年，估价对象处于基准地价覆盖范围内，所处土地级别明确，基准地价体系完整，方法科学，数据严谨，近年来北京市地价监测工作较完善，可通过选用符合市场变动的地价监测数据对基准地价进行调整，故基准地价更新成果虽未及时更新，但经测算的基准地价系数修正法评估结果仍有可信性，故可利用基准地价修正体系对估价对象各项用地条件进行分析，选用基准地价系数修正法测算地价。</w:t>
      </w:r>
    </w:p>
    <w:p w14:paraId="7015958A">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szCs w:val="28"/>
        </w:rPr>
      </w:pPr>
      <w:r>
        <w:rPr>
          <w:rFonts w:ascii="Arial" w:hAnsi="Arial" w:eastAsia="仿宋_GB2312" w:cs="Arial"/>
          <w:color w:val="auto"/>
          <w:sz w:val="28"/>
          <w:szCs w:val="28"/>
        </w:rPr>
        <w:t>（</w:t>
      </w:r>
      <w:r>
        <w:rPr>
          <w:rFonts w:hint="eastAsia" w:ascii="Arial" w:hAnsi="Arial" w:eastAsia="仿宋_GB2312" w:cs="Arial"/>
          <w:color w:val="auto"/>
          <w:sz w:val="28"/>
          <w:szCs w:val="28"/>
        </w:rPr>
        <w:t>2</w:t>
      </w:r>
      <w:r>
        <w:rPr>
          <w:rFonts w:ascii="Arial" w:hAnsi="Arial" w:eastAsia="仿宋_GB2312" w:cs="Arial"/>
          <w:color w:val="auto"/>
          <w:sz w:val="28"/>
          <w:szCs w:val="28"/>
        </w:rPr>
        <w:t>）</w:t>
      </w:r>
      <w:r>
        <w:rPr>
          <w:rFonts w:hint="eastAsia" w:ascii="Arial" w:hAnsi="Arial" w:eastAsia="仿宋_GB2312" w:cs="Arial"/>
          <w:color w:val="auto"/>
          <w:sz w:val="28"/>
          <w:szCs w:val="28"/>
        </w:rPr>
        <w:t>剩余</w:t>
      </w:r>
      <w:r>
        <w:rPr>
          <w:rFonts w:ascii="Arial" w:hAnsi="Arial" w:eastAsia="仿宋_GB2312" w:cs="Arial"/>
          <w:color w:val="auto"/>
          <w:sz w:val="28"/>
          <w:szCs w:val="28"/>
        </w:rPr>
        <w:t>法</w:t>
      </w:r>
    </w:p>
    <w:p w14:paraId="32CDBB4B">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szCs w:val="28"/>
        </w:rPr>
      </w:pPr>
      <w:r>
        <w:rPr>
          <w:rFonts w:hint="eastAsia" w:ascii="Arial" w:hAnsi="Arial" w:eastAsia="仿宋_GB2312" w:cs="Arial"/>
          <w:color w:val="auto"/>
          <w:sz w:val="28"/>
          <w:szCs w:val="28"/>
        </w:rPr>
        <w:t>剩余法是在预计开发完成后不动产正常交易价格的基础上，扣除预计的正常开发成本及有关专业费用、利息、利润和税费等，以价格余额来估算待估土地价格的方法。</w:t>
      </w:r>
    </w:p>
    <w:p w14:paraId="4463A676">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szCs w:val="28"/>
        </w:rPr>
      </w:pPr>
      <w:r>
        <w:rPr>
          <w:rFonts w:hint="eastAsia" w:ascii="Arial" w:hAnsi="Arial" w:eastAsia="仿宋_GB2312" w:cs="Arial"/>
          <w:color w:val="auto"/>
          <w:sz w:val="28"/>
          <w:szCs w:val="28"/>
        </w:rPr>
        <w:t>估价对象属于待开发的项目，规划指标明确，符合城市规划要求，与周边环境相协调，估价对象作为R2二类居住用地、A334托幼用地属于该宗地土地的最佳利用（最有效利用），且本次评估所需的数据资料和参数都是可以获取和确定的，符合剩余法使用范围。估价人员根据估价目的、遵循估价原则、按照估价工作程序、利用科学的估价方法，在认真分析现有资料的基础上，经过周密的测算，并结合估价经验详细考虑了影响土地价格的各项因素确定的估价结果是科学可信的。</w:t>
      </w:r>
    </w:p>
    <w:p w14:paraId="4296C791">
      <w:pPr>
        <w:pStyle w:val="57"/>
        <w:autoSpaceDE w:val="0"/>
        <w:autoSpaceDN w:val="0"/>
        <w:adjustRightInd/>
        <w:spacing w:line="300" w:lineRule="auto"/>
        <w:ind w:firstLine="562" w:firstLineChars="200"/>
        <w:jc w:val="both"/>
        <w:textAlignment w:val="bottom"/>
        <w:rPr>
          <w:rFonts w:ascii="Arial" w:hAnsi="Arial" w:eastAsia="仿宋_GB2312" w:cs="Arial"/>
          <w:b/>
          <w:bCs/>
          <w:color w:val="auto"/>
          <w:sz w:val="28"/>
        </w:rPr>
      </w:pPr>
      <w:r>
        <w:rPr>
          <w:rFonts w:ascii="Arial" w:hAnsi="Arial" w:eastAsia="仿宋_GB2312" w:cs="Arial"/>
          <w:b/>
          <w:bCs/>
          <w:color w:val="auto"/>
          <w:sz w:val="28"/>
        </w:rPr>
        <w:t>2.</w:t>
      </w:r>
      <w:r>
        <w:rPr>
          <w:rFonts w:hint="eastAsia" w:ascii="Arial" w:hAnsi="Arial" w:eastAsia="仿宋_GB2312" w:cs="Arial"/>
          <w:b/>
          <w:bCs/>
          <w:color w:val="auto"/>
          <w:sz w:val="28"/>
        </w:rPr>
        <w:t>不选用方法的理由</w:t>
      </w:r>
    </w:p>
    <w:p w14:paraId="55C2C263">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（1）</w:t>
      </w:r>
      <w:r>
        <w:rPr>
          <w:rFonts w:hint="eastAsia" w:ascii="Arial" w:hAnsi="Arial" w:eastAsia="仿宋_GB2312" w:cs="Arial"/>
          <w:color w:val="auto"/>
          <w:sz w:val="28"/>
        </w:rPr>
        <w:t>市场比较法</w:t>
      </w:r>
    </w:p>
    <w:p w14:paraId="714826C0">
      <w:pPr>
        <w:adjustRightInd/>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市场比较法是根据市场中的替代原理，将待估宗地与具有替代性的，且在估价期日近期市场上交易的类似地产进行比较，并对类似地产的成交价格做适当修正，以此估算待估宗地客观合理价格的方法。根据《北京市国有建设用地使用权出让地价评估技术导则》（2026年2月10日实施）中规定，出让地价评估，应至少采用两种评估方法，且成本逼近法和基准地价系数修正法选择其一，市场比较法、剩余法、收益还原法选择其一。其中城镇住宅用地、商服类用地宜在成本逼近法和基准地价系数修正法二选一时，优先选用基准地价系数修正法，慎选成本逼近法，在市场比较法、剩余法、收益还原法三选一时，优先选用剩余法，其次选择市场比较法、收益还原法。公共管理与公共服务用地和交通运输用地价格，宜在“二选一”时，优先选择基准地价系数修正法，慎选成本逼近法;在“三选一”时，优先选择市场比较法，如缺少市场可比案例，可酌情选用剩余法、收益还原法。</w:t>
      </w:r>
    </w:p>
    <w:p w14:paraId="516ECBCC">
      <w:pPr>
        <w:adjustRightInd/>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经统计，截止估价期日，所在区域范围内与估价对象处于同一级别范围内</w:t>
      </w:r>
      <w:r>
        <w:rPr>
          <w:rFonts w:ascii="Arial" w:hAnsi="Arial" w:eastAsia="仿宋_GB2312" w:cs="Arial"/>
          <w:color w:val="auto"/>
          <w:sz w:val="28"/>
        </w:rPr>
        <w:t>每个项目配建的情况不一致，难以统一价格基础，</w:t>
      </w:r>
      <w:r>
        <w:rPr>
          <w:rFonts w:hint="eastAsia" w:ascii="Arial" w:hAnsi="Arial" w:eastAsia="仿宋_GB2312" w:cs="Arial"/>
          <w:color w:val="auto"/>
          <w:sz w:val="28"/>
        </w:rPr>
        <w:t>结合本次估价目的及估价对象实际情况，已优先选用剩余法，故不选用市场比较法</w:t>
      </w:r>
      <w:r>
        <w:rPr>
          <w:rFonts w:ascii="Arial" w:hAnsi="Arial" w:eastAsia="仿宋_GB2312" w:cs="Arial"/>
          <w:color w:val="auto"/>
          <w:sz w:val="28"/>
        </w:rPr>
        <w:t>。</w:t>
      </w:r>
    </w:p>
    <w:p w14:paraId="65314C11">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（2）</w:t>
      </w:r>
      <w:r>
        <w:rPr>
          <w:rFonts w:hint="eastAsia" w:ascii="Arial" w:hAnsi="Arial" w:eastAsia="仿宋_GB2312" w:cs="Arial"/>
          <w:color w:val="auto"/>
          <w:sz w:val="28"/>
        </w:rPr>
        <w:t>成本逼近法</w:t>
      </w:r>
    </w:p>
    <w:p w14:paraId="6F4A8FE5">
      <w:pPr>
        <w:adjustRightInd/>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成本逼近法是以开发土地所耗费的各项客观费用之和为主要依据，加上客观的利润、利息、应缴纳的税金和土地增值收益等确定土地价格的方法。成本逼近法一般适用于新开发土地或土地市场欠发育、交易实例少的地区的土地价格评估，在其它估价方法适用的条件下成本逼近法不宜优先采用。</w:t>
      </w:r>
    </w:p>
    <w:p w14:paraId="6D36EC3B">
      <w:pPr>
        <w:adjustRightInd/>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城镇土地估价规程》（以下简称《规程》），并依照原国土资源部办公厅关于发布《国有建设用地使用权出让地价评估技术规范》的通知（国土资厅发（2018）4号）文件中对出让地价评估的方法选用要求中，成本逼近法和基准地价系数修正法选择其一。本次评估中，结合估价目的，已选用基准地价系数修正法，估价对象位于顺义区高丽营镇，区域内房地产市场较为活跃，与成本逼近法适用范围有差异，故本次评估不采用成本逼近法。</w:t>
      </w:r>
    </w:p>
    <w:p w14:paraId="5343AAEA">
      <w:pPr>
        <w:adjustRightInd/>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（3）收益还原法</w:t>
      </w:r>
    </w:p>
    <w:p w14:paraId="51C4B358">
      <w:pPr>
        <w:adjustRightInd/>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收益还原法适用于有收益或潜在收益的宗地，是将估价对象未来正常纯收益（地租）以一定的土地还原率还原，以此估算估价对象价格的方法。收益还原法适用条件是估价对象未来的收益和风险都能够较准确地量化，结合北京市出让地价评估的实际情况，该收益还原法主要适用于工业用地、公共管理与公共服务用地等用途的代建、在建土地的土地出让地价评估，且所在区域类似土地出租交易活动较活跃。估价对象批准规划用途为R2二类居住用地、A334托幼用地，本次评估设定用途为</w:t>
      </w:r>
      <w:r>
        <w:rPr>
          <w:rFonts w:hint="eastAsia" w:ascii="Arial" w:hAnsi="Arial" w:eastAsia="仿宋" w:cs="Arial"/>
          <w:color w:val="auto"/>
          <w:sz w:val="28"/>
        </w:rPr>
        <w:t>城镇住宅用地、其他商业服务业用地、公共管理与公共服务用地</w:t>
      </w:r>
      <w:r>
        <w:rPr>
          <w:rFonts w:hint="eastAsia" w:ascii="Arial" w:hAnsi="Arial" w:eastAsia="仿宋_GB2312" w:cs="Arial"/>
          <w:color w:val="auto"/>
          <w:sz w:val="28"/>
        </w:rPr>
        <w:t>，用地类型符合采用收益还原法，但北京地区的土地市场主要为土地一级出让市场和二级净地转让市场，纯土地租赁市场的交易实例较少且不易获取，很难准确地预测估价对象未来的量化收益和风险，通过采用收益还原法直接剥离出客观的土地使用权价格难度较大，故本次评估未选用收益还原法求取估价对象纯土地使用权价格</w:t>
      </w:r>
    </w:p>
    <w:p w14:paraId="226F455E">
      <w:pPr>
        <w:adjustRightInd/>
        <w:spacing w:line="300" w:lineRule="auto"/>
        <w:ind w:firstLine="560" w:firstLineChars="200"/>
        <w:jc w:val="both"/>
        <w:rPr>
          <w:rFonts w:ascii="Arial" w:hAnsi="Arial" w:eastAsia="仿宋_GB2312" w:cs="Arial"/>
          <w:color w:val="auto"/>
          <w:sz w:val="28"/>
        </w:rPr>
      </w:pPr>
    </w:p>
    <w:p w14:paraId="12782F3F">
      <w:pPr>
        <w:adjustRightInd/>
        <w:spacing w:line="300" w:lineRule="auto"/>
        <w:ind w:firstLine="560" w:firstLineChars="200"/>
        <w:jc w:val="both"/>
        <w:rPr>
          <w:rFonts w:ascii="Arial" w:hAnsi="Arial" w:eastAsia="仿宋_GB2312" w:cs="Arial"/>
          <w:color w:val="auto"/>
          <w:sz w:val="28"/>
        </w:rPr>
      </w:pPr>
    </w:p>
    <w:p w14:paraId="2A55CE99">
      <w:pPr>
        <w:rPr>
          <w:rFonts w:ascii="Arial" w:hAnsi="Arial" w:eastAsia="仿宋_GB2312" w:cs="Arial"/>
          <w:b/>
          <w:bCs/>
          <w:color w:val="auto"/>
          <w:sz w:val="28"/>
        </w:rPr>
      </w:pPr>
      <w:r>
        <w:rPr>
          <w:rFonts w:ascii="Arial" w:hAnsi="Arial" w:eastAsia="仿宋_GB2312" w:cs="Arial"/>
          <w:b/>
          <w:bCs/>
          <w:color w:val="auto"/>
          <w:sz w:val="28"/>
        </w:rPr>
        <w:br w:type="page"/>
      </w:r>
    </w:p>
    <w:p w14:paraId="5A66CCF3">
      <w:pPr>
        <w:spacing w:line="300" w:lineRule="auto"/>
        <w:jc w:val="both"/>
        <w:rPr>
          <w:rFonts w:ascii="Arial" w:hAnsi="Arial" w:eastAsia="仿宋_GB2312" w:cs="Arial"/>
          <w:b/>
          <w:bCs/>
          <w:color w:val="auto"/>
          <w:sz w:val="28"/>
        </w:rPr>
      </w:pPr>
      <w:r>
        <w:rPr>
          <w:rFonts w:ascii="Arial" w:hAnsi="Arial" w:eastAsia="仿宋_GB2312" w:cs="Arial"/>
          <w:b/>
          <w:bCs/>
          <w:color w:val="auto"/>
          <w:sz w:val="28"/>
        </w:rPr>
        <w:t>（二）估价过程</w:t>
      </w:r>
      <w:bookmarkEnd w:id="377"/>
      <w:bookmarkEnd w:id="378"/>
    </w:p>
    <w:p w14:paraId="68B08A5F">
      <w:pPr>
        <w:pStyle w:val="57"/>
        <w:autoSpaceDE w:val="0"/>
        <w:autoSpaceDN w:val="0"/>
        <w:spacing w:line="300" w:lineRule="auto"/>
        <w:ind w:right="140" w:firstLine="562" w:firstLineChars="200"/>
        <w:jc w:val="both"/>
        <w:textAlignment w:val="bottom"/>
        <w:rPr>
          <w:rFonts w:ascii="Arial" w:hAnsi="Arial" w:eastAsia="仿宋_GB2312" w:cs="Arial"/>
          <w:b/>
          <w:color w:val="auto"/>
          <w:sz w:val="28"/>
        </w:rPr>
      </w:pPr>
      <w:r>
        <w:rPr>
          <w:rFonts w:hint="eastAsia" w:ascii="Arial" w:hAnsi="Arial" w:eastAsia="仿宋_GB2312" w:cs="Arial"/>
          <w:b/>
          <w:color w:val="auto"/>
          <w:sz w:val="28"/>
        </w:rPr>
        <w:t>1.</w:t>
      </w:r>
      <w:r>
        <w:rPr>
          <w:rFonts w:ascii="Arial" w:hAnsi="Arial" w:eastAsia="仿宋_GB2312" w:cs="Arial"/>
          <w:b/>
          <w:color w:val="auto"/>
          <w:sz w:val="28"/>
        </w:rPr>
        <w:t>相关参数</w:t>
      </w:r>
    </w:p>
    <w:p w14:paraId="71A8FFD7">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rPr>
      </w:pPr>
      <w:r>
        <w:rPr>
          <w:rFonts w:hint="eastAsia" w:ascii="Arial" w:hAnsi="Arial" w:eastAsia="仿宋_GB2312" w:cs="Arial"/>
          <w:color w:val="auto"/>
          <w:sz w:val="28"/>
        </w:rPr>
        <w:t>（1）</w:t>
      </w:r>
      <w:r>
        <w:rPr>
          <w:rFonts w:ascii="Arial" w:hAnsi="Arial" w:eastAsia="仿宋_GB2312" w:cs="Arial"/>
          <w:color w:val="auto"/>
          <w:sz w:val="28"/>
        </w:rPr>
        <w:t>估价对象土地及建筑物经济技术指标</w:t>
      </w:r>
    </w:p>
    <w:p w14:paraId="43672371">
      <w:pPr>
        <w:tabs>
          <w:tab w:val="left" w:pos="9027"/>
        </w:tabs>
        <w:adjustRightInd/>
        <w:spacing w:line="300" w:lineRule="auto"/>
        <w:ind w:firstLine="560" w:firstLineChars="200"/>
        <w:jc w:val="both"/>
        <w:rPr>
          <w:rFonts w:ascii="Arial" w:hAnsi="Arial" w:eastAsia="仿宋_GB2312" w:cs="Arial"/>
          <w:color w:val="auto"/>
          <w:sz w:val="28"/>
        </w:rPr>
      </w:pPr>
      <w:r>
        <w:rPr>
          <w:rFonts w:ascii="Arial" w:hAnsi="Arial" w:eastAsia="仿宋" w:cs="Arial"/>
          <w:color w:val="auto"/>
          <w:sz w:val="28"/>
          <w:szCs w:val="28"/>
        </w:rPr>
        <w:t>根据</w:t>
      </w:r>
      <w:r>
        <w:rPr>
          <w:rFonts w:hint="eastAsia" w:ascii="Arial" w:hAnsi="Arial" w:eastAsia="仿宋"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，本次估价对象01</w:t>
      </w:r>
      <w:r>
        <w:rPr>
          <w:rFonts w:hint="eastAsia" w:ascii="Arial" w:hAnsi="Arial" w:eastAsia="仿宋" w:cs="Arial"/>
          <w:color w:val="auto"/>
          <w:sz w:val="28"/>
        </w:rPr>
        <w:t>－</w:t>
      </w:r>
      <w:r>
        <w:rPr>
          <w:rFonts w:ascii="Arial" w:hAnsi="Arial" w:eastAsia="仿宋" w:cs="Arial"/>
          <w:color w:val="auto"/>
          <w:sz w:val="28"/>
        </w:rPr>
        <w:t>008等地块共4宗地，用地规模合计为60990.43平方米，全部为建设用地，建筑规模合计为71508.52平方米。</w:t>
      </w:r>
      <w:r>
        <w:rPr>
          <w:rFonts w:ascii="Arial" w:hAnsi="Arial" w:eastAsia="仿宋" w:cs="Arial"/>
          <w:color w:val="auto"/>
          <w:sz w:val="28"/>
          <w:szCs w:val="28"/>
        </w:rPr>
        <w:t>其中，估价对象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008地块（R2二类居住用地）建设用地规模为24804.85平方米，地上建筑规模为29765.82平方米，容积率为1.2；</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016地块（R2二类居住用地）建设用地规模为23103.85平方米，地上建筑规模为27724.62平方米，容积率为1.2；</w:t>
      </w:r>
      <w:r>
        <w:rPr>
          <w:rFonts w:ascii="Arial" w:hAnsi="Arial" w:eastAsia="仿宋" w:cs="Arial"/>
          <w:color w:val="auto"/>
          <w:sz w:val="28"/>
          <w:szCs w:val="28"/>
        </w:rPr>
        <w:t xml:space="preserve"> 估价对象01</w:t>
      </w:r>
      <w:r>
        <w:rPr>
          <w:rFonts w:hint="eastAsia" w:ascii="Arial" w:hAnsi="Arial" w:eastAsia="仿宋" w:cs="Arial"/>
          <w:color w:val="auto"/>
          <w:sz w:val="28"/>
          <w:szCs w:val="28"/>
        </w:rPr>
        <w:t>－</w:t>
      </w:r>
      <w:r>
        <w:rPr>
          <w:rFonts w:ascii="Arial" w:hAnsi="Arial" w:eastAsia="仿宋" w:cs="Arial"/>
          <w:color w:val="auto"/>
          <w:sz w:val="28"/>
          <w:szCs w:val="28"/>
        </w:rPr>
        <w:t>026</w:t>
      </w:r>
      <w:r>
        <w:rPr>
          <w:rFonts w:hint="eastAsia" w:ascii="Arial" w:hAnsi="Arial" w:eastAsia="仿宋" w:cs="Arial"/>
          <w:color w:val="auto"/>
          <w:sz w:val="28"/>
          <w:szCs w:val="28"/>
        </w:rPr>
        <w:t>－</w:t>
      </w:r>
      <w:r>
        <w:rPr>
          <w:rFonts w:ascii="Arial" w:hAnsi="Arial" w:eastAsia="仿宋" w:cs="Arial"/>
          <w:color w:val="auto"/>
          <w:sz w:val="28"/>
          <w:szCs w:val="28"/>
        </w:rPr>
        <w:t>1</w:t>
      </w:r>
      <w:r>
        <w:rPr>
          <w:rFonts w:ascii="Arial" w:hAnsi="Arial" w:eastAsia="仿宋" w:cs="Arial"/>
          <w:color w:val="auto"/>
          <w:sz w:val="28"/>
        </w:rPr>
        <w:t>地块（R2二类居住用地）建设用地规模为8881.75平方米，地上建筑规模为10658.10平方米，容积率为1.2；另有</w:t>
      </w:r>
      <w:r>
        <w:rPr>
          <w:rFonts w:ascii="Arial" w:hAnsi="Arial" w:eastAsia="仿宋" w:cs="Arial"/>
          <w:color w:val="auto"/>
          <w:sz w:val="28"/>
          <w:szCs w:val="28"/>
        </w:rPr>
        <w:t>估价对象</w:t>
      </w:r>
      <w:r>
        <w:rPr>
          <w:rFonts w:ascii="Arial" w:hAnsi="Arial" w:eastAsia="仿宋" w:cs="Arial"/>
          <w:color w:val="auto"/>
          <w:sz w:val="28"/>
        </w:rPr>
        <w:t>01</w:t>
      </w:r>
      <w:r>
        <w:rPr>
          <w:rFonts w:hint="eastAsia" w:ascii="Arial" w:hAnsi="Arial" w:eastAsia="仿宋" w:cs="Arial"/>
          <w:color w:val="auto"/>
          <w:sz w:val="28"/>
        </w:rPr>
        <w:t>－</w:t>
      </w:r>
      <w:r>
        <w:rPr>
          <w:rFonts w:ascii="Arial" w:hAnsi="Arial" w:eastAsia="仿宋" w:cs="Arial"/>
          <w:color w:val="auto"/>
          <w:sz w:val="28"/>
        </w:rPr>
        <w:t>020地块（A334托幼用地，不出让）建设用地规模为4199.98平方米，地上建筑规模为3359.98平方米，容积率为0.8。</w:t>
      </w:r>
      <w:r>
        <w:rPr>
          <w:rFonts w:hint="eastAsia" w:ascii="Arial" w:hAnsi="Arial" w:eastAsia="仿宋" w:cs="Arial"/>
          <w:color w:val="auto"/>
          <w:sz w:val="28"/>
        </w:rPr>
        <w:t>根据《北京市国有建设用地使用权出让地价评估技术导则》（2026年2月10日实施）中的相关规定，本次评估01－008、01－016、01－026－1地块（R2二类居住用地）容积率为1.2</w:t>
      </w:r>
      <w:r>
        <w:rPr>
          <w:rFonts w:hint="eastAsia" w:ascii="Arial" w:hAnsi="Arial" w:eastAsia="仿宋_GB2312" w:cs="Arial"/>
          <w:color w:val="auto"/>
          <w:sz w:val="28"/>
        </w:rPr>
        <w:t>；</w:t>
      </w:r>
      <w:r>
        <w:rPr>
          <w:rFonts w:ascii="Arial" w:hAnsi="Arial" w:eastAsia="仿宋_GB2312" w:cs="Arial"/>
          <w:color w:val="auto"/>
          <w:sz w:val="28"/>
        </w:rPr>
        <w:t>具体详见下表：</w:t>
      </w:r>
    </w:p>
    <w:p w14:paraId="25CE4871">
      <w:pPr>
        <w:tabs>
          <w:tab w:val="left" w:pos="9027"/>
        </w:tabs>
        <w:spacing w:line="300" w:lineRule="auto"/>
        <w:jc w:val="center"/>
        <w:rPr>
          <w:rFonts w:ascii="Arial" w:hAnsi="Arial" w:eastAsia="仿宋_GB2312" w:cs="Arial"/>
          <w:b/>
          <w:color w:val="auto"/>
          <w:sz w:val="28"/>
          <w:szCs w:val="28"/>
        </w:rPr>
      </w:pPr>
      <w:r>
        <w:rPr>
          <w:rFonts w:ascii="Arial" w:hAnsi="Arial" w:eastAsia="仿宋_GB2312" w:cs="Arial"/>
          <w:b/>
          <w:color w:val="auto"/>
          <w:sz w:val="28"/>
          <w:szCs w:val="28"/>
        </w:rPr>
        <w:t>土地用途及建筑规模表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7" w:type="dxa"/>
          <w:left w:w="28" w:type="dxa"/>
          <w:bottom w:w="57" w:type="dxa"/>
          <w:right w:w="28" w:type="dxa"/>
        </w:tblCellMar>
      </w:tblPr>
      <w:tblGrid>
        <w:gridCol w:w="1618"/>
        <w:gridCol w:w="2206"/>
        <w:gridCol w:w="1617"/>
        <w:gridCol w:w="1173"/>
        <w:gridCol w:w="1766"/>
        <w:gridCol w:w="1026"/>
      </w:tblGrid>
      <w:tr w14:paraId="252FE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860" w:type="pct"/>
            <w:vAlign w:val="center"/>
          </w:tcPr>
          <w:p w14:paraId="50BE605E">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规划地块编号</w:t>
            </w:r>
          </w:p>
        </w:tc>
        <w:tc>
          <w:tcPr>
            <w:tcW w:w="1171" w:type="pct"/>
            <w:vAlign w:val="center"/>
          </w:tcPr>
          <w:p w14:paraId="62F8D550">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用地性质</w:t>
            </w:r>
          </w:p>
        </w:tc>
        <w:tc>
          <w:tcPr>
            <w:tcW w:w="859" w:type="pct"/>
            <w:vAlign w:val="center"/>
          </w:tcPr>
          <w:p w14:paraId="610A1333">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建设用地规模</w:t>
            </w:r>
          </w:p>
          <w:p w14:paraId="65FBBAE1">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（平方米）</w:t>
            </w:r>
          </w:p>
        </w:tc>
        <w:tc>
          <w:tcPr>
            <w:tcW w:w="623" w:type="pct"/>
            <w:vAlign w:val="center"/>
          </w:tcPr>
          <w:p w14:paraId="2EBC5D42">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容积率</w:t>
            </w:r>
          </w:p>
        </w:tc>
        <w:tc>
          <w:tcPr>
            <w:tcW w:w="938" w:type="pct"/>
            <w:vAlign w:val="center"/>
          </w:tcPr>
          <w:p w14:paraId="336D71D4">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地上建筑规模</w:t>
            </w:r>
          </w:p>
          <w:p w14:paraId="400FF685">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（平方米）</w:t>
            </w:r>
          </w:p>
        </w:tc>
        <w:tc>
          <w:tcPr>
            <w:tcW w:w="545" w:type="pct"/>
            <w:vAlign w:val="center"/>
          </w:tcPr>
          <w:p w14:paraId="770CF577">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备注</w:t>
            </w:r>
          </w:p>
        </w:tc>
      </w:tr>
      <w:tr w14:paraId="56DC7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860" w:type="pct"/>
            <w:vAlign w:val="center"/>
          </w:tcPr>
          <w:p w14:paraId="176E3617">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008</w:t>
            </w:r>
          </w:p>
        </w:tc>
        <w:tc>
          <w:tcPr>
            <w:tcW w:w="1171" w:type="pct"/>
            <w:vMerge w:val="restart"/>
            <w:vAlign w:val="center"/>
          </w:tcPr>
          <w:p w14:paraId="28641A3E">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R2二类居住用地</w:t>
            </w:r>
          </w:p>
        </w:tc>
        <w:tc>
          <w:tcPr>
            <w:tcW w:w="859" w:type="pct"/>
            <w:vAlign w:val="center"/>
          </w:tcPr>
          <w:p w14:paraId="104B866C">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24804.85</w:t>
            </w:r>
          </w:p>
        </w:tc>
        <w:tc>
          <w:tcPr>
            <w:tcW w:w="623" w:type="pct"/>
            <w:vMerge w:val="restart"/>
            <w:vAlign w:val="center"/>
          </w:tcPr>
          <w:p w14:paraId="18C181E7">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1.2</w:t>
            </w:r>
          </w:p>
        </w:tc>
        <w:tc>
          <w:tcPr>
            <w:tcW w:w="938" w:type="pct"/>
            <w:vAlign w:val="center"/>
          </w:tcPr>
          <w:p w14:paraId="04FE1B9E">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29765.82</w:t>
            </w:r>
          </w:p>
        </w:tc>
        <w:tc>
          <w:tcPr>
            <w:tcW w:w="545" w:type="pct"/>
            <w:vAlign w:val="center"/>
          </w:tcPr>
          <w:p w14:paraId="230C9520">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r w14:paraId="266CD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860" w:type="pct"/>
            <w:vAlign w:val="center"/>
          </w:tcPr>
          <w:p w14:paraId="1F6C74F1">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016</w:t>
            </w:r>
          </w:p>
        </w:tc>
        <w:tc>
          <w:tcPr>
            <w:tcW w:w="1171" w:type="pct"/>
            <w:vMerge w:val="continue"/>
            <w:vAlign w:val="center"/>
          </w:tcPr>
          <w:p w14:paraId="6B633C67">
            <w:pPr>
              <w:adjustRightInd/>
              <w:spacing w:line="240" w:lineRule="exact"/>
              <w:jc w:val="center"/>
              <w:rPr>
                <w:rFonts w:ascii="Arial" w:hAnsi="Arial" w:eastAsia="仿宋" w:cs="Arial"/>
                <w:color w:val="auto"/>
                <w:sz w:val="18"/>
                <w:szCs w:val="18"/>
              </w:rPr>
            </w:pPr>
          </w:p>
        </w:tc>
        <w:tc>
          <w:tcPr>
            <w:tcW w:w="859" w:type="pct"/>
            <w:vAlign w:val="center"/>
          </w:tcPr>
          <w:p w14:paraId="6FE6D6EB">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23103.85</w:t>
            </w:r>
          </w:p>
        </w:tc>
        <w:tc>
          <w:tcPr>
            <w:tcW w:w="623" w:type="pct"/>
            <w:vMerge w:val="continue"/>
            <w:vAlign w:val="center"/>
          </w:tcPr>
          <w:p w14:paraId="16A9CF3A">
            <w:pPr>
              <w:adjustRightInd/>
              <w:spacing w:line="240" w:lineRule="exact"/>
              <w:jc w:val="center"/>
              <w:rPr>
                <w:rFonts w:ascii="Arial" w:hAnsi="Arial" w:eastAsia="仿宋" w:cs="Arial"/>
                <w:color w:val="auto"/>
                <w:sz w:val="18"/>
                <w:szCs w:val="18"/>
              </w:rPr>
            </w:pPr>
          </w:p>
        </w:tc>
        <w:tc>
          <w:tcPr>
            <w:tcW w:w="938" w:type="pct"/>
            <w:vAlign w:val="center"/>
          </w:tcPr>
          <w:p w14:paraId="65D903C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27724.62</w:t>
            </w:r>
          </w:p>
        </w:tc>
        <w:tc>
          <w:tcPr>
            <w:tcW w:w="545" w:type="pct"/>
            <w:vAlign w:val="center"/>
          </w:tcPr>
          <w:p w14:paraId="1591FA39">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r w14:paraId="6729B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860" w:type="pct"/>
            <w:vAlign w:val="center"/>
          </w:tcPr>
          <w:p w14:paraId="659F9ECA">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026</w:t>
            </w:r>
            <w:r>
              <w:rPr>
                <w:rFonts w:hint="eastAsia" w:ascii="Arial" w:hAnsi="Arial" w:eastAsia="仿宋" w:cs="Arial"/>
                <w:color w:val="auto"/>
                <w:sz w:val="18"/>
                <w:szCs w:val="18"/>
              </w:rPr>
              <w:t>－</w:t>
            </w:r>
            <w:r>
              <w:rPr>
                <w:rFonts w:ascii="Arial" w:hAnsi="Arial" w:eastAsia="仿宋" w:cs="Arial"/>
                <w:color w:val="auto"/>
                <w:sz w:val="18"/>
                <w:szCs w:val="18"/>
              </w:rPr>
              <w:t>1</w:t>
            </w:r>
          </w:p>
        </w:tc>
        <w:tc>
          <w:tcPr>
            <w:tcW w:w="1171" w:type="pct"/>
            <w:vMerge w:val="continue"/>
            <w:vAlign w:val="center"/>
          </w:tcPr>
          <w:p w14:paraId="787F0B70">
            <w:pPr>
              <w:adjustRightInd/>
              <w:spacing w:line="240" w:lineRule="exact"/>
              <w:jc w:val="center"/>
              <w:rPr>
                <w:rFonts w:ascii="Arial" w:hAnsi="Arial" w:eastAsia="仿宋" w:cs="Arial"/>
                <w:color w:val="auto"/>
                <w:sz w:val="18"/>
                <w:szCs w:val="18"/>
              </w:rPr>
            </w:pPr>
          </w:p>
        </w:tc>
        <w:tc>
          <w:tcPr>
            <w:tcW w:w="859" w:type="pct"/>
            <w:vAlign w:val="center"/>
          </w:tcPr>
          <w:p w14:paraId="17F0CBD8">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8881.75</w:t>
            </w:r>
          </w:p>
        </w:tc>
        <w:tc>
          <w:tcPr>
            <w:tcW w:w="623" w:type="pct"/>
            <w:vMerge w:val="continue"/>
            <w:vAlign w:val="center"/>
          </w:tcPr>
          <w:p w14:paraId="068D8D96">
            <w:pPr>
              <w:adjustRightInd/>
              <w:spacing w:line="240" w:lineRule="exact"/>
              <w:jc w:val="center"/>
              <w:rPr>
                <w:rFonts w:ascii="Arial" w:hAnsi="Arial" w:eastAsia="仿宋" w:cs="Arial"/>
                <w:color w:val="auto"/>
                <w:sz w:val="18"/>
                <w:szCs w:val="18"/>
              </w:rPr>
            </w:pPr>
          </w:p>
        </w:tc>
        <w:tc>
          <w:tcPr>
            <w:tcW w:w="938" w:type="pct"/>
            <w:vAlign w:val="center"/>
          </w:tcPr>
          <w:p w14:paraId="418251E8">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10658.10</w:t>
            </w:r>
          </w:p>
        </w:tc>
        <w:tc>
          <w:tcPr>
            <w:tcW w:w="545" w:type="pct"/>
            <w:vAlign w:val="center"/>
          </w:tcPr>
          <w:p w14:paraId="63AD4BD3">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r w14:paraId="1F1AD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032" w:type="pct"/>
            <w:gridSpan w:val="2"/>
            <w:vAlign w:val="center"/>
          </w:tcPr>
          <w:p w14:paraId="47F3B29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小计</w:t>
            </w:r>
          </w:p>
        </w:tc>
        <w:tc>
          <w:tcPr>
            <w:tcW w:w="859" w:type="pct"/>
            <w:vAlign w:val="center"/>
          </w:tcPr>
          <w:p w14:paraId="3C516019">
            <w:pPr>
              <w:adjustRightInd/>
              <w:spacing w:line="240" w:lineRule="exact"/>
              <w:jc w:val="center"/>
              <w:rPr>
                <w:rFonts w:ascii="Arial" w:hAnsi="Arial" w:eastAsia="仿宋" w:cs="Arial"/>
                <w:color w:val="auto"/>
                <w:sz w:val="18"/>
                <w:szCs w:val="18"/>
              </w:rPr>
            </w:pPr>
            <w:r>
              <w:rPr>
                <w:rFonts w:hint="eastAsia" w:ascii="Arial" w:hAnsi="Arial" w:eastAsia="仿宋" w:cs="Arial"/>
                <w:color w:val="auto"/>
                <w:sz w:val="18"/>
                <w:szCs w:val="18"/>
              </w:rPr>
              <w:t>56790.45</w:t>
            </w:r>
          </w:p>
        </w:tc>
        <w:tc>
          <w:tcPr>
            <w:tcW w:w="623" w:type="pct"/>
            <w:vAlign w:val="center"/>
          </w:tcPr>
          <w:p w14:paraId="447B8146">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1.2</w:t>
            </w:r>
          </w:p>
        </w:tc>
        <w:tc>
          <w:tcPr>
            <w:tcW w:w="938" w:type="pct"/>
            <w:vAlign w:val="center"/>
          </w:tcPr>
          <w:p w14:paraId="27753EC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68148.54</w:t>
            </w:r>
          </w:p>
        </w:tc>
        <w:tc>
          <w:tcPr>
            <w:tcW w:w="545" w:type="pct"/>
            <w:vAlign w:val="center"/>
          </w:tcPr>
          <w:p w14:paraId="31CC97F8">
            <w:pPr>
              <w:adjustRightInd/>
              <w:spacing w:line="240" w:lineRule="exact"/>
              <w:jc w:val="center"/>
              <w:rPr>
                <w:rFonts w:ascii="Arial" w:hAnsi="Arial" w:eastAsia="仿宋" w:cs="Arial"/>
                <w:color w:val="auto"/>
                <w:sz w:val="18"/>
                <w:szCs w:val="18"/>
              </w:rPr>
            </w:pPr>
          </w:p>
        </w:tc>
      </w:tr>
      <w:tr w14:paraId="27481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860" w:type="pct"/>
            <w:vAlign w:val="center"/>
          </w:tcPr>
          <w:p w14:paraId="4667092C">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01</w:t>
            </w:r>
            <w:r>
              <w:rPr>
                <w:rFonts w:hint="eastAsia" w:ascii="Arial" w:hAnsi="Arial" w:eastAsia="仿宋" w:cs="Arial"/>
                <w:color w:val="auto"/>
                <w:sz w:val="18"/>
                <w:szCs w:val="18"/>
              </w:rPr>
              <w:t>－</w:t>
            </w:r>
            <w:r>
              <w:rPr>
                <w:rFonts w:ascii="Arial" w:hAnsi="Arial" w:eastAsia="仿宋" w:cs="Arial"/>
                <w:color w:val="auto"/>
                <w:sz w:val="18"/>
                <w:szCs w:val="18"/>
              </w:rPr>
              <w:t>020</w:t>
            </w:r>
          </w:p>
        </w:tc>
        <w:tc>
          <w:tcPr>
            <w:tcW w:w="1171" w:type="pct"/>
            <w:vAlign w:val="center"/>
          </w:tcPr>
          <w:p w14:paraId="7A6B558C">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A334托幼用地</w:t>
            </w:r>
          </w:p>
        </w:tc>
        <w:tc>
          <w:tcPr>
            <w:tcW w:w="859" w:type="pct"/>
            <w:vAlign w:val="center"/>
          </w:tcPr>
          <w:p w14:paraId="11C39510">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4199.98</w:t>
            </w:r>
          </w:p>
        </w:tc>
        <w:tc>
          <w:tcPr>
            <w:tcW w:w="623" w:type="pct"/>
            <w:vAlign w:val="center"/>
          </w:tcPr>
          <w:p w14:paraId="43DFCC64">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0.8</w:t>
            </w:r>
          </w:p>
        </w:tc>
        <w:tc>
          <w:tcPr>
            <w:tcW w:w="938" w:type="pct"/>
            <w:vAlign w:val="center"/>
          </w:tcPr>
          <w:p w14:paraId="5C1A8D41">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3359.98</w:t>
            </w:r>
          </w:p>
        </w:tc>
        <w:tc>
          <w:tcPr>
            <w:tcW w:w="545" w:type="pct"/>
            <w:vAlign w:val="center"/>
          </w:tcPr>
          <w:p w14:paraId="5A00366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不出让</w:t>
            </w:r>
          </w:p>
        </w:tc>
      </w:tr>
      <w:tr w14:paraId="6C990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032" w:type="pct"/>
            <w:gridSpan w:val="2"/>
            <w:vAlign w:val="center"/>
          </w:tcPr>
          <w:p w14:paraId="050909A5">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小计</w:t>
            </w:r>
          </w:p>
        </w:tc>
        <w:tc>
          <w:tcPr>
            <w:tcW w:w="859" w:type="pct"/>
            <w:vAlign w:val="center"/>
          </w:tcPr>
          <w:p w14:paraId="4DF0C60C">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4199.98</w:t>
            </w:r>
          </w:p>
        </w:tc>
        <w:tc>
          <w:tcPr>
            <w:tcW w:w="623" w:type="pct"/>
            <w:vAlign w:val="center"/>
          </w:tcPr>
          <w:p w14:paraId="62444307">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0.8</w:t>
            </w:r>
          </w:p>
        </w:tc>
        <w:tc>
          <w:tcPr>
            <w:tcW w:w="938" w:type="pct"/>
            <w:vAlign w:val="center"/>
          </w:tcPr>
          <w:p w14:paraId="707F14B8">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3359.98</w:t>
            </w:r>
          </w:p>
        </w:tc>
        <w:tc>
          <w:tcPr>
            <w:tcW w:w="545" w:type="pct"/>
            <w:vAlign w:val="center"/>
          </w:tcPr>
          <w:p w14:paraId="2DFC9FBB">
            <w:pPr>
              <w:adjustRightInd/>
              <w:spacing w:line="240" w:lineRule="exact"/>
              <w:jc w:val="center"/>
              <w:rPr>
                <w:rFonts w:ascii="Arial" w:hAnsi="Arial" w:eastAsia="仿宋" w:cs="Arial"/>
                <w:color w:val="auto"/>
                <w:sz w:val="18"/>
                <w:szCs w:val="18"/>
              </w:rPr>
            </w:pPr>
          </w:p>
        </w:tc>
      </w:tr>
      <w:tr w14:paraId="0D61D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032" w:type="pct"/>
            <w:gridSpan w:val="2"/>
            <w:vAlign w:val="center"/>
          </w:tcPr>
          <w:p w14:paraId="698C1641">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合计</w:t>
            </w:r>
          </w:p>
        </w:tc>
        <w:tc>
          <w:tcPr>
            <w:tcW w:w="859" w:type="pct"/>
            <w:vAlign w:val="center"/>
          </w:tcPr>
          <w:p w14:paraId="61E6350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60990.43</w:t>
            </w:r>
          </w:p>
        </w:tc>
        <w:tc>
          <w:tcPr>
            <w:tcW w:w="623" w:type="pct"/>
            <w:vAlign w:val="center"/>
          </w:tcPr>
          <w:p w14:paraId="76E5E35D">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c>
          <w:tcPr>
            <w:tcW w:w="938" w:type="pct"/>
            <w:vAlign w:val="center"/>
          </w:tcPr>
          <w:p w14:paraId="304B31BE">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71508.52</w:t>
            </w:r>
          </w:p>
        </w:tc>
        <w:tc>
          <w:tcPr>
            <w:tcW w:w="545" w:type="pct"/>
            <w:vAlign w:val="center"/>
          </w:tcPr>
          <w:p w14:paraId="798D1F1F">
            <w:pPr>
              <w:adjustRightInd/>
              <w:spacing w:line="240" w:lineRule="exact"/>
              <w:jc w:val="center"/>
              <w:rPr>
                <w:rFonts w:ascii="Arial" w:hAnsi="Arial" w:eastAsia="仿宋" w:cs="Arial"/>
                <w:color w:val="auto"/>
                <w:sz w:val="18"/>
                <w:szCs w:val="18"/>
              </w:rPr>
            </w:pPr>
            <w:r>
              <w:rPr>
                <w:rFonts w:ascii="Arial" w:hAnsi="Arial" w:eastAsia="仿宋" w:cs="Arial"/>
                <w:color w:val="auto"/>
                <w:sz w:val="18"/>
                <w:szCs w:val="18"/>
              </w:rPr>
              <w:t>——</w:t>
            </w:r>
          </w:p>
        </w:tc>
      </w:tr>
    </w:tbl>
    <w:p w14:paraId="62F41E87">
      <w:pPr>
        <w:tabs>
          <w:tab w:val="left" w:pos="9027"/>
        </w:tabs>
        <w:adjustRightInd/>
        <w:spacing w:line="240" w:lineRule="exact"/>
        <w:ind w:firstLine="360" w:firstLineChars="200"/>
        <w:jc w:val="both"/>
        <w:rPr>
          <w:rFonts w:ascii="Arial" w:hAnsi="Arial" w:eastAsia="仿宋_GB2312" w:cs="Arial"/>
          <w:color w:val="auto"/>
          <w:sz w:val="18"/>
          <w:szCs w:val="18"/>
        </w:rPr>
      </w:pPr>
    </w:p>
    <w:p w14:paraId="6C7D9A20">
      <w:pPr>
        <w:tabs>
          <w:tab w:val="left" w:pos="9027"/>
        </w:tabs>
        <w:adjustRightInd/>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（2）开发</w:t>
      </w:r>
      <w:r>
        <w:rPr>
          <w:rFonts w:ascii="Arial" w:hAnsi="Arial" w:eastAsia="仿宋_GB2312" w:cs="Arial"/>
          <w:color w:val="auto"/>
          <w:sz w:val="28"/>
        </w:rPr>
        <w:t>利润率</w:t>
      </w:r>
    </w:p>
    <w:p w14:paraId="30A32920">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开发利润是指房地产开发商投资房地产开发项目应取得的资金报酬及承担风险补偿。以当地房地产开发的一般水平为基础，并参考项目所在区域房地产营利水平的具体情况确定。根据土地估价专业评估师的调查以及查阅相关资料，房地产开发利润受开发环境、政策等众多因素影响，项目开发周期长，开发价值相对较高。而且，近年来北京市住宅、综合等各用途开发利润率均有较大幅度的增长。</w:t>
      </w:r>
    </w:p>
    <w:p w14:paraId="7FCD4F15">
      <w:pPr>
        <w:pStyle w:val="57"/>
        <w:autoSpaceDE w:val="0"/>
        <w:autoSpaceDN w:val="0"/>
        <w:adjustRightInd/>
        <w:spacing w:line="300" w:lineRule="auto"/>
        <w:ind w:firstLine="568" w:firstLineChars="203"/>
        <w:jc w:val="both"/>
        <w:textAlignment w:val="bottom"/>
        <w:rPr>
          <w:rFonts w:ascii="Arial" w:hAnsi="Arial" w:eastAsia="仿宋_GB2312" w:cs="Arial"/>
          <w:color w:val="auto"/>
          <w:sz w:val="28"/>
        </w:rPr>
      </w:pPr>
      <w:r>
        <w:rPr>
          <w:rFonts w:ascii="Arial" w:hAnsi="Arial" w:eastAsia="仿宋_GB2312" w:cs="Arial"/>
          <w:color w:val="auto"/>
          <w:sz w:val="28"/>
        </w:rPr>
        <w:t>估价对象位于北京市</w:t>
      </w:r>
      <w:r>
        <w:rPr>
          <w:rFonts w:hint="eastAsia" w:ascii="Arial" w:hAnsi="Arial" w:eastAsia="仿宋_GB2312" w:cs="Arial"/>
          <w:color w:val="auto"/>
          <w:sz w:val="28"/>
        </w:rPr>
        <w:t>顺义</w:t>
      </w:r>
      <w:r>
        <w:rPr>
          <w:rFonts w:ascii="Arial" w:hAnsi="Arial" w:eastAsia="仿宋_GB2312" w:cs="Arial"/>
          <w:color w:val="auto"/>
          <w:sz w:val="28"/>
        </w:rPr>
        <w:t>区，</w:t>
      </w:r>
      <w:r>
        <w:rPr>
          <w:rFonts w:hint="eastAsia" w:ascii="Arial" w:hAnsi="Arial" w:eastAsia="仿宋_GB2312" w:cs="Arial"/>
          <w:color w:val="auto"/>
          <w:sz w:val="28"/>
        </w:rPr>
        <w:t>规划用途为</w:t>
      </w:r>
      <w:r>
        <w:rPr>
          <w:rFonts w:hint="eastAsia" w:ascii="Arial" w:hAnsi="Arial" w:eastAsia="仿宋" w:cs="Arial"/>
          <w:color w:val="auto"/>
          <w:sz w:val="28"/>
        </w:rPr>
        <w:t>城镇住宅用地、其他商业服务业用地、公共管理与公共服务用地</w:t>
      </w:r>
      <w:r>
        <w:rPr>
          <w:rFonts w:ascii="Arial" w:hAnsi="Arial" w:eastAsia="仿宋" w:cs="Arial"/>
          <w:color w:val="auto"/>
          <w:sz w:val="28"/>
        </w:rPr>
        <w:t>用地</w:t>
      </w:r>
      <w:r>
        <w:rPr>
          <w:rFonts w:hint="eastAsia" w:ascii="Arial" w:hAnsi="Arial" w:eastAsia="仿宋_GB2312" w:cs="Arial"/>
          <w:color w:val="auto"/>
          <w:sz w:val="28"/>
        </w:rPr>
        <w:t>。</w:t>
      </w:r>
      <w:r>
        <w:rPr>
          <w:rFonts w:ascii="Arial" w:hAnsi="Arial" w:eastAsia="仿宋_GB2312" w:cs="Arial"/>
          <w:color w:val="auto"/>
          <w:sz w:val="28"/>
        </w:rPr>
        <w:t>根据估价对象的实际情况，本次取项目</w:t>
      </w:r>
      <w:r>
        <w:rPr>
          <w:rFonts w:hint="eastAsia" w:ascii="Arial" w:hAnsi="Arial" w:eastAsia="仿宋_GB2312" w:cs="Arial"/>
          <w:color w:val="auto"/>
          <w:sz w:val="28"/>
        </w:rPr>
        <w:t>住宅</w:t>
      </w:r>
      <w:r>
        <w:rPr>
          <w:rFonts w:ascii="Arial" w:hAnsi="Arial" w:eastAsia="仿宋_GB2312" w:cs="Arial"/>
          <w:color w:val="auto"/>
          <w:sz w:val="28"/>
        </w:rPr>
        <w:t>用途综合利润率为30%</w:t>
      </w:r>
      <w:r>
        <w:rPr>
          <w:rFonts w:hint="eastAsia" w:ascii="Arial" w:hAnsi="Arial" w:eastAsia="仿宋_GB2312" w:cs="Arial"/>
          <w:color w:val="auto"/>
          <w:sz w:val="28"/>
        </w:rPr>
        <w:t>，其他商业服务业用地</w:t>
      </w:r>
      <w:r>
        <w:rPr>
          <w:rFonts w:ascii="Arial" w:hAnsi="Arial" w:eastAsia="仿宋_GB2312" w:cs="Arial"/>
          <w:color w:val="auto"/>
          <w:sz w:val="28"/>
        </w:rPr>
        <w:t>用途综合利润率为2</w:t>
      </w:r>
      <w:r>
        <w:rPr>
          <w:rFonts w:hint="eastAsia" w:ascii="Arial" w:hAnsi="Arial" w:eastAsia="仿宋_GB2312" w:cs="Arial"/>
          <w:color w:val="auto"/>
          <w:sz w:val="28"/>
        </w:rPr>
        <w:t>5</w:t>
      </w:r>
      <w:r>
        <w:rPr>
          <w:rFonts w:ascii="Arial" w:hAnsi="Arial" w:eastAsia="仿宋_GB2312" w:cs="Arial"/>
          <w:color w:val="auto"/>
          <w:sz w:val="28"/>
        </w:rPr>
        <w:t>%</w:t>
      </w:r>
      <w:r>
        <w:rPr>
          <w:rFonts w:hint="eastAsia" w:ascii="Arial" w:hAnsi="Arial" w:eastAsia="仿宋_GB2312" w:cs="Arial"/>
          <w:color w:val="auto"/>
          <w:sz w:val="28"/>
        </w:rPr>
        <w:t>，公共服务</w:t>
      </w:r>
      <w:r>
        <w:rPr>
          <w:rFonts w:ascii="Arial" w:hAnsi="Arial" w:eastAsia="仿宋_GB2312" w:cs="Arial"/>
          <w:color w:val="auto"/>
          <w:sz w:val="28"/>
        </w:rPr>
        <w:t>用途综合利润率为10%。</w:t>
      </w:r>
    </w:p>
    <w:p w14:paraId="1A788A01">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rPr>
      </w:pPr>
      <w:r>
        <w:rPr>
          <w:rFonts w:hint="eastAsia" w:ascii="Arial" w:hAnsi="Arial" w:eastAsia="仿宋_GB2312" w:cs="Arial"/>
          <w:color w:val="auto"/>
          <w:sz w:val="28"/>
        </w:rPr>
        <w:t>（3）</w:t>
      </w:r>
      <w:r>
        <w:rPr>
          <w:rFonts w:ascii="Arial" w:hAnsi="Arial" w:eastAsia="仿宋_GB2312" w:cs="Arial"/>
          <w:color w:val="auto"/>
          <w:sz w:val="28"/>
        </w:rPr>
        <w:t>工期情况说明：</w:t>
      </w:r>
    </w:p>
    <w:p w14:paraId="2BCA5170">
      <w:pPr>
        <w:pStyle w:val="57"/>
        <w:autoSpaceDE w:val="0"/>
        <w:autoSpaceDN w:val="0"/>
        <w:adjustRightInd/>
        <w:spacing w:line="300" w:lineRule="auto"/>
        <w:ind w:firstLine="570"/>
        <w:jc w:val="both"/>
        <w:textAlignment w:val="bottom"/>
        <w:rPr>
          <w:rFonts w:ascii="Arial" w:hAnsi="Arial" w:eastAsia="仿宋_GB2312" w:cs="Arial"/>
          <w:color w:val="auto"/>
          <w:sz w:val="28"/>
        </w:rPr>
      </w:pPr>
      <w:r>
        <w:rPr>
          <w:rFonts w:ascii="Arial" w:hAnsi="Arial" w:eastAsia="仿宋_GB2312" w:cs="Arial"/>
          <w:color w:val="auto"/>
          <w:sz w:val="28"/>
        </w:rPr>
        <w:t>土地开发期：0年</w:t>
      </w:r>
    </w:p>
    <w:p w14:paraId="5A9972AE">
      <w:pPr>
        <w:pStyle w:val="57"/>
        <w:autoSpaceDE w:val="0"/>
        <w:autoSpaceDN w:val="0"/>
        <w:adjustRightInd/>
        <w:spacing w:line="300" w:lineRule="auto"/>
        <w:ind w:firstLine="570"/>
        <w:jc w:val="both"/>
        <w:textAlignment w:val="bottom"/>
        <w:rPr>
          <w:rFonts w:ascii="Arial" w:hAnsi="Arial" w:eastAsia="仿宋_GB2312" w:cs="Arial"/>
          <w:color w:val="auto"/>
          <w:sz w:val="28"/>
        </w:rPr>
      </w:pPr>
      <w:r>
        <w:rPr>
          <w:rFonts w:ascii="Arial" w:hAnsi="Arial" w:eastAsia="仿宋_GB2312" w:cs="Arial"/>
          <w:color w:val="auto"/>
          <w:sz w:val="28"/>
        </w:rPr>
        <w:t>建筑物建设期：</w:t>
      </w:r>
      <w:r>
        <w:rPr>
          <w:rFonts w:hint="eastAsia" w:ascii="Arial" w:hAnsi="Arial" w:eastAsia="仿宋_GB2312" w:cs="Arial"/>
          <w:color w:val="auto"/>
          <w:sz w:val="28"/>
        </w:rPr>
        <w:t>3</w:t>
      </w:r>
      <w:r>
        <w:rPr>
          <w:rFonts w:ascii="Arial" w:hAnsi="Arial" w:eastAsia="仿宋_GB2312" w:cs="Arial"/>
          <w:color w:val="auto"/>
          <w:sz w:val="28"/>
        </w:rPr>
        <w:t>年</w:t>
      </w:r>
    </w:p>
    <w:p w14:paraId="34B3AE37">
      <w:pPr>
        <w:rPr>
          <w:rFonts w:ascii="Arial" w:hAnsi="Arial" w:eastAsia="仿宋_GB2312" w:cs="Arial"/>
          <w:b/>
          <w:color w:val="auto"/>
          <w:sz w:val="28"/>
        </w:rPr>
      </w:pPr>
      <w:r>
        <w:rPr>
          <w:rFonts w:ascii="Arial" w:hAnsi="Arial" w:eastAsia="仿宋_GB2312" w:cs="Arial"/>
          <w:b/>
          <w:color w:val="auto"/>
          <w:sz w:val="28"/>
        </w:rPr>
        <w:br w:type="page"/>
      </w:r>
    </w:p>
    <w:p w14:paraId="15E0C33D">
      <w:pPr>
        <w:adjustRightInd/>
        <w:snapToGrid w:val="0"/>
        <w:spacing w:line="300" w:lineRule="auto"/>
        <w:ind w:firstLine="562" w:firstLineChars="200"/>
        <w:textAlignment w:val="auto"/>
        <w:rPr>
          <w:rFonts w:ascii="Arial" w:hAnsi="Arial" w:eastAsia="仿宋_GB2312" w:cs="Arial"/>
          <w:b/>
          <w:bCs/>
          <w:color w:val="auto"/>
          <w:sz w:val="28"/>
        </w:rPr>
      </w:pPr>
      <w:r>
        <w:rPr>
          <w:rFonts w:hint="eastAsia" w:ascii="Arial" w:hAnsi="Arial" w:eastAsia="仿宋_GB2312" w:cs="Arial"/>
          <w:b/>
          <w:bCs/>
          <w:color w:val="auto"/>
          <w:sz w:val="28"/>
        </w:rPr>
        <w:t>2.</w:t>
      </w:r>
      <w:r>
        <w:rPr>
          <w:rFonts w:ascii="Arial" w:hAnsi="Arial" w:eastAsia="仿宋_GB2312" w:cs="Arial"/>
          <w:b/>
          <w:bCs/>
          <w:color w:val="auto"/>
          <w:sz w:val="28"/>
        </w:rPr>
        <w:t>基准地价系数修正法</w:t>
      </w:r>
    </w:p>
    <w:p w14:paraId="6C11465F">
      <w:pPr>
        <w:pStyle w:val="57"/>
        <w:autoSpaceDE w:val="0"/>
        <w:autoSpaceDN w:val="0"/>
        <w:adjustRightInd/>
        <w:spacing w:line="300" w:lineRule="auto"/>
        <w:ind w:firstLine="560" w:firstLineChars="200"/>
        <w:jc w:val="both"/>
        <w:textAlignment w:val="bottom"/>
        <w:rPr>
          <w:rFonts w:ascii="Arial" w:hAnsi="Arial" w:eastAsia="仿宋_GB2312" w:cs="Arial"/>
          <w:color w:val="auto"/>
          <w:sz w:val="28"/>
          <w:szCs w:val="28"/>
        </w:rPr>
      </w:pPr>
      <w:r>
        <w:rPr>
          <w:rFonts w:hint="eastAsia" w:ascii="Arial" w:hAnsi="Arial" w:eastAsia="仿宋_GB2312" w:cs="Arial"/>
          <w:color w:val="auto"/>
          <w:sz w:val="28"/>
          <w:szCs w:val="28"/>
        </w:rPr>
        <w:t>基准地价系数修正法是利用城镇基准地价和基准地价修正系数表等评估成果，按照替代原则，就待估宗地的区域条件和个别条件等与其所处区域的平均条件相比较，并对照修正系数表选取相应的修正系数对基准地价进行修正，进而求取待估宗地在估价期日价格的方法。</w:t>
      </w:r>
    </w:p>
    <w:p w14:paraId="4377B449">
      <w:pPr>
        <w:adjustRightInd/>
        <w:snapToGrid w:val="0"/>
        <w:spacing w:line="300" w:lineRule="auto"/>
        <w:ind w:firstLine="562" w:firstLineChars="200"/>
        <w:textAlignment w:val="auto"/>
        <w:rPr>
          <w:rFonts w:ascii="Arial" w:hAnsi="Arial" w:eastAsia="仿宋_GB2312" w:cs="Arial"/>
          <w:b/>
          <w:bCs/>
          <w:color w:val="auto"/>
          <w:sz w:val="28"/>
          <w:szCs w:val="28"/>
        </w:rPr>
      </w:pPr>
      <w:r>
        <w:rPr>
          <w:rFonts w:hint="eastAsia" w:ascii="Arial" w:hAnsi="Arial" w:eastAsia="仿宋_GB2312" w:cs="Arial"/>
          <w:b/>
          <w:bCs/>
          <w:color w:val="auto"/>
          <w:sz w:val="28"/>
          <w:szCs w:val="28"/>
        </w:rPr>
        <w:t>（1）北京市基准地价概述</w:t>
      </w:r>
    </w:p>
    <w:p w14:paraId="5A19B9EC">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根据北京市人民政府于2022年3月14日发布的《北京市人民政府关 于更新出让国有建设用地使用权基准地价的通知》（京政发〔2022〕12号），北京市基准地价采用级别基准地价、区片基准地价予以表示。其内涵、表示形式、土地用途分类等分别如下</w:t>
      </w:r>
      <w:r>
        <w:rPr>
          <w:rFonts w:hint="eastAsia" w:ascii="Arial" w:hAnsi="Arial" w:eastAsia="仿宋_GB2312" w:cs="Arial"/>
          <w:color w:val="auto"/>
          <w:sz w:val="28"/>
          <w:szCs w:val="28"/>
        </w:rPr>
        <w:t>：</w:t>
      </w:r>
    </w:p>
    <w:p w14:paraId="33FB2987">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1）基准地价内涵</w:t>
      </w:r>
    </w:p>
    <w:p w14:paraId="62F31FEB">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级别（区片）基准地价是在正常市场条件下各土地级别（区片） 内， 土地开发程度为宗地外通路、通电、通讯、通上水、通下水、通燃气、通 热及宗地内平整（简称</w:t>
      </w:r>
      <w:r>
        <w:rPr>
          <w:rFonts w:hint="eastAsia" w:ascii="Arial" w:hAnsi="Arial" w:eastAsia="仿宋_GB2312" w:cs="Arial"/>
          <w:color w:val="auto"/>
          <w:sz w:val="28"/>
          <w:szCs w:val="28"/>
        </w:rPr>
        <w:t>“</w:t>
      </w:r>
      <w:r>
        <w:rPr>
          <w:rFonts w:ascii="Arial" w:hAnsi="Arial" w:eastAsia="仿宋_GB2312" w:cs="Arial"/>
          <w:color w:val="auto"/>
          <w:sz w:val="28"/>
          <w:szCs w:val="28"/>
        </w:rPr>
        <w:t>七通一平</w:t>
      </w:r>
      <w:r>
        <w:rPr>
          <w:rFonts w:hint="eastAsia" w:ascii="Arial" w:hAnsi="Arial" w:eastAsia="仿宋_GB2312" w:cs="Arial"/>
          <w:color w:val="auto"/>
          <w:sz w:val="28"/>
          <w:szCs w:val="28"/>
        </w:rPr>
        <w:t>”</w:t>
      </w:r>
      <w:r>
        <w:rPr>
          <w:rFonts w:ascii="Arial" w:hAnsi="Arial" w:eastAsia="仿宋_GB2312" w:cs="Arial"/>
          <w:color w:val="auto"/>
          <w:sz w:val="28"/>
          <w:szCs w:val="28"/>
        </w:rPr>
        <w:t>）或宗地外通路、通电、通讯、通上 水、通下水及宗地内平整（简称</w:t>
      </w:r>
      <w:r>
        <w:rPr>
          <w:rFonts w:hint="eastAsia" w:ascii="Arial" w:hAnsi="Arial" w:eastAsia="仿宋_GB2312" w:cs="Arial"/>
          <w:color w:val="auto"/>
          <w:sz w:val="28"/>
          <w:szCs w:val="28"/>
        </w:rPr>
        <w:t>“</w:t>
      </w:r>
      <w:r>
        <w:rPr>
          <w:rFonts w:ascii="Arial" w:hAnsi="Arial" w:eastAsia="仿宋_GB2312" w:cs="Arial"/>
          <w:color w:val="auto"/>
          <w:sz w:val="28"/>
          <w:szCs w:val="28"/>
        </w:rPr>
        <w:t>五通一平</w:t>
      </w:r>
      <w:r>
        <w:rPr>
          <w:rFonts w:hint="eastAsia" w:ascii="Arial" w:hAnsi="Arial" w:eastAsia="仿宋_GB2312" w:cs="Arial"/>
          <w:color w:val="auto"/>
          <w:sz w:val="28"/>
          <w:szCs w:val="28"/>
        </w:rPr>
        <w:t>”</w:t>
      </w:r>
      <w:r>
        <w:rPr>
          <w:rFonts w:ascii="Arial" w:hAnsi="Arial" w:eastAsia="仿宋_GB2312" w:cs="Arial"/>
          <w:color w:val="auto"/>
          <w:sz w:val="28"/>
          <w:szCs w:val="28"/>
        </w:rPr>
        <w:t xml:space="preserve">），在平均容积率条件下， 各土地用途的法定最高出让年限条件下国有建设用地使用权的平均价格。 </w:t>
      </w:r>
    </w:p>
    <w:p w14:paraId="5496708D">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2）表示形式</w:t>
      </w:r>
    </w:p>
    <w:p w14:paraId="5FB71A14">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基准地价的表示形式为楼面熟地价。楼面熟地价是指各土地级别（区 片）内，在设定土地开发程度和平均容积率条件下，每建筑面积分摊的国 有建设用地使用权的平均价格。北京市级别基准地价详见</w:t>
      </w:r>
      <w:r>
        <w:rPr>
          <w:rFonts w:hint="eastAsia" w:ascii="Arial" w:hAnsi="Arial" w:eastAsia="仿宋_GB2312" w:cs="Arial"/>
          <w:color w:val="auto"/>
          <w:sz w:val="28"/>
          <w:szCs w:val="28"/>
        </w:rPr>
        <w:t>下</w:t>
      </w:r>
      <w:r>
        <w:rPr>
          <w:rFonts w:ascii="Arial" w:hAnsi="Arial" w:eastAsia="仿宋_GB2312" w:cs="Arial"/>
          <w:color w:val="auto"/>
          <w:sz w:val="28"/>
          <w:szCs w:val="28"/>
        </w:rPr>
        <w:t>表</w:t>
      </w:r>
      <w:r>
        <w:rPr>
          <w:rFonts w:hint="eastAsia" w:ascii="Arial" w:hAnsi="Arial" w:eastAsia="仿宋_GB2312" w:cs="Arial"/>
          <w:color w:val="auto"/>
          <w:sz w:val="28"/>
          <w:szCs w:val="28"/>
        </w:rPr>
        <w:t>：</w:t>
      </w:r>
    </w:p>
    <w:p w14:paraId="726F24F6">
      <w:pPr>
        <w:adjustRightInd/>
        <w:spacing w:line="300" w:lineRule="auto"/>
        <w:jc w:val="center"/>
        <w:rPr>
          <w:rFonts w:ascii="Arial" w:hAnsi="Arial" w:eastAsia="仿宋_GB2312" w:cs="Arial"/>
          <w:b/>
          <w:bCs/>
          <w:color w:val="auto"/>
          <w:sz w:val="28"/>
          <w:szCs w:val="28"/>
        </w:rPr>
      </w:pPr>
      <w:r>
        <w:rPr>
          <w:rFonts w:ascii="Arial" w:hAnsi="Arial" w:eastAsia="仿宋_GB2312" w:cs="Arial"/>
          <w:b/>
          <w:bCs/>
          <w:color w:val="auto"/>
          <w:sz w:val="28"/>
          <w:szCs w:val="28"/>
        </w:rPr>
        <w:t>北京市级别基准地价表</w:t>
      </w:r>
    </w:p>
    <w:tbl>
      <w:tblPr>
        <w:tblStyle w:val="34"/>
        <w:tblpPr w:leftFromText="180" w:rightFromText="180" w:vertAnchor="text" w:horzAnchor="page" w:tblpX="1992" w:tblpY="391"/>
        <w:tblOverlap w:val="never"/>
        <w:tblW w:w="8377" w:type="dxa"/>
        <w:tblInd w:w="0" w:type="dxa"/>
        <w:tblLayout w:type="fixed"/>
        <w:tblCellMar>
          <w:top w:w="0" w:type="dxa"/>
          <w:left w:w="108" w:type="dxa"/>
          <w:bottom w:w="0" w:type="dxa"/>
          <w:right w:w="108" w:type="dxa"/>
        </w:tblCellMar>
      </w:tblPr>
      <w:tblGrid>
        <w:gridCol w:w="1573"/>
        <w:gridCol w:w="1326"/>
        <w:gridCol w:w="1326"/>
        <w:gridCol w:w="1326"/>
        <w:gridCol w:w="1326"/>
        <w:gridCol w:w="1500"/>
      </w:tblGrid>
      <w:tr w14:paraId="17252EEE">
        <w:tblPrEx>
          <w:tblCellMar>
            <w:top w:w="0" w:type="dxa"/>
            <w:left w:w="108" w:type="dxa"/>
            <w:bottom w:w="0" w:type="dxa"/>
            <w:right w:w="108" w:type="dxa"/>
          </w:tblCellMar>
        </w:tblPrEx>
        <w:trPr>
          <w:trHeight w:val="90" w:hRule="atLeast"/>
          <w:tblHeader/>
        </w:trPr>
        <w:tc>
          <w:tcPr>
            <w:tcW w:w="1573" w:type="dxa"/>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14:paraId="5D698D18">
            <w:pPr>
              <w:spacing w:line="240" w:lineRule="auto"/>
              <w:jc w:val="right"/>
              <w:rPr>
                <w:rFonts w:ascii="仿宋" w:hAnsi="仿宋" w:eastAsia="仿宋"/>
                <w:color w:val="auto"/>
                <w:sz w:val="20"/>
              </w:rPr>
            </w:pPr>
            <w:r>
              <w:rPr>
                <w:rFonts w:hint="eastAsia" w:ascii="仿宋" w:hAnsi="仿宋" w:eastAsia="仿宋"/>
                <w:color w:val="auto"/>
                <w:sz w:val="20"/>
              </w:rPr>
              <w:t xml:space="preserve">用途 </w:t>
            </w:r>
          </w:p>
          <w:p w14:paraId="5D83D50F">
            <w:pPr>
              <w:spacing w:line="240" w:lineRule="auto"/>
              <w:rPr>
                <w:rFonts w:ascii="仿宋" w:hAnsi="仿宋" w:eastAsia="仿宋"/>
                <w:color w:val="auto"/>
                <w:sz w:val="20"/>
              </w:rPr>
            </w:pPr>
            <w:r>
              <w:rPr>
                <w:rFonts w:hint="eastAsia" w:ascii="仿宋" w:hAnsi="仿宋" w:eastAsia="仿宋"/>
                <w:color w:val="auto"/>
                <w:sz w:val="20"/>
              </w:rPr>
              <w:t>土地级别</w:t>
            </w:r>
          </w:p>
        </w:tc>
        <w:tc>
          <w:tcPr>
            <w:tcW w:w="1326" w:type="dxa"/>
            <w:tcBorders>
              <w:top w:val="single" w:color="auto" w:sz="4" w:space="0"/>
              <w:left w:val="single" w:color="auto" w:sz="4" w:space="0"/>
              <w:bottom w:val="single" w:color="auto" w:sz="4" w:space="0"/>
              <w:right w:val="single" w:color="auto" w:sz="4" w:space="0"/>
            </w:tcBorders>
            <w:shd w:val="clear" w:color="auto" w:fill="auto"/>
            <w:vAlign w:val="center"/>
          </w:tcPr>
          <w:p w14:paraId="4133F28B">
            <w:pPr>
              <w:spacing w:line="240" w:lineRule="auto"/>
              <w:jc w:val="center"/>
              <w:rPr>
                <w:rFonts w:ascii="仿宋" w:hAnsi="仿宋" w:eastAsia="仿宋"/>
                <w:color w:val="auto"/>
                <w:sz w:val="20"/>
              </w:rPr>
            </w:pPr>
            <w:r>
              <w:rPr>
                <w:rFonts w:hint="eastAsia" w:ascii="仿宋" w:hAnsi="仿宋" w:eastAsia="仿宋"/>
                <w:color w:val="auto"/>
                <w:sz w:val="20"/>
              </w:rPr>
              <w:t>商业类</w:t>
            </w:r>
          </w:p>
        </w:tc>
        <w:tc>
          <w:tcPr>
            <w:tcW w:w="1326" w:type="dxa"/>
            <w:tcBorders>
              <w:top w:val="single" w:color="auto" w:sz="4" w:space="0"/>
              <w:left w:val="single" w:color="auto" w:sz="4" w:space="0"/>
              <w:bottom w:val="single" w:color="auto" w:sz="4" w:space="0"/>
              <w:right w:val="single" w:color="auto" w:sz="4" w:space="0"/>
            </w:tcBorders>
            <w:shd w:val="clear" w:color="auto" w:fill="auto"/>
            <w:vAlign w:val="center"/>
          </w:tcPr>
          <w:p w14:paraId="5E5551DE">
            <w:pPr>
              <w:spacing w:line="240" w:lineRule="auto"/>
              <w:jc w:val="center"/>
              <w:rPr>
                <w:rFonts w:ascii="仿宋" w:hAnsi="仿宋" w:eastAsia="仿宋"/>
                <w:color w:val="auto"/>
                <w:sz w:val="20"/>
              </w:rPr>
            </w:pPr>
            <w:r>
              <w:rPr>
                <w:rFonts w:hint="eastAsia" w:ascii="仿宋" w:hAnsi="仿宋" w:eastAsia="仿宋"/>
                <w:color w:val="auto"/>
                <w:sz w:val="20"/>
              </w:rPr>
              <w:t>办公类</w:t>
            </w:r>
          </w:p>
        </w:tc>
        <w:tc>
          <w:tcPr>
            <w:tcW w:w="1326" w:type="dxa"/>
            <w:tcBorders>
              <w:top w:val="single" w:color="auto" w:sz="4" w:space="0"/>
              <w:left w:val="single" w:color="auto" w:sz="4" w:space="0"/>
              <w:bottom w:val="single" w:color="auto" w:sz="4" w:space="0"/>
              <w:right w:val="single" w:color="auto" w:sz="4" w:space="0"/>
            </w:tcBorders>
            <w:shd w:val="clear" w:color="auto" w:fill="auto"/>
            <w:vAlign w:val="center"/>
          </w:tcPr>
          <w:p w14:paraId="7CADA55A">
            <w:pPr>
              <w:spacing w:line="240" w:lineRule="auto"/>
              <w:jc w:val="center"/>
              <w:rPr>
                <w:rFonts w:ascii="仿宋" w:hAnsi="仿宋" w:eastAsia="仿宋"/>
                <w:color w:val="auto"/>
                <w:sz w:val="20"/>
              </w:rPr>
            </w:pPr>
            <w:r>
              <w:rPr>
                <w:rFonts w:hint="eastAsia" w:ascii="仿宋" w:hAnsi="仿宋" w:eastAsia="仿宋"/>
                <w:color w:val="auto"/>
                <w:sz w:val="20"/>
              </w:rPr>
              <w:t>住宅类</w:t>
            </w:r>
          </w:p>
        </w:tc>
        <w:tc>
          <w:tcPr>
            <w:tcW w:w="1326" w:type="dxa"/>
            <w:tcBorders>
              <w:top w:val="single" w:color="auto" w:sz="4" w:space="0"/>
              <w:left w:val="single" w:color="auto" w:sz="4" w:space="0"/>
              <w:bottom w:val="single" w:color="auto" w:sz="4" w:space="0"/>
              <w:right w:val="single" w:color="auto" w:sz="4" w:space="0"/>
            </w:tcBorders>
            <w:shd w:val="clear" w:color="auto" w:fill="auto"/>
            <w:vAlign w:val="center"/>
          </w:tcPr>
          <w:p w14:paraId="0CDF0830">
            <w:pPr>
              <w:spacing w:line="240" w:lineRule="auto"/>
              <w:jc w:val="center"/>
              <w:rPr>
                <w:rFonts w:ascii="仿宋" w:hAnsi="仿宋" w:eastAsia="仿宋"/>
                <w:color w:val="auto"/>
                <w:sz w:val="20"/>
              </w:rPr>
            </w:pPr>
            <w:r>
              <w:rPr>
                <w:rFonts w:hint="eastAsia" w:ascii="仿宋" w:hAnsi="仿宋" w:eastAsia="仿宋"/>
                <w:color w:val="auto"/>
                <w:sz w:val="20"/>
              </w:rPr>
              <w:t>工业类</w:t>
            </w: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4F1A997F">
            <w:pPr>
              <w:spacing w:line="240" w:lineRule="auto"/>
              <w:jc w:val="center"/>
              <w:rPr>
                <w:rFonts w:ascii="仿宋" w:hAnsi="仿宋" w:eastAsia="仿宋"/>
                <w:color w:val="auto"/>
                <w:sz w:val="20"/>
              </w:rPr>
            </w:pPr>
            <w:r>
              <w:rPr>
                <w:rFonts w:hint="eastAsia" w:ascii="仿宋" w:hAnsi="仿宋" w:eastAsia="仿宋"/>
                <w:color w:val="auto"/>
                <w:sz w:val="20"/>
              </w:rPr>
              <w:t>公共服务类</w:t>
            </w:r>
          </w:p>
        </w:tc>
      </w:tr>
      <w:tr w14:paraId="20AAFD66">
        <w:tblPrEx>
          <w:tblCellMar>
            <w:top w:w="0" w:type="dxa"/>
            <w:left w:w="108" w:type="dxa"/>
            <w:bottom w:w="0" w:type="dxa"/>
            <w:right w:w="108" w:type="dxa"/>
          </w:tblCellMar>
        </w:tblPrEx>
        <w:trPr>
          <w:trHeight w:val="397" w:hRule="atLeast"/>
        </w:trPr>
        <w:tc>
          <w:tcPr>
            <w:tcW w:w="1573" w:type="dxa"/>
            <w:tcBorders>
              <w:top w:val="single" w:color="auto" w:sz="4" w:space="0"/>
              <w:left w:val="single" w:color="auto" w:sz="4" w:space="0"/>
              <w:bottom w:val="single" w:color="auto" w:sz="4" w:space="0"/>
              <w:right w:val="single" w:color="auto" w:sz="4" w:space="0"/>
            </w:tcBorders>
            <w:shd w:val="clear" w:color="auto" w:fill="auto"/>
            <w:vAlign w:val="center"/>
          </w:tcPr>
          <w:p w14:paraId="4ADCCAE4">
            <w:pPr>
              <w:spacing w:line="240" w:lineRule="auto"/>
              <w:jc w:val="center"/>
              <w:rPr>
                <w:rFonts w:ascii="仿宋" w:hAnsi="仿宋" w:eastAsia="仿宋"/>
                <w:color w:val="auto"/>
                <w:sz w:val="20"/>
              </w:rPr>
            </w:pPr>
            <w:r>
              <w:rPr>
                <w:rFonts w:hint="eastAsia" w:ascii="仿宋" w:hAnsi="仿宋" w:eastAsia="仿宋"/>
                <w:color w:val="auto"/>
                <w:sz w:val="20"/>
              </w:rPr>
              <w:t>一级</w:t>
            </w:r>
          </w:p>
        </w:tc>
        <w:tc>
          <w:tcPr>
            <w:tcW w:w="1326" w:type="dxa"/>
            <w:tcBorders>
              <w:top w:val="single" w:color="auto" w:sz="4" w:space="0"/>
              <w:left w:val="single" w:color="auto" w:sz="4" w:space="0"/>
              <w:bottom w:val="single" w:color="auto" w:sz="4" w:space="0"/>
              <w:right w:val="single" w:color="auto" w:sz="4" w:space="0"/>
            </w:tcBorders>
            <w:shd w:val="clear" w:color="auto" w:fill="auto"/>
            <w:vAlign w:val="center"/>
          </w:tcPr>
          <w:p w14:paraId="76F996CC">
            <w:pPr>
              <w:spacing w:line="240" w:lineRule="auto"/>
              <w:jc w:val="center"/>
              <w:rPr>
                <w:rFonts w:ascii="Arial" w:hAnsi="Arial" w:eastAsia="仿宋_GB2312" w:cs="Arial"/>
                <w:color w:val="auto"/>
                <w:sz w:val="20"/>
              </w:rPr>
            </w:pPr>
            <w:r>
              <w:rPr>
                <w:rFonts w:hint="eastAsia" w:ascii="Arial" w:hAnsi="Arial" w:eastAsia="仿宋_GB2312" w:cs="Arial"/>
                <w:color w:val="auto"/>
                <w:sz w:val="20"/>
              </w:rPr>
              <w:t>35380</w:t>
            </w:r>
          </w:p>
        </w:tc>
        <w:tc>
          <w:tcPr>
            <w:tcW w:w="1326" w:type="dxa"/>
            <w:tcBorders>
              <w:top w:val="single" w:color="auto" w:sz="4" w:space="0"/>
              <w:left w:val="nil"/>
              <w:bottom w:val="single" w:color="auto" w:sz="4" w:space="0"/>
              <w:right w:val="single" w:color="auto" w:sz="4" w:space="0"/>
            </w:tcBorders>
            <w:shd w:val="clear" w:color="auto" w:fill="auto"/>
            <w:vAlign w:val="center"/>
          </w:tcPr>
          <w:p w14:paraId="28BF3268">
            <w:pPr>
              <w:spacing w:line="240" w:lineRule="auto"/>
              <w:jc w:val="center"/>
              <w:rPr>
                <w:rFonts w:ascii="Arial" w:hAnsi="Arial" w:eastAsia="仿宋_GB2312" w:cs="Arial"/>
                <w:color w:val="auto"/>
                <w:sz w:val="20"/>
              </w:rPr>
            </w:pPr>
            <w:r>
              <w:rPr>
                <w:rFonts w:hint="eastAsia" w:ascii="Arial" w:hAnsi="Arial" w:eastAsia="仿宋_GB2312" w:cs="Arial"/>
                <w:color w:val="auto"/>
                <w:sz w:val="20"/>
              </w:rPr>
              <w:t>35180</w:t>
            </w:r>
          </w:p>
        </w:tc>
        <w:tc>
          <w:tcPr>
            <w:tcW w:w="1326" w:type="dxa"/>
            <w:tcBorders>
              <w:top w:val="single" w:color="auto" w:sz="4" w:space="0"/>
              <w:left w:val="nil"/>
              <w:bottom w:val="single" w:color="auto" w:sz="4" w:space="0"/>
              <w:right w:val="single" w:color="auto" w:sz="4" w:space="0"/>
            </w:tcBorders>
            <w:shd w:val="clear" w:color="auto" w:fill="auto"/>
            <w:vAlign w:val="center"/>
          </w:tcPr>
          <w:p w14:paraId="0AE7CA00">
            <w:pPr>
              <w:spacing w:line="240" w:lineRule="auto"/>
              <w:jc w:val="center"/>
              <w:rPr>
                <w:rFonts w:ascii="Arial" w:hAnsi="Arial" w:eastAsia="仿宋_GB2312" w:cs="Arial"/>
                <w:color w:val="auto"/>
                <w:sz w:val="20"/>
              </w:rPr>
            </w:pPr>
            <w:r>
              <w:rPr>
                <w:rFonts w:hint="eastAsia" w:ascii="Arial" w:hAnsi="Arial" w:eastAsia="仿宋_GB2312" w:cs="Arial"/>
                <w:color w:val="auto"/>
                <w:sz w:val="20"/>
              </w:rPr>
              <w:t>35030</w:t>
            </w:r>
          </w:p>
        </w:tc>
        <w:tc>
          <w:tcPr>
            <w:tcW w:w="1326" w:type="dxa"/>
            <w:tcBorders>
              <w:top w:val="single" w:color="auto" w:sz="4" w:space="0"/>
              <w:left w:val="nil"/>
              <w:bottom w:val="single" w:color="auto" w:sz="4" w:space="0"/>
              <w:right w:val="single" w:color="auto" w:sz="4" w:space="0"/>
            </w:tcBorders>
            <w:shd w:val="clear" w:color="auto" w:fill="auto"/>
            <w:vAlign w:val="center"/>
          </w:tcPr>
          <w:p w14:paraId="2CC46FC4">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13780</w:t>
            </w:r>
          </w:p>
        </w:tc>
        <w:tc>
          <w:tcPr>
            <w:tcW w:w="1500" w:type="dxa"/>
            <w:tcBorders>
              <w:top w:val="single" w:color="auto" w:sz="4" w:space="0"/>
              <w:left w:val="nil"/>
              <w:bottom w:val="single" w:color="auto" w:sz="4" w:space="0"/>
              <w:right w:val="single" w:color="auto" w:sz="4" w:space="0"/>
            </w:tcBorders>
            <w:shd w:val="clear" w:color="auto" w:fill="auto"/>
            <w:vAlign w:val="center"/>
          </w:tcPr>
          <w:p w14:paraId="65A6E3BB">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25980</w:t>
            </w:r>
          </w:p>
        </w:tc>
      </w:tr>
      <w:tr w14:paraId="2826DD3E">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659F2975">
            <w:pPr>
              <w:spacing w:line="240" w:lineRule="auto"/>
              <w:jc w:val="center"/>
              <w:rPr>
                <w:rFonts w:ascii="仿宋" w:hAnsi="仿宋" w:eastAsia="仿宋"/>
                <w:color w:val="auto"/>
                <w:sz w:val="20"/>
              </w:rPr>
            </w:pPr>
            <w:r>
              <w:rPr>
                <w:rFonts w:hint="eastAsia" w:ascii="仿宋" w:hAnsi="仿宋" w:eastAsia="仿宋"/>
                <w:color w:val="auto"/>
                <w:sz w:val="20"/>
              </w:rPr>
              <w:t>二级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2199CED3">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29960</w:t>
            </w:r>
          </w:p>
        </w:tc>
        <w:tc>
          <w:tcPr>
            <w:tcW w:w="1326" w:type="dxa"/>
            <w:tcBorders>
              <w:top w:val="nil"/>
              <w:left w:val="nil"/>
              <w:bottom w:val="single" w:color="auto" w:sz="4" w:space="0"/>
              <w:right w:val="single" w:color="auto" w:sz="4" w:space="0"/>
            </w:tcBorders>
            <w:shd w:val="clear" w:color="auto" w:fill="auto"/>
            <w:vAlign w:val="center"/>
          </w:tcPr>
          <w:p w14:paraId="2A874EF5">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29800</w:t>
            </w:r>
          </w:p>
        </w:tc>
        <w:tc>
          <w:tcPr>
            <w:tcW w:w="1326" w:type="dxa"/>
            <w:tcBorders>
              <w:top w:val="nil"/>
              <w:left w:val="nil"/>
              <w:bottom w:val="single" w:color="auto" w:sz="4" w:space="0"/>
              <w:right w:val="single" w:color="auto" w:sz="4" w:space="0"/>
            </w:tcBorders>
            <w:shd w:val="clear" w:color="auto" w:fill="auto"/>
            <w:vAlign w:val="center"/>
          </w:tcPr>
          <w:p w14:paraId="5F321B4E">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29690</w:t>
            </w:r>
          </w:p>
        </w:tc>
        <w:tc>
          <w:tcPr>
            <w:tcW w:w="1326" w:type="dxa"/>
            <w:tcBorders>
              <w:top w:val="nil"/>
              <w:left w:val="nil"/>
              <w:bottom w:val="single" w:color="auto" w:sz="4" w:space="0"/>
              <w:right w:val="single" w:color="auto" w:sz="4" w:space="0"/>
            </w:tcBorders>
            <w:shd w:val="clear" w:color="auto" w:fill="auto"/>
            <w:vAlign w:val="center"/>
          </w:tcPr>
          <w:p w14:paraId="480C8AE4">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10100</w:t>
            </w:r>
          </w:p>
        </w:tc>
        <w:tc>
          <w:tcPr>
            <w:tcW w:w="1500" w:type="dxa"/>
            <w:tcBorders>
              <w:top w:val="nil"/>
              <w:left w:val="nil"/>
              <w:bottom w:val="single" w:color="auto" w:sz="4" w:space="0"/>
              <w:right w:val="single" w:color="auto" w:sz="4" w:space="0"/>
            </w:tcBorders>
            <w:shd w:val="clear" w:color="auto" w:fill="auto"/>
            <w:vAlign w:val="center"/>
          </w:tcPr>
          <w:p w14:paraId="056EBB52">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21690</w:t>
            </w:r>
          </w:p>
        </w:tc>
      </w:tr>
      <w:tr w14:paraId="14A96290">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050FD2A2">
            <w:pPr>
              <w:spacing w:line="240" w:lineRule="auto"/>
              <w:jc w:val="center"/>
              <w:rPr>
                <w:rFonts w:ascii="仿宋" w:hAnsi="仿宋" w:eastAsia="仿宋"/>
                <w:color w:val="auto"/>
                <w:sz w:val="20"/>
              </w:rPr>
            </w:pPr>
            <w:r>
              <w:rPr>
                <w:rFonts w:hint="eastAsia" w:ascii="仿宋" w:hAnsi="仿宋" w:eastAsia="仿宋"/>
                <w:color w:val="auto"/>
                <w:sz w:val="20"/>
              </w:rPr>
              <w:t>三级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2A50EF6D">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24480</w:t>
            </w:r>
          </w:p>
        </w:tc>
        <w:tc>
          <w:tcPr>
            <w:tcW w:w="1326" w:type="dxa"/>
            <w:tcBorders>
              <w:top w:val="nil"/>
              <w:left w:val="nil"/>
              <w:bottom w:val="single" w:color="auto" w:sz="4" w:space="0"/>
              <w:right w:val="single" w:color="auto" w:sz="4" w:space="0"/>
            </w:tcBorders>
            <w:shd w:val="clear" w:color="auto" w:fill="auto"/>
            <w:vAlign w:val="center"/>
          </w:tcPr>
          <w:p w14:paraId="301C9598">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24380</w:t>
            </w:r>
          </w:p>
        </w:tc>
        <w:tc>
          <w:tcPr>
            <w:tcW w:w="1326" w:type="dxa"/>
            <w:tcBorders>
              <w:top w:val="nil"/>
              <w:left w:val="nil"/>
              <w:bottom w:val="single" w:color="auto" w:sz="4" w:space="0"/>
              <w:right w:val="single" w:color="auto" w:sz="4" w:space="0"/>
            </w:tcBorders>
            <w:shd w:val="clear" w:color="auto" w:fill="auto"/>
            <w:vAlign w:val="center"/>
          </w:tcPr>
          <w:p w14:paraId="4778039D">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25590</w:t>
            </w:r>
          </w:p>
        </w:tc>
        <w:tc>
          <w:tcPr>
            <w:tcW w:w="1326" w:type="dxa"/>
            <w:tcBorders>
              <w:top w:val="nil"/>
              <w:left w:val="nil"/>
              <w:bottom w:val="single" w:color="auto" w:sz="4" w:space="0"/>
              <w:right w:val="single" w:color="auto" w:sz="4" w:space="0"/>
            </w:tcBorders>
            <w:shd w:val="clear" w:color="auto" w:fill="auto"/>
            <w:vAlign w:val="center"/>
          </w:tcPr>
          <w:p w14:paraId="21CFCAD8">
            <w:pPr>
              <w:spacing w:line="240" w:lineRule="auto"/>
              <w:jc w:val="center"/>
              <w:rPr>
                <w:rFonts w:ascii="Arial" w:hAnsi="Arial" w:eastAsia="仿宋_GB2312" w:cs="Arial"/>
                <w:color w:val="auto"/>
                <w:sz w:val="20"/>
              </w:rPr>
            </w:pPr>
            <w:r>
              <w:rPr>
                <w:rFonts w:hint="eastAsia" w:ascii="Arial" w:hAnsi="Arial" w:eastAsia="仿宋_GB2312" w:cs="Arial"/>
                <w:color w:val="auto"/>
                <w:sz w:val="20"/>
              </w:rPr>
              <w:t>7010</w:t>
            </w:r>
          </w:p>
        </w:tc>
        <w:tc>
          <w:tcPr>
            <w:tcW w:w="1500" w:type="dxa"/>
            <w:tcBorders>
              <w:top w:val="nil"/>
              <w:left w:val="nil"/>
              <w:bottom w:val="single" w:color="auto" w:sz="4" w:space="0"/>
              <w:right w:val="single" w:color="auto" w:sz="4" w:space="0"/>
            </w:tcBorders>
            <w:shd w:val="clear" w:color="auto" w:fill="auto"/>
            <w:vAlign w:val="center"/>
          </w:tcPr>
          <w:p w14:paraId="09FBE29E">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17060</w:t>
            </w:r>
          </w:p>
        </w:tc>
      </w:tr>
      <w:tr w14:paraId="7DAC59D8">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78898CBC">
            <w:pPr>
              <w:spacing w:line="240" w:lineRule="auto"/>
              <w:jc w:val="center"/>
              <w:rPr>
                <w:rFonts w:ascii="仿宋" w:hAnsi="仿宋" w:eastAsia="仿宋"/>
                <w:color w:val="auto"/>
                <w:sz w:val="20"/>
              </w:rPr>
            </w:pPr>
            <w:r>
              <w:rPr>
                <w:rFonts w:hint="eastAsia" w:ascii="仿宋" w:hAnsi="仿宋" w:eastAsia="仿宋"/>
                <w:color w:val="auto"/>
                <w:sz w:val="20"/>
              </w:rPr>
              <w:t>四级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3079AA07">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19370</w:t>
            </w:r>
          </w:p>
        </w:tc>
        <w:tc>
          <w:tcPr>
            <w:tcW w:w="1326" w:type="dxa"/>
            <w:tcBorders>
              <w:top w:val="nil"/>
              <w:left w:val="nil"/>
              <w:bottom w:val="single" w:color="auto" w:sz="4" w:space="0"/>
              <w:right w:val="single" w:color="auto" w:sz="4" w:space="0"/>
            </w:tcBorders>
            <w:shd w:val="clear" w:color="auto" w:fill="auto"/>
            <w:vAlign w:val="center"/>
          </w:tcPr>
          <w:p w14:paraId="636ED9EC">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19290</w:t>
            </w:r>
          </w:p>
        </w:tc>
        <w:tc>
          <w:tcPr>
            <w:tcW w:w="1326" w:type="dxa"/>
            <w:tcBorders>
              <w:top w:val="nil"/>
              <w:left w:val="nil"/>
              <w:bottom w:val="single" w:color="auto" w:sz="4" w:space="0"/>
              <w:right w:val="single" w:color="auto" w:sz="4" w:space="0"/>
            </w:tcBorders>
            <w:shd w:val="clear" w:color="auto" w:fill="auto"/>
            <w:vAlign w:val="center"/>
          </w:tcPr>
          <w:p w14:paraId="6E74F63E">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21280</w:t>
            </w:r>
          </w:p>
        </w:tc>
        <w:tc>
          <w:tcPr>
            <w:tcW w:w="1326" w:type="dxa"/>
            <w:tcBorders>
              <w:top w:val="nil"/>
              <w:left w:val="nil"/>
              <w:bottom w:val="single" w:color="auto" w:sz="4" w:space="0"/>
              <w:right w:val="single" w:color="auto" w:sz="4" w:space="0"/>
            </w:tcBorders>
            <w:shd w:val="clear" w:color="auto" w:fill="auto"/>
            <w:vAlign w:val="center"/>
          </w:tcPr>
          <w:p w14:paraId="18838C1C">
            <w:pPr>
              <w:spacing w:line="240" w:lineRule="auto"/>
              <w:jc w:val="center"/>
              <w:rPr>
                <w:rFonts w:ascii="Arial" w:hAnsi="Arial" w:eastAsia="仿宋_GB2312" w:cs="Arial"/>
                <w:color w:val="auto"/>
                <w:sz w:val="20"/>
              </w:rPr>
            </w:pPr>
            <w:r>
              <w:rPr>
                <w:rFonts w:hint="eastAsia" w:ascii="Arial" w:hAnsi="Arial" w:eastAsia="仿宋_GB2312" w:cs="Arial"/>
                <w:color w:val="auto"/>
                <w:sz w:val="20"/>
              </w:rPr>
              <w:t>4910</w:t>
            </w:r>
          </w:p>
        </w:tc>
        <w:tc>
          <w:tcPr>
            <w:tcW w:w="1500" w:type="dxa"/>
            <w:tcBorders>
              <w:top w:val="nil"/>
              <w:left w:val="nil"/>
              <w:bottom w:val="single" w:color="auto" w:sz="4" w:space="0"/>
              <w:right w:val="single" w:color="auto" w:sz="4" w:space="0"/>
            </w:tcBorders>
            <w:shd w:val="clear" w:color="auto" w:fill="auto"/>
            <w:vAlign w:val="center"/>
          </w:tcPr>
          <w:p w14:paraId="3E2011DE">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13090</w:t>
            </w:r>
          </w:p>
        </w:tc>
      </w:tr>
      <w:tr w14:paraId="24FA9E43">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13F50B82">
            <w:pPr>
              <w:spacing w:line="240" w:lineRule="auto"/>
              <w:jc w:val="center"/>
              <w:rPr>
                <w:rFonts w:ascii="仿宋" w:hAnsi="仿宋" w:eastAsia="仿宋"/>
                <w:color w:val="auto"/>
                <w:sz w:val="20"/>
              </w:rPr>
            </w:pPr>
            <w:r>
              <w:rPr>
                <w:rFonts w:hint="eastAsia" w:ascii="仿宋" w:hAnsi="仿宋" w:eastAsia="仿宋"/>
                <w:color w:val="auto"/>
                <w:sz w:val="20"/>
              </w:rPr>
              <w:t>五级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3B35B734">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15050</w:t>
            </w:r>
          </w:p>
        </w:tc>
        <w:tc>
          <w:tcPr>
            <w:tcW w:w="1326" w:type="dxa"/>
            <w:tcBorders>
              <w:top w:val="nil"/>
              <w:left w:val="nil"/>
              <w:bottom w:val="single" w:color="auto" w:sz="4" w:space="0"/>
              <w:right w:val="single" w:color="auto" w:sz="4" w:space="0"/>
            </w:tcBorders>
            <w:shd w:val="clear" w:color="auto" w:fill="auto"/>
            <w:vAlign w:val="center"/>
          </w:tcPr>
          <w:p w14:paraId="79D5C276">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14980</w:t>
            </w:r>
          </w:p>
        </w:tc>
        <w:tc>
          <w:tcPr>
            <w:tcW w:w="1326" w:type="dxa"/>
            <w:tcBorders>
              <w:top w:val="nil"/>
              <w:left w:val="nil"/>
              <w:bottom w:val="single" w:color="auto" w:sz="4" w:space="0"/>
              <w:right w:val="single" w:color="auto" w:sz="4" w:space="0"/>
            </w:tcBorders>
            <w:shd w:val="clear" w:color="auto" w:fill="auto"/>
            <w:vAlign w:val="center"/>
          </w:tcPr>
          <w:p w14:paraId="02C81BB5">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17300</w:t>
            </w:r>
          </w:p>
        </w:tc>
        <w:tc>
          <w:tcPr>
            <w:tcW w:w="1326" w:type="dxa"/>
            <w:tcBorders>
              <w:top w:val="nil"/>
              <w:left w:val="nil"/>
              <w:bottom w:val="single" w:color="auto" w:sz="4" w:space="0"/>
              <w:right w:val="single" w:color="auto" w:sz="4" w:space="0"/>
            </w:tcBorders>
            <w:shd w:val="clear" w:color="auto" w:fill="auto"/>
            <w:vAlign w:val="center"/>
          </w:tcPr>
          <w:p w14:paraId="320BBC66">
            <w:pPr>
              <w:spacing w:line="240" w:lineRule="auto"/>
              <w:jc w:val="center"/>
              <w:rPr>
                <w:rFonts w:ascii="Arial" w:hAnsi="Arial" w:eastAsia="仿宋_GB2312" w:cs="Arial"/>
                <w:color w:val="auto"/>
                <w:sz w:val="20"/>
              </w:rPr>
            </w:pPr>
            <w:r>
              <w:rPr>
                <w:rFonts w:hint="eastAsia" w:ascii="Arial" w:hAnsi="Arial" w:eastAsia="仿宋_GB2312" w:cs="Arial"/>
                <w:color w:val="auto"/>
                <w:sz w:val="20"/>
              </w:rPr>
              <w:t>3450</w:t>
            </w:r>
          </w:p>
        </w:tc>
        <w:tc>
          <w:tcPr>
            <w:tcW w:w="1500" w:type="dxa"/>
            <w:tcBorders>
              <w:top w:val="nil"/>
              <w:left w:val="nil"/>
              <w:bottom w:val="single" w:color="auto" w:sz="4" w:space="0"/>
              <w:right w:val="single" w:color="auto" w:sz="4" w:space="0"/>
            </w:tcBorders>
            <w:shd w:val="clear" w:color="auto" w:fill="auto"/>
            <w:vAlign w:val="center"/>
          </w:tcPr>
          <w:p w14:paraId="514E65FA">
            <w:pPr>
              <w:spacing w:line="240" w:lineRule="auto"/>
              <w:jc w:val="center"/>
              <w:rPr>
                <w:rFonts w:ascii="Arial" w:hAnsi="Arial" w:eastAsia="仿宋_GB2312" w:cs="Arial"/>
                <w:color w:val="auto"/>
                <w:sz w:val="20"/>
              </w:rPr>
            </w:pPr>
            <w:r>
              <w:rPr>
                <w:rFonts w:hint="eastAsia" w:ascii="Arial" w:hAnsi="Arial" w:eastAsia="仿宋_GB2312" w:cs="Arial"/>
                <w:color w:val="auto"/>
                <w:sz w:val="20"/>
              </w:rPr>
              <w:t>9900</w:t>
            </w:r>
          </w:p>
        </w:tc>
      </w:tr>
      <w:tr w14:paraId="0A9C9E1C">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332CDEA5">
            <w:pPr>
              <w:spacing w:line="240" w:lineRule="auto"/>
              <w:jc w:val="center"/>
              <w:rPr>
                <w:rFonts w:ascii="仿宋" w:hAnsi="仿宋" w:eastAsia="仿宋"/>
                <w:color w:val="auto"/>
                <w:sz w:val="20"/>
              </w:rPr>
            </w:pPr>
            <w:r>
              <w:rPr>
                <w:rFonts w:hint="eastAsia" w:ascii="仿宋" w:hAnsi="仿宋" w:eastAsia="仿宋"/>
                <w:color w:val="auto"/>
                <w:sz w:val="20"/>
              </w:rPr>
              <w:t>六级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5474EF6A">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11550</w:t>
            </w:r>
          </w:p>
        </w:tc>
        <w:tc>
          <w:tcPr>
            <w:tcW w:w="1326" w:type="dxa"/>
            <w:tcBorders>
              <w:top w:val="nil"/>
              <w:left w:val="nil"/>
              <w:bottom w:val="single" w:color="auto" w:sz="4" w:space="0"/>
              <w:right w:val="single" w:color="auto" w:sz="4" w:space="0"/>
            </w:tcBorders>
            <w:shd w:val="clear" w:color="auto" w:fill="auto"/>
            <w:vAlign w:val="center"/>
          </w:tcPr>
          <w:p w14:paraId="2917039A">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11490</w:t>
            </w:r>
          </w:p>
        </w:tc>
        <w:tc>
          <w:tcPr>
            <w:tcW w:w="1326" w:type="dxa"/>
            <w:tcBorders>
              <w:top w:val="nil"/>
              <w:left w:val="nil"/>
              <w:bottom w:val="single" w:color="auto" w:sz="4" w:space="0"/>
              <w:right w:val="single" w:color="auto" w:sz="4" w:space="0"/>
            </w:tcBorders>
            <w:shd w:val="clear" w:color="auto" w:fill="auto"/>
            <w:vAlign w:val="center"/>
          </w:tcPr>
          <w:p w14:paraId="59EC13F2">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13850</w:t>
            </w:r>
          </w:p>
        </w:tc>
        <w:tc>
          <w:tcPr>
            <w:tcW w:w="1326" w:type="dxa"/>
            <w:tcBorders>
              <w:top w:val="nil"/>
              <w:left w:val="nil"/>
              <w:bottom w:val="single" w:color="auto" w:sz="4" w:space="0"/>
              <w:right w:val="single" w:color="auto" w:sz="4" w:space="0"/>
            </w:tcBorders>
            <w:shd w:val="clear" w:color="auto" w:fill="auto"/>
            <w:vAlign w:val="center"/>
          </w:tcPr>
          <w:p w14:paraId="5FD40AB8">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2400</w:t>
            </w:r>
          </w:p>
        </w:tc>
        <w:tc>
          <w:tcPr>
            <w:tcW w:w="1500" w:type="dxa"/>
            <w:tcBorders>
              <w:top w:val="nil"/>
              <w:left w:val="nil"/>
              <w:bottom w:val="single" w:color="auto" w:sz="4" w:space="0"/>
              <w:right w:val="single" w:color="auto" w:sz="4" w:space="0"/>
            </w:tcBorders>
            <w:shd w:val="clear" w:color="auto" w:fill="auto"/>
            <w:vAlign w:val="center"/>
          </w:tcPr>
          <w:p w14:paraId="1BE915CA">
            <w:pPr>
              <w:spacing w:line="240" w:lineRule="auto"/>
              <w:jc w:val="center"/>
              <w:rPr>
                <w:rFonts w:ascii="Arial" w:hAnsi="Arial" w:eastAsia="仿宋_GB2312" w:cs="Arial"/>
                <w:color w:val="auto"/>
                <w:sz w:val="20"/>
              </w:rPr>
            </w:pPr>
            <w:r>
              <w:rPr>
                <w:rFonts w:hint="eastAsia" w:ascii="Arial" w:hAnsi="Arial" w:eastAsia="仿宋_GB2312" w:cs="Arial"/>
                <w:color w:val="auto"/>
                <w:sz w:val="20"/>
              </w:rPr>
              <w:t>7390</w:t>
            </w:r>
          </w:p>
        </w:tc>
      </w:tr>
      <w:tr w14:paraId="2DA42CDC">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68079030">
            <w:pPr>
              <w:spacing w:line="240" w:lineRule="auto"/>
              <w:jc w:val="center"/>
              <w:rPr>
                <w:rFonts w:ascii="仿宋" w:hAnsi="仿宋" w:eastAsia="仿宋"/>
                <w:color w:val="auto"/>
                <w:sz w:val="20"/>
              </w:rPr>
            </w:pPr>
            <w:r>
              <w:rPr>
                <w:rFonts w:hint="eastAsia" w:ascii="仿宋" w:hAnsi="仿宋" w:eastAsia="仿宋"/>
                <w:color w:val="auto"/>
                <w:sz w:val="20"/>
              </w:rPr>
              <w:t>七级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3896742E">
            <w:pPr>
              <w:spacing w:line="240" w:lineRule="auto"/>
              <w:jc w:val="center"/>
              <w:rPr>
                <w:rFonts w:ascii="Arial" w:hAnsi="Arial" w:eastAsia="仿宋_GB2312" w:cs="Arial"/>
                <w:color w:val="auto"/>
                <w:sz w:val="20"/>
              </w:rPr>
            </w:pPr>
            <w:r>
              <w:rPr>
                <w:rFonts w:hint="eastAsia" w:ascii="Arial" w:hAnsi="Arial" w:eastAsia="仿宋_GB2312" w:cs="Arial"/>
                <w:color w:val="auto"/>
                <w:sz w:val="20"/>
              </w:rPr>
              <w:t>8630</w:t>
            </w:r>
          </w:p>
        </w:tc>
        <w:tc>
          <w:tcPr>
            <w:tcW w:w="1326" w:type="dxa"/>
            <w:tcBorders>
              <w:top w:val="nil"/>
              <w:left w:val="nil"/>
              <w:bottom w:val="single" w:color="auto" w:sz="4" w:space="0"/>
              <w:right w:val="single" w:color="auto" w:sz="4" w:space="0"/>
            </w:tcBorders>
            <w:shd w:val="clear" w:color="auto" w:fill="auto"/>
            <w:vAlign w:val="center"/>
          </w:tcPr>
          <w:p w14:paraId="6B0D3EE9">
            <w:pPr>
              <w:spacing w:line="240" w:lineRule="auto"/>
              <w:jc w:val="center"/>
              <w:rPr>
                <w:rFonts w:ascii="Arial" w:hAnsi="Arial" w:eastAsia="仿宋_GB2312" w:cs="Arial"/>
                <w:color w:val="auto"/>
                <w:sz w:val="20"/>
              </w:rPr>
            </w:pPr>
            <w:r>
              <w:rPr>
                <w:rFonts w:hint="eastAsia" w:ascii="Arial" w:hAnsi="Arial" w:eastAsia="仿宋_GB2312" w:cs="Arial"/>
                <w:color w:val="auto"/>
                <w:sz w:val="20"/>
              </w:rPr>
              <w:t>8580</w:t>
            </w:r>
          </w:p>
        </w:tc>
        <w:tc>
          <w:tcPr>
            <w:tcW w:w="1326" w:type="dxa"/>
            <w:tcBorders>
              <w:top w:val="nil"/>
              <w:left w:val="nil"/>
              <w:bottom w:val="single" w:color="auto" w:sz="4" w:space="0"/>
              <w:right w:val="single" w:color="auto" w:sz="4" w:space="0"/>
            </w:tcBorders>
            <w:shd w:val="clear" w:color="auto" w:fill="auto"/>
            <w:vAlign w:val="center"/>
          </w:tcPr>
          <w:p w14:paraId="19BF1FD3">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10740</w:t>
            </w:r>
          </w:p>
        </w:tc>
        <w:tc>
          <w:tcPr>
            <w:tcW w:w="1326" w:type="dxa"/>
            <w:tcBorders>
              <w:top w:val="nil"/>
              <w:left w:val="nil"/>
              <w:bottom w:val="single" w:color="auto" w:sz="4" w:space="0"/>
              <w:right w:val="single" w:color="auto" w:sz="4" w:space="0"/>
            </w:tcBorders>
            <w:shd w:val="clear" w:color="auto" w:fill="auto"/>
            <w:vAlign w:val="center"/>
          </w:tcPr>
          <w:p w14:paraId="243EF08A">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1720</w:t>
            </w:r>
          </w:p>
        </w:tc>
        <w:tc>
          <w:tcPr>
            <w:tcW w:w="1500" w:type="dxa"/>
            <w:tcBorders>
              <w:top w:val="nil"/>
              <w:left w:val="nil"/>
              <w:bottom w:val="single" w:color="auto" w:sz="4" w:space="0"/>
              <w:right w:val="single" w:color="auto" w:sz="4" w:space="0"/>
            </w:tcBorders>
            <w:shd w:val="clear" w:color="auto" w:fill="auto"/>
            <w:vAlign w:val="center"/>
          </w:tcPr>
          <w:p w14:paraId="15190B93">
            <w:pPr>
              <w:spacing w:line="240" w:lineRule="auto"/>
              <w:jc w:val="center"/>
              <w:rPr>
                <w:rFonts w:ascii="Arial" w:hAnsi="Arial" w:eastAsia="仿宋_GB2312" w:cs="Arial"/>
                <w:color w:val="auto"/>
                <w:sz w:val="20"/>
              </w:rPr>
            </w:pPr>
            <w:r>
              <w:rPr>
                <w:rFonts w:hint="eastAsia" w:ascii="Arial" w:hAnsi="Arial" w:eastAsia="仿宋_GB2312" w:cs="Arial"/>
                <w:color w:val="auto"/>
                <w:sz w:val="20"/>
              </w:rPr>
              <w:t>5420</w:t>
            </w:r>
          </w:p>
        </w:tc>
      </w:tr>
      <w:tr w14:paraId="27A57BDC">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481725C3">
            <w:pPr>
              <w:spacing w:line="240" w:lineRule="auto"/>
              <w:jc w:val="center"/>
              <w:rPr>
                <w:rFonts w:ascii="仿宋" w:hAnsi="仿宋" w:eastAsia="仿宋"/>
                <w:color w:val="auto"/>
                <w:sz w:val="20"/>
              </w:rPr>
            </w:pPr>
            <w:r>
              <w:rPr>
                <w:rFonts w:hint="eastAsia" w:ascii="仿宋" w:hAnsi="仿宋" w:eastAsia="仿宋"/>
                <w:color w:val="auto"/>
                <w:sz w:val="20"/>
              </w:rPr>
              <w:t>八级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6A407DA6">
            <w:pPr>
              <w:spacing w:line="240" w:lineRule="auto"/>
              <w:jc w:val="center"/>
              <w:rPr>
                <w:rFonts w:ascii="Arial" w:hAnsi="Arial" w:eastAsia="仿宋_GB2312" w:cs="Arial"/>
                <w:color w:val="auto"/>
                <w:sz w:val="20"/>
              </w:rPr>
            </w:pPr>
            <w:r>
              <w:rPr>
                <w:rFonts w:hint="eastAsia" w:ascii="Arial" w:hAnsi="Arial" w:eastAsia="仿宋_GB2312" w:cs="Arial"/>
                <w:color w:val="auto"/>
                <w:sz w:val="20"/>
              </w:rPr>
              <w:t>6620</w:t>
            </w:r>
          </w:p>
        </w:tc>
        <w:tc>
          <w:tcPr>
            <w:tcW w:w="1326" w:type="dxa"/>
            <w:tcBorders>
              <w:top w:val="nil"/>
              <w:left w:val="nil"/>
              <w:bottom w:val="single" w:color="auto" w:sz="4" w:space="0"/>
              <w:right w:val="single" w:color="auto" w:sz="4" w:space="0"/>
            </w:tcBorders>
            <w:shd w:val="clear" w:color="auto" w:fill="auto"/>
            <w:vAlign w:val="center"/>
          </w:tcPr>
          <w:p w14:paraId="3CE8B369">
            <w:pPr>
              <w:spacing w:line="240" w:lineRule="auto"/>
              <w:jc w:val="center"/>
              <w:rPr>
                <w:rFonts w:ascii="Arial" w:hAnsi="Arial" w:eastAsia="仿宋_GB2312" w:cs="Arial"/>
                <w:color w:val="auto"/>
                <w:sz w:val="20"/>
              </w:rPr>
            </w:pPr>
            <w:r>
              <w:rPr>
                <w:rFonts w:hint="eastAsia" w:ascii="Arial" w:hAnsi="Arial" w:eastAsia="仿宋_GB2312" w:cs="Arial"/>
                <w:color w:val="auto"/>
                <w:sz w:val="20"/>
              </w:rPr>
              <w:t>6580</w:t>
            </w:r>
          </w:p>
        </w:tc>
        <w:tc>
          <w:tcPr>
            <w:tcW w:w="1326" w:type="dxa"/>
            <w:tcBorders>
              <w:top w:val="nil"/>
              <w:left w:val="nil"/>
              <w:bottom w:val="single" w:color="auto" w:sz="4" w:space="0"/>
              <w:right w:val="single" w:color="auto" w:sz="4" w:space="0"/>
            </w:tcBorders>
            <w:shd w:val="clear" w:color="auto" w:fill="auto"/>
            <w:vAlign w:val="center"/>
          </w:tcPr>
          <w:p w14:paraId="250A5F06">
            <w:pPr>
              <w:spacing w:line="240" w:lineRule="auto"/>
              <w:jc w:val="center"/>
              <w:rPr>
                <w:rFonts w:ascii="Arial" w:hAnsi="Arial" w:eastAsia="仿宋_GB2312" w:cs="Arial"/>
                <w:color w:val="auto"/>
                <w:sz w:val="20"/>
              </w:rPr>
            </w:pPr>
            <w:r>
              <w:rPr>
                <w:rFonts w:hint="eastAsia" w:ascii="Arial" w:hAnsi="Arial" w:eastAsia="仿宋_GB2312" w:cs="Arial"/>
                <w:color w:val="auto"/>
                <w:sz w:val="20"/>
              </w:rPr>
              <w:t>7830</w:t>
            </w:r>
          </w:p>
        </w:tc>
        <w:tc>
          <w:tcPr>
            <w:tcW w:w="1326" w:type="dxa"/>
            <w:tcBorders>
              <w:top w:val="nil"/>
              <w:left w:val="nil"/>
              <w:bottom w:val="single" w:color="auto" w:sz="4" w:space="0"/>
              <w:right w:val="single" w:color="auto" w:sz="4" w:space="0"/>
            </w:tcBorders>
            <w:shd w:val="clear" w:color="auto" w:fill="auto"/>
            <w:vAlign w:val="center"/>
          </w:tcPr>
          <w:p w14:paraId="0AA4CAE1">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1260</w:t>
            </w:r>
          </w:p>
        </w:tc>
        <w:tc>
          <w:tcPr>
            <w:tcW w:w="1500" w:type="dxa"/>
            <w:tcBorders>
              <w:top w:val="nil"/>
              <w:left w:val="nil"/>
              <w:bottom w:val="single" w:color="auto" w:sz="4" w:space="0"/>
              <w:right w:val="single" w:color="auto" w:sz="4" w:space="0"/>
            </w:tcBorders>
            <w:shd w:val="clear" w:color="auto" w:fill="auto"/>
            <w:vAlign w:val="center"/>
          </w:tcPr>
          <w:p w14:paraId="63B8895F">
            <w:pPr>
              <w:spacing w:line="240" w:lineRule="auto"/>
              <w:jc w:val="center"/>
              <w:rPr>
                <w:rFonts w:ascii="Arial" w:hAnsi="Arial" w:eastAsia="仿宋_GB2312" w:cs="Arial"/>
                <w:color w:val="auto"/>
                <w:sz w:val="20"/>
              </w:rPr>
            </w:pPr>
            <w:r>
              <w:rPr>
                <w:rFonts w:hint="eastAsia" w:ascii="Arial" w:hAnsi="Arial" w:eastAsia="仿宋_GB2312" w:cs="Arial"/>
                <w:color w:val="auto"/>
                <w:sz w:val="20"/>
              </w:rPr>
              <w:t>4040</w:t>
            </w:r>
          </w:p>
        </w:tc>
      </w:tr>
      <w:tr w14:paraId="0ED78AC0">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4E89E3E3">
            <w:pPr>
              <w:spacing w:line="240" w:lineRule="auto"/>
              <w:jc w:val="right"/>
              <w:rPr>
                <w:rFonts w:ascii="仿宋" w:hAnsi="仿宋" w:eastAsia="仿宋"/>
                <w:color w:val="auto"/>
                <w:sz w:val="20"/>
              </w:rPr>
            </w:pPr>
            <w:r>
              <w:rPr>
                <w:rFonts w:hint="eastAsia" w:ascii="仿宋" w:hAnsi="仿宋" w:eastAsia="仿宋"/>
                <w:color w:val="auto"/>
                <w:sz w:val="20"/>
              </w:rPr>
              <w:t xml:space="preserve">用途 </w:t>
            </w:r>
          </w:p>
          <w:p w14:paraId="1592CFEE">
            <w:pPr>
              <w:spacing w:line="240" w:lineRule="auto"/>
              <w:rPr>
                <w:rFonts w:ascii="仿宋" w:hAnsi="仿宋" w:eastAsia="仿宋"/>
                <w:color w:val="auto"/>
                <w:sz w:val="20"/>
              </w:rPr>
            </w:pPr>
            <w:r>
              <w:rPr>
                <w:rFonts w:hint="eastAsia" w:ascii="仿宋" w:hAnsi="仿宋" w:eastAsia="仿宋"/>
                <w:color w:val="auto"/>
                <w:sz w:val="20"/>
              </w:rPr>
              <w:t>土地级别</w:t>
            </w:r>
          </w:p>
        </w:tc>
        <w:tc>
          <w:tcPr>
            <w:tcW w:w="1326" w:type="dxa"/>
            <w:tcBorders>
              <w:top w:val="nil"/>
              <w:left w:val="single" w:color="auto" w:sz="4" w:space="0"/>
              <w:bottom w:val="single" w:color="auto" w:sz="4" w:space="0"/>
              <w:right w:val="single" w:color="auto" w:sz="4" w:space="0"/>
            </w:tcBorders>
            <w:shd w:val="clear" w:color="auto" w:fill="auto"/>
            <w:vAlign w:val="center"/>
          </w:tcPr>
          <w:p w14:paraId="23C9449E">
            <w:pPr>
              <w:spacing w:line="240" w:lineRule="auto"/>
              <w:jc w:val="center"/>
              <w:rPr>
                <w:rFonts w:ascii="Arial" w:hAnsi="Arial" w:eastAsia="仿宋_GB2312" w:cs="Arial"/>
                <w:color w:val="auto"/>
                <w:sz w:val="20"/>
              </w:rPr>
            </w:pPr>
            <w:r>
              <w:rPr>
                <w:rFonts w:hint="eastAsia" w:ascii="仿宋" w:hAnsi="仿宋" w:eastAsia="仿宋"/>
                <w:color w:val="auto"/>
                <w:sz w:val="20"/>
              </w:rPr>
              <w:t>商业类</w:t>
            </w:r>
          </w:p>
        </w:tc>
        <w:tc>
          <w:tcPr>
            <w:tcW w:w="1326" w:type="dxa"/>
            <w:tcBorders>
              <w:top w:val="nil"/>
              <w:left w:val="nil"/>
              <w:bottom w:val="single" w:color="auto" w:sz="4" w:space="0"/>
              <w:right w:val="single" w:color="auto" w:sz="4" w:space="0"/>
            </w:tcBorders>
            <w:shd w:val="clear" w:color="auto" w:fill="auto"/>
            <w:vAlign w:val="center"/>
          </w:tcPr>
          <w:p w14:paraId="75789C8D">
            <w:pPr>
              <w:spacing w:line="240" w:lineRule="auto"/>
              <w:jc w:val="center"/>
              <w:rPr>
                <w:rFonts w:ascii="Arial" w:hAnsi="Arial" w:eastAsia="仿宋_GB2312" w:cs="Arial"/>
                <w:color w:val="auto"/>
                <w:sz w:val="20"/>
              </w:rPr>
            </w:pPr>
            <w:r>
              <w:rPr>
                <w:rFonts w:hint="eastAsia" w:ascii="仿宋" w:hAnsi="仿宋" w:eastAsia="仿宋"/>
                <w:color w:val="auto"/>
                <w:sz w:val="20"/>
              </w:rPr>
              <w:t>办公类</w:t>
            </w:r>
          </w:p>
        </w:tc>
        <w:tc>
          <w:tcPr>
            <w:tcW w:w="1326" w:type="dxa"/>
            <w:tcBorders>
              <w:top w:val="nil"/>
              <w:left w:val="nil"/>
              <w:bottom w:val="single" w:color="auto" w:sz="4" w:space="0"/>
              <w:right w:val="single" w:color="auto" w:sz="4" w:space="0"/>
            </w:tcBorders>
            <w:shd w:val="clear" w:color="auto" w:fill="auto"/>
            <w:vAlign w:val="center"/>
          </w:tcPr>
          <w:p w14:paraId="7E18B325">
            <w:pPr>
              <w:spacing w:line="240" w:lineRule="auto"/>
              <w:jc w:val="center"/>
              <w:rPr>
                <w:rFonts w:ascii="Arial" w:hAnsi="Arial" w:eastAsia="仿宋_GB2312" w:cs="Arial"/>
                <w:color w:val="auto"/>
                <w:sz w:val="20"/>
              </w:rPr>
            </w:pPr>
            <w:r>
              <w:rPr>
                <w:rFonts w:hint="eastAsia" w:ascii="仿宋" w:hAnsi="仿宋" w:eastAsia="仿宋"/>
                <w:color w:val="auto"/>
                <w:sz w:val="20"/>
              </w:rPr>
              <w:t>住宅类</w:t>
            </w:r>
          </w:p>
        </w:tc>
        <w:tc>
          <w:tcPr>
            <w:tcW w:w="1326" w:type="dxa"/>
            <w:tcBorders>
              <w:top w:val="nil"/>
              <w:left w:val="nil"/>
              <w:bottom w:val="single" w:color="auto" w:sz="4" w:space="0"/>
              <w:right w:val="single" w:color="auto" w:sz="4" w:space="0"/>
            </w:tcBorders>
            <w:shd w:val="clear" w:color="auto" w:fill="auto"/>
            <w:vAlign w:val="center"/>
          </w:tcPr>
          <w:p w14:paraId="6E7B5452">
            <w:pPr>
              <w:spacing w:line="240" w:lineRule="auto"/>
              <w:jc w:val="center"/>
              <w:rPr>
                <w:rFonts w:ascii="Arial" w:hAnsi="Arial" w:eastAsia="仿宋_GB2312" w:cs="Arial"/>
                <w:color w:val="auto"/>
                <w:sz w:val="20"/>
              </w:rPr>
            </w:pPr>
            <w:r>
              <w:rPr>
                <w:rFonts w:hint="eastAsia" w:ascii="仿宋" w:hAnsi="仿宋" w:eastAsia="仿宋"/>
                <w:color w:val="auto"/>
                <w:sz w:val="20"/>
              </w:rPr>
              <w:t>工业类</w:t>
            </w:r>
          </w:p>
        </w:tc>
        <w:tc>
          <w:tcPr>
            <w:tcW w:w="1500" w:type="dxa"/>
            <w:tcBorders>
              <w:top w:val="nil"/>
              <w:left w:val="nil"/>
              <w:bottom w:val="single" w:color="auto" w:sz="4" w:space="0"/>
              <w:right w:val="single" w:color="auto" w:sz="4" w:space="0"/>
            </w:tcBorders>
            <w:shd w:val="clear" w:color="auto" w:fill="auto"/>
            <w:vAlign w:val="center"/>
          </w:tcPr>
          <w:p w14:paraId="7C21D744">
            <w:pPr>
              <w:spacing w:line="240" w:lineRule="auto"/>
              <w:jc w:val="center"/>
              <w:rPr>
                <w:rFonts w:ascii="Arial" w:hAnsi="Arial" w:eastAsia="仿宋_GB2312" w:cs="Arial"/>
                <w:color w:val="auto"/>
                <w:sz w:val="20"/>
              </w:rPr>
            </w:pPr>
            <w:r>
              <w:rPr>
                <w:rFonts w:hint="eastAsia" w:ascii="仿宋" w:hAnsi="仿宋" w:eastAsia="仿宋"/>
                <w:color w:val="auto"/>
                <w:sz w:val="20"/>
              </w:rPr>
              <w:t>公共服务类</w:t>
            </w:r>
          </w:p>
        </w:tc>
      </w:tr>
      <w:tr w14:paraId="6609B26E">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6CB98C4C">
            <w:pPr>
              <w:spacing w:line="240" w:lineRule="auto"/>
              <w:jc w:val="center"/>
              <w:rPr>
                <w:rFonts w:ascii="仿宋" w:hAnsi="仿宋" w:eastAsia="仿宋"/>
                <w:color w:val="auto"/>
                <w:sz w:val="20"/>
              </w:rPr>
            </w:pPr>
            <w:r>
              <w:rPr>
                <w:rFonts w:hint="eastAsia" w:ascii="仿宋" w:hAnsi="仿宋" w:eastAsia="仿宋"/>
                <w:color w:val="auto"/>
                <w:sz w:val="20"/>
              </w:rPr>
              <w:t>九级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4DF7625C">
            <w:pPr>
              <w:spacing w:line="240" w:lineRule="auto"/>
              <w:jc w:val="center"/>
              <w:rPr>
                <w:rFonts w:ascii="Arial" w:hAnsi="Arial" w:eastAsia="仿宋_GB2312" w:cs="Arial"/>
                <w:color w:val="auto"/>
                <w:sz w:val="20"/>
              </w:rPr>
            </w:pPr>
            <w:r>
              <w:rPr>
                <w:rFonts w:hint="eastAsia" w:ascii="Arial" w:hAnsi="Arial" w:eastAsia="仿宋_GB2312" w:cs="Arial"/>
                <w:color w:val="auto"/>
                <w:sz w:val="20"/>
              </w:rPr>
              <w:t>4900</w:t>
            </w:r>
          </w:p>
        </w:tc>
        <w:tc>
          <w:tcPr>
            <w:tcW w:w="1326" w:type="dxa"/>
            <w:tcBorders>
              <w:top w:val="nil"/>
              <w:left w:val="nil"/>
              <w:bottom w:val="single" w:color="auto" w:sz="4" w:space="0"/>
              <w:right w:val="single" w:color="auto" w:sz="4" w:space="0"/>
            </w:tcBorders>
            <w:shd w:val="clear" w:color="auto" w:fill="auto"/>
            <w:vAlign w:val="center"/>
          </w:tcPr>
          <w:p w14:paraId="3213F5DF">
            <w:pPr>
              <w:spacing w:line="240" w:lineRule="auto"/>
              <w:jc w:val="center"/>
              <w:rPr>
                <w:rFonts w:ascii="Arial" w:hAnsi="Arial" w:eastAsia="仿宋_GB2312" w:cs="Arial"/>
                <w:color w:val="auto"/>
                <w:sz w:val="20"/>
              </w:rPr>
            </w:pPr>
            <w:r>
              <w:rPr>
                <w:rFonts w:hint="eastAsia" w:ascii="Arial" w:hAnsi="Arial" w:eastAsia="仿宋_GB2312" w:cs="Arial"/>
                <w:color w:val="auto"/>
                <w:sz w:val="20"/>
              </w:rPr>
              <w:t>4860</w:t>
            </w:r>
          </w:p>
        </w:tc>
        <w:tc>
          <w:tcPr>
            <w:tcW w:w="1326" w:type="dxa"/>
            <w:tcBorders>
              <w:top w:val="nil"/>
              <w:left w:val="nil"/>
              <w:bottom w:val="single" w:color="auto" w:sz="4" w:space="0"/>
              <w:right w:val="single" w:color="auto" w:sz="4" w:space="0"/>
            </w:tcBorders>
            <w:shd w:val="clear" w:color="auto" w:fill="auto"/>
            <w:vAlign w:val="center"/>
          </w:tcPr>
          <w:p w14:paraId="384EFE2F">
            <w:pPr>
              <w:spacing w:line="240" w:lineRule="auto"/>
              <w:jc w:val="center"/>
              <w:rPr>
                <w:rFonts w:ascii="Arial" w:hAnsi="Arial" w:eastAsia="仿宋_GB2312" w:cs="Arial"/>
                <w:color w:val="auto"/>
                <w:sz w:val="20"/>
              </w:rPr>
            </w:pPr>
            <w:r>
              <w:rPr>
                <w:rFonts w:hint="eastAsia" w:ascii="Arial" w:hAnsi="Arial" w:eastAsia="仿宋_GB2312" w:cs="Arial"/>
                <w:color w:val="auto"/>
                <w:sz w:val="20"/>
              </w:rPr>
              <w:t>5540</w:t>
            </w:r>
          </w:p>
        </w:tc>
        <w:tc>
          <w:tcPr>
            <w:tcW w:w="1326" w:type="dxa"/>
            <w:tcBorders>
              <w:top w:val="nil"/>
              <w:left w:val="nil"/>
              <w:bottom w:val="single" w:color="auto" w:sz="4" w:space="0"/>
              <w:right w:val="single" w:color="auto" w:sz="4" w:space="0"/>
            </w:tcBorders>
            <w:shd w:val="clear" w:color="auto" w:fill="auto"/>
            <w:vAlign w:val="center"/>
          </w:tcPr>
          <w:p w14:paraId="706AB817">
            <w:pPr>
              <w:spacing w:line="240" w:lineRule="auto"/>
              <w:jc w:val="center"/>
              <w:rPr>
                <w:rFonts w:ascii="Arial" w:hAnsi="Arial" w:eastAsia="仿宋_GB2312" w:cs="Arial"/>
                <w:color w:val="auto"/>
                <w:sz w:val="20"/>
              </w:rPr>
            </w:pPr>
            <w:r>
              <w:rPr>
                <w:rFonts w:hint="eastAsia" w:ascii="Arial" w:hAnsi="Arial" w:eastAsia="仿宋_GB2312" w:cs="Arial"/>
                <w:color w:val="auto"/>
                <w:sz w:val="20"/>
              </w:rPr>
              <w:t>950</w:t>
            </w:r>
          </w:p>
        </w:tc>
        <w:tc>
          <w:tcPr>
            <w:tcW w:w="1500" w:type="dxa"/>
            <w:tcBorders>
              <w:top w:val="nil"/>
              <w:left w:val="nil"/>
              <w:bottom w:val="single" w:color="auto" w:sz="4" w:space="0"/>
              <w:right w:val="single" w:color="auto" w:sz="4" w:space="0"/>
            </w:tcBorders>
            <w:shd w:val="clear" w:color="auto" w:fill="auto"/>
            <w:vAlign w:val="center"/>
          </w:tcPr>
          <w:p w14:paraId="46995F2A">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2930</w:t>
            </w:r>
          </w:p>
        </w:tc>
      </w:tr>
      <w:tr w14:paraId="57505427">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6E6AB389">
            <w:pPr>
              <w:spacing w:line="240" w:lineRule="auto"/>
              <w:jc w:val="center"/>
              <w:rPr>
                <w:rFonts w:ascii="仿宋" w:hAnsi="仿宋" w:eastAsia="仿宋"/>
                <w:color w:val="auto"/>
                <w:sz w:val="20"/>
              </w:rPr>
            </w:pPr>
            <w:r>
              <w:rPr>
                <w:rFonts w:hint="eastAsia" w:ascii="仿宋" w:hAnsi="仿宋" w:eastAsia="仿宋"/>
                <w:color w:val="auto"/>
                <w:sz w:val="20"/>
              </w:rPr>
              <w:t>十级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29DAA9AA">
            <w:pPr>
              <w:spacing w:line="240" w:lineRule="auto"/>
              <w:jc w:val="center"/>
              <w:rPr>
                <w:rFonts w:ascii="Arial" w:hAnsi="Arial" w:eastAsia="仿宋_GB2312" w:cs="Arial"/>
                <w:color w:val="auto"/>
                <w:sz w:val="20"/>
              </w:rPr>
            </w:pPr>
            <w:r>
              <w:rPr>
                <w:rFonts w:hint="eastAsia" w:ascii="Arial" w:hAnsi="Arial" w:eastAsia="仿宋_GB2312" w:cs="Arial"/>
                <w:color w:val="auto"/>
                <w:sz w:val="20"/>
              </w:rPr>
              <w:t>3380</w:t>
            </w:r>
          </w:p>
        </w:tc>
        <w:tc>
          <w:tcPr>
            <w:tcW w:w="1326" w:type="dxa"/>
            <w:tcBorders>
              <w:top w:val="nil"/>
              <w:left w:val="nil"/>
              <w:bottom w:val="single" w:color="auto" w:sz="4" w:space="0"/>
              <w:right w:val="single" w:color="auto" w:sz="4" w:space="0"/>
            </w:tcBorders>
            <w:shd w:val="clear" w:color="auto" w:fill="auto"/>
            <w:vAlign w:val="center"/>
          </w:tcPr>
          <w:p w14:paraId="18E4D27F">
            <w:pPr>
              <w:spacing w:line="240" w:lineRule="auto"/>
              <w:jc w:val="center"/>
              <w:rPr>
                <w:rFonts w:ascii="Arial" w:hAnsi="Arial" w:eastAsia="仿宋_GB2312" w:cs="Arial"/>
                <w:color w:val="auto"/>
                <w:sz w:val="20"/>
              </w:rPr>
            </w:pPr>
            <w:r>
              <w:rPr>
                <w:rFonts w:hint="eastAsia" w:ascii="Arial" w:hAnsi="Arial" w:eastAsia="仿宋_GB2312" w:cs="Arial"/>
                <w:color w:val="auto"/>
                <w:sz w:val="20"/>
              </w:rPr>
              <w:t>3340</w:t>
            </w:r>
          </w:p>
        </w:tc>
        <w:tc>
          <w:tcPr>
            <w:tcW w:w="1326" w:type="dxa"/>
            <w:tcBorders>
              <w:top w:val="nil"/>
              <w:left w:val="nil"/>
              <w:bottom w:val="single" w:color="auto" w:sz="4" w:space="0"/>
              <w:right w:val="single" w:color="auto" w:sz="4" w:space="0"/>
            </w:tcBorders>
            <w:shd w:val="clear" w:color="auto" w:fill="auto"/>
            <w:vAlign w:val="center"/>
          </w:tcPr>
          <w:p w14:paraId="4408CDA0">
            <w:pPr>
              <w:spacing w:line="240" w:lineRule="auto"/>
              <w:jc w:val="center"/>
              <w:rPr>
                <w:rFonts w:ascii="Arial" w:hAnsi="Arial" w:eastAsia="仿宋_GB2312" w:cs="Arial"/>
                <w:color w:val="auto"/>
                <w:sz w:val="20"/>
              </w:rPr>
            </w:pPr>
            <w:r>
              <w:rPr>
                <w:rFonts w:hint="eastAsia" w:ascii="Arial" w:hAnsi="Arial" w:eastAsia="仿宋_GB2312" w:cs="Arial"/>
                <w:color w:val="auto"/>
                <w:sz w:val="20"/>
              </w:rPr>
              <w:t>3630</w:t>
            </w:r>
          </w:p>
        </w:tc>
        <w:tc>
          <w:tcPr>
            <w:tcW w:w="1326" w:type="dxa"/>
            <w:tcBorders>
              <w:top w:val="nil"/>
              <w:left w:val="nil"/>
              <w:bottom w:val="single" w:color="auto" w:sz="4" w:space="0"/>
              <w:right w:val="single" w:color="auto" w:sz="4" w:space="0"/>
            </w:tcBorders>
            <w:shd w:val="clear" w:color="auto" w:fill="auto"/>
            <w:vAlign w:val="center"/>
          </w:tcPr>
          <w:p w14:paraId="278448D1">
            <w:pPr>
              <w:spacing w:line="240" w:lineRule="auto"/>
              <w:jc w:val="center"/>
              <w:rPr>
                <w:rFonts w:ascii="Arial" w:hAnsi="Arial" w:eastAsia="仿宋_GB2312" w:cs="Arial"/>
                <w:color w:val="auto"/>
                <w:sz w:val="20"/>
              </w:rPr>
            </w:pPr>
            <w:r>
              <w:rPr>
                <w:rFonts w:hint="eastAsia" w:ascii="Arial" w:hAnsi="Arial" w:eastAsia="仿宋_GB2312" w:cs="Arial"/>
                <w:color w:val="auto"/>
                <w:sz w:val="20"/>
              </w:rPr>
              <w:t>730</w:t>
            </w:r>
          </w:p>
        </w:tc>
        <w:tc>
          <w:tcPr>
            <w:tcW w:w="1500" w:type="dxa"/>
            <w:tcBorders>
              <w:top w:val="nil"/>
              <w:left w:val="nil"/>
              <w:bottom w:val="single" w:color="auto" w:sz="4" w:space="0"/>
              <w:right w:val="single" w:color="auto" w:sz="4" w:space="0"/>
            </w:tcBorders>
            <w:shd w:val="clear" w:color="auto" w:fill="auto"/>
            <w:vAlign w:val="center"/>
          </w:tcPr>
          <w:p w14:paraId="103BCE24">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1990</w:t>
            </w:r>
          </w:p>
        </w:tc>
      </w:tr>
      <w:tr w14:paraId="5EDD2B82">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16DE531A">
            <w:pPr>
              <w:spacing w:line="240" w:lineRule="auto"/>
              <w:jc w:val="center"/>
              <w:rPr>
                <w:rFonts w:ascii="仿宋" w:hAnsi="仿宋" w:eastAsia="仿宋"/>
                <w:color w:val="auto"/>
                <w:sz w:val="20"/>
              </w:rPr>
            </w:pPr>
            <w:r>
              <w:rPr>
                <w:rFonts w:hint="eastAsia" w:ascii="仿宋" w:hAnsi="仿宋" w:eastAsia="仿宋"/>
                <w:color w:val="auto"/>
                <w:sz w:val="20"/>
              </w:rPr>
              <w:t>十一级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3D9877F6">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2230</w:t>
            </w:r>
          </w:p>
        </w:tc>
        <w:tc>
          <w:tcPr>
            <w:tcW w:w="1326" w:type="dxa"/>
            <w:tcBorders>
              <w:top w:val="nil"/>
              <w:left w:val="nil"/>
              <w:bottom w:val="single" w:color="auto" w:sz="4" w:space="0"/>
              <w:right w:val="single" w:color="auto" w:sz="4" w:space="0"/>
            </w:tcBorders>
            <w:shd w:val="clear" w:color="auto" w:fill="auto"/>
            <w:vAlign w:val="center"/>
          </w:tcPr>
          <w:p w14:paraId="7F31FAA3">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2200</w:t>
            </w:r>
          </w:p>
        </w:tc>
        <w:tc>
          <w:tcPr>
            <w:tcW w:w="1326" w:type="dxa"/>
            <w:tcBorders>
              <w:top w:val="nil"/>
              <w:left w:val="nil"/>
              <w:bottom w:val="single" w:color="auto" w:sz="4" w:space="0"/>
              <w:right w:val="single" w:color="auto" w:sz="4" w:space="0"/>
            </w:tcBorders>
            <w:shd w:val="clear" w:color="auto" w:fill="auto"/>
            <w:vAlign w:val="center"/>
          </w:tcPr>
          <w:p w14:paraId="68FBF35B">
            <w:pPr>
              <w:spacing w:line="240" w:lineRule="auto"/>
              <w:jc w:val="center"/>
              <w:rPr>
                <w:rFonts w:ascii="Arial" w:hAnsi="Arial" w:eastAsia="仿宋_GB2312" w:cs="Arial"/>
                <w:color w:val="auto"/>
                <w:sz w:val="20"/>
              </w:rPr>
            </w:pPr>
            <w:r>
              <w:rPr>
                <w:rFonts w:hint="eastAsia" w:ascii="Arial" w:hAnsi="Arial" w:eastAsia="仿宋_GB2312" w:cs="Arial"/>
                <w:color w:val="auto"/>
                <w:sz w:val="20"/>
              </w:rPr>
              <w:t>2180</w:t>
            </w:r>
          </w:p>
        </w:tc>
        <w:tc>
          <w:tcPr>
            <w:tcW w:w="1326" w:type="dxa"/>
            <w:tcBorders>
              <w:top w:val="nil"/>
              <w:left w:val="nil"/>
              <w:bottom w:val="single" w:color="auto" w:sz="4" w:space="0"/>
              <w:right w:val="single" w:color="auto" w:sz="4" w:space="0"/>
            </w:tcBorders>
            <w:shd w:val="clear" w:color="auto" w:fill="auto"/>
            <w:vAlign w:val="center"/>
          </w:tcPr>
          <w:p w14:paraId="1AED17AB">
            <w:pPr>
              <w:spacing w:line="240" w:lineRule="auto"/>
              <w:jc w:val="center"/>
              <w:rPr>
                <w:rFonts w:ascii="Arial" w:hAnsi="Arial" w:eastAsia="仿宋_GB2312" w:cs="Arial"/>
                <w:color w:val="auto"/>
                <w:sz w:val="20"/>
              </w:rPr>
            </w:pPr>
            <w:r>
              <w:rPr>
                <w:rFonts w:hint="eastAsia" w:ascii="Arial" w:hAnsi="Arial" w:eastAsia="仿宋_GB2312" w:cs="Arial"/>
                <w:color w:val="auto"/>
                <w:sz w:val="20"/>
              </w:rPr>
              <w:t>570</w:t>
            </w:r>
          </w:p>
        </w:tc>
        <w:tc>
          <w:tcPr>
            <w:tcW w:w="1500" w:type="dxa"/>
            <w:tcBorders>
              <w:top w:val="nil"/>
              <w:left w:val="nil"/>
              <w:bottom w:val="single" w:color="auto" w:sz="4" w:space="0"/>
              <w:right w:val="single" w:color="auto" w:sz="4" w:space="0"/>
            </w:tcBorders>
            <w:shd w:val="clear" w:color="auto" w:fill="auto"/>
            <w:vAlign w:val="center"/>
          </w:tcPr>
          <w:p w14:paraId="285E1C4F">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1330</w:t>
            </w:r>
          </w:p>
        </w:tc>
      </w:tr>
      <w:tr w14:paraId="31F6B67C">
        <w:tblPrEx>
          <w:tblCellMar>
            <w:top w:w="0" w:type="dxa"/>
            <w:left w:w="108" w:type="dxa"/>
            <w:bottom w:w="0" w:type="dxa"/>
            <w:right w:w="108" w:type="dxa"/>
          </w:tblCellMar>
        </w:tblPrEx>
        <w:trPr>
          <w:trHeight w:val="397" w:hRule="atLeast"/>
        </w:trPr>
        <w:tc>
          <w:tcPr>
            <w:tcW w:w="1573" w:type="dxa"/>
            <w:tcBorders>
              <w:top w:val="nil"/>
              <w:left w:val="single" w:color="auto" w:sz="4" w:space="0"/>
              <w:bottom w:val="single" w:color="auto" w:sz="4" w:space="0"/>
              <w:right w:val="single" w:color="auto" w:sz="4" w:space="0"/>
            </w:tcBorders>
            <w:shd w:val="clear" w:color="auto" w:fill="auto"/>
            <w:vAlign w:val="center"/>
          </w:tcPr>
          <w:p w14:paraId="478507C3">
            <w:pPr>
              <w:spacing w:line="240" w:lineRule="auto"/>
              <w:jc w:val="center"/>
              <w:rPr>
                <w:rFonts w:ascii="仿宋" w:hAnsi="仿宋" w:eastAsia="仿宋"/>
                <w:color w:val="auto"/>
                <w:sz w:val="20"/>
              </w:rPr>
            </w:pPr>
            <w:r>
              <w:rPr>
                <w:rFonts w:hint="eastAsia" w:ascii="仿宋" w:hAnsi="仿宋" w:eastAsia="仿宋"/>
                <w:color w:val="auto"/>
                <w:sz w:val="20"/>
              </w:rPr>
              <w:t>十二级</w:t>
            </w:r>
          </w:p>
        </w:tc>
        <w:tc>
          <w:tcPr>
            <w:tcW w:w="1326" w:type="dxa"/>
            <w:tcBorders>
              <w:top w:val="nil"/>
              <w:left w:val="single" w:color="auto" w:sz="4" w:space="0"/>
              <w:bottom w:val="single" w:color="auto" w:sz="4" w:space="0"/>
              <w:right w:val="single" w:color="auto" w:sz="4" w:space="0"/>
            </w:tcBorders>
            <w:shd w:val="clear" w:color="auto" w:fill="auto"/>
            <w:vAlign w:val="center"/>
          </w:tcPr>
          <w:p w14:paraId="67D87AC9">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1390</w:t>
            </w:r>
          </w:p>
        </w:tc>
        <w:tc>
          <w:tcPr>
            <w:tcW w:w="1326" w:type="dxa"/>
            <w:tcBorders>
              <w:top w:val="nil"/>
              <w:left w:val="nil"/>
              <w:bottom w:val="single" w:color="auto" w:sz="4" w:space="0"/>
              <w:right w:val="single" w:color="auto" w:sz="4" w:space="0"/>
            </w:tcBorders>
            <w:shd w:val="clear" w:color="auto" w:fill="auto"/>
            <w:vAlign w:val="center"/>
          </w:tcPr>
          <w:p w14:paraId="03820FE8">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1360</w:t>
            </w:r>
          </w:p>
        </w:tc>
        <w:tc>
          <w:tcPr>
            <w:tcW w:w="1326" w:type="dxa"/>
            <w:tcBorders>
              <w:top w:val="nil"/>
              <w:left w:val="nil"/>
              <w:bottom w:val="single" w:color="auto" w:sz="4" w:space="0"/>
              <w:right w:val="single" w:color="auto" w:sz="4" w:space="0"/>
            </w:tcBorders>
            <w:shd w:val="clear" w:color="auto" w:fill="auto"/>
            <w:vAlign w:val="center"/>
          </w:tcPr>
          <w:p w14:paraId="7EFC86FE">
            <w:pPr>
              <w:spacing w:line="240" w:lineRule="auto"/>
              <w:jc w:val="center"/>
              <w:rPr>
                <w:rFonts w:ascii="Arial" w:hAnsi="Arial" w:eastAsia="仿宋_GB2312" w:cs="Arial"/>
                <w:color w:val="auto"/>
                <w:sz w:val="20"/>
              </w:rPr>
            </w:pPr>
            <w:r>
              <w:rPr>
                <w:rFonts w:hint="eastAsia" w:ascii="Arial" w:hAnsi="Arial" w:eastAsia="仿宋_GB2312" w:cs="Arial"/>
                <w:color w:val="auto"/>
                <w:sz w:val="20"/>
              </w:rPr>
              <w:t>1340</w:t>
            </w:r>
          </w:p>
        </w:tc>
        <w:tc>
          <w:tcPr>
            <w:tcW w:w="1326" w:type="dxa"/>
            <w:tcBorders>
              <w:top w:val="nil"/>
              <w:left w:val="nil"/>
              <w:bottom w:val="single" w:color="auto" w:sz="4" w:space="0"/>
              <w:right w:val="single" w:color="auto" w:sz="4" w:space="0"/>
            </w:tcBorders>
            <w:shd w:val="clear" w:color="auto" w:fill="auto"/>
            <w:vAlign w:val="center"/>
          </w:tcPr>
          <w:p w14:paraId="3B96D06C">
            <w:pPr>
              <w:spacing w:line="240" w:lineRule="auto"/>
              <w:jc w:val="center"/>
              <w:rPr>
                <w:rFonts w:ascii="Arial" w:hAnsi="Arial" w:eastAsia="仿宋_GB2312" w:cs="Arial"/>
                <w:color w:val="auto"/>
                <w:sz w:val="20"/>
              </w:rPr>
            </w:pPr>
            <w:r>
              <w:rPr>
                <w:rFonts w:hint="eastAsia" w:ascii="Arial" w:hAnsi="Arial" w:eastAsia="仿宋_GB2312" w:cs="Arial"/>
                <w:color w:val="auto"/>
                <w:sz w:val="20"/>
              </w:rPr>
              <w:t>450</w:t>
            </w:r>
          </w:p>
        </w:tc>
        <w:tc>
          <w:tcPr>
            <w:tcW w:w="1500" w:type="dxa"/>
            <w:tcBorders>
              <w:top w:val="nil"/>
              <w:left w:val="nil"/>
              <w:bottom w:val="single" w:color="auto" w:sz="4" w:space="0"/>
              <w:right w:val="single" w:color="auto" w:sz="4" w:space="0"/>
            </w:tcBorders>
            <w:shd w:val="clear" w:color="auto" w:fill="auto"/>
            <w:vAlign w:val="center"/>
          </w:tcPr>
          <w:p w14:paraId="7916FC82">
            <w:pPr>
              <w:spacing w:line="240" w:lineRule="auto"/>
              <w:jc w:val="center"/>
              <w:rPr>
                <w:rFonts w:ascii="Arial" w:hAnsi="Arial" w:eastAsia="仿宋_GB2312" w:cs="Arial"/>
                <w:color w:val="auto"/>
                <w:sz w:val="20"/>
              </w:rPr>
            </w:pPr>
            <w:r>
              <w:rPr>
                <w:rFonts w:hint="eastAsia" w:ascii="Arial" w:hAnsi="Arial" w:eastAsia="仿宋_GB2312" w:cs="Arial"/>
                <w:color w:val="auto"/>
                <w:sz w:val="20"/>
              </w:rPr>
              <w:t>860</w:t>
            </w:r>
          </w:p>
        </w:tc>
      </w:tr>
    </w:tbl>
    <w:p w14:paraId="0F6CC9B4">
      <w:pPr>
        <w:adjustRightInd/>
        <w:spacing w:line="300" w:lineRule="auto"/>
        <w:ind w:firstLine="480" w:firstLineChars="200"/>
        <w:jc w:val="both"/>
        <w:rPr>
          <w:rFonts w:ascii="Arial" w:hAnsi="Arial" w:eastAsia="仿宋_GB2312" w:cs="Arial"/>
          <w:color w:val="auto"/>
          <w:sz w:val="28"/>
          <w:szCs w:val="28"/>
        </w:rPr>
      </w:pPr>
      <w:r>
        <w:rPr>
          <w:rFonts w:hint="eastAsia" w:ascii="Arial" w:hAnsi="Arial" w:eastAsia="仿宋_GB2312" w:cs="Arial"/>
          <w:color w:val="auto"/>
          <w:szCs w:val="24"/>
        </w:rPr>
        <w:t xml:space="preserve">基准期日：2021年1月1日             </w:t>
      </w:r>
      <w:r>
        <w:rPr>
          <w:rFonts w:hint="eastAsia" w:ascii="Arial" w:hAnsi="Arial" w:eastAsia="仿宋_GB2312" w:cs="Arial"/>
          <w:color w:val="auto"/>
          <w:szCs w:val="24"/>
        </w:rPr>
        <w:tab/>
      </w:r>
      <w:r>
        <w:rPr>
          <w:rFonts w:hint="eastAsia" w:ascii="Arial" w:hAnsi="Arial" w:eastAsia="仿宋_GB2312" w:cs="Arial"/>
          <w:color w:val="auto"/>
          <w:szCs w:val="24"/>
        </w:rPr>
        <w:tab/>
      </w:r>
      <w:r>
        <w:rPr>
          <w:rFonts w:hint="eastAsia" w:ascii="Arial" w:hAnsi="Arial" w:eastAsia="仿宋_GB2312" w:cs="Arial"/>
          <w:color w:val="auto"/>
          <w:szCs w:val="24"/>
        </w:rPr>
        <w:tab/>
      </w:r>
      <w:r>
        <w:rPr>
          <w:rFonts w:hint="eastAsia" w:ascii="Arial" w:hAnsi="Arial" w:eastAsia="仿宋_GB2312" w:cs="Arial"/>
          <w:color w:val="auto"/>
          <w:szCs w:val="24"/>
        </w:rPr>
        <w:t xml:space="preserve">       单位：元/平方米</w:t>
      </w:r>
    </w:p>
    <w:p w14:paraId="467221B7">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3）基准期日</w:t>
      </w:r>
    </w:p>
    <w:p w14:paraId="2B327210">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2021年1月1日。</w:t>
      </w:r>
    </w:p>
    <w:p w14:paraId="023D9399">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4）平均容积率</w:t>
      </w:r>
    </w:p>
    <w:p w14:paraId="028D5422">
      <w:pPr>
        <w:adjustRightInd/>
        <w:spacing w:line="300" w:lineRule="auto"/>
        <w:jc w:val="center"/>
        <w:rPr>
          <w:rFonts w:ascii="Arial" w:hAnsi="Arial" w:eastAsia="仿宋_GB2312" w:cs="Arial"/>
          <w:b/>
          <w:bCs/>
          <w:color w:val="auto"/>
          <w:sz w:val="28"/>
          <w:szCs w:val="28"/>
        </w:rPr>
      </w:pPr>
      <w:r>
        <w:rPr>
          <w:rFonts w:ascii="Arial" w:hAnsi="Arial" w:eastAsia="仿宋_GB2312" w:cs="Arial"/>
          <w:b/>
          <w:bCs/>
          <w:color w:val="auto"/>
          <w:sz w:val="28"/>
          <w:szCs w:val="28"/>
        </w:rPr>
        <w:t>北京市级别平均容积率表</w:t>
      </w:r>
    </w:p>
    <w:tbl>
      <w:tblPr>
        <w:tblStyle w:val="34"/>
        <w:tblW w:w="85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1"/>
        <w:gridCol w:w="1233"/>
        <w:gridCol w:w="1499"/>
        <w:gridCol w:w="1533"/>
        <w:gridCol w:w="1501"/>
        <w:gridCol w:w="1688"/>
      </w:tblGrid>
      <w:tr w14:paraId="53F93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2304" w:type="dxa"/>
            <w:gridSpan w:val="2"/>
            <w:tcBorders>
              <w:top w:val="single" w:color="auto" w:sz="4" w:space="0"/>
              <w:left w:val="single" w:color="auto" w:sz="4" w:space="0"/>
              <w:bottom w:val="single" w:color="auto" w:sz="4" w:space="0"/>
              <w:right w:val="single" w:color="auto" w:sz="4" w:space="0"/>
              <w:tl2br w:val="single" w:color="auto" w:sz="4" w:space="0"/>
            </w:tcBorders>
            <w:vAlign w:val="center"/>
          </w:tcPr>
          <w:p w14:paraId="2B632869">
            <w:pPr>
              <w:ind w:firstLine="46" w:firstLineChars="22"/>
              <w:jc w:val="right"/>
              <w:rPr>
                <w:rFonts w:ascii="仿宋" w:hAnsi="仿宋" w:eastAsia="仿宋"/>
                <w:color w:val="auto"/>
                <w:sz w:val="21"/>
                <w:szCs w:val="21"/>
              </w:rPr>
            </w:pPr>
            <w:r>
              <w:rPr>
                <w:rFonts w:hint="eastAsia" w:ascii="仿宋" w:hAnsi="仿宋" w:eastAsia="仿宋"/>
                <w:color w:val="auto"/>
                <w:sz w:val="21"/>
                <w:szCs w:val="21"/>
              </w:rPr>
              <w:t xml:space="preserve">土地级别 </w:t>
            </w:r>
          </w:p>
          <w:p w14:paraId="69793A74">
            <w:pPr>
              <w:rPr>
                <w:rFonts w:ascii="仿宋" w:hAnsi="仿宋" w:eastAsia="仿宋"/>
                <w:color w:val="auto"/>
                <w:sz w:val="21"/>
                <w:szCs w:val="21"/>
              </w:rPr>
            </w:pPr>
            <w:r>
              <w:rPr>
                <w:rFonts w:hint="eastAsia" w:ascii="仿宋" w:hAnsi="仿宋" w:eastAsia="仿宋"/>
                <w:color w:val="auto"/>
                <w:sz w:val="21"/>
                <w:szCs w:val="21"/>
              </w:rPr>
              <w:t>用途类别</w:t>
            </w:r>
          </w:p>
        </w:tc>
        <w:tc>
          <w:tcPr>
            <w:tcW w:w="1499" w:type="dxa"/>
            <w:tcBorders>
              <w:top w:val="single" w:color="auto" w:sz="4" w:space="0"/>
              <w:left w:val="single" w:color="auto" w:sz="4" w:space="0"/>
              <w:bottom w:val="single" w:color="auto" w:sz="4" w:space="0"/>
              <w:right w:val="single" w:color="auto" w:sz="4" w:space="0"/>
            </w:tcBorders>
            <w:vAlign w:val="center"/>
          </w:tcPr>
          <w:p w14:paraId="2EAE6CA5">
            <w:pPr>
              <w:jc w:val="center"/>
              <w:rPr>
                <w:rFonts w:ascii="仿宋" w:hAnsi="仿宋" w:eastAsia="仿宋"/>
                <w:color w:val="auto"/>
                <w:sz w:val="21"/>
                <w:szCs w:val="21"/>
              </w:rPr>
            </w:pPr>
            <w:r>
              <w:rPr>
                <w:rFonts w:hint="eastAsia" w:ascii="仿宋" w:hAnsi="仿宋" w:eastAsia="仿宋"/>
                <w:color w:val="auto"/>
                <w:sz w:val="21"/>
                <w:szCs w:val="21"/>
              </w:rPr>
              <w:t>一级至二级</w:t>
            </w:r>
          </w:p>
        </w:tc>
        <w:tc>
          <w:tcPr>
            <w:tcW w:w="1533" w:type="dxa"/>
            <w:tcBorders>
              <w:top w:val="single" w:color="auto" w:sz="4" w:space="0"/>
              <w:left w:val="single" w:color="auto" w:sz="4" w:space="0"/>
              <w:bottom w:val="single" w:color="auto" w:sz="4" w:space="0"/>
              <w:right w:val="single" w:color="auto" w:sz="4" w:space="0"/>
            </w:tcBorders>
            <w:vAlign w:val="center"/>
          </w:tcPr>
          <w:p w14:paraId="2175E384">
            <w:pPr>
              <w:jc w:val="center"/>
              <w:rPr>
                <w:rFonts w:ascii="仿宋" w:hAnsi="仿宋" w:eastAsia="仿宋"/>
                <w:color w:val="auto"/>
                <w:sz w:val="21"/>
                <w:szCs w:val="21"/>
              </w:rPr>
            </w:pPr>
            <w:r>
              <w:rPr>
                <w:rFonts w:hint="eastAsia" w:ascii="仿宋" w:hAnsi="仿宋" w:eastAsia="仿宋"/>
                <w:color w:val="auto"/>
                <w:sz w:val="21"/>
                <w:szCs w:val="21"/>
              </w:rPr>
              <w:t>三级至五级</w:t>
            </w:r>
          </w:p>
        </w:tc>
        <w:tc>
          <w:tcPr>
            <w:tcW w:w="1501" w:type="dxa"/>
            <w:tcBorders>
              <w:top w:val="single" w:color="auto" w:sz="4" w:space="0"/>
              <w:left w:val="single" w:color="auto" w:sz="4" w:space="0"/>
              <w:bottom w:val="single" w:color="auto" w:sz="4" w:space="0"/>
              <w:right w:val="single" w:color="auto" w:sz="4" w:space="0"/>
            </w:tcBorders>
            <w:vAlign w:val="center"/>
          </w:tcPr>
          <w:p w14:paraId="1663DD71">
            <w:pPr>
              <w:jc w:val="center"/>
              <w:rPr>
                <w:rFonts w:ascii="仿宋" w:hAnsi="仿宋" w:eastAsia="仿宋"/>
                <w:color w:val="auto"/>
                <w:sz w:val="21"/>
                <w:szCs w:val="21"/>
              </w:rPr>
            </w:pPr>
            <w:r>
              <w:rPr>
                <w:rFonts w:hint="eastAsia" w:ascii="仿宋" w:hAnsi="仿宋" w:eastAsia="仿宋"/>
                <w:color w:val="auto"/>
                <w:sz w:val="21"/>
                <w:szCs w:val="21"/>
              </w:rPr>
              <w:t>六级至七级</w:t>
            </w:r>
          </w:p>
        </w:tc>
        <w:tc>
          <w:tcPr>
            <w:tcW w:w="1688" w:type="dxa"/>
            <w:tcBorders>
              <w:top w:val="single" w:color="auto" w:sz="4" w:space="0"/>
              <w:left w:val="single" w:color="auto" w:sz="4" w:space="0"/>
              <w:bottom w:val="single" w:color="auto" w:sz="4" w:space="0"/>
              <w:right w:val="single" w:color="auto" w:sz="4" w:space="0"/>
            </w:tcBorders>
            <w:vAlign w:val="center"/>
          </w:tcPr>
          <w:p w14:paraId="7CE90664">
            <w:pPr>
              <w:jc w:val="center"/>
              <w:rPr>
                <w:rFonts w:ascii="仿宋" w:hAnsi="仿宋" w:eastAsia="仿宋"/>
                <w:color w:val="auto"/>
                <w:sz w:val="21"/>
                <w:szCs w:val="21"/>
              </w:rPr>
            </w:pPr>
            <w:r>
              <w:rPr>
                <w:rFonts w:hint="eastAsia" w:ascii="仿宋" w:hAnsi="仿宋" w:eastAsia="仿宋"/>
                <w:color w:val="auto"/>
                <w:sz w:val="21"/>
                <w:szCs w:val="21"/>
              </w:rPr>
              <w:t>八级至十二级</w:t>
            </w:r>
          </w:p>
        </w:tc>
      </w:tr>
      <w:tr w14:paraId="3A357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2304" w:type="dxa"/>
            <w:gridSpan w:val="2"/>
            <w:tcBorders>
              <w:top w:val="single" w:color="auto" w:sz="4" w:space="0"/>
              <w:left w:val="single" w:color="auto" w:sz="4" w:space="0"/>
              <w:bottom w:val="single" w:color="auto" w:sz="4" w:space="0"/>
              <w:right w:val="single" w:color="auto" w:sz="4" w:space="0"/>
            </w:tcBorders>
            <w:vAlign w:val="center"/>
          </w:tcPr>
          <w:p w14:paraId="6E5445C0">
            <w:pPr>
              <w:jc w:val="center"/>
              <w:rPr>
                <w:rFonts w:ascii="仿宋" w:hAnsi="仿宋" w:eastAsia="仿宋"/>
                <w:color w:val="auto"/>
                <w:sz w:val="21"/>
                <w:szCs w:val="21"/>
              </w:rPr>
            </w:pPr>
            <w:r>
              <w:rPr>
                <w:rFonts w:hint="eastAsia" w:ascii="仿宋" w:hAnsi="仿宋" w:eastAsia="仿宋"/>
                <w:color w:val="auto"/>
                <w:sz w:val="21"/>
                <w:szCs w:val="21"/>
              </w:rPr>
              <w:t>商业类</w:t>
            </w:r>
          </w:p>
        </w:tc>
        <w:tc>
          <w:tcPr>
            <w:tcW w:w="1499" w:type="dxa"/>
            <w:tcBorders>
              <w:top w:val="single" w:color="auto" w:sz="4" w:space="0"/>
              <w:left w:val="single" w:color="auto" w:sz="4" w:space="0"/>
              <w:bottom w:val="single" w:color="auto" w:sz="4" w:space="0"/>
              <w:right w:val="single" w:color="auto" w:sz="4" w:space="0"/>
            </w:tcBorders>
            <w:vAlign w:val="center"/>
          </w:tcPr>
          <w:p w14:paraId="1699E8B4">
            <w:pPr>
              <w:jc w:val="center"/>
              <w:rPr>
                <w:rFonts w:ascii="Arial" w:hAnsi="Arial" w:eastAsia="仿宋_GB2312" w:cs="Arial"/>
                <w:color w:val="auto"/>
                <w:sz w:val="21"/>
                <w:szCs w:val="21"/>
              </w:rPr>
            </w:pPr>
            <w:r>
              <w:rPr>
                <w:rFonts w:hint="eastAsia" w:ascii="Arial" w:hAnsi="Arial" w:eastAsia="仿宋_GB2312" w:cs="Arial"/>
                <w:color w:val="auto"/>
                <w:sz w:val="21"/>
                <w:szCs w:val="21"/>
              </w:rPr>
              <w:t>3.5</w:t>
            </w:r>
          </w:p>
        </w:tc>
        <w:tc>
          <w:tcPr>
            <w:tcW w:w="3034" w:type="dxa"/>
            <w:gridSpan w:val="2"/>
            <w:tcBorders>
              <w:top w:val="single" w:color="auto" w:sz="4" w:space="0"/>
              <w:left w:val="single" w:color="auto" w:sz="4" w:space="0"/>
              <w:bottom w:val="single" w:color="auto" w:sz="4" w:space="0"/>
              <w:right w:val="single" w:color="auto" w:sz="4" w:space="0"/>
            </w:tcBorders>
            <w:vAlign w:val="center"/>
          </w:tcPr>
          <w:p w14:paraId="0E6E5C03">
            <w:pPr>
              <w:jc w:val="center"/>
              <w:rPr>
                <w:rFonts w:ascii="Arial" w:hAnsi="Arial" w:eastAsia="仿宋_GB2312" w:cs="Arial"/>
                <w:color w:val="auto"/>
                <w:sz w:val="21"/>
                <w:szCs w:val="21"/>
              </w:rPr>
            </w:pPr>
            <w:r>
              <w:rPr>
                <w:rFonts w:hint="eastAsia" w:ascii="Arial" w:hAnsi="Arial" w:eastAsia="仿宋_GB2312" w:cs="Arial"/>
                <w:color w:val="auto"/>
                <w:sz w:val="21"/>
                <w:szCs w:val="21"/>
              </w:rPr>
              <w:t>2.5</w:t>
            </w:r>
          </w:p>
        </w:tc>
        <w:tc>
          <w:tcPr>
            <w:tcW w:w="1688" w:type="dxa"/>
            <w:tcBorders>
              <w:top w:val="single" w:color="auto" w:sz="4" w:space="0"/>
              <w:left w:val="single" w:color="auto" w:sz="4" w:space="0"/>
              <w:bottom w:val="single" w:color="auto" w:sz="4" w:space="0"/>
              <w:right w:val="single" w:color="auto" w:sz="4" w:space="0"/>
            </w:tcBorders>
            <w:vAlign w:val="center"/>
          </w:tcPr>
          <w:p w14:paraId="17E9465C">
            <w:pPr>
              <w:jc w:val="center"/>
              <w:rPr>
                <w:rFonts w:ascii="Arial" w:hAnsi="Arial" w:eastAsia="仿宋_GB2312" w:cs="Arial"/>
                <w:color w:val="auto"/>
                <w:sz w:val="21"/>
                <w:szCs w:val="21"/>
              </w:rPr>
            </w:pPr>
            <w:r>
              <w:rPr>
                <w:rFonts w:hint="eastAsia" w:ascii="Arial" w:hAnsi="Arial" w:eastAsia="仿宋_GB2312" w:cs="Arial"/>
                <w:color w:val="auto"/>
                <w:sz w:val="21"/>
                <w:szCs w:val="21"/>
              </w:rPr>
              <w:t>2.0</w:t>
            </w:r>
          </w:p>
        </w:tc>
      </w:tr>
      <w:tr w14:paraId="72E8E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2304" w:type="dxa"/>
            <w:gridSpan w:val="2"/>
            <w:tcBorders>
              <w:top w:val="single" w:color="auto" w:sz="4" w:space="0"/>
              <w:left w:val="single" w:color="auto" w:sz="4" w:space="0"/>
              <w:bottom w:val="single" w:color="auto" w:sz="4" w:space="0"/>
              <w:right w:val="single" w:color="auto" w:sz="4" w:space="0"/>
            </w:tcBorders>
            <w:vAlign w:val="center"/>
          </w:tcPr>
          <w:p w14:paraId="42809A27">
            <w:pPr>
              <w:jc w:val="center"/>
              <w:rPr>
                <w:rFonts w:ascii="仿宋" w:hAnsi="仿宋" w:eastAsia="仿宋"/>
                <w:color w:val="auto"/>
                <w:sz w:val="21"/>
                <w:szCs w:val="21"/>
              </w:rPr>
            </w:pPr>
            <w:r>
              <w:rPr>
                <w:rFonts w:hint="eastAsia" w:ascii="仿宋" w:hAnsi="仿宋" w:eastAsia="仿宋"/>
                <w:color w:val="auto"/>
                <w:sz w:val="21"/>
                <w:szCs w:val="21"/>
              </w:rPr>
              <w:t>办公类</w:t>
            </w:r>
          </w:p>
        </w:tc>
        <w:tc>
          <w:tcPr>
            <w:tcW w:w="1499" w:type="dxa"/>
            <w:tcBorders>
              <w:top w:val="single" w:color="auto" w:sz="4" w:space="0"/>
              <w:left w:val="single" w:color="auto" w:sz="4" w:space="0"/>
              <w:bottom w:val="single" w:color="auto" w:sz="4" w:space="0"/>
              <w:right w:val="single" w:color="auto" w:sz="4" w:space="0"/>
            </w:tcBorders>
            <w:vAlign w:val="center"/>
          </w:tcPr>
          <w:p w14:paraId="35AFDE81">
            <w:pPr>
              <w:jc w:val="center"/>
              <w:rPr>
                <w:rFonts w:ascii="Arial" w:hAnsi="Arial" w:eastAsia="仿宋_GB2312" w:cs="Arial"/>
                <w:color w:val="auto"/>
                <w:sz w:val="21"/>
                <w:szCs w:val="21"/>
              </w:rPr>
            </w:pPr>
            <w:r>
              <w:rPr>
                <w:rFonts w:hint="eastAsia" w:ascii="Arial" w:hAnsi="Arial" w:eastAsia="仿宋_GB2312" w:cs="Arial"/>
                <w:color w:val="auto"/>
                <w:sz w:val="21"/>
                <w:szCs w:val="21"/>
              </w:rPr>
              <w:t>3.5</w:t>
            </w:r>
          </w:p>
        </w:tc>
        <w:tc>
          <w:tcPr>
            <w:tcW w:w="3034" w:type="dxa"/>
            <w:gridSpan w:val="2"/>
            <w:tcBorders>
              <w:top w:val="single" w:color="auto" w:sz="4" w:space="0"/>
              <w:left w:val="single" w:color="auto" w:sz="4" w:space="0"/>
              <w:bottom w:val="single" w:color="auto" w:sz="4" w:space="0"/>
              <w:right w:val="single" w:color="auto" w:sz="4" w:space="0"/>
            </w:tcBorders>
            <w:vAlign w:val="center"/>
          </w:tcPr>
          <w:p w14:paraId="02DEE378">
            <w:pPr>
              <w:jc w:val="center"/>
              <w:rPr>
                <w:rFonts w:ascii="Arial" w:hAnsi="Arial" w:eastAsia="仿宋_GB2312" w:cs="Arial"/>
                <w:color w:val="auto"/>
                <w:sz w:val="21"/>
                <w:szCs w:val="21"/>
              </w:rPr>
            </w:pPr>
            <w:r>
              <w:rPr>
                <w:rFonts w:hint="eastAsia" w:ascii="Arial" w:hAnsi="Arial" w:eastAsia="仿宋_GB2312" w:cs="Arial"/>
                <w:color w:val="auto"/>
                <w:sz w:val="21"/>
                <w:szCs w:val="21"/>
              </w:rPr>
              <w:t>2.5</w:t>
            </w:r>
          </w:p>
        </w:tc>
        <w:tc>
          <w:tcPr>
            <w:tcW w:w="1688" w:type="dxa"/>
            <w:tcBorders>
              <w:top w:val="single" w:color="auto" w:sz="4" w:space="0"/>
              <w:left w:val="single" w:color="auto" w:sz="4" w:space="0"/>
              <w:bottom w:val="single" w:color="auto" w:sz="4" w:space="0"/>
              <w:right w:val="single" w:color="auto" w:sz="4" w:space="0"/>
            </w:tcBorders>
            <w:vAlign w:val="center"/>
          </w:tcPr>
          <w:p w14:paraId="16E1841F">
            <w:pPr>
              <w:jc w:val="center"/>
              <w:rPr>
                <w:rFonts w:ascii="Arial" w:hAnsi="Arial" w:eastAsia="仿宋_GB2312" w:cs="Arial"/>
                <w:color w:val="auto"/>
                <w:sz w:val="21"/>
                <w:szCs w:val="21"/>
              </w:rPr>
            </w:pPr>
            <w:r>
              <w:rPr>
                <w:rFonts w:hint="eastAsia" w:ascii="Arial" w:hAnsi="Arial" w:eastAsia="仿宋_GB2312" w:cs="Arial"/>
                <w:color w:val="auto"/>
                <w:sz w:val="21"/>
                <w:szCs w:val="21"/>
              </w:rPr>
              <w:t>2.0</w:t>
            </w:r>
          </w:p>
        </w:tc>
      </w:tr>
      <w:tr w14:paraId="34BC0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2304" w:type="dxa"/>
            <w:gridSpan w:val="2"/>
            <w:tcBorders>
              <w:top w:val="single" w:color="auto" w:sz="4" w:space="0"/>
              <w:left w:val="single" w:color="auto" w:sz="4" w:space="0"/>
              <w:bottom w:val="single" w:color="auto" w:sz="4" w:space="0"/>
              <w:right w:val="single" w:color="auto" w:sz="4" w:space="0"/>
            </w:tcBorders>
            <w:vAlign w:val="center"/>
          </w:tcPr>
          <w:p w14:paraId="79D0C4A5">
            <w:pPr>
              <w:jc w:val="center"/>
              <w:rPr>
                <w:rFonts w:ascii="仿宋" w:hAnsi="仿宋" w:eastAsia="仿宋"/>
                <w:color w:val="auto"/>
                <w:sz w:val="21"/>
                <w:szCs w:val="21"/>
              </w:rPr>
            </w:pPr>
            <w:r>
              <w:rPr>
                <w:rFonts w:hint="eastAsia" w:ascii="仿宋" w:hAnsi="仿宋" w:eastAsia="仿宋"/>
                <w:color w:val="auto"/>
                <w:sz w:val="21"/>
                <w:szCs w:val="21"/>
              </w:rPr>
              <w:t>住宅类</w:t>
            </w:r>
          </w:p>
        </w:tc>
        <w:tc>
          <w:tcPr>
            <w:tcW w:w="4533" w:type="dxa"/>
            <w:gridSpan w:val="3"/>
            <w:tcBorders>
              <w:top w:val="single" w:color="auto" w:sz="4" w:space="0"/>
              <w:left w:val="single" w:color="auto" w:sz="4" w:space="0"/>
              <w:bottom w:val="single" w:color="auto" w:sz="4" w:space="0"/>
              <w:right w:val="single" w:color="auto" w:sz="4" w:space="0"/>
            </w:tcBorders>
            <w:vAlign w:val="center"/>
          </w:tcPr>
          <w:p w14:paraId="5298743E">
            <w:pPr>
              <w:jc w:val="center"/>
              <w:rPr>
                <w:rFonts w:ascii="Arial" w:hAnsi="Arial" w:eastAsia="仿宋_GB2312" w:cs="Arial"/>
                <w:color w:val="auto"/>
                <w:sz w:val="21"/>
                <w:szCs w:val="21"/>
              </w:rPr>
            </w:pPr>
            <w:r>
              <w:rPr>
                <w:rFonts w:hint="eastAsia" w:ascii="Arial" w:hAnsi="Arial" w:eastAsia="仿宋_GB2312" w:cs="Arial"/>
                <w:color w:val="auto"/>
                <w:sz w:val="21"/>
                <w:szCs w:val="21"/>
              </w:rPr>
              <w:t>2.5</w:t>
            </w:r>
          </w:p>
        </w:tc>
        <w:tc>
          <w:tcPr>
            <w:tcW w:w="1688" w:type="dxa"/>
            <w:tcBorders>
              <w:top w:val="single" w:color="auto" w:sz="4" w:space="0"/>
              <w:left w:val="single" w:color="auto" w:sz="4" w:space="0"/>
              <w:bottom w:val="single" w:color="auto" w:sz="4" w:space="0"/>
              <w:right w:val="single" w:color="auto" w:sz="4" w:space="0"/>
            </w:tcBorders>
            <w:vAlign w:val="center"/>
          </w:tcPr>
          <w:p w14:paraId="54E95FF6">
            <w:pPr>
              <w:jc w:val="center"/>
              <w:rPr>
                <w:rFonts w:ascii="Arial" w:hAnsi="Arial" w:eastAsia="仿宋_GB2312" w:cs="Arial"/>
                <w:color w:val="auto"/>
                <w:sz w:val="21"/>
                <w:szCs w:val="21"/>
              </w:rPr>
            </w:pPr>
            <w:r>
              <w:rPr>
                <w:rFonts w:hint="eastAsia" w:ascii="Arial" w:hAnsi="Arial" w:eastAsia="仿宋_GB2312" w:cs="Arial"/>
                <w:color w:val="auto"/>
                <w:sz w:val="21"/>
                <w:szCs w:val="21"/>
              </w:rPr>
              <w:t>1.5</w:t>
            </w:r>
          </w:p>
        </w:tc>
      </w:tr>
      <w:tr w14:paraId="5C2CE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2" w:hRule="atLeast"/>
          <w:jc w:val="center"/>
        </w:trPr>
        <w:tc>
          <w:tcPr>
            <w:tcW w:w="1071" w:type="dxa"/>
            <w:vMerge w:val="restart"/>
            <w:tcBorders>
              <w:top w:val="single" w:color="auto" w:sz="4" w:space="0"/>
              <w:left w:val="single" w:color="auto" w:sz="4" w:space="0"/>
              <w:right w:val="single" w:color="auto" w:sz="4" w:space="0"/>
            </w:tcBorders>
            <w:vAlign w:val="center"/>
          </w:tcPr>
          <w:p w14:paraId="375DED92">
            <w:pPr>
              <w:jc w:val="center"/>
              <w:rPr>
                <w:rFonts w:ascii="仿宋" w:hAnsi="仿宋" w:eastAsia="仿宋"/>
                <w:color w:val="auto"/>
                <w:sz w:val="21"/>
                <w:szCs w:val="21"/>
              </w:rPr>
            </w:pPr>
            <w:r>
              <w:rPr>
                <w:rFonts w:hint="eastAsia" w:ascii="仿宋" w:hAnsi="仿宋" w:eastAsia="仿宋"/>
                <w:color w:val="auto"/>
                <w:sz w:val="21"/>
                <w:szCs w:val="21"/>
              </w:rPr>
              <w:t>工业类</w:t>
            </w:r>
          </w:p>
        </w:tc>
        <w:tc>
          <w:tcPr>
            <w:tcW w:w="1233" w:type="dxa"/>
            <w:tcBorders>
              <w:top w:val="single" w:color="auto" w:sz="4" w:space="0"/>
              <w:left w:val="single" w:color="auto" w:sz="4" w:space="0"/>
              <w:bottom w:val="single" w:color="auto" w:sz="4" w:space="0"/>
              <w:right w:val="single" w:color="auto" w:sz="4" w:space="0"/>
            </w:tcBorders>
            <w:vAlign w:val="center"/>
          </w:tcPr>
          <w:p w14:paraId="576BC732">
            <w:pPr>
              <w:jc w:val="center"/>
              <w:rPr>
                <w:rFonts w:ascii="Arial" w:hAnsi="Arial" w:eastAsia="仿宋_GB2312" w:cs="Arial"/>
                <w:color w:val="auto"/>
                <w:sz w:val="21"/>
                <w:szCs w:val="21"/>
              </w:rPr>
            </w:pPr>
            <w:r>
              <w:rPr>
                <w:rFonts w:hint="eastAsia" w:ascii="Arial" w:hAnsi="Arial" w:eastAsia="仿宋_GB2312" w:cs="Arial"/>
                <w:color w:val="auto"/>
                <w:sz w:val="21"/>
                <w:szCs w:val="21"/>
              </w:rPr>
              <w:t>M4</w:t>
            </w:r>
          </w:p>
        </w:tc>
        <w:tc>
          <w:tcPr>
            <w:tcW w:w="1499" w:type="dxa"/>
            <w:tcBorders>
              <w:top w:val="single" w:color="auto" w:sz="4" w:space="0"/>
              <w:left w:val="single" w:color="auto" w:sz="4" w:space="0"/>
              <w:bottom w:val="single" w:color="auto" w:sz="4" w:space="0"/>
              <w:right w:val="single" w:color="auto" w:sz="4" w:space="0"/>
            </w:tcBorders>
            <w:vAlign w:val="center"/>
          </w:tcPr>
          <w:p w14:paraId="0C54E14B">
            <w:pPr>
              <w:jc w:val="center"/>
              <w:rPr>
                <w:rFonts w:ascii="Arial" w:hAnsi="Arial" w:eastAsia="仿宋_GB2312" w:cs="Arial"/>
                <w:color w:val="auto"/>
                <w:sz w:val="21"/>
                <w:szCs w:val="21"/>
              </w:rPr>
            </w:pPr>
            <w:r>
              <w:rPr>
                <w:rFonts w:hint="eastAsia" w:ascii="Arial" w:hAnsi="Arial" w:eastAsia="仿宋_GB2312" w:cs="Arial"/>
                <w:color w:val="auto"/>
                <w:sz w:val="21"/>
                <w:szCs w:val="21"/>
              </w:rPr>
              <w:t>2.5</w:t>
            </w:r>
          </w:p>
        </w:tc>
        <w:tc>
          <w:tcPr>
            <w:tcW w:w="3034" w:type="dxa"/>
            <w:gridSpan w:val="2"/>
            <w:tcBorders>
              <w:top w:val="single" w:color="auto" w:sz="4" w:space="0"/>
              <w:left w:val="single" w:color="auto" w:sz="4" w:space="0"/>
              <w:bottom w:val="single" w:color="auto" w:sz="4" w:space="0"/>
              <w:right w:val="single" w:color="auto" w:sz="4" w:space="0"/>
            </w:tcBorders>
            <w:vAlign w:val="center"/>
          </w:tcPr>
          <w:p w14:paraId="5B506B0C">
            <w:pPr>
              <w:jc w:val="center"/>
              <w:rPr>
                <w:rFonts w:ascii="Arial" w:hAnsi="Arial" w:eastAsia="仿宋_GB2312" w:cs="Arial"/>
                <w:color w:val="auto"/>
                <w:sz w:val="21"/>
                <w:szCs w:val="21"/>
              </w:rPr>
            </w:pPr>
            <w:r>
              <w:rPr>
                <w:rFonts w:hint="eastAsia" w:ascii="Arial" w:hAnsi="Arial" w:eastAsia="仿宋_GB2312" w:cs="Arial"/>
                <w:color w:val="auto"/>
                <w:sz w:val="21"/>
                <w:szCs w:val="21"/>
              </w:rPr>
              <w:t>2.0</w:t>
            </w:r>
          </w:p>
        </w:tc>
        <w:tc>
          <w:tcPr>
            <w:tcW w:w="1688" w:type="dxa"/>
            <w:tcBorders>
              <w:top w:val="single" w:color="auto" w:sz="4" w:space="0"/>
              <w:left w:val="single" w:color="auto" w:sz="4" w:space="0"/>
              <w:bottom w:val="single" w:color="auto" w:sz="4" w:space="0"/>
              <w:right w:val="single" w:color="auto" w:sz="4" w:space="0"/>
            </w:tcBorders>
            <w:vAlign w:val="center"/>
          </w:tcPr>
          <w:p w14:paraId="454183EF">
            <w:pPr>
              <w:jc w:val="center"/>
              <w:rPr>
                <w:rFonts w:ascii="Arial" w:hAnsi="Arial" w:eastAsia="仿宋_GB2312" w:cs="Arial"/>
                <w:color w:val="auto"/>
                <w:sz w:val="21"/>
                <w:szCs w:val="21"/>
              </w:rPr>
            </w:pPr>
            <w:r>
              <w:rPr>
                <w:rFonts w:hint="eastAsia" w:ascii="Arial" w:hAnsi="Arial" w:eastAsia="仿宋_GB2312" w:cs="Arial"/>
                <w:color w:val="auto"/>
                <w:sz w:val="21"/>
                <w:szCs w:val="21"/>
              </w:rPr>
              <w:t>1.5</w:t>
            </w:r>
          </w:p>
        </w:tc>
      </w:tr>
      <w:tr w14:paraId="1C70E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1071" w:type="dxa"/>
            <w:vMerge w:val="continue"/>
            <w:tcBorders>
              <w:left w:val="single" w:color="auto" w:sz="4" w:space="0"/>
              <w:bottom w:val="single" w:color="auto" w:sz="4" w:space="0"/>
              <w:right w:val="single" w:color="auto" w:sz="4" w:space="0"/>
            </w:tcBorders>
            <w:vAlign w:val="center"/>
          </w:tcPr>
          <w:p w14:paraId="748CABAF">
            <w:pPr>
              <w:jc w:val="center"/>
              <w:rPr>
                <w:rFonts w:ascii="仿宋" w:hAnsi="仿宋" w:eastAsia="仿宋"/>
                <w:color w:val="auto"/>
                <w:sz w:val="21"/>
                <w:szCs w:val="21"/>
              </w:rPr>
            </w:pPr>
          </w:p>
        </w:tc>
        <w:tc>
          <w:tcPr>
            <w:tcW w:w="1233" w:type="dxa"/>
            <w:tcBorders>
              <w:top w:val="single" w:color="auto" w:sz="4" w:space="0"/>
              <w:left w:val="single" w:color="auto" w:sz="4" w:space="0"/>
              <w:bottom w:val="single" w:color="auto" w:sz="4" w:space="0"/>
              <w:right w:val="single" w:color="auto" w:sz="4" w:space="0"/>
            </w:tcBorders>
            <w:vAlign w:val="center"/>
          </w:tcPr>
          <w:p w14:paraId="5A27BE98">
            <w:pPr>
              <w:jc w:val="center"/>
              <w:rPr>
                <w:rFonts w:ascii="仿宋" w:hAnsi="仿宋" w:eastAsia="仿宋"/>
                <w:color w:val="auto"/>
                <w:sz w:val="21"/>
                <w:szCs w:val="21"/>
              </w:rPr>
            </w:pPr>
            <w:r>
              <w:rPr>
                <w:rFonts w:hint="eastAsia" w:ascii="仿宋" w:hAnsi="仿宋" w:eastAsia="仿宋"/>
                <w:color w:val="auto"/>
                <w:sz w:val="21"/>
                <w:szCs w:val="21"/>
              </w:rPr>
              <w:t>一般类</w:t>
            </w:r>
          </w:p>
        </w:tc>
        <w:tc>
          <w:tcPr>
            <w:tcW w:w="3032" w:type="dxa"/>
            <w:gridSpan w:val="2"/>
            <w:tcBorders>
              <w:top w:val="single" w:color="auto" w:sz="4" w:space="0"/>
              <w:left w:val="single" w:color="auto" w:sz="4" w:space="0"/>
              <w:bottom w:val="single" w:color="auto" w:sz="4" w:space="0"/>
              <w:right w:val="single" w:color="auto" w:sz="4" w:space="0"/>
            </w:tcBorders>
            <w:vAlign w:val="center"/>
          </w:tcPr>
          <w:p w14:paraId="0375E39D">
            <w:pPr>
              <w:jc w:val="center"/>
              <w:rPr>
                <w:rFonts w:ascii="Arial" w:hAnsi="Arial" w:eastAsia="仿宋_GB2312" w:cs="Arial"/>
                <w:color w:val="auto"/>
                <w:sz w:val="21"/>
                <w:szCs w:val="21"/>
              </w:rPr>
            </w:pPr>
            <w:r>
              <w:rPr>
                <w:rFonts w:hint="eastAsia" w:ascii="Arial" w:hAnsi="Arial" w:eastAsia="仿宋_GB2312" w:cs="Arial"/>
                <w:color w:val="auto"/>
                <w:sz w:val="21"/>
                <w:szCs w:val="21"/>
              </w:rPr>
              <w:t>1.5</w:t>
            </w:r>
          </w:p>
        </w:tc>
        <w:tc>
          <w:tcPr>
            <w:tcW w:w="1501" w:type="dxa"/>
            <w:tcBorders>
              <w:top w:val="single" w:color="auto" w:sz="4" w:space="0"/>
              <w:left w:val="single" w:color="auto" w:sz="4" w:space="0"/>
              <w:bottom w:val="single" w:color="auto" w:sz="4" w:space="0"/>
              <w:right w:val="single" w:color="auto" w:sz="4" w:space="0"/>
            </w:tcBorders>
            <w:vAlign w:val="center"/>
          </w:tcPr>
          <w:p w14:paraId="5AA2C59F">
            <w:pPr>
              <w:jc w:val="center"/>
              <w:rPr>
                <w:rFonts w:ascii="Arial" w:hAnsi="Arial" w:eastAsia="仿宋_GB2312" w:cs="Arial"/>
                <w:color w:val="auto"/>
                <w:sz w:val="21"/>
                <w:szCs w:val="21"/>
              </w:rPr>
            </w:pPr>
            <w:r>
              <w:rPr>
                <w:rFonts w:hint="eastAsia" w:ascii="Arial" w:hAnsi="Arial" w:eastAsia="仿宋_GB2312" w:cs="Arial"/>
                <w:color w:val="auto"/>
                <w:sz w:val="21"/>
                <w:szCs w:val="21"/>
              </w:rPr>
              <w:t>1.2</w:t>
            </w:r>
          </w:p>
        </w:tc>
        <w:tc>
          <w:tcPr>
            <w:tcW w:w="1688" w:type="dxa"/>
            <w:tcBorders>
              <w:top w:val="single" w:color="auto" w:sz="4" w:space="0"/>
              <w:left w:val="single" w:color="auto" w:sz="4" w:space="0"/>
              <w:bottom w:val="single" w:color="auto" w:sz="4" w:space="0"/>
              <w:right w:val="single" w:color="auto" w:sz="4" w:space="0"/>
            </w:tcBorders>
            <w:vAlign w:val="center"/>
          </w:tcPr>
          <w:p w14:paraId="03EB4CE6">
            <w:pPr>
              <w:jc w:val="center"/>
              <w:rPr>
                <w:rFonts w:ascii="Arial" w:hAnsi="Arial" w:eastAsia="仿宋_GB2312" w:cs="Arial"/>
                <w:color w:val="auto"/>
                <w:sz w:val="21"/>
                <w:szCs w:val="21"/>
              </w:rPr>
            </w:pPr>
            <w:r>
              <w:rPr>
                <w:rFonts w:hint="eastAsia" w:ascii="Arial" w:hAnsi="Arial" w:eastAsia="仿宋_GB2312" w:cs="Arial"/>
                <w:color w:val="auto"/>
                <w:sz w:val="21"/>
                <w:szCs w:val="21"/>
              </w:rPr>
              <w:t>1.0</w:t>
            </w:r>
          </w:p>
        </w:tc>
      </w:tr>
      <w:tr w14:paraId="53824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2304" w:type="dxa"/>
            <w:gridSpan w:val="2"/>
            <w:tcBorders>
              <w:top w:val="single" w:color="auto" w:sz="4" w:space="0"/>
              <w:left w:val="single" w:color="auto" w:sz="4" w:space="0"/>
              <w:bottom w:val="single" w:color="auto" w:sz="4" w:space="0"/>
              <w:right w:val="single" w:color="auto" w:sz="4" w:space="0"/>
            </w:tcBorders>
            <w:vAlign w:val="center"/>
          </w:tcPr>
          <w:p w14:paraId="56FB499E">
            <w:pPr>
              <w:jc w:val="center"/>
              <w:rPr>
                <w:rFonts w:ascii="仿宋" w:hAnsi="仿宋" w:eastAsia="仿宋"/>
                <w:color w:val="auto"/>
                <w:sz w:val="21"/>
                <w:szCs w:val="21"/>
              </w:rPr>
            </w:pPr>
            <w:r>
              <w:rPr>
                <w:rFonts w:hint="eastAsia" w:ascii="仿宋" w:hAnsi="仿宋" w:eastAsia="仿宋"/>
                <w:color w:val="auto"/>
                <w:sz w:val="21"/>
                <w:szCs w:val="21"/>
              </w:rPr>
              <w:t>公共服务类</w:t>
            </w:r>
          </w:p>
        </w:tc>
        <w:tc>
          <w:tcPr>
            <w:tcW w:w="1499" w:type="dxa"/>
            <w:tcBorders>
              <w:top w:val="single" w:color="auto" w:sz="4" w:space="0"/>
              <w:left w:val="single" w:color="auto" w:sz="4" w:space="0"/>
              <w:bottom w:val="single" w:color="auto" w:sz="4" w:space="0"/>
              <w:right w:val="single" w:color="auto" w:sz="4" w:space="0"/>
            </w:tcBorders>
            <w:vAlign w:val="center"/>
          </w:tcPr>
          <w:p w14:paraId="55C97394">
            <w:pPr>
              <w:jc w:val="center"/>
              <w:rPr>
                <w:rFonts w:ascii="Arial" w:hAnsi="Arial" w:eastAsia="仿宋_GB2312" w:cs="Arial"/>
                <w:color w:val="auto"/>
                <w:sz w:val="21"/>
                <w:szCs w:val="21"/>
              </w:rPr>
            </w:pPr>
            <w:r>
              <w:rPr>
                <w:rFonts w:hint="eastAsia" w:ascii="Arial" w:hAnsi="Arial" w:eastAsia="仿宋_GB2312" w:cs="Arial"/>
                <w:color w:val="auto"/>
                <w:sz w:val="21"/>
                <w:szCs w:val="21"/>
              </w:rPr>
              <w:t>2.5</w:t>
            </w:r>
          </w:p>
        </w:tc>
        <w:tc>
          <w:tcPr>
            <w:tcW w:w="3034" w:type="dxa"/>
            <w:gridSpan w:val="2"/>
            <w:tcBorders>
              <w:top w:val="single" w:color="auto" w:sz="4" w:space="0"/>
              <w:left w:val="single" w:color="auto" w:sz="4" w:space="0"/>
              <w:bottom w:val="single" w:color="auto" w:sz="4" w:space="0"/>
              <w:right w:val="single" w:color="auto" w:sz="4" w:space="0"/>
            </w:tcBorders>
            <w:vAlign w:val="center"/>
          </w:tcPr>
          <w:p w14:paraId="3FAF1B81">
            <w:pPr>
              <w:jc w:val="center"/>
              <w:rPr>
                <w:rFonts w:ascii="Arial" w:hAnsi="Arial" w:eastAsia="仿宋_GB2312" w:cs="Arial"/>
                <w:color w:val="auto"/>
                <w:sz w:val="21"/>
                <w:szCs w:val="21"/>
              </w:rPr>
            </w:pPr>
            <w:r>
              <w:rPr>
                <w:rFonts w:hint="eastAsia" w:ascii="Arial" w:hAnsi="Arial" w:eastAsia="仿宋_GB2312" w:cs="Arial"/>
                <w:color w:val="auto"/>
                <w:sz w:val="21"/>
                <w:szCs w:val="21"/>
              </w:rPr>
              <w:t>2.0</w:t>
            </w:r>
          </w:p>
        </w:tc>
        <w:tc>
          <w:tcPr>
            <w:tcW w:w="1688" w:type="dxa"/>
            <w:tcBorders>
              <w:top w:val="single" w:color="auto" w:sz="4" w:space="0"/>
              <w:left w:val="single" w:color="auto" w:sz="4" w:space="0"/>
              <w:bottom w:val="single" w:color="auto" w:sz="4" w:space="0"/>
              <w:right w:val="single" w:color="auto" w:sz="4" w:space="0"/>
            </w:tcBorders>
            <w:vAlign w:val="center"/>
          </w:tcPr>
          <w:p w14:paraId="7AB30B40">
            <w:pPr>
              <w:jc w:val="center"/>
              <w:rPr>
                <w:rFonts w:ascii="Arial" w:hAnsi="Arial" w:eastAsia="仿宋_GB2312" w:cs="Arial"/>
                <w:color w:val="auto"/>
                <w:sz w:val="21"/>
                <w:szCs w:val="21"/>
              </w:rPr>
            </w:pPr>
            <w:r>
              <w:rPr>
                <w:rFonts w:hint="eastAsia" w:ascii="Arial" w:hAnsi="Arial" w:eastAsia="仿宋_GB2312" w:cs="Arial"/>
                <w:color w:val="auto"/>
                <w:sz w:val="21"/>
                <w:szCs w:val="21"/>
              </w:rPr>
              <w:t>1.5</w:t>
            </w:r>
          </w:p>
        </w:tc>
      </w:tr>
    </w:tbl>
    <w:p w14:paraId="70ECDC71">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5）土地使用年限</w:t>
      </w:r>
    </w:p>
    <w:p w14:paraId="07322AFE">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商</w:t>
      </w:r>
      <w:r>
        <w:rPr>
          <w:rFonts w:ascii="Arial" w:hAnsi="Arial" w:eastAsia="仿宋_GB2312" w:cs="Arial"/>
          <w:color w:val="auto"/>
          <w:sz w:val="28"/>
          <w:szCs w:val="28"/>
        </w:rPr>
        <w:t>业用地40年、商务金融用地（办公）50年、住宅用地70年、工业 用地50年、公共服务用地50年。</w:t>
      </w:r>
    </w:p>
    <w:p w14:paraId="770D4E23">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6）土地开发程度</w:t>
      </w:r>
    </w:p>
    <w:p w14:paraId="62D128E8">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一至七级为宗地外通路、通电、通讯、通上水、通下水、通燃气、通 热及宗地内平整（简称</w:t>
      </w:r>
      <w:r>
        <w:rPr>
          <w:rFonts w:hint="eastAsia" w:ascii="Arial" w:hAnsi="Arial" w:eastAsia="仿宋_GB2312" w:cs="Arial"/>
          <w:color w:val="auto"/>
          <w:sz w:val="28"/>
          <w:szCs w:val="28"/>
        </w:rPr>
        <w:t>“</w:t>
      </w:r>
      <w:r>
        <w:rPr>
          <w:rFonts w:ascii="Arial" w:hAnsi="Arial" w:eastAsia="仿宋_GB2312" w:cs="Arial"/>
          <w:color w:val="auto"/>
          <w:sz w:val="28"/>
          <w:szCs w:val="28"/>
        </w:rPr>
        <w:t>七通一平</w:t>
      </w:r>
      <w:r>
        <w:rPr>
          <w:rFonts w:hint="eastAsia" w:ascii="Arial" w:hAnsi="Arial" w:eastAsia="仿宋_GB2312" w:cs="Arial"/>
          <w:color w:val="auto"/>
          <w:sz w:val="28"/>
          <w:szCs w:val="28"/>
        </w:rPr>
        <w:t>”</w:t>
      </w:r>
      <w:r>
        <w:rPr>
          <w:rFonts w:ascii="Arial" w:hAnsi="Arial" w:eastAsia="仿宋_GB2312" w:cs="Arial"/>
          <w:color w:val="auto"/>
          <w:sz w:val="28"/>
          <w:szCs w:val="28"/>
        </w:rPr>
        <w:t>），八至十二级为宗地外通路、通电、 通讯、通上水、通下水及宗地内平整（简称</w:t>
      </w:r>
      <w:r>
        <w:rPr>
          <w:rFonts w:hint="eastAsia" w:ascii="Arial" w:hAnsi="Arial" w:eastAsia="仿宋_GB2312" w:cs="Arial"/>
          <w:color w:val="auto"/>
          <w:sz w:val="28"/>
          <w:szCs w:val="28"/>
        </w:rPr>
        <w:t>“</w:t>
      </w:r>
      <w:r>
        <w:rPr>
          <w:rFonts w:ascii="Arial" w:hAnsi="Arial" w:eastAsia="仿宋_GB2312" w:cs="Arial"/>
          <w:color w:val="auto"/>
          <w:sz w:val="28"/>
          <w:szCs w:val="28"/>
        </w:rPr>
        <w:t>五通一平</w:t>
      </w:r>
      <w:r>
        <w:rPr>
          <w:rFonts w:hint="eastAsia" w:ascii="Arial" w:hAnsi="Arial" w:eastAsia="仿宋_GB2312" w:cs="Arial"/>
          <w:color w:val="auto"/>
          <w:sz w:val="28"/>
          <w:szCs w:val="28"/>
        </w:rPr>
        <w:t>”</w:t>
      </w:r>
      <w:r>
        <w:rPr>
          <w:rFonts w:ascii="Arial" w:hAnsi="Arial" w:eastAsia="仿宋_GB2312" w:cs="Arial"/>
          <w:color w:val="auto"/>
          <w:sz w:val="28"/>
          <w:szCs w:val="28"/>
        </w:rPr>
        <w:t>）。</w:t>
      </w:r>
    </w:p>
    <w:p w14:paraId="3A1D742B">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7）土地用途</w:t>
      </w:r>
    </w:p>
    <w:p w14:paraId="49FBBBD5">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根据《土地利用现状分类》（GB/T21010-2017），对现有用地按照一 级分类进行归类，本次基准地价分为商业、办公、住宅、工业和公共服务 五类用途基准地价，并按照二级分类建立用途修正系数。</w:t>
      </w:r>
    </w:p>
    <w:p w14:paraId="77FE0F0A">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8）土地级别（区片）范围界定</w:t>
      </w:r>
    </w:p>
    <w:p w14:paraId="4067BC90">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在全市范围内，根据不同用途土地的特点及相应地价水平，按用途分 别划分为十二个级别；在级别范围内，根据中心城区、北京城市副中心、平原新城地区及生态涵养区的各区，分别划分区片，其中:商业用途划分307个区片，商务金融（办公）用途划分305个区片，住宅用途划分302个区片，工业用途划分321个区片，公共服务用途划分305个区片。</w:t>
      </w:r>
    </w:p>
    <w:p w14:paraId="05BB7ED0">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9）基准地价成果使用范围</w:t>
      </w:r>
    </w:p>
    <w:p w14:paraId="459F3F00">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按照相关法律法规，基准地价成果属于政府公示地价，作为确定国有 建设用地使用权出让价格审定、国有建设用地租赁租金审定、企业改制土 地资产价格处置等依据之一。其他情形参照执行。</w:t>
      </w:r>
    </w:p>
    <w:p w14:paraId="46B40281">
      <w:pPr>
        <w:adjustRightInd/>
        <w:snapToGrid w:val="0"/>
        <w:spacing w:line="300" w:lineRule="auto"/>
        <w:ind w:firstLine="562" w:firstLineChars="200"/>
        <w:textAlignment w:val="auto"/>
        <w:rPr>
          <w:rFonts w:ascii="Arial" w:hAnsi="Arial" w:eastAsia="仿宋_GB2312" w:cs="Arial"/>
          <w:b/>
          <w:bCs/>
          <w:color w:val="auto"/>
          <w:sz w:val="28"/>
          <w:szCs w:val="28"/>
        </w:rPr>
      </w:pPr>
      <w:r>
        <w:rPr>
          <w:rFonts w:hint="eastAsia" w:ascii="Arial" w:hAnsi="Arial" w:eastAsia="仿宋_GB2312" w:cs="Arial"/>
          <w:b/>
          <w:bCs/>
          <w:color w:val="auto"/>
          <w:sz w:val="28"/>
          <w:szCs w:val="28"/>
        </w:rPr>
        <w:t>（2）修正体系说明（北京市基准地价应用说明）</w:t>
      </w:r>
    </w:p>
    <w:p w14:paraId="36F681B4">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1）宗地价格的类型及计算公式</w:t>
      </w:r>
    </w:p>
    <w:p w14:paraId="74ED0E9A">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 xml:space="preserve"> </w:t>
      </w:r>
      <w:r>
        <w:rPr>
          <w:rFonts w:ascii="Cambria Math" w:hAnsi="Cambria Math" w:eastAsia="仿宋_GB2312" w:cs="Cambria Math"/>
          <w:color w:val="auto"/>
          <w:sz w:val="28"/>
          <w:szCs w:val="28"/>
        </w:rPr>
        <w:t>①</w:t>
      </w:r>
      <w:r>
        <w:rPr>
          <w:rFonts w:ascii="Arial" w:hAnsi="Arial" w:eastAsia="仿宋_GB2312" w:cs="Arial"/>
          <w:color w:val="auto"/>
          <w:sz w:val="28"/>
          <w:szCs w:val="28"/>
        </w:rPr>
        <w:t>地上部分</w:t>
      </w:r>
    </w:p>
    <w:p w14:paraId="7A4CD20E">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A.商业类用地</w:t>
      </w:r>
    </w:p>
    <w:p w14:paraId="2ADDE6E9">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楼面熟地价计算公式</w:t>
      </w:r>
    </w:p>
    <w:p w14:paraId="31167B25">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楼面熟地价=适用的基准地价×用途修正系数×期日修正系数×年期修正 系数×楼层修正系数（或容积率修正系数）×因素修正系数</w:t>
      </w:r>
    </w:p>
    <w:p w14:paraId="1C1291DB">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其中，对于商业路线价加价幅度表中列示的商业街两侧的商业用地，需对适用的基准地价进行商业路线价特殊情况修正后作为下一步宗地地价评估的基准。</w:t>
      </w:r>
    </w:p>
    <w:p w14:paraId="0E865BB9">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商业路线价修正公式为：</w:t>
      </w:r>
    </w:p>
    <w:p w14:paraId="48983176">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P=P</w:t>
      </w:r>
      <w:r>
        <w:rPr>
          <w:rFonts w:ascii="Arial" w:hAnsi="Arial" w:eastAsia="仿宋_GB2312" w:cs="Arial"/>
          <w:color w:val="auto"/>
          <w:sz w:val="28"/>
          <w:szCs w:val="28"/>
          <w:vertAlign w:val="subscript"/>
        </w:rPr>
        <w:t>0</w:t>
      </w:r>
      <w:r>
        <w:rPr>
          <w:rFonts w:ascii="Arial" w:hAnsi="Arial" w:eastAsia="仿宋_GB2312" w:cs="Arial"/>
          <w:color w:val="auto"/>
          <w:sz w:val="28"/>
          <w:szCs w:val="28"/>
        </w:rPr>
        <w:t>（1+∑K</w:t>
      </w:r>
      <w:r>
        <w:rPr>
          <w:rFonts w:ascii="Arial" w:hAnsi="Arial" w:eastAsia="仿宋_GB2312" w:cs="Arial"/>
          <w:color w:val="auto"/>
          <w:sz w:val="28"/>
          <w:szCs w:val="28"/>
          <w:vertAlign w:val="subscript"/>
        </w:rPr>
        <w:t>u</w:t>
      </w:r>
      <w:r>
        <w:rPr>
          <w:rFonts w:hint="eastAsia" w:ascii="Arial" w:hAnsi="Arial" w:eastAsia="仿宋_GB2312" w:cs="Arial"/>
          <w:color w:val="auto"/>
          <w:sz w:val="28"/>
          <w:szCs w:val="28"/>
        </w:rPr>
        <w:t>）</w:t>
      </w:r>
    </w:p>
    <w:p w14:paraId="4010909E">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K</w:t>
      </w:r>
      <w:r>
        <w:rPr>
          <w:rFonts w:ascii="Arial" w:hAnsi="Arial" w:eastAsia="仿宋_GB2312" w:cs="Arial"/>
          <w:color w:val="auto"/>
          <w:sz w:val="28"/>
          <w:szCs w:val="28"/>
          <w:vertAlign w:val="subscript"/>
        </w:rPr>
        <w:t>u</w:t>
      </w:r>
      <w:r>
        <w:rPr>
          <w:rFonts w:ascii="Arial" w:hAnsi="Arial" w:eastAsia="仿宋_GB2312" w:cs="Arial"/>
          <w:color w:val="auto"/>
          <w:sz w:val="28"/>
          <w:szCs w:val="28"/>
        </w:rPr>
        <w:t xml:space="preserve"> =（1.6A</w:t>
      </w:r>
      <w:r>
        <w:rPr>
          <w:rFonts w:ascii="Arial" w:hAnsi="Arial" w:eastAsia="仿宋_GB2312" w:cs="Arial"/>
          <w:color w:val="auto"/>
          <w:sz w:val="28"/>
          <w:szCs w:val="28"/>
          <w:vertAlign w:val="subscript"/>
        </w:rPr>
        <w:t>1</w:t>
      </w:r>
      <w:r>
        <w:rPr>
          <w:rFonts w:ascii="Arial" w:hAnsi="Arial" w:eastAsia="仿宋_GB2312" w:cs="Arial"/>
          <w:color w:val="auto"/>
          <w:sz w:val="28"/>
          <w:szCs w:val="28"/>
        </w:rPr>
        <w:t xml:space="preserve"> +1.2A</w:t>
      </w:r>
      <w:r>
        <w:rPr>
          <w:rFonts w:ascii="Arial" w:hAnsi="Arial" w:eastAsia="仿宋_GB2312" w:cs="Arial"/>
          <w:color w:val="auto"/>
          <w:sz w:val="28"/>
          <w:szCs w:val="28"/>
          <w:vertAlign w:val="subscript"/>
        </w:rPr>
        <w:t xml:space="preserve">2 </w:t>
      </w:r>
      <w:r>
        <w:rPr>
          <w:rFonts w:ascii="Arial" w:hAnsi="Arial" w:eastAsia="仿宋_GB2312" w:cs="Arial"/>
          <w:color w:val="auto"/>
          <w:sz w:val="28"/>
          <w:szCs w:val="28"/>
        </w:rPr>
        <w:t>+0.8A</w:t>
      </w:r>
      <w:r>
        <w:rPr>
          <w:rFonts w:ascii="Arial" w:hAnsi="Arial" w:eastAsia="仿宋_GB2312" w:cs="Arial"/>
          <w:color w:val="auto"/>
          <w:sz w:val="28"/>
          <w:szCs w:val="28"/>
          <w:vertAlign w:val="subscript"/>
        </w:rPr>
        <w:t>3</w:t>
      </w:r>
      <w:r>
        <w:rPr>
          <w:rFonts w:ascii="Arial" w:hAnsi="Arial" w:eastAsia="仿宋_GB2312" w:cs="Arial"/>
          <w:color w:val="auto"/>
          <w:sz w:val="28"/>
          <w:szCs w:val="28"/>
        </w:rPr>
        <w:t>+0.4A</w:t>
      </w:r>
      <w:r>
        <w:rPr>
          <w:rFonts w:ascii="Arial" w:hAnsi="Arial" w:eastAsia="仿宋_GB2312" w:cs="Arial"/>
          <w:color w:val="auto"/>
          <w:sz w:val="28"/>
          <w:szCs w:val="28"/>
          <w:vertAlign w:val="subscript"/>
        </w:rPr>
        <w:t xml:space="preserve">4 </w:t>
      </w:r>
      <w:r>
        <w:rPr>
          <w:rFonts w:ascii="Arial" w:hAnsi="Arial" w:eastAsia="仿宋_GB2312" w:cs="Arial"/>
          <w:color w:val="auto"/>
          <w:sz w:val="28"/>
          <w:szCs w:val="28"/>
        </w:rPr>
        <w:t>）×加价幅度</w:t>
      </w:r>
    </w:p>
    <w:p w14:paraId="10A5E548">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其中:P—适用的基准地价</w:t>
      </w:r>
    </w:p>
    <w:p w14:paraId="72AA10FA">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P</w:t>
      </w:r>
      <w:r>
        <w:rPr>
          <w:rFonts w:ascii="Arial" w:hAnsi="Arial" w:eastAsia="仿宋_GB2312" w:cs="Arial"/>
          <w:color w:val="auto"/>
          <w:sz w:val="28"/>
          <w:szCs w:val="28"/>
          <w:vertAlign w:val="subscript"/>
        </w:rPr>
        <w:t xml:space="preserve">0 </w:t>
      </w:r>
      <w:r>
        <w:rPr>
          <w:rFonts w:ascii="Arial" w:hAnsi="Arial" w:eastAsia="仿宋_GB2312" w:cs="Arial"/>
          <w:color w:val="auto"/>
          <w:sz w:val="28"/>
          <w:szCs w:val="28"/>
        </w:rPr>
        <w:t>—宗地所在区片基准地价</w:t>
      </w:r>
    </w:p>
    <w:p w14:paraId="3D9C8888">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K</w:t>
      </w:r>
      <w:r>
        <w:rPr>
          <w:rFonts w:ascii="Arial" w:hAnsi="Arial" w:eastAsia="仿宋_GB2312" w:cs="Arial"/>
          <w:color w:val="auto"/>
          <w:sz w:val="28"/>
          <w:szCs w:val="28"/>
          <w:vertAlign w:val="subscript"/>
        </w:rPr>
        <w:t xml:space="preserve">u </w:t>
      </w:r>
      <w:r>
        <w:rPr>
          <w:rFonts w:ascii="Arial" w:hAnsi="Arial" w:eastAsia="仿宋_GB2312" w:cs="Arial"/>
          <w:color w:val="auto"/>
          <w:sz w:val="28"/>
          <w:szCs w:val="28"/>
        </w:rPr>
        <w:t>—商业路线价修正幅度</w:t>
      </w:r>
    </w:p>
    <w:p w14:paraId="2D024FC9">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A</w:t>
      </w:r>
      <w:r>
        <w:rPr>
          <w:rFonts w:ascii="Arial" w:hAnsi="Arial" w:eastAsia="仿宋_GB2312" w:cs="Arial"/>
          <w:color w:val="auto"/>
          <w:sz w:val="28"/>
          <w:szCs w:val="28"/>
          <w:vertAlign w:val="subscript"/>
        </w:rPr>
        <w:t xml:space="preserve">1 </w:t>
      </w:r>
      <w:r>
        <w:rPr>
          <w:rFonts w:ascii="Arial" w:hAnsi="Arial" w:eastAsia="仿宋_GB2312" w:cs="Arial"/>
          <w:color w:val="auto"/>
          <w:sz w:val="28"/>
          <w:szCs w:val="28"/>
        </w:rPr>
        <w:t>—临商业街红线1/4标准深度占地面积/宗地总面积</w:t>
      </w:r>
    </w:p>
    <w:p w14:paraId="2318BCC1">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A</w:t>
      </w:r>
      <w:r>
        <w:rPr>
          <w:rFonts w:ascii="Arial" w:hAnsi="Arial" w:eastAsia="仿宋_GB2312" w:cs="Arial"/>
          <w:color w:val="auto"/>
          <w:sz w:val="28"/>
          <w:szCs w:val="28"/>
          <w:vertAlign w:val="subscript"/>
        </w:rPr>
        <w:t>2</w:t>
      </w:r>
      <w:r>
        <w:rPr>
          <w:rFonts w:ascii="Arial" w:hAnsi="Arial" w:eastAsia="仿宋_GB2312" w:cs="Arial"/>
          <w:color w:val="auto"/>
          <w:sz w:val="28"/>
          <w:szCs w:val="28"/>
        </w:rPr>
        <w:t xml:space="preserve"> —临商业街红线1/4至2/4标准深度占地面积/宗地总面积</w:t>
      </w:r>
    </w:p>
    <w:p w14:paraId="76C27D97">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A</w:t>
      </w:r>
      <w:r>
        <w:rPr>
          <w:rFonts w:ascii="Arial" w:hAnsi="Arial" w:eastAsia="仿宋_GB2312" w:cs="Arial"/>
          <w:color w:val="auto"/>
          <w:sz w:val="28"/>
          <w:szCs w:val="28"/>
          <w:vertAlign w:val="subscript"/>
        </w:rPr>
        <w:t>3</w:t>
      </w:r>
      <w:r>
        <w:rPr>
          <w:rFonts w:ascii="Arial" w:hAnsi="Arial" w:eastAsia="仿宋_GB2312" w:cs="Arial"/>
          <w:color w:val="auto"/>
          <w:sz w:val="28"/>
          <w:szCs w:val="28"/>
        </w:rPr>
        <w:t xml:space="preserve"> —临商业街红线2/4至3/4标准深度占地面积/宗地总面积</w:t>
      </w:r>
    </w:p>
    <w:p w14:paraId="6017E780">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A</w:t>
      </w:r>
      <w:r>
        <w:rPr>
          <w:rFonts w:ascii="Arial" w:hAnsi="Arial" w:eastAsia="仿宋_GB2312" w:cs="Arial"/>
          <w:color w:val="auto"/>
          <w:sz w:val="28"/>
          <w:szCs w:val="28"/>
          <w:vertAlign w:val="subscript"/>
        </w:rPr>
        <w:t>4</w:t>
      </w:r>
      <w:r>
        <w:rPr>
          <w:rFonts w:ascii="Arial" w:hAnsi="Arial" w:eastAsia="仿宋_GB2312" w:cs="Arial"/>
          <w:color w:val="auto"/>
          <w:sz w:val="28"/>
          <w:szCs w:val="28"/>
        </w:rPr>
        <w:t xml:space="preserve"> —临商业街红线3/4至4/4标准深度占地面积/宗地总面积</w:t>
      </w:r>
    </w:p>
    <w:p w14:paraId="5FCA70C9">
      <w:pPr>
        <w:adjustRightInd/>
        <w:spacing w:line="300" w:lineRule="auto"/>
        <w:ind w:left="560" w:firstLine="560" w:firstLineChars="200"/>
        <w:jc w:val="both"/>
        <w:rPr>
          <w:rFonts w:ascii="Arial" w:hAnsi="Arial" w:eastAsia="仿宋_GB2312" w:cs="Arial"/>
          <w:b/>
          <w:bCs/>
          <w:color w:val="auto"/>
          <w:sz w:val="28"/>
          <w:szCs w:val="28"/>
        </w:rPr>
      </w:pPr>
      <w:r>
        <w:rPr>
          <w:rFonts w:ascii="Arial" w:hAnsi="Arial" w:eastAsia="仿宋_GB2312" w:cs="Arial"/>
          <w:color w:val="auto"/>
          <w:sz w:val="28"/>
          <w:szCs w:val="28"/>
        </w:rPr>
        <w:t>临两条以上商业街的，其商业路线价修正幅度分别计算，并加总求和。详见下表所示：</w:t>
      </w:r>
    </w:p>
    <w:p w14:paraId="600BE070">
      <w:pPr>
        <w:rPr>
          <w:rFonts w:ascii="Arial" w:hAnsi="Arial" w:eastAsia="仿宋_GB2312" w:cs="Arial"/>
          <w:b/>
          <w:bCs/>
          <w:color w:val="auto"/>
          <w:sz w:val="28"/>
          <w:szCs w:val="28"/>
        </w:rPr>
      </w:pPr>
      <w:r>
        <w:rPr>
          <w:rFonts w:ascii="Arial" w:hAnsi="Arial" w:eastAsia="仿宋_GB2312" w:cs="Arial"/>
          <w:b/>
          <w:bCs/>
          <w:color w:val="auto"/>
          <w:sz w:val="28"/>
          <w:szCs w:val="28"/>
        </w:rPr>
        <w:br w:type="page"/>
      </w:r>
    </w:p>
    <w:p w14:paraId="6B7666CA">
      <w:pPr>
        <w:adjustRightInd/>
        <w:spacing w:line="300" w:lineRule="auto"/>
        <w:jc w:val="center"/>
        <w:rPr>
          <w:rFonts w:ascii="Arial" w:hAnsi="Arial" w:eastAsia="仿宋_GB2312" w:cs="Arial"/>
          <w:b/>
          <w:bCs/>
          <w:color w:val="auto"/>
          <w:sz w:val="28"/>
          <w:szCs w:val="28"/>
        </w:rPr>
      </w:pPr>
      <w:r>
        <w:rPr>
          <w:rFonts w:ascii="Arial" w:hAnsi="Arial" w:eastAsia="仿宋_GB2312" w:cs="Arial"/>
          <w:b/>
          <w:bCs/>
          <w:color w:val="auto"/>
          <w:sz w:val="28"/>
          <w:szCs w:val="28"/>
        </w:rPr>
        <w:t>北京市商业路线价加价幅度表</w:t>
      </w:r>
    </w:p>
    <w:tbl>
      <w:tblPr>
        <w:tblStyle w:val="34"/>
        <w:tblW w:w="92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021"/>
        <w:gridCol w:w="2771"/>
        <w:gridCol w:w="2668"/>
        <w:gridCol w:w="1080"/>
        <w:gridCol w:w="1028"/>
      </w:tblGrid>
      <w:tr w14:paraId="66F06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675" w:type="dxa"/>
            <w:shd w:val="clear" w:color="auto" w:fill="auto"/>
            <w:vAlign w:val="center"/>
          </w:tcPr>
          <w:p w14:paraId="1C2B1DD4">
            <w:pPr>
              <w:jc w:val="center"/>
              <w:rPr>
                <w:rFonts w:ascii="仿宋" w:hAnsi="仿宋" w:eastAsia="仿宋"/>
                <w:b/>
                <w:bCs/>
                <w:color w:val="auto"/>
                <w:sz w:val="20"/>
              </w:rPr>
            </w:pPr>
            <w:r>
              <w:rPr>
                <w:rFonts w:hint="eastAsia" w:ascii="仿宋" w:hAnsi="仿宋" w:eastAsia="仿宋"/>
                <w:b/>
                <w:bCs/>
                <w:color w:val="auto"/>
                <w:sz w:val="20"/>
              </w:rPr>
              <w:t>序号</w:t>
            </w:r>
          </w:p>
        </w:tc>
        <w:tc>
          <w:tcPr>
            <w:tcW w:w="1021" w:type="dxa"/>
            <w:shd w:val="clear" w:color="auto" w:fill="auto"/>
            <w:vAlign w:val="center"/>
          </w:tcPr>
          <w:p w14:paraId="3EBE346E">
            <w:pPr>
              <w:jc w:val="center"/>
              <w:rPr>
                <w:rFonts w:ascii="仿宋" w:hAnsi="仿宋" w:eastAsia="仿宋"/>
                <w:b/>
                <w:bCs/>
                <w:color w:val="auto"/>
                <w:sz w:val="20"/>
              </w:rPr>
            </w:pPr>
            <w:r>
              <w:rPr>
                <w:rFonts w:hint="eastAsia" w:ascii="仿宋" w:hAnsi="仿宋" w:eastAsia="仿宋"/>
                <w:b/>
                <w:bCs/>
                <w:color w:val="auto"/>
                <w:sz w:val="20"/>
              </w:rPr>
              <w:t>辖区</w:t>
            </w:r>
          </w:p>
        </w:tc>
        <w:tc>
          <w:tcPr>
            <w:tcW w:w="2771" w:type="dxa"/>
            <w:shd w:val="clear" w:color="auto" w:fill="auto"/>
            <w:vAlign w:val="center"/>
          </w:tcPr>
          <w:p w14:paraId="21075469">
            <w:pPr>
              <w:jc w:val="center"/>
              <w:rPr>
                <w:rFonts w:ascii="仿宋" w:hAnsi="仿宋" w:eastAsia="仿宋"/>
                <w:b/>
                <w:bCs/>
                <w:color w:val="auto"/>
                <w:sz w:val="20"/>
              </w:rPr>
            </w:pPr>
            <w:r>
              <w:rPr>
                <w:rFonts w:hint="eastAsia" w:ascii="仿宋" w:hAnsi="仿宋" w:eastAsia="仿宋"/>
                <w:b/>
                <w:bCs/>
                <w:color w:val="auto"/>
                <w:sz w:val="20"/>
              </w:rPr>
              <w:t>商业街名称</w:t>
            </w:r>
          </w:p>
        </w:tc>
        <w:tc>
          <w:tcPr>
            <w:tcW w:w="2668" w:type="dxa"/>
            <w:shd w:val="clear" w:color="auto" w:fill="auto"/>
            <w:vAlign w:val="center"/>
          </w:tcPr>
          <w:p w14:paraId="66BF4745">
            <w:pPr>
              <w:jc w:val="center"/>
              <w:rPr>
                <w:rFonts w:ascii="仿宋" w:hAnsi="仿宋" w:eastAsia="仿宋"/>
                <w:b/>
                <w:bCs/>
                <w:color w:val="auto"/>
                <w:sz w:val="20"/>
              </w:rPr>
            </w:pPr>
            <w:r>
              <w:rPr>
                <w:rFonts w:hint="eastAsia" w:ascii="仿宋" w:hAnsi="仿宋" w:eastAsia="仿宋"/>
                <w:b/>
                <w:bCs/>
                <w:color w:val="auto"/>
                <w:sz w:val="20"/>
              </w:rPr>
              <w:t>起止点</w:t>
            </w:r>
          </w:p>
        </w:tc>
        <w:tc>
          <w:tcPr>
            <w:tcW w:w="1080" w:type="dxa"/>
            <w:shd w:val="clear" w:color="auto" w:fill="auto"/>
            <w:vAlign w:val="center"/>
          </w:tcPr>
          <w:p w14:paraId="0237A876">
            <w:pPr>
              <w:jc w:val="center"/>
              <w:rPr>
                <w:rFonts w:ascii="仿宋" w:hAnsi="仿宋" w:eastAsia="仿宋"/>
                <w:b/>
                <w:bCs/>
                <w:color w:val="auto"/>
                <w:sz w:val="20"/>
              </w:rPr>
            </w:pPr>
            <w:r>
              <w:rPr>
                <w:rFonts w:hint="eastAsia" w:ascii="仿宋" w:hAnsi="仿宋" w:eastAsia="仿宋"/>
                <w:b/>
                <w:bCs/>
                <w:color w:val="auto"/>
                <w:sz w:val="20"/>
              </w:rPr>
              <w:t>加价幅度</w:t>
            </w:r>
          </w:p>
        </w:tc>
        <w:tc>
          <w:tcPr>
            <w:tcW w:w="1028" w:type="dxa"/>
            <w:shd w:val="clear" w:color="auto" w:fill="auto"/>
            <w:vAlign w:val="center"/>
          </w:tcPr>
          <w:p w14:paraId="6911AFAC">
            <w:pPr>
              <w:jc w:val="center"/>
              <w:rPr>
                <w:rFonts w:ascii="仿宋" w:hAnsi="仿宋" w:eastAsia="仿宋"/>
                <w:b/>
                <w:bCs/>
                <w:color w:val="auto"/>
                <w:sz w:val="20"/>
              </w:rPr>
            </w:pPr>
            <w:r>
              <w:rPr>
                <w:rFonts w:hint="eastAsia" w:ascii="仿宋" w:hAnsi="仿宋" w:eastAsia="仿宋"/>
                <w:b/>
                <w:bCs/>
                <w:color w:val="auto"/>
                <w:sz w:val="20"/>
              </w:rPr>
              <w:t>标准深度（m）</w:t>
            </w:r>
          </w:p>
        </w:tc>
      </w:tr>
      <w:tr w14:paraId="67CE9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9E967ED">
            <w:pPr>
              <w:jc w:val="center"/>
              <w:rPr>
                <w:rFonts w:ascii="Arial" w:hAnsi="Arial" w:eastAsia="仿宋_GB2312" w:cs="Arial"/>
                <w:color w:val="auto"/>
                <w:sz w:val="20"/>
              </w:rPr>
            </w:pPr>
            <w:r>
              <w:rPr>
                <w:rFonts w:hint="eastAsia" w:ascii="Arial" w:hAnsi="Arial" w:eastAsia="仿宋_GB2312" w:cs="Arial"/>
                <w:color w:val="auto"/>
                <w:sz w:val="20"/>
              </w:rPr>
              <w:t>1</w:t>
            </w:r>
          </w:p>
        </w:tc>
        <w:tc>
          <w:tcPr>
            <w:tcW w:w="1021" w:type="dxa"/>
            <w:vMerge w:val="restart"/>
            <w:shd w:val="clear" w:color="auto" w:fill="auto"/>
            <w:vAlign w:val="center"/>
          </w:tcPr>
          <w:p w14:paraId="2F22C644">
            <w:pPr>
              <w:jc w:val="center"/>
              <w:rPr>
                <w:rFonts w:ascii="仿宋" w:hAnsi="仿宋" w:eastAsia="仿宋"/>
                <w:color w:val="auto"/>
                <w:sz w:val="20"/>
              </w:rPr>
            </w:pPr>
            <w:r>
              <w:rPr>
                <w:rFonts w:hint="eastAsia" w:ascii="仿宋" w:hAnsi="仿宋" w:eastAsia="仿宋"/>
                <w:color w:val="auto"/>
                <w:sz w:val="20"/>
              </w:rPr>
              <w:t>东城区</w:t>
            </w:r>
          </w:p>
        </w:tc>
        <w:tc>
          <w:tcPr>
            <w:tcW w:w="2771" w:type="dxa"/>
            <w:shd w:val="clear" w:color="auto" w:fill="auto"/>
            <w:vAlign w:val="center"/>
          </w:tcPr>
          <w:p w14:paraId="4F0750E3">
            <w:pPr>
              <w:jc w:val="center"/>
              <w:rPr>
                <w:rFonts w:ascii="仿宋" w:hAnsi="仿宋" w:eastAsia="仿宋"/>
                <w:color w:val="auto"/>
                <w:sz w:val="20"/>
              </w:rPr>
            </w:pPr>
            <w:r>
              <w:rPr>
                <w:rFonts w:hint="eastAsia" w:ascii="仿宋" w:hAnsi="仿宋" w:eastAsia="仿宋"/>
                <w:color w:val="auto"/>
                <w:sz w:val="20"/>
              </w:rPr>
              <w:t>东长安街</w:t>
            </w:r>
          </w:p>
        </w:tc>
        <w:tc>
          <w:tcPr>
            <w:tcW w:w="2668" w:type="dxa"/>
            <w:shd w:val="clear" w:color="auto" w:fill="auto"/>
            <w:vAlign w:val="center"/>
          </w:tcPr>
          <w:p w14:paraId="29D29E9A">
            <w:pPr>
              <w:jc w:val="center"/>
              <w:rPr>
                <w:rFonts w:ascii="仿宋" w:hAnsi="仿宋" w:eastAsia="仿宋"/>
                <w:color w:val="auto"/>
                <w:sz w:val="20"/>
              </w:rPr>
            </w:pPr>
            <w:r>
              <w:rPr>
                <w:rFonts w:hint="eastAsia" w:ascii="仿宋" w:hAnsi="仿宋" w:eastAsia="仿宋"/>
                <w:color w:val="auto"/>
                <w:sz w:val="20"/>
              </w:rPr>
              <w:t>天安门－－东单</w:t>
            </w:r>
          </w:p>
        </w:tc>
        <w:tc>
          <w:tcPr>
            <w:tcW w:w="1080" w:type="dxa"/>
            <w:shd w:val="clear" w:color="auto" w:fill="auto"/>
            <w:vAlign w:val="center"/>
          </w:tcPr>
          <w:p w14:paraId="5C904FBC">
            <w:pPr>
              <w:jc w:val="center"/>
              <w:rPr>
                <w:rFonts w:ascii="Arial" w:hAnsi="Arial" w:eastAsia="仿宋_GB2312" w:cs="Arial"/>
                <w:color w:val="auto"/>
                <w:sz w:val="20"/>
              </w:rPr>
            </w:pPr>
            <w:r>
              <w:rPr>
                <w:rFonts w:hint="eastAsia" w:ascii="Arial" w:hAnsi="Arial" w:eastAsia="仿宋_GB2312" w:cs="Arial"/>
                <w:color w:val="auto"/>
                <w:sz w:val="20"/>
              </w:rPr>
              <w:t>20%</w:t>
            </w:r>
          </w:p>
        </w:tc>
        <w:tc>
          <w:tcPr>
            <w:tcW w:w="1028" w:type="dxa"/>
            <w:shd w:val="clear" w:color="auto" w:fill="auto"/>
            <w:vAlign w:val="center"/>
          </w:tcPr>
          <w:p w14:paraId="1FB977D9">
            <w:pPr>
              <w:jc w:val="center"/>
              <w:rPr>
                <w:rFonts w:ascii="Arial" w:hAnsi="Arial" w:eastAsia="仿宋_GB2312" w:cs="Arial"/>
                <w:color w:val="auto"/>
                <w:sz w:val="20"/>
              </w:rPr>
            </w:pPr>
            <w:r>
              <w:rPr>
                <w:rFonts w:hint="eastAsia" w:ascii="Arial" w:hAnsi="Arial" w:eastAsia="仿宋_GB2312" w:cs="Arial"/>
                <w:color w:val="auto"/>
                <w:sz w:val="20"/>
              </w:rPr>
              <w:t>25</w:t>
            </w:r>
          </w:p>
        </w:tc>
      </w:tr>
      <w:tr w14:paraId="48CAD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1EE7B174">
            <w:pPr>
              <w:jc w:val="center"/>
              <w:rPr>
                <w:rFonts w:ascii="Arial" w:hAnsi="Arial" w:eastAsia="仿宋_GB2312" w:cs="Arial"/>
                <w:color w:val="auto"/>
                <w:sz w:val="20"/>
              </w:rPr>
            </w:pPr>
            <w:r>
              <w:rPr>
                <w:rFonts w:hint="eastAsia" w:ascii="Arial" w:hAnsi="Arial" w:eastAsia="仿宋_GB2312" w:cs="Arial"/>
                <w:color w:val="auto"/>
                <w:sz w:val="20"/>
              </w:rPr>
              <w:t>2</w:t>
            </w:r>
          </w:p>
        </w:tc>
        <w:tc>
          <w:tcPr>
            <w:tcW w:w="1021" w:type="dxa"/>
            <w:vMerge w:val="continue"/>
            <w:vAlign w:val="center"/>
          </w:tcPr>
          <w:p w14:paraId="437E7B49">
            <w:pPr>
              <w:rPr>
                <w:rFonts w:ascii="仿宋" w:hAnsi="仿宋" w:eastAsia="仿宋"/>
                <w:color w:val="auto"/>
                <w:sz w:val="20"/>
              </w:rPr>
            </w:pPr>
          </w:p>
        </w:tc>
        <w:tc>
          <w:tcPr>
            <w:tcW w:w="2771" w:type="dxa"/>
            <w:shd w:val="clear" w:color="auto" w:fill="auto"/>
            <w:tcMar>
              <w:top w:w="0" w:type="dxa"/>
              <w:left w:w="51" w:type="dxa"/>
              <w:bottom w:w="0" w:type="dxa"/>
              <w:right w:w="51" w:type="dxa"/>
            </w:tcMar>
            <w:vAlign w:val="center"/>
          </w:tcPr>
          <w:p w14:paraId="7449A054">
            <w:pPr>
              <w:jc w:val="center"/>
              <w:rPr>
                <w:rFonts w:ascii="仿宋" w:hAnsi="仿宋" w:eastAsia="仿宋"/>
                <w:color w:val="auto"/>
                <w:sz w:val="20"/>
              </w:rPr>
            </w:pPr>
            <w:r>
              <w:rPr>
                <w:rFonts w:hint="eastAsia" w:ascii="仿宋" w:hAnsi="仿宋" w:eastAsia="仿宋"/>
                <w:color w:val="auto"/>
                <w:sz w:val="20"/>
              </w:rPr>
              <w:t>王府井商业街（王府井大街）</w:t>
            </w:r>
          </w:p>
        </w:tc>
        <w:tc>
          <w:tcPr>
            <w:tcW w:w="2668" w:type="dxa"/>
            <w:shd w:val="clear" w:color="auto" w:fill="auto"/>
            <w:vAlign w:val="center"/>
          </w:tcPr>
          <w:p w14:paraId="60D964EE">
            <w:pPr>
              <w:jc w:val="center"/>
              <w:rPr>
                <w:rFonts w:ascii="仿宋" w:hAnsi="仿宋" w:eastAsia="仿宋"/>
                <w:color w:val="auto"/>
                <w:sz w:val="20"/>
              </w:rPr>
            </w:pPr>
            <w:r>
              <w:rPr>
                <w:rFonts w:hint="eastAsia" w:ascii="仿宋" w:hAnsi="仿宋" w:eastAsia="仿宋"/>
                <w:color w:val="auto"/>
                <w:sz w:val="20"/>
              </w:rPr>
              <w:t>东长安街－－金鱼胡同</w:t>
            </w:r>
          </w:p>
        </w:tc>
        <w:tc>
          <w:tcPr>
            <w:tcW w:w="1080" w:type="dxa"/>
            <w:shd w:val="clear" w:color="auto" w:fill="auto"/>
            <w:vAlign w:val="center"/>
          </w:tcPr>
          <w:p w14:paraId="546248D0">
            <w:pPr>
              <w:jc w:val="center"/>
              <w:rPr>
                <w:rFonts w:ascii="Arial" w:hAnsi="Arial" w:eastAsia="仿宋_GB2312" w:cs="Arial"/>
                <w:color w:val="auto"/>
                <w:sz w:val="20"/>
              </w:rPr>
            </w:pPr>
            <w:r>
              <w:rPr>
                <w:rFonts w:hint="eastAsia" w:ascii="Arial" w:hAnsi="Arial" w:eastAsia="仿宋_GB2312" w:cs="Arial"/>
                <w:color w:val="auto"/>
                <w:sz w:val="20"/>
              </w:rPr>
              <w:t>20%</w:t>
            </w:r>
          </w:p>
        </w:tc>
        <w:tc>
          <w:tcPr>
            <w:tcW w:w="1028" w:type="dxa"/>
            <w:shd w:val="clear" w:color="auto" w:fill="auto"/>
            <w:vAlign w:val="center"/>
          </w:tcPr>
          <w:p w14:paraId="17E29F5E">
            <w:pPr>
              <w:jc w:val="center"/>
              <w:rPr>
                <w:rFonts w:ascii="Arial" w:hAnsi="Arial" w:eastAsia="仿宋_GB2312" w:cs="Arial"/>
                <w:color w:val="auto"/>
                <w:sz w:val="20"/>
              </w:rPr>
            </w:pPr>
            <w:r>
              <w:rPr>
                <w:rFonts w:hint="eastAsia" w:ascii="Arial" w:hAnsi="Arial" w:eastAsia="仿宋_GB2312" w:cs="Arial"/>
                <w:color w:val="auto"/>
                <w:sz w:val="20"/>
              </w:rPr>
              <w:t>25</w:t>
            </w:r>
          </w:p>
        </w:tc>
      </w:tr>
      <w:tr w14:paraId="1288B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6757EBB2">
            <w:pPr>
              <w:jc w:val="center"/>
              <w:rPr>
                <w:rFonts w:ascii="Arial" w:hAnsi="Arial" w:eastAsia="仿宋_GB2312" w:cs="Arial"/>
                <w:color w:val="auto"/>
                <w:sz w:val="20"/>
              </w:rPr>
            </w:pPr>
            <w:r>
              <w:rPr>
                <w:rFonts w:hint="eastAsia" w:ascii="Arial" w:hAnsi="Arial" w:eastAsia="仿宋_GB2312" w:cs="Arial"/>
                <w:color w:val="auto"/>
                <w:sz w:val="20"/>
              </w:rPr>
              <w:t>3</w:t>
            </w:r>
          </w:p>
        </w:tc>
        <w:tc>
          <w:tcPr>
            <w:tcW w:w="1021" w:type="dxa"/>
            <w:vMerge w:val="continue"/>
            <w:vAlign w:val="center"/>
          </w:tcPr>
          <w:p w14:paraId="27433486">
            <w:pPr>
              <w:rPr>
                <w:rFonts w:ascii="仿宋" w:hAnsi="仿宋" w:eastAsia="仿宋"/>
                <w:color w:val="auto"/>
                <w:sz w:val="20"/>
              </w:rPr>
            </w:pPr>
          </w:p>
        </w:tc>
        <w:tc>
          <w:tcPr>
            <w:tcW w:w="2771" w:type="dxa"/>
            <w:shd w:val="clear" w:color="auto" w:fill="auto"/>
            <w:vAlign w:val="center"/>
          </w:tcPr>
          <w:p w14:paraId="6F00F82B">
            <w:pPr>
              <w:jc w:val="center"/>
              <w:rPr>
                <w:rFonts w:ascii="仿宋" w:hAnsi="仿宋" w:eastAsia="仿宋"/>
                <w:color w:val="auto"/>
                <w:sz w:val="20"/>
              </w:rPr>
            </w:pPr>
            <w:r>
              <w:rPr>
                <w:rFonts w:hint="eastAsia" w:ascii="仿宋" w:hAnsi="仿宋" w:eastAsia="仿宋"/>
                <w:color w:val="auto"/>
                <w:sz w:val="20"/>
              </w:rPr>
              <w:t>前门商业街（前门大街）</w:t>
            </w:r>
          </w:p>
        </w:tc>
        <w:tc>
          <w:tcPr>
            <w:tcW w:w="2668" w:type="dxa"/>
            <w:shd w:val="clear" w:color="auto" w:fill="auto"/>
            <w:vAlign w:val="center"/>
          </w:tcPr>
          <w:p w14:paraId="2C35B980">
            <w:pPr>
              <w:jc w:val="center"/>
              <w:rPr>
                <w:rFonts w:ascii="仿宋" w:hAnsi="仿宋" w:eastAsia="仿宋"/>
                <w:color w:val="auto"/>
                <w:sz w:val="20"/>
              </w:rPr>
            </w:pPr>
            <w:r>
              <w:rPr>
                <w:rFonts w:hint="eastAsia" w:ascii="仿宋" w:hAnsi="仿宋" w:eastAsia="仿宋"/>
                <w:color w:val="auto"/>
                <w:sz w:val="20"/>
              </w:rPr>
              <w:t>前门箭楼－－珠市口</w:t>
            </w:r>
          </w:p>
        </w:tc>
        <w:tc>
          <w:tcPr>
            <w:tcW w:w="1080" w:type="dxa"/>
            <w:shd w:val="clear" w:color="auto" w:fill="auto"/>
            <w:vAlign w:val="center"/>
          </w:tcPr>
          <w:p w14:paraId="4714B7CB">
            <w:pPr>
              <w:jc w:val="center"/>
              <w:rPr>
                <w:rFonts w:ascii="Arial" w:hAnsi="Arial" w:eastAsia="仿宋_GB2312" w:cs="Arial"/>
                <w:color w:val="auto"/>
                <w:sz w:val="20"/>
              </w:rPr>
            </w:pPr>
            <w:r>
              <w:rPr>
                <w:rFonts w:hint="eastAsia" w:ascii="Arial" w:hAnsi="Arial" w:eastAsia="仿宋_GB2312" w:cs="Arial"/>
                <w:color w:val="auto"/>
                <w:sz w:val="20"/>
              </w:rPr>
              <w:t>20%</w:t>
            </w:r>
          </w:p>
        </w:tc>
        <w:tc>
          <w:tcPr>
            <w:tcW w:w="1028" w:type="dxa"/>
            <w:shd w:val="clear" w:color="auto" w:fill="auto"/>
            <w:vAlign w:val="center"/>
          </w:tcPr>
          <w:p w14:paraId="40C24542">
            <w:pPr>
              <w:jc w:val="center"/>
              <w:rPr>
                <w:rFonts w:ascii="Arial" w:hAnsi="Arial" w:eastAsia="仿宋_GB2312" w:cs="Arial"/>
                <w:color w:val="auto"/>
                <w:sz w:val="20"/>
              </w:rPr>
            </w:pPr>
            <w:r>
              <w:rPr>
                <w:rFonts w:hint="eastAsia" w:ascii="Arial" w:hAnsi="Arial" w:eastAsia="仿宋_GB2312" w:cs="Arial"/>
                <w:color w:val="auto"/>
                <w:sz w:val="20"/>
              </w:rPr>
              <w:t>25</w:t>
            </w:r>
          </w:p>
        </w:tc>
      </w:tr>
      <w:tr w14:paraId="21E9C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2E1904E4">
            <w:pPr>
              <w:jc w:val="center"/>
              <w:rPr>
                <w:rFonts w:ascii="Arial" w:hAnsi="Arial" w:eastAsia="仿宋_GB2312" w:cs="Arial"/>
                <w:color w:val="auto"/>
                <w:sz w:val="20"/>
              </w:rPr>
            </w:pPr>
            <w:r>
              <w:rPr>
                <w:rFonts w:hint="eastAsia" w:ascii="Arial" w:hAnsi="Arial" w:eastAsia="仿宋_GB2312" w:cs="Arial"/>
                <w:color w:val="auto"/>
                <w:sz w:val="20"/>
              </w:rPr>
              <w:t>4</w:t>
            </w:r>
          </w:p>
        </w:tc>
        <w:tc>
          <w:tcPr>
            <w:tcW w:w="1021" w:type="dxa"/>
            <w:vMerge w:val="continue"/>
            <w:vAlign w:val="center"/>
          </w:tcPr>
          <w:p w14:paraId="3ADD57C1">
            <w:pPr>
              <w:rPr>
                <w:rFonts w:ascii="仿宋" w:hAnsi="仿宋" w:eastAsia="仿宋"/>
                <w:color w:val="auto"/>
                <w:sz w:val="20"/>
              </w:rPr>
            </w:pPr>
          </w:p>
        </w:tc>
        <w:tc>
          <w:tcPr>
            <w:tcW w:w="2771" w:type="dxa"/>
            <w:shd w:val="clear" w:color="auto" w:fill="auto"/>
            <w:vAlign w:val="center"/>
          </w:tcPr>
          <w:p w14:paraId="7A63FF42">
            <w:pPr>
              <w:jc w:val="center"/>
              <w:rPr>
                <w:rFonts w:ascii="仿宋" w:hAnsi="仿宋" w:eastAsia="仿宋"/>
                <w:color w:val="auto"/>
                <w:sz w:val="20"/>
              </w:rPr>
            </w:pPr>
            <w:r>
              <w:rPr>
                <w:rFonts w:hint="eastAsia" w:ascii="仿宋" w:hAnsi="仿宋" w:eastAsia="仿宋"/>
                <w:color w:val="auto"/>
                <w:sz w:val="20"/>
              </w:rPr>
              <w:t>建国门内大街</w:t>
            </w:r>
          </w:p>
        </w:tc>
        <w:tc>
          <w:tcPr>
            <w:tcW w:w="2668" w:type="dxa"/>
            <w:shd w:val="clear" w:color="auto" w:fill="auto"/>
            <w:vAlign w:val="center"/>
          </w:tcPr>
          <w:p w14:paraId="1BFA3CE2">
            <w:pPr>
              <w:jc w:val="center"/>
              <w:rPr>
                <w:rFonts w:ascii="仿宋" w:hAnsi="仿宋" w:eastAsia="仿宋"/>
                <w:color w:val="auto"/>
                <w:sz w:val="20"/>
              </w:rPr>
            </w:pPr>
            <w:r>
              <w:rPr>
                <w:rFonts w:hint="eastAsia" w:ascii="仿宋" w:hAnsi="仿宋" w:eastAsia="仿宋"/>
                <w:color w:val="auto"/>
                <w:sz w:val="20"/>
              </w:rPr>
              <w:t>建国门－－东单</w:t>
            </w:r>
          </w:p>
        </w:tc>
        <w:tc>
          <w:tcPr>
            <w:tcW w:w="1080" w:type="dxa"/>
            <w:shd w:val="clear" w:color="auto" w:fill="auto"/>
            <w:vAlign w:val="center"/>
          </w:tcPr>
          <w:p w14:paraId="2B1CFEA6">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704D0861">
            <w:pPr>
              <w:jc w:val="center"/>
              <w:rPr>
                <w:rFonts w:ascii="Arial" w:hAnsi="Arial" w:eastAsia="仿宋_GB2312" w:cs="Arial"/>
                <w:color w:val="auto"/>
                <w:sz w:val="20"/>
              </w:rPr>
            </w:pPr>
            <w:r>
              <w:rPr>
                <w:rFonts w:hint="eastAsia" w:ascii="Arial" w:hAnsi="Arial" w:eastAsia="仿宋_GB2312" w:cs="Arial"/>
                <w:color w:val="auto"/>
                <w:sz w:val="20"/>
              </w:rPr>
              <w:t>20</w:t>
            </w:r>
          </w:p>
        </w:tc>
      </w:tr>
      <w:tr w14:paraId="4D512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AA4DE66">
            <w:pPr>
              <w:jc w:val="center"/>
              <w:rPr>
                <w:rFonts w:ascii="Arial" w:hAnsi="Arial" w:eastAsia="仿宋_GB2312" w:cs="Arial"/>
                <w:color w:val="auto"/>
                <w:sz w:val="20"/>
              </w:rPr>
            </w:pPr>
            <w:r>
              <w:rPr>
                <w:rFonts w:hint="eastAsia" w:ascii="Arial" w:hAnsi="Arial" w:eastAsia="仿宋_GB2312" w:cs="Arial"/>
                <w:color w:val="auto"/>
                <w:sz w:val="20"/>
              </w:rPr>
              <w:t>5</w:t>
            </w:r>
          </w:p>
        </w:tc>
        <w:tc>
          <w:tcPr>
            <w:tcW w:w="1021" w:type="dxa"/>
            <w:vMerge w:val="continue"/>
            <w:vAlign w:val="center"/>
          </w:tcPr>
          <w:p w14:paraId="623C4085">
            <w:pPr>
              <w:rPr>
                <w:rFonts w:ascii="仿宋" w:hAnsi="仿宋" w:eastAsia="仿宋"/>
                <w:color w:val="auto"/>
                <w:sz w:val="20"/>
              </w:rPr>
            </w:pPr>
          </w:p>
        </w:tc>
        <w:tc>
          <w:tcPr>
            <w:tcW w:w="2771" w:type="dxa"/>
            <w:shd w:val="clear" w:color="auto" w:fill="auto"/>
            <w:vAlign w:val="center"/>
          </w:tcPr>
          <w:p w14:paraId="79666897">
            <w:pPr>
              <w:jc w:val="center"/>
              <w:rPr>
                <w:rFonts w:ascii="仿宋" w:hAnsi="仿宋" w:eastAsia="仿宋"/>
                <w:color w:val="auto"/>
                <w:sz w:val="20"/>
              </w:rPr>
            </w:pPr>
            <w:r>
              <w:rPr>
                <w:rFonts w:hint="eastAsia" w:ascii="仿宋" w:hAnsi="仿宋" w:eastAsia="仿宋"/>
                <w:color w:val="auto"/>
                <w:sz w:val="20"/>
              </w:rPr>
              <w:t>王府井大街</w:t>
            </w:r>
          </w:p>
        </w:tc>
        <w:tc>
          <w:tcPr>
            <w:tcW w:w="2668" w:type="dxa"/>
            <w:shd w:val="clear" w:color="auto" w:fill="auto"/>
            <w:vAlign w:val="center"/>
          </w:tcPr>
          <w:p w14:paraId="41A76BF4">
            <w:pPr>
              <w:jc w:val="center"/>
              <w:rPr>
                <w:rFonts w:ascii="仿宋" w:hAnsi="仿宋" w:eastAsia="仿宋"/>
                <w:color w:val="auto"/>
                <w:sz w:val="20"/>
              </w:rPr>
            </w:pPr>
            <w:r>
              <w:rPr>
                <w:rFonts w:hint="eastAsia" w:ascii="仿宋" w:hAnsi="仿宋" w:eastAsia="仿宋"/>
                <w:color w:val="auto"/>
                <w:sz w:val="20"/>
              </w:rPr>
              <w:t>金鱼胡同－－五四大街</w:t>
            </w:r>
          </w:p>
        </w:tc>
        <w:tc>
          <w:tcPr>
            <w:tcW w:w="1080" w:type="dxa"/>
            <w:shd w:val="clear" w:color="auto" w:fill="auto"/>
            <w:vAlign w:val="center"/>
          </w:tcPr>
          <w:p w14:paraId="0A5FC32F">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7061936B">
            <w:pPr>
              <w:jc w:val="center"/>
              <w:rPr>
                <w:rFonts w:ascii="Arial" w:hAnsi="Arial" w:eastAsia="仿宋_GB2312" w:cs="Arial"/>
                <w:color w:val="auto"/>
                <w:sz w:val="20"/>
              </w:rPr>
            </w:pPr>
            <w:r>
              <w:rPr>
                <w:rFonts w:hint="eastAsia" w:ascii="Arial" w:hAnsi="Arial" w:eastAsia="仿宋_GB2312" w:cs="Arial"/>
                <w:color w:val="auto"/>
                <w:sz w:val="20"/>
              </w:rPr>
              <w:t>20</w:t>
            </w:r>
          </w:p>
        </w:tc>
      </w:tr>
      <w:tr w14:paraId="2DD40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0F8B5977">
            <w:pPr>
              <w:jc w:val="center"/>
              <w:rPr>
                <w:rFonts w:ascii="Arial" w:hAnsi="Arial" w:eastAsia="仿宋_GB2312" w:cs="Arial"/>
                <w:color w:val="auto"/>
                <w:sz w:val="20"/>
              </w:rPr>
            </w:pPr>
            <w:r>
              <w:rPr>
                <w:rFonts w:hint="eastAsia" w:ascii="Arial" w:hAnsi="Arial" w:eastAsia="仿宋_GB2312" w:cs="Arial"/>
                <w:color w:val="auto"/>
                <w:sz w:val="20"/>
              </w:rPr>
              <w:t>6</w:t>
            </w:r>
          </w:p>
        </w:tc>
        <w:tc>
          <w:tcPr>
            <w:tcW w:w="1021" w:type="dxa"/>
            <w:vMerge w:val="continue"/>
            <w:vAlign w:val="center"/>
          </w:tcPr>
          <w:p w14:paraId="512C08A8">
            <w:pPr>
              <w:rPr>
                <w:rFonts w:ascii="仿宋" w:hAnsi="仿宋" w:eastAsia="仿宋"/>
                <w:color w:val="auto"/>
                <w:sz w:val="20"/>
              </w:rPr>
            </w:pPr>
          </w:p>
        </w:tc>
        <w:tc>
          <w:tcPr>
            <w:tcW w:w="2771" w:type="dxa"/>
            <w:shd w:val="clear" w:color="auto" w:fill="auto"/>
            <w:vAlign w:val="center"/>
          </w:tcPr>
          <w:p w14:paraId="596A5CDA">
            <w:pPr>
              <w:jc w:val="center"/>
              <w:rPr>
                <w:rFonts w:ascii="仿宋" w:hAnsi="仿宋" w:eastAsia="仿宋"/>
                <w:color w:val="auto"/>
                <w:sz w:val="20"/>
              </w:rPr>
            </w:pPr>
            <w:r>
              <w:rPr>
                <w:rFonts w:hint="eastAsia" w:ascii="仿宋" w:hAnsi="仿宋" w:eastAsia="仿宋"/>
                <w:color w:val="auto"/>
                <w:sz w:val="20"/>
              </w:rPr>
              <w:t>东单北大街</w:t>
            </w:r>
          </w:p>
        </w:tc>
        <w:tc>
          <w:tcPr>
            <w:tcW w:w="2668" w:type="dxa"/>
            <w:shd w:val="clear" w:color="auto" w:fill="auto"/>
            <w:vAlign w:val="center"/>
          </w:tcPr>
          <w:p w14:paraId="7573FEB9">
            <w:pPr>
              <w:jc w:val="center"/>
              <w:rPr>
                <w:rFonts w:ascii="仿宋" w:hAnsi="仿宋" w:eastAsia="仿宋"/>
                <w:color w:val="auto"/>
                <w:sz w:val="20"/>
              </w:rPr>
            </w:pPr>
            <w:r>
              <w:rPr>
                <w:rFonts w:hint="eastAsia" w:ascii="仿宋" w:hAnsi="仿宋" w:eastAsia="仿宋"/>
                <w:color w:val="auto"/>
                <w:sz w:val="20"/>
              </w:rPr>
              <w:t>金鱼胡同－－东单路口</w:t>
            </w:r>
          </w:p>
        </w:tc>
        <w:tc>
          <w:tcPr>
            <w:tcW w:w="1080" w:type="dxa"/>
            <w:shd w:val="clear" w:color="auto" w:fill="auto"/>
            <w:vAlign w:val="center"/>
          </w:tcPr>
          <w:p w14:paraId="674A8B78">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1FD73943">
            <w:pPr>
              <w:jc w:val="center"/>
              <w:rPr>
                <w:rFonts w:ascii="Arial" w:hAnsi="Arial" w:eastAsia="仿宋_GB2312" w:cs="Arial"/>
                <w:color w:val="auto"/>
                <w:sz w:val="20"/>
              </w:rPr>
            </w:pPr>
            <w:r>
              <w:rPr>
                <w:rFonts w:hint="eastAsia" w:ascii="Arial" w:hAnsi="Arial" w:eastAsia="仿宋_GB2312" w:cs="Arial"/>
                <w:color w:val="auto"/>
                <w:sz w:val="20"/>
              </w:rPr>
              <w:t>20</w:t>
            </w:r>
          </w:p>
        </w:tc>
      </w:tr>
      <w:tr w14:paraId="284AA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3E5A474C">
            <w:pPr>
              <w:jc w:val="center"/>
              <w:rPr>
                <w:rFonts w:ascii="Arial" w:hAnsi="Arial" w:eastAsia="仿宋_GB2312" w:cs="Arial"/>
                <w:color w:val="auto"/>
                <w:sz w:val="20"/>
              </w:rPr>
            </w:pPr>
            <w:r>
              <w:rPr>
                <w:rFonts w:hint="eastAsia" w:ascii="Arial" w:hAnsi="Arial" w:eastAsia="仿宋_GB2312" w:cs="Arial"/>
                <w:color w:val="auto"/>
                <w:sz w:val="20"/>
              </w:rPr>
              <w:t>7</w:t>
            </w:r>
          </w:p>
        </w:tc>
        <w:tc>
          <w:tcPr>
            <w:tcW w:w="1021" w:type="dxa"/>
            <w:vMerge w:val="continue"/>
            <w:vAlign w:val="center"/>
          </w:tcPr>
          <w:p w14:paraId="6F6585D8">
            <w:pPr>
              <w:rPr>
                <w:rFonts w:ascii="仿宋" w:hAnsi="仿宋" w:eastAsia="仿宋"/>
                <w:color w:val="auto"/>
                <w:sz w:val="20"/>
              </w:rPr>
            </w:pPr>
          </w:p>
        </w:tc>
        <w:tc>
          <w:tcPr>
            <w:tcW w:w="2771" w:type="dxa"/>
            <w:shd w:val="clear" w:color="auto" w:fill="auto"/>
            <w:vAlign w:val="center"/>
          </w:tcPr>
          <w:p w14:paraId="687FC521">
            <w:pPr>
              <w:jc w:val="center"/>
              <w:rPr>
                <w:rFonts w:ascii="仿宋" w:hAnsi="仿宋" w:eastAsia="仿宋"/>
                <w:color w:val="auto"/>
                <w:sz w:val="20"/>
              </w:rPr>
            </w:pPr>
            <w:r>
              <w:rPr>
                <w:rFonts w:hint="eastAsia" w:ascii="仿宋" w:hAnsi="仿宋" w:eastAsia="仿宋"/>
                <w:color w:val="auto"/>
                <w:sz w:val="20"/>
              </w:rPr>
              <w:t>南锣鼓巷</w:t>
            </w:r>
          </w:p>
        </w:tc>
        <w:tc>
          <w:tcPr>
            <w:tcW w:w="2668" w:type="dxa"/>
            <w:shd w:val="clear" w:color="auto" w:fill="auto"/>
            <w:vAlign w:val="center"/>
          </w:tcPr>
          <w:p w14:paraId="615DE78B">
            <w:pPr>
              <w:jc w:val="center"/>
              <w:rPr>
                <w:rFonts w:ascii="仿宋" w:hAnsi="仿宋" w:eastAsia="仿宋"/>
                <w:color w:val="auto"/>
                <w:sz w:val="20"/>
              </w:rPr>
            </w:pPr>
            <w:r>
              <w:rPr>
                <w:rFonts w:hint="eastAsia" w:ascii="仿宋" w:hAnsi="仿宋" w:eastAsia="仿宋"/>
                <w:color w:val="auto"/>
                <w:sz w:val="20"/>
              </w:rPr>
              <w:t>地安门东大街－－鼓楼东大街</w:t>
            </w:r>
          </w:p>
        </w:tc>
        <w:tc>
          <w:tcPr>
            <w:tcW w:w="1080" w:type="dxa"/>
            <w:shd w:val="clear" w:color="auto" w:fill="auto"/>
            <w:vAlign w:val="center"/>
          </w:tcPr>
          <w:p w14:paraId="6147C2DB">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677C1A5D">
            <w:pPr>
              <w:jc w:val="center"/>
              <w:rPr>
                <w:rFonts w:ascii="Arial" w:hAnsi="Arial" w:eastAsia="仿宋_GB2312" w:cs="Arial"/>
                <w:color w:val="auto"/>
                <w:sz w:val="20"/>
              </w:rPr>
            </w:pPr>
            <w:r>
              <w:rPr>
                <w:rFonts w:hint="eastAsia" w:ascii="Arial" w:hAnsi="Arial" w:eastAsia="仿宋_GB2312" w:cs="Arial"/>
                <w:color w:val="auto"/>
                <w:sz w:val="20"/>
              </w:rPr>
              <w:t>20</w:t>
            </w:r>
          </w:p>
        </w:tc>
      </w:tr>
      <w:tr w14:paraId="53AB5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31A719A9">
            <w:pPr>
              <w:jc w:val="center"/>
              <w:rPr>
                <w:rFonts w:ascii="Arial" w:hAnsi="Arial" w:eastAsia="仿宋_GB2312" w:cs="Arial"/>
                <w:color w:val="auto"/>
                <w:sz w:val="20"/>
              </w:rPr>
            </w:pPr>
            <w:r>
              <w:rPr>
                <w:rFonts w:hint="eastAsia" w:ascii="Arial" w:hAnsi="Arial" w:eastAsia="仿宋_GB2312" w:cs="Arial"/>
                <w:color w:val="auto"/>
                <w:sz w:val="20"/>
              </w:rPr>
              <w:t>8</w:t>
            </w:r>
          </w:p>
        </w:tc>
        <w:tc>
          <w:tcPr>
            <w:tcW w:w="1021" w:type="dxa"/>
            <w:vMerge w:val="continue"/>
            <w:vAlign w:val="center"/>
          </w:tcPr>
          <w:p w14:paraId="3B2D8758">
            <w:pPr>
              <w:rPr>
                <w:rFonts w:ascii="仿宋" w:hAnsi="仿宋" w:eastAsia="仿宋"/>
                <w:color w:val="auto"/>
                <w:sz w:val="20"/>
              </w:rPr>
            </w:pPr>
          </w:p>
        </w:tc>
        <w:tc>
          <w:tcPr>
            <w:tcW w:w="2771" w:type="dxa"/>
            <w:shd w:val="clear" w:color="auto" w:fill="auto"/>
            <w:vAlign w:val="center"/>
          </w:tcPr>
          <w:p w14:paraId="3EE48EF4">
            <w:pPr>
              <w:jc w:val="center"/>
              <w:rPr>
                <w:rFonts w:ascii="仿宋" w:hAnsi="仿宋" w:eastAsia="仿宋"/>
                <w:color w:val="auto"/>
                <w:sz w:val="20"/>
              </w:rPr>
            </w:pPr>
            <w:r>
              <w:rPr>
                <w:rFonts w:hint="eastAsia" w:ascii="仿宋" w:hAnsi="仿宋" w:eastAsia="仿宋"/>
                <w:color w:val="auto"/>
                <w:sz w:val="20"/>
              </w:rPr>
              <w:t>东四南大街</w:t>
            </w:r>
          </w:p>
        </w:tc>
        <w:tc>
          <w:tcPr>
            <w:tcW w:w="2668" w:type="dxa"/>
            <w:shd w:val="clear" w:color="auto" w:fill="auto"/>
            <w:vAlign w:val="center"/>
          </w:tcPr>
          <w:p w14:paraId="3E58B43F">
            <w:pPr>
              <w:jc w:val="center"/>
              <w:rPr>
                <w:rFonts w:ascii="仿宋" w:hAnsi="仿宋" w:eastAsia="仿宋"/>
                <w:color w:val="auto"/>
                <w:sz w:val="20"/>
              </w:rPr>
            </w:pPr>
            <w:r>
              <w:rPr>
                <w:rFonts w:hint="eastAsia" w:ascii="仿宋" w:hAnsi="仿宋" w:eastAsia="仿宋"/>
                <w:color w:val="auto"/>
                <w:sz w:val="20"/>
              </w:rPr>
              <w:t>东四路口－－金鱼胡同</w:t>
            </w:r>
          </w:p>
        </w:tc>
        <w:tc>
          <w:tcPr>
            <w:tcW w:w="1080" w:type="dxa"/>
            <w:shd w:val="clear" w:color="auto" w:fill="auto"/>
            <w:vAlign w:val="center"/>
          </w:tcPr>
          <w:p w14:paraId="75B3D6EB">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539CC918">
            <w:pPr>
              <w:jc w:val="center"/>
              <w:rPr>
                <w:rFonts w:ascii="Arial" w:hAnsi="Arial" w:eastAsia="仿宋_GB2312" w:cs="Arial"/>
                <w:color w:val="auto"/>
                <w:sz w:val="20"/>
              </w:rPr>
            </w:pPr>
            <w:r>
              <w:rPr>
                <w:rFonts w:hint="eastAsia" w:ascii="Arial" w:hAnsi="Arial" w:eastAsia="仿宋_GB2312" w:cs="Arial"/>
                <w:color w:val="auto"/>
                <w:sz w:val="20"/>
              </w:rPr>
              <w:t>15</w:t>
            </w:r>
          </w:p>
        </w:tc>
      </w:tr>
      <w:tr w14:paraId="1EB5D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3C419324">
            <w:pPr>
              <w:jc w:val="center"/>
              <w:rPr>
                <w:rFonts w:ascii="Arial" w:hAnsi="Arial" w:eastAsia="仿宋_GB2312" w:cs="Arial"/>
                <w:color w:val="auto"/>
                <w:sz w:val="20"/>
              </w:rPr>
            </w:pPr>
            <w:r>
              <w:rPr>
                <w:rFonts w:hint="eastAsia" w:ascii="Arial" w:hAnsi="Arial" w:eastAsia="仿宋_GB2312" w:cs="Arial"/>
                <w:color w:val="auto"/>
                <w:sz w:val="20"/>
              </w:rPr>
              <w:t>9</w:t>
            </w:r>
          </w:p>
        </w:tc>
        <w:tc>
          <w:tcPr>
            <w:tcW w:w="1021" w:type="dxa"/>
            <w:vMerge w:val="continue"/>
            <w:vAlign w:val="center"/>
          </w:tcPr>
          <w:p w14:paraId="67C89A87">
            <w:pPr>
              <w:rPr>
                <w:rFonts w:ascii="仿宋" w:hAnsi="仿宋" w:eastAsia="仿宋"/>
                <w:color w:val="auto"/>
                <w:sz w:val="20"/>
              </w:rPr>
            </w:pPr>
          </w:p>
        </w:tc>
        <w:tc>
          <w:tcPr>
            <w:tcW w:w="2771" w:type="dxa"/>
            <w:shd w:val="clear" w:color="auto" w:fill="auto"/>
            <w:vAlign w:val="center"/>
          </w:tcPr>
          <w:p w14:paraId="1FA21099">
            <w:pPr>
              <w:jc w:val="center"/>
              <w:rPr>
                <w:rFonts w:ascii="仿宋" w:hAnsi="仿宋" w:eastAsia="仿宋"/>
                <w:color w:val="auto"/>
                <w:sz w:val="20"/>
              </w:rPr>
            </w:pPr>
            <w:r>
              <w:rPr>
                <w:rFonts w:hint="eastAsia" w:ascii="仿宋" w:hAnsi="仿宋" w:eastAsia="仿宋"/>
                <w:color w:val="auto"/>
                <w:sz w:val="20"/>
              </w:rPr>
              <w:t>簋街（东直门内大街）</w:t>
            </w:r>
          </w:p>
        </w:tc>
        <w:tc>
          <w:tcPr>
            <w:tcW w:w="2668" w:type="dxa"/>
            <w:shd w:val="clear" w:color="auto" w:fill="auto"/>
            <w:vAlign w:val="center"/>
          </w:tcPr>
          <w:p w14:paraId="189685A7">
            <w:pPr>
              <w:jc w:val="center"/>
              <w:rPr>
                <w:rFonts w:ascii="仿宋" w:hAnsi="仿宋" w:eastAsia="仿宋"/>
                <w:color w:val="auto"/>
                <w:sz w:val="20"/>
              </w:rPr>
            </w:pPr>
            <w:r>
              <w:rPr>
                <w:rFonts w:hint="eastAsia" w:ascii="仿宋" w:hAnsi="仿宋" w:eastAsia="仿宋"/>
                <w:color w:val="auto"/>
                <w:sz w:val="20"/>
              </w:rPr>
              <w:t>东直门桥－－北新桥</w:t>
            </w:r>
          </w:p>
        </w:tc>
        <w:tc>
          <w:tcPr>
            <w:tcW w:w="1080" w:type="dxa"/>
            <w:shd w:val="clear" w:color="auto" w:fill="auto"/>
            <w:vAlign w:val="center"/>
          </w:tcPr>
          <w:p w14:paraId="04588212">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5E572319">
            <w:pPr>
              <w:jc w:val="center"/>
              <w:rPr>
                <w:rFonts w:ascii="Arial" w:hAnsi="Arial" w:eastAsia="仿宋_GB2312" w:cs="Arial"/>
                <w:color w:val="auto"/>
                <w:sz w:val="20"/>
              </w:rPr>
            </w:pPr>
            <w:r>
              <w:rPr>
                <w:rFonts w:hint="eastAsia" w:ascii="Arial" w:hAnsi="Arial" w:eastAsia="仿宋_GB2312" w:cs="Arial"/>
                <w:color w:val="auto"/>
                <w:sz w:val="20"/>
              </w:rPr>
              <w:t>15</w:t>
            </w:r>
          </w:p>
        </w:tc>
      </w:tr>
      <w:tr w14:paraId="311E8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5D597D2F">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1" w:type="dxa"/>
            <w:vMerge w:val="continue"/>
            <w:vAlign w:val="center"/>
          </w:tcPr>
          <w:p w14:paraId="07EF06B0">
            <w:pPr>
              <w:rPr>
                <w:rFonts w:ascii="仿宋" w:hAnsi="仿宋" w:eastAsia="仿宋"/>
                <w:color w:val="auto"/>
                <w:sz w:val="20"/>
              </w:rPr>
            </w:pPr>
          </w:p>
        </w:tc>
        <w:tc>
          <w:tcPr>
            <w:tcW w:w="2771" w:type="dxa"/>
            <w:shd w:val="clear" w:color="auto" w:fill="auto"/>
            <w:vAlign w:val="center"/>
          </w:tcPr>
          <w:p w14:paraId="7C883149">
            <w:pPr>
              <w:jc w:val="center"/>
              <w:rPr>
                <w:rFonts w:ascii="仿宋" w:hAnsi="仿宋" w:eastAsia="仿宋"/>
                <w:color w:val="auto"/>
                <w:sz w:val="20"/>
              </w:rPr>
            </w:pPr>
            <w:r>
              <w:rPr>
                <w:rFonts w:hint="eastAsia" w:ascii="仿宋" w:hAnsi="仿宋" w:eastAsia="仿宋"/>
                <w:color w:val="auto"/>
                <w:sz w:val="20"/>
              </w:rPr>
              <w:t>东四十条</w:t>
            </w:r>
          </w:p>
        </w:tc>
        <w:tc>
          <w:tcPr>
            <w:tcW w:w="2668" w:type="dxa"/>
            <w:shd w:val="clear" w:color="auto" w:fill="auto"/>
            <w:vAlign w:val="center"/>
          </w:tcPr>
          <w:p w14:paraId="1811DF69">
            <w:pPr>
              <w:jc w:val="center"/>
              <w:rPr>
                <w:rFonts w:ascii="仿宋" w:hAnsi="仿宋" w:eastAsia="仿宋"/>
                <w:color w:val="auto"/>
                <w:sz w:val="20"/>
              </w:rPr>
            </w:pPr>
            <w:r>
              <w:rPr>
                <w:rFonts w:hint="eastAsia" w:ascii="仿宋" w:hAnsi="仿宋" w:eastAsia="仿宋"/>
                <w:color w:val="auto"/>
                <w:sz w:val="20"/>
              </w:rPr>
              <w:t>东四十条桥－－东四北大街</w:t>
            </w:r>
          </w:p>
        </w:tc>
        <w:tc>
          <w:tcPr>
            <w:tcW w:w="1080" w:type="dxa"/>
            <w:shd w:val="clear" w:color="auto" w:fill="auto"/>
            <w:vAlign w:val="center"/>
          </w:tcPr>
          <w:p w14:paraId="168F8C7A">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076EEDEE">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170D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CA33798">
            <w:pPr>
              <w:jc w:val="center"/>
              <w:rPr>
                <w:rFonts w:ascii="Arial" w:hAnsi="Arial" w:eastAsia="仿宋_GB2312" w:cs="Arial"/>
                <w:color w:val="auto"/>
                <w:sz w:val="20"/>
              </w:rPr>
            </w:pPr>
            <w:r>
              <w:rPr>
                <w:rFonts w:hint="eastAsia" w:ascii="Arial" w:hAnsi="Arial" w:eastAsia="仿宋_GB2312" w:cs="Arial"/>
                <w:color w:val="auto"/>
                <w:sz w:val="20"/>
              </w:rPr>
              <w:t>11</w:t>
            </w:r>
          </w:p>
        </w:tc>
        <w:tc>
          <w:tcPr>
            <w:tcW w:w="1021" w:type="dxa"/>
            <w:vMerge w:val="continue"/>
            <w:vAlign w:val="center"/>
          </w:tcPr>
          <w:p w14:paraId="4C4861A7">
            <w:pPr>
              <w:rPr>
                <w:rFonts w:ascii="仿宋" w:hAnsi="仿宋" w:eastAsia="仿宋"/>
                <w:color w:val="auto"/>
                <w:sz w:val="20"/>
              </w:rPr>
            </w:pPr>
          </w:p>
        </w:tc>
        <w:tc>
          <w:tcPr>
            <w:tcW w:w="2771" w:type="dxa"/>
            <w:shd w:val="clear" w:color="auto" w:fill="auto"/>
            <w:vAlign w:val="center"/>
          </w:tcPr>
          <w:p w14:paraId="0411166F">
            <w:pPr>
              <w:jc w:val="center"/>
              <w:rPr>
                <w:rFonts w:ascii="仿宋" w:hAnsi="仿宋" w:eastAsia="仿宋"/>
                <w:color w:val="auto"/>
                <w:sz w:val="20"/>
              </w:rPr>
            </w:pPr>
            <w:r>
              <w:rPr>
                <w:rFonts w:hint="eastAsia" w:ascii="仿宋" w:hAnsi="仿宋" w:eastAsia="仿宋"/>
                <w:color w:val="auto"/>
                <w:sz w:val="20"/>
              </w:rPr>
              <w:t>张自忠路</w:t>
            </w:r>
          </w:p>
        </w:tc>
        <w:tc>
          <w:tcPr>
            <w:tcW w:w="2668" w:type="dxa"/>
            <w:shd w:val="clear" w:color="auto" w:fill="auto"/>
            <w:vAlign w:val="center"/>
          </w:tcPr>
          <w:p w14:paraId="4A2448D0">
            <w:pPr>
              <w:jc w:val="center"/>
              <w:rPr>
                <w:rFonts w:ascii="仿宋" w:hAnsi="仿宋" w:eastAsia="仿宋"/>
                <w:color w:val="auto"/>
                <w:sz w:val="20"/>
              </w:rPr>
            </w:pPr>
            <w:r>
              <w:rPr>
                <w:rFonts w:hint="eastAsia" w:ascii="仿宋" w:hAnsi="仿宋" w:eastAsia="仿宋"/>
                <w:color w:val="auto"/>
                <w:sz w:val="20"/>
              </w:rPr>
              <w:t>东四北大街－交道口南大街</w:t>
            </w:r>
          </w:p>
        </w:tc>
        <w:tc>
          <w:tcPr>
            <w:tcW w:w="1080" w:type="dxa"/>
            <w:shd w:val="clear" w:color="auto" w:fill="auto"/>
            <w:vAlign w:val="center"/>
          </w:tcPr>
          <w:p w14:paraId="252A8AB5">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5EA33B6E">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3E4E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6DD79202">
            <w:pPr>
              <w:jc w:val="center"/>
              <w:rPr>
                <w:rFonts w:ascii="Arial" w:hAnsi="Arial" w:eastAsia="仿宋_GB2312" w:cs="Arial"/>
                <w:color w:val="auto"/>
                <w:sz w:val="20"/>
              </w:rPr>
            </w:pPr>
            <w:r>
              <w:rPr>
                <w:rFonts w:hint="eastAsia" w:ascii="Arial" w:hAnsi="Arial" w:eastAsia="仿宋_GB2312" w:cs="Arial"/>
                <w:color w:val="auto"/>
                <w:sz w:val="20"/>
              </w:rPr>
              <w:t>12</w:t>
            </w:r>
          </w:p>
        </w:tc>
        <w:tc>
          <w:tcPr>
            <w:tcW w:w="1021" w:type="dxa"/>
            <w:vMerge w:val="continue"/>
            <w:vAlign w:val="center"/>
          </w:tcPr>
          <w:p w14:paraId="21387955">
            <w:pPr>
              <w:rPr>
                <w:rFonts w:ascii="仿宋" w:hAnsi="仿宋" w:eastAsia="仿宋"/>
                <w:color w:val="auto"/>
                <w:sz w:val="20"/>
              </w:rPr>
            </w:pPr>
          </w:p>
        </w:tc>
        <w:tc>
          <w:tcPr>
            <w:tcW w:w="2771" w:type="dxa"/>
            <w:shd w:val="clear" w:color="auto" w:fill="auto"/>
            <w:vAlign w:val="center"/>
          </w:tcPr>
          <w:p w14:paraId="18D3BF1B">
            <w:pPr>
              <w:jc w:val="center"/>
              <w:rPr>
                <w:rFonts w:ascii="仿宋" w:hAnsi="仿宋" w:eastAsia="仿宋"/>
                <w:color w:val="auto"/>
                <w:sz w:val="20"/>
              </w:rPr>
            </w:pPr>
            <w:r>
              <w:rPr>
                <w:rFonts w:hint="eastAsia" w:ascii="仿宋" w:hAnsi="仿宋" w:eastAsia="仿宋"/>
                <w:color w:val="auto"/>
                <w:sz w:val="20"/>
              </w:rPr>
              <w:t>地安门东大街</w:t>
            </w:r>
          </w:p>
        </w:tc>
        <w:tc>
          <w:tcPr>
            <w:tcW w:w="2668" w:type="dxa"/>
            <w:shd w:val="clear" w:color="auto" w:fill="auto"/>
            <w:tcMar>
              <w:top w:w="0" w:type="dxa"/>
              <w:left w:w="51" w:type="dxa"/>
              <w:bottom w:w="0" w:type="dxa"/>
              <w:right w:w="51" w:type="dxa"/>
            </w:tcMar>
            <w:vAlign w:val="center"/>
          </w:tcPr>
          <w:p w14:paraId="55391A71">
            <w:pPr>
              <w:jc w:val="center"/>
              <w:rPr>
                <w:rFonts w:ascii="仿宋" w:hAnsi="仿宋" w:eastAsia="仿宋"/>
                <w:color w:val="auto"/>
                <w:sz w:val="20"/>
              </w:rPr>
            </w:pPr>
            <w:r>
              <w:rPr>
                <w:rFonts w:hint="eastAsia" w:ascii="仿宋" w:hAnsi="仿宋" w:eastAsia="仿宋"/>
                <w:color w:val="auto"/>
                <w:sz w:val="20"/>
              </w:rPr>
              <w:t>交道口南大街－－地安门外大街</w:t>
            </w:r>
          </w:p>
        </w:tc>
        <w:tc>
          <w:tcPr>
            <w:tcW w:w="1080" w:type="dxa"/>
            <w:shd w:val="clear" w:color="auto" w:fill="auto"/>
            <w:vAlign w:val="center"/>
          </w:tcPr>
          <w:p w14:paraId="04A908C7">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6ACD88A6">
            <w:pPr>
              <w:jc w:val="center"/>
              <w:rPr>
                <w:rFonts w:ascii="Arial" w:hAnsi="Arial" w:eastAsia="仿宋_GB2312" w:cs="Arial"/>
                <w:color w:val="auto"/>
                <w:sz w:val="20"/>
              </w:rPr>
            </w:pPr>
            <w:r>
              <w:rPr>
                <w:rFonts w:hint="eastAsia" w:ascii="Arial" w:hAnsi="Arial" w:eastAsia="仿宋_GB2312" w:cs="Arial"/>
                <w:color w:val="auto"/>
                <w:sz w:val="20"/>
              </w:rPr>
              <w:t>15</w:t>
            </w:r>
          </w:p>
        </w:tc>
      </w:tr>
      <w:tr w14:paraId="6E971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6CE69368">
            <w:pPr>
              <w:jc w:val="center"/>
              <w:rPr>
                <w:rFonts w:ascii="Arial" w:hAnsi="Arial" w:eastAsia="仿宋_GB2312" w:cs="Arial"/>
                <w:color w:val="auto"/>
                <w:sz w:val="20"/>
              </w:rPr>
            </w:pPr>
            <w:r>
              <w:rPr>
                <w:rFonts w:hint="eastAsia" w:ascii="Arial" w:hAnsi="Arial" w:eastAsia="仿宋_GB2312" w:cs="Arial"/>
                <w:color w:val="auto"/>
                <w:sz w:val="20"/>
              </w:rPr>
              <w:t>13</w:t>
            </w:r>
          </w:p>
        </w:tc>
        <w:tc>
          <w:tcPr>
            <w:tcW w:w="1021" w:type="dxa"/>
            <w:vMerge w:val="continue"/>
            <w:vAlign w:val="center"/>
          </w:tcPr>
          <w:p w14:paraId="2303F681">
            <w:pPr>
              <w:rPr>
                <w:rFonts w:ascii="仿宋" w:hAnsi="仿宋" w:eastAsia="仿宋"/>
                <w:color w:val="auto"/>
                <w:sz w:val="20"/>
              </w:rPr>
            </w:pPr>
          </w:p>
        </w:tc>
        <w:tc>
          <w:tcPr>
            <w:tcW w:w="2771" w:type="dxa"/>
            <w:shd w:val="clear" w:color="auto" w:fill="auto"/>
            <w:vAlign w:val="center"/>
          </w:tcPr>
          <w:p w14:paraId="32DA5E59">
            <w:pPr>
              <w:jc w:val="center"/>
              <w:rPr>
                <w:rFonts w:ascii="仿宋" w:hAnsi="仿宋" w:eastAsia="仿宋"/>
                <w:color w:val="auto"/>
                <w:sz w:val="20"/>
              </w:rPr>
            </w:pPr>
            <w:r>
              <w:rPr>
                <w:rFonts w:hint="eastAsia" w:ascii="仿宋" w:hAnsi="仿宋" w:eastAsia="仿宋"/>
                <w:color w:val="auto"/>
                <w:sz w:val="20"/>
              </w:rPr>
              <w:t>崇文门外大街</w:t>
            </w:r>
          </w:p>
        </w:tc>
        <w:tc>
          <w:tcPr>
            <w:tcW w:w="2668" w:type="dxa"/>
            <w:shd w:val="clear" w:color="auto" w:fill="auto"/>
            <w:vAlign w:val="center"/>
          </w:tcPr>
          <w:p w14:paraId="302EA94D">
            <w:pPr>
              <w:jc w:val="center"/>
              <w:rPr>
                <w:rFonts w:ascii="仿宋" w:hAnsi="仿宋" w:eastAsia="仿宋"/>
                <w:color w:val="auto"/>
                <w:sz w:val="20"/>
              </w:rPr>
            </w:pPr>
            <w:r>
              <w:rPr>
                <w:rFonts w:hint="eastAsia" w:ascii="仿宋" w:hAnsi="仿宋" w:eastAsia="仿宋"/>
                <w:color w:val="auto"/>
                <w:sz w:val="20"/>
              </w:rPr>
              <w:t>崇文门－－磁器口</w:t>
            </w:r>
          </w:p>
        </w:tc>
        <w:tc>
          <w:tcPr>
            <w:tcW w:w="1080" w:type="dxa"/>
            <w:shd w:val="clear" w:color="auto" w:fill="auto"/>
            <w:vAlign w:val="center"/>
          </w:tcPr>
          <w:p w14:paraId="1CEAB0AC">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7CCD70DB">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B593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331523E3">
            <w:pPr>
              <w:jc w:val="center"/>
              <w:rPr>
                <w:rFonts w:ascii="Arial" w:hAnsi="Arial" w:eastAsia="仿宋_GB2312" w:cs="Arial"/>
                <w:color w:val="auto"/>
                <w:sz w:val="20"/>
              </w:rPr>
            </w:pPr>
            <w:r>
              <w:rPr>
                <w:rFonts w:hint="eastAsia" w:ascii="Arial" w:hAnsi="Arial" w:eastAsia="仿宋_GB2312" w:cs="Arial"/>
                <w:color w:val="auto"/>
                <w:sz w:val="20"/>
              </w:rPr>
              <w:t>14</w:t>
            </w:r>
          </w:p>
        </w:tc>
        <w:tc>
          <w:tcPr>
            <w:tcW w:w="1021" w:type="dxa"/>
            <w:vMerge w:val="continue"/>
            <w:vAlign w:val="center"/>
          </w:tcPr>
          <w:p w14:paraId="27401D78">
            <w:pPr>
              <w:rPr>
                <w:rFonts w:ascii="仿宋" w:hAnsi="仿宋" w:eastAsia="仿宋"/>
                <w:color w:val="auto"/>
                <w:sz w:val="20"/>
              </w:rPr>
            </w:pPr>
          </w:p>
        </w:tc>
        <w:tc>
          <w:tcPr>
            <w:tcW w:w="2771" w:type="dxa"/>
            <w:shd w:val="clear" w:color="auto" w:fill="auto"/>
            <w:vAlign w:val="center"/>
          </w:tcPr>
          <w:p w14:paraId="3A3E1F55">
            <w:pPr>
              <w:jc w:val="center"/>
              <w:rPr>
                <w:rFonts w:ascii="仿宋" w:hAnsi="仿宋" w:eastAsia="仿宋"/>
                <w:color w:val="auto"/>
                <w:sz w:val="20"/>
              </w:rPr>
            </w:pPr>
            <w:r>
              <w:rPr>
                <w:rFonts w:hint="eastAsia" w:ascii="仿宋" w:hAnsi="仿宋" w:eastAsia="仿宋"/>
                <w:color w:val="auto"/>
                <w:sz w:val="20"/>
              </w:rPr>
              <w:t>广渠门内大街</w:t>
            </w:r>
          </w:p>
        </w:tc>
        <w:tc>
          <w:tcPr>
            <w:tcW w:w="2668" w:type="dxa"/>
            <w:shd w:val="clear" w:color="auto" w:fill="auto"/>
            <w:vAlign w:val="center"/>
          </w:tcPr>
          <w:p w14:paraId="25314BD5">
            <w:pPr>
              <w:jc w:val="center"/>
              <w:rPr>
                <w:rFonts w:ascii="仿宋" w:hAnsi="仿宋" w:eastAsia="仿宋"/>
                <w:color w:val="auto"/>
                <w:sz w:val="20"/>
              </w:rPr>
            </w:pPr>
            <w:r>
              <w:rPr>
                <w:rFonts w:hint="eastAsia" w:ascii="仿宋" w:hAnsi="仿宋" w:eastAsia="仿宋"/>
                <w:color w:val="auto"/>
                <w:sz w:val="20"/>
              </w:rPr>
              <w:t>广渠门－－磁器口</w:t>
            </w:r>
          </w:p>
        </w:tc>
        <w:tc>
          <w:tcPr>
            <w:tcW w:w="1080" w:type="dxa"/>
            <w:shd w:val="clear" w:color="auto" w:fill="auto"/>
            <w:vAlign w:val="center"/>
          </w:tcPr>
          <w:p w14:paraId="0E8AFD2A">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0CD8BBD1">
            <w:pPr>
              <w:jc w:val="center"/>
              <w:rPr>
                <w:rFonts w:ascii="Arial" w:hAnsi="Arial" w:eastAsia="仿宋_GB2312" w:cs="Arial"/>
                <w:color w:val="auto"/>
                <w:sz w:val="20"/>
              </w:rPr>
            </w:pPr>
            <w:r>
              <w:rPr>
                <w:rFonts w:hint="eastAsia" w:ascii="Arial" w:hAnsi="Arial" w:eastAsia="仿宋_GB2312" w:cs="Arial"/>
                <w:color w:val="auto"/>
                <w:sz w:val="20"/>
              </w:rPr>
              <w:t>15</w:t>
            </w:r>
          </w:p>
        </w:tc>
      </w:tr>
      <w:tr w14:paraId="130D1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3418A00A">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1" w:type="dxa"/>
            <w:vMerge w:val="continue"/>
            <w:vAlign w:val="center"/>
          </w:tcPr>
          <w:p w14:paraId="4CAD3DA5">
            <w:pPr>
              <w:rPr>
                <w:rFonts w:ascii="仿宋" w:hAnsi="仿宋" w:eastAsia="仿宋"/>
                <w:color w:val="auto"/>
                <w:sz w:val="20"/>
              </w:rPr>
            </w:pPr>
          </w:p>
        </w:tc>
        <w:tc>
          <w:tcPr>
            <w:tcW w:w="2771" w:type="dxa"/>
            <w:shd w:val="clear" w:color="auto" w:fill="auto"/>
            <w:vAlign w:val="center"/>
          </w:tcPr>
          <w:p w14:paraId="1A59CDFC">
            <w:pPr>
              <w:jc w:val="center"/>
              <w:rPr>
                <w:rFonts w:ascii="仿宋" w:hAnsi="仿宋" w:eastAsia="仿宋"/>
                <w:color w:val="auto"/>
                <w:sz w:val="20"/>
              </w:rPr>
            </w:pPr>
            <w:r>
              <w:rPr>
                <w:rFonts w:hint="eastAsia" w:ascii="仿宋" w:hAnsi="仿宋" w:eastAsia="仿宋"/>
                <w:color w:val="auto"/>
                <w:sz w:val="20"/>
              </w:rPr>
              <w:t>珠市口东大街</w:t>
            </w:r>
          </w:p>
        </w:tc>
        <w:tc>
          <w:tcPr>
            <w:tcW w:w="2668" w:type="dxa"/>
            <w:shd w:val="clear" w:color="auto" w:fill="auto"/>
            <w:vAlign w:val="center"/>
          </w:tcPr>
          <w:p w14:paraId="470DBFA3">
            <w:pPr>
              <w:jc w:val="center"/>
              <w:rPr>
                <w:rFonts w:ascii="仿宋" w:hAnsi="仿宋" w:eastAsia="仿宋"/>
                <w:color w:val="auto"/>
                <w:sz w:val="20"/>
              </w:rPr>
            </w:pPr>
            <w:r>
              <w:rPr>
                <w:rFonts w:hint="eastAsia" w:ascii="仿宋" w:hAnsi="仿宋" w:eastAsia="仿宋"/>
                <w:color w:val="auto"/>
                <w:sz w:val="20"/>
              </w:rPr>
              <w:t>磁器口－－珠市口</w:t>
            </w:r>
          </w:p>
        </w:tc>
        <w:tc>
          <w:tcPr>
            <w:tcW w:w="1080" w:type="dxa"/>
            <w:shd w:val="clear" w:color="auto" w:fill="auto"/>
            <w:vAlign w:val="center"/>
          </w:tcPr>
          <w:p w14:paraId="5DB16F3A">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4D6F8A19">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CB58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2B4D01F6">
            <w:pPr>
              <w:jc w:val="center"/>
              <w:rPr>
                <w:rFonts w:ascii="Arial" w:hAnsi="Arial" w:eastAsia="仿宋_GB2312" w:cs="Arial"/>
                <w:color w:val="auto"/>
                <w:sz w:val="20"/>
              </w:rPr>
            </w:pPr>
            <w:r>
              <w:rPr>
                <w:rFonts w:hint="eastAsia" w:ascii="Arial" w:hAnsi="Arial" w:eastAsia="仿宋_GB2312" w:cs="Arial"/>
                <w:color w:val="auto"/>
                <w:sz w:val="20"/>
              </w:rPr>
              <w:t>16</w:t>
            </w:r>
          </w:p>
        </w:tc>
        <w:tc>
          <w:tcPr>
            <w:tcW w:w="1021" w:type="dxa"/>
            <w:vMerge w:val="continue"/>
            <w:vAlign w:val="center"/>
          </w:tcPr>
          <w:p w14:paraId="356E3B96">
            <w:pPr>
              <w:rPr>
                <w:rFonts w:ascii="仿宋" w:hAnsi="仿宋" w:eastAsia="仿宋"/>
                <w:color w:val="auto"/>
                <w:sz w:val="20"/>
              </w:rPr>
            </w:pPr>
          </w:p>
        </w:tc>
        <w:tc>
          <w:tcPr>
            <w:tcW w:w="2771" w:type="dxa"/>
            <w:shd w:val="clear" w:color="auto" w:fill="auto"/>
            <w:vAlign w:val="center"/>
          </w:tcPr>
          <w:p w14:paraId="09BADA72">
            <w:pPr>
              <w:jc w:val="center"/>
              <w:rPr>
                <w:rFonts w:ascii="仿宋" w:hAnsi="仿宋" w:eastAsia="仿宋"/>
                <w:color w:val="auto"/>
                <w:sz w:val="20"/>
              </w:rPr>
            </w:pPr>
            <w:r>
              <w:rPr>
                <w:rFonts w:hint="eastAsia" w:ascii="仿宋" w:hAnsi="仿宋" w:eastAsia="仿宋"/>
                <w:color w:val="auto"/>
                <w:sz w:val="20"/>
              </w:rPr>
              <w:t>鲜鱼口老字号美食街</w:t>
            </w:r>
          </w:p>
        </w:tc>
        <w:tc>
          <w:tcPr>
            <w:tcW w:w="2668" w:type="dxa"/>
            <w:shd w:val="clear" w:color="auto" w:fill="auto"/>
            <w:vAlign w:val="center"/>
          </w:tcPr>
          <w:p w14:paraId="78878D8D">
            <w:pPr>
              <w:jc w:val="center"/>
              <w:rPr>
                <w:rFonts w:ascii="仿宋" w:hAnsi="仿宋" w:eastAsia="仿宋"/>
                <w:color w:val="auto"/>
                <w:sz w:val="20"/>
              </w:rPr>
            </w:pPr>
            <w:r>
              <w:rPr>
                <w:rFonts w:hint="eastAsia" w:ascii="仿宋" w:hAnsi="仿宋" w:eastAsia="仿宋"/>
                <w:color w:val="auto"/>
                <w:sz w:val="20"/>
              </w:rPr>
              <w:t>前门大街－－前门东路</w:t>
            </w:r>
          </w:p>
        </w:tc>
        <w:tc>
          <w:tcPr>
            <w:tcW w:w="1080" w:type="dxa"/>
            <w:shd w:val="clear" w:color="auto" w:fill="auto"/>
            <w:vAlign w:val="center"/>
          </w:tcPr>
          <w:p w14:paraId="21AFB345">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0FC37F1D">
            <w:pPr>
              <w:jc w:val="center"/>
              <w:rPr>
                <w:rFonts w:ascii="Arial" w:hAnsi="Arial" w:eastAsia="仿宋_GB2312" w:cs="Arial"/>
                <w:color w:val="auto"/>
                <w:sz w:val="20"/>
              </w:rPr>
            </w:pPr>
            <w:r>
              <w:rPr>
                <w:rFonts w:hint="eastAsia" w:ascii="Arial" w:hAnsi="Arial" w:eastAsia="仿宋_GB2312" w:cs="Arial"/>
                <w:color w:val="auto"/>
                <w:sz w:val="20"/>
              </w:rPr>
              <w:t>15</w:t>
            </w:r>
          </w:p>
        </w:tc>
      </w:tr>
      <w:tr w14:paraId="4A4CE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3B995FD0">
            <w:pPr>
              <w:jc w:val="center"/>
              <w:rPr>
                <w:rFonts w:ascii="Arial" w:hAnsi="Arial" w:eastAsia="仿宋_GB2312" w:cs="Arial"/>
                <w:color w:val="auto"/>
                <w:sz w:val="20"/>
              </w:rPr>
            </w:pPr>
            <w:r>
              <w:rPr>
                <w:rFonts w:hint="eastAsia" w:ascii="Arial" w:hAnsi="Arial" w:eastAsia="仿宋_GB2312" w:cs="Arial"/>
                <w:color w:val="auto"/>
                <w:sz w:val="20"/>
              </w:rPr>
              <w:t>17</w:t>
            </w:r>
          </w:p>
        </w:tc>
        <w:tc>
          <w:tcPr>
            <w:tcW w:w="1021" w:type="dxa"/>
            <w:vMerge w:val="continue"/>
            <w:vAlign w:val="center"/>
          </w:tcPr>
          <w:p w14:paraId="5407C0AF">
            <w:pPr>
              <w:rPr>
                <w:rFonts w:ascii="仿宋" w:hAnsi="仿宋" w:eastAsia="仿宋"/>
                <w:color w:val="auto"/>
                <w:sz w:val="20"/>
              </w:rPr>
            </w:pPr>
          </w:p>
        </w:tc>
        <w:tc>
          <w:tcPr>
            <w:tcW w:w="2771" w:type="dxa"/>
            <w:shd w:val="clear" w:color="auto" w:fill="auto"/>
            <w:vAlign w:val="center"/>
          </w:tcPr>
          <w:p w14:paraId="40740C17">
            <w:pPr>
              <w:jc w:val="center"/>
              <w:rPr>
                <w:rFonts w:ascii="仿宋" w:hAnsi="仿宋" w:eastAsia="仿宋"/>
                <w:color w:val="auto"/>
                <w:sz w:val="20"/>
              </w:rPr>
            </w:pPr>
            <w:r>
              <w:rPr>
                <w:rFonts w:hint="eastAsia" w:ascii="仿宋" w:hAnsi="仿宋" w:eastAsia="仿宋"/>
                <w:color w:val="auto"/>
                <w:sz w:val="20"/>
              </w:rPr>
              <w:t>五道营胡同</w:t>
            </w:r>
          </w:p>
        </w:tc>
        <w:tc>
          <w:tcPr>
            <w:tcW w:w="2668" w:type="dxa"/>
            <w:shd w:val="clear" w:color="auto" w:fill="auto"/>
            <w:vAlign w:val="center"/>
          </w:tcPr>
          <w:p w14:paraId="0724F671">
            <w:pPr>
              <w:jc w:val="center"/>
              <w:rPr>
                <w:rFonts w:ascii="仿宋" w:hAnsi="仿宋" w:eastAsia="仿宋"/>
                <w:color w:val="auto"/>
                <w:sz w:val="20"/>
              </w:rPr>
            </w:pPr>
            <w:r>
              <w:rPr>
                <w:rFonts w:hint="eastAsia" w:ascii="仿宋" w:hAnsi="仿宋" w:eastAsia="仿宋"/>
                <w:color w:val="auto"/>
                <w:sz w:val="20"/>
              </w:rPr>
              <w:t>安定门内大街－－雍和宫大街</w:t>
            </w:r>
          </w:p>
        </w:tc>
        <w:tc>
          <w:tcPr>
            <w:tcW w:w="1080" w:type="dxa"/>
            <w:shd w:val="clear" w:color="auto" w:fill="auto"/>
            <w:vAlign w:val="center"/>
          </w:tcPr>
          <w:p w14:paraId="6EFE0FC6">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5D372C97">
            <w:pPr>
              <w:jc w:val="center"/>
              <w:rPr>
                <w:rFonts w:ascii="Arial" w:hAnsi="Arial" w:eastAsia="仿宋_GB2312" w:cs="Arial"/>
                <w:color w:val="auto"/>
                <w:sz w:val="20"/>
              </w:rPr>
            </w:pPr>
            <w:r>
              <w:rPr>
                <w:rFonts w:hint="eastAsia" w:ascii="Arial" w:hAnsi="Arial" w:eastAsia="仿宋_GB2312" w:cs="Arial"/>
                <w:color w:val="auto"/>
                <w:sz w:val="20"/>
              </w:rPr>
              <w:t>15</w:t>
            </w:r>
          </w:p>
        </w:tc>
      </w:tr>
      <w:tr w14:paraId="0299A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13C0165A">
            <w:pPr>
              <w:jc w:val="center"/>
              <w:rPr>
                <w:rFonts w:ascii="Arial" w:hAnsi="Arial" w:eastAsia="仿宋_GB2312" w:cs="Arial"/>
                <w:color w:val="auto"/>
                <w:sz w:val="20"/>
              </w:rPr>
            </w:pPr>
            <w:r>
              <w:rPr>
                <w:rFonts w:hint="eastAsia" w:ascii="Arial" w:hAnsi="Arial" w:eastAsia="仿宋_GB2312" w:cs="Arial"/>
                <w:color w:val="auto"/>
                <w:sz w:val="20"/>
              </w:rPr>
              <w:t>18</w:t>
            </w:r>
          </w:p>
        </w:tc>
        <w:tc>
          <w:tcPr>
            <w:tcW w:w="1021" w:type="dxa"/>
            <w:vMerge w:val="restart"/>
            <w:shd w:val="clear" w:color="auto" w:fill="auto"/>
            <w:vAlign w:val="center"/>
          </w:tcPr>
          <w:p w14:paraId="1B78F495">
            <w:pPr>
              <w:jc w:val="center"/>
              <w:rPr>
                <w:rFonts w:ascii="仿宋" w:hAnsi="仿宋" w:eastAsia="仿宋"/>
                <w:color w:val="auto"/>
                <w:sz w:val="20"/>
              </w:rPr>
            </w:pPr>
            <w:r>
              <w:rPr>
                <w:rFonts w:hint="eastAsia" w:ascii="仿宋" w:hAnsi="仿宋" w:eastAsia="仿宋"/>
                <w:color w:val="auto"/>
                <w:sz w:val="20"/>
              </w:rPr>
              <w:t>西城区</w:t>
            </w:r>
          </w:p>
        </w:tc>
        <w:tc>
          <w:tcPr>
            <w:tcW w:w="2771" w:type="dxa"/>
            <w:shd w:val="clear" w:color="auto" w:fill="auto"/>
            <w:vAlign w:val="center"/>
          </w:tcPr>
          <w:p w14:paraId="44AF2F21">
            <w:pPr>
              <w:jc w:val="center"/>
              <w:rPr>
                <w:rFonts w:ascii="仿宋" w:hAnsi="仿宋" w:eastAsia="仿宋"/>
                <w:color w:val="auto"/>
                <w:sz w:val="20"/>
              </w:rPr>
            </w:pPr>
            <w:r>
              <w:rPr>
                <w:rFonts w:hint="eastAsia" w:ascii="仿宋" w:hAnsi="仿宋" w:eastAsia="仿宋"/>
                <w:color w:val="auto"/>
                <w:sz w:val="20"/>
              </w:rPr>
              <w:t>西长安街</w:t>
            </w:r>
          </w:p>
        </w:tc>
        <w:tc>
          <w:tcPr>
            <w:tcW w:w="2668" w:type="dxa"/>
            <w:shd w:val="clear" w:color="auto" w:fill="auto"/>
            <w:vAlign w:val="center"/>
          </w:tcPr>
          <w:p w14:paraId="6A473C9A">
            <w:pPr>
              <w:jc w:val="center"/>
              <w:rPr>
                <w:rFonts w:ascii="仿宋" w:hAnsi="仿宋" w:eastAsia="仿宋"/>
                <w:color w:val="auto"/>
                <w:sz w:val="20"/>
              </w:rPr>
            </w:pPr>
            <w:r>
              <w:rPr>
                <w:rFonts w:hint="eastAsia" w:ascii="仿宋" w:hAnsi="仿宋" w:eastAsia="仿宋"/>
                <w:color w:val="auto"/>
                <w:sz w:val="20"/>
              </w:rPr>
              <w:t>天安门－－西单</w:t>
            </w:r>
          </w:p>
        </w:tc>
        <w:tc>
          <w:tcPr>
            <w:tcW w:w="1080" w:type="dxa"/>
            <w:shd w:val="clear" w:color="auto" w:fill="auto"/>
            <w:vAlign w:val="center"/>
          </w:tcPr>
          <w:p w14:paraId="308DADF1">
            <w:pPr>
              <w:jc w:val="center"/>
              <w:rPr>
                <w:rFonts w:ascii="Arial" w:hAnsi="Arial" w:eastAsia="仿宋_GB2312" w:cs="Arial"/>
                <w:color w:val="auto"/>
                <w:sz w:val="20"/>
              </w:rPr>
            </w:pPr>
            <w:r>
              <w:rPr>
                <w:rFonts w:hint="eastAsia" w:ascii="Arial" w:hAnsi="Arial" w:eastAsia="仿宋_GB2312" w:cs="Arial"/>
                <w:color w:val="auto"/>
                <w:sz w:val="20"/>
              </w:rPr>
              <w:t>20%</w:t>
            </w:r>
          </w:p>
        </w:tc>
        <w:tc>
          <w:tcPr>
            <w:tcW w:w="1028" w:type="dxa"/>
            <w:shd w:val="clear" w:color="auto" w:fill="auto"/>
            <w:vAlign w:val="center"/>
          </w:tcPr>
          <w:p w14:paraId="67F0D4B0">
            <w:pPr>
              <w:jc w:val="center"/>
              <w:rPr>
                <w:rFonts w:ascii="Arial" w:hAnsi="Arial" w:eastAsia="仿宋_GB2312" w:cs="Arial"/>
                <w:color w:val="auto"/>
                <w:sz w:val="20"/>
              </w:rPr>
            </w:pPr>
            <w:r>
              <w:rPr>
                <w:rFonts w:hint="eastAsia" w:ascii="Arial" w:hAnsi="Arial" w:eastAsia="仿宋_GB2312" w:cs="Arial"/>
                <w:color w:val="auto"/>
                <w:sz w:val="20"/>
              </w:rPr>
              <w:t>25</w:t>
            </w:r>
          </w:p>
        </w:tc>
      </w:tr>
      <w:tr w14:paraId="22D5A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31BB52E1">
            <w:pPr>
              <w:jc w:val="center"/>
              <w:rPr>
                <w:rFonts w:ascii="Arial" w:hAnsi="Arial" w:eastAsia="仿宋_GB2312" w:cs="Arial"/>
                <w:color w:val="auto"/>
                <w:sz w:val="20"/>
              </w:rPr>
            </w:pPr>
            <w:r>
              <w:rPr>
                <w:rFonts w:hint="eastAsia" w:ascii="Arial" w:hAnsi="Arial" w:eastAsia="仿宋_GB2312" w:cs="Arial"/>
                <w:color w:val="auto"/>
                <w:sz w:val="20"/>
              </w:rPr>
              <w:t>19</w:t>
            </w:r>
          </w:p>
        </w:tc>
        <w:tc>
          <w:tcPr>
            <w:tcW w:w="1021" w:type="dxa"/>
            <w:vMerge w:val="continue"/>
            <w:shd w:val="clear" w:color="auto" w:fill="auto"/>
            <w:vAlign w:val="center"/>
          </w:tcPr>
          <w:p w14:paraId="07B4118C">
            <w:pPr>
              <w:rPr>
                <w:rFonts w:ascii="仿宋" w:hAnsi="仿宋" w:eastAsia="仿宋"/>
                <w:color w:val="auto"/>
                <w:sz w:val="20"/>
              </w:rPr>
            </w:pPr>
          </w:p>
        </w:tc>
        <w:tc>
          <w:tcPr>
            <w:tcW w:w="2771" w:type="dxa"/>
            <w:shd w:val="clear" w:color="auto" w:fill="auto"/>
            <w:vAlign w:val="center"/>
          </w:tcPr>
          <w:p w14:paraId="5CBE1C4B">
            <w:pPr>
              <w:jc w:val="center"/>
              <w:rPr>
                <w:rFonts w:ascii="仿宋" w:hAnsi="仿宋" w:eastAsia="仿宋"/>
                <w:color w:val="auto"/>
                <w:sz w:val="20"/>
              </w:rPr>
            </w:pPr>
            <w:r>
              <w:rPr>
                <w:rFonts w:hint="eastAsia" w:ascii="仿宋" w:hAnsi="仿宋" w:eastAsia="仿宋"/>
                <w:color w:val="auto"/>
                <w:sz w:val="20"/>
              </w:rPr>
              <w:t>西单商业街（西单北大街）</w:t>
            </w:r>
          </w:p>
        </w:tc>
        <w:tc>
          <w:tcPr>
            <w:tcW w:w="2668" w:type="dxa"/>
            <w:shd w:val="clear" w:color="auto" w:fill="auto"/>
            <w:vAlign w:val="center"/>
          </w:tcPr>
          <w:p w14:paraId="57FD1A7A">
            <w:pPr>
              <w:jc w:val="center"/>
              <w:rPr>
                <w:rFonts w:ascii="仿宋" w:hAnsi="仿宋" w:eastAsia="仿宋"/>
                <w:color w:val="auto"/>
                <w:sz w:val="20"/>
              </w:rPr>
            </w:pPr>
            <w:r>
              <w:rPr>
                <w:rFonts w:hint="eastAsia" w:ascii="仿宋" w:hAnsi="仿宋" w:eastAsia="仿宋"/>
                <w:color w:val="auto"/>
                <w:sz w:val="20"/>
              </w:rPr>
              <w:t>西单－－辟才胡同</w:t>
            </w:r>
          </w:p>
        </w:tc>
        <w:tc>
          <w:tcPr>
            <w:tcW w:w="1080" w:type="dxa"/>
            <w:shd w:val="clear" w:color="auto" w:fill="auto"/>
            <w:vAlign w:val="center"/>
          </w:tcPr>
          <w:p w14:paraId="763089AC">
            <w:pPr>
              <w:jc w:val="center"/>
              <w:rPr>
                <w:rFonts w:ascii="Arial" w:hAnsi="Arial" w:eastAsia="仿宋_GB2312" w:cs="Arial"/>
                <w:color w:val="auto"/>
                <w:sz w:val="20"/>
              </w:rPr>
            </w:pPr>
            <w:r>
              <w:rPr>
                <w:rFonts w:hint="eastAsia" w:ascii="Arial" w:hAnsi="Arial" w:eastAsia="仿宋_GB2312" w:cs="Arial"/>
                <w:color w:val="auto"/>
                <w:sz w:val="20"/>
              </w:rPr>
              <w:t>20%</w:t>
            </w:r>
          </w:p>
        </w:tc>
        <w:tc>
          <w:tcPr>
            <w:tcW w:w="1028" w:type="dxa"/>
            <w:shd w:val="clear" w:color="auto" w:fill="auto"/>
            <w:vAlign w:val="center"/>
          </w:tcPr>
          <w:p w14:paraId="78188167">
            <w:pPr>
              <w:jc w:val="center"/>
              <w:rPr>
                <w:rFonts w:ascii="Arial" w:hAnsi="Arial" w:eastAsia="仿宋_GB2312" w:cs="Arial"/>
                <w:color w:val="auto"/>
                <w:sz w:val="20"/>
              </w:rPr>
            </w:pPr>
            <w:r>
              <w:rPr>
                <w:rFonts w:hint="eastAsia" w:ascii="Arial" w:hAnsi="Arial" w:eastAsia="仿宋_GB2312" w:cs="Arial"/>
                <w:color w:val="auto"/>
                <w:sz w:val="20"/>
              </w:rPr>
              <w:t>25</w:t>
            </w:r>
          </w:p>
        </w:tc>
      </w:tr>
      <w:tr w14:paraId="531A2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6DDD8C7">
            <w:pPr>
              <w:jc w:val="center"/>
              <w:rPr>
                <w:rFonts w:ascii="Arial" w:hAnsi="Arial" w:eastAsia="仿宋_GB2312" w:cs="Arial"/>
                <w:color w:val="auto"/>
                <w:sz w:val="20"/>
              </w:rPr>
            </w:pPr>
            <w:r>
              <w:rPr>
                <w:rFonts w:hint="eastAsia" w:ascii="Arial" w:hAnsi="Arial" w:eastAsia="仿宋_GB2312" w:cs="Arial"/>
                <w:color w:val="auto"/>
                <w:sz w:val="20"/>
              </w:rPr>
              <w:t>20</w:t>
            </w:r>
          </w:p>
        </w:tc>
        <w:tc>
          <w:tcPr>
            <w:tcW w:w="1021" w:type="dxa"/>
            <w:vMerge w:val="continue"/>
            <w:shd w:val="clear" w:color="auto" w:fill="auto"/>
            <w:vAlign w:val="center"/>
          </w:tcPr>
          <w:p w14:paraId="1DE734F3">
            <w:pPr>
              <w:rPr>
                <w:rFonts w:ascii="仿宋" w:hAnsi="仿宋" w:eastAsia="仿宋"/>
                <w:color w:val="auto"/>
                <w:sz w:val="20"/>
              </w:rPr>
            </w:pPr>
          </w:p>
        </w:tc>
        <w:tc>
          <w:tcPr>
            <w:tcW w:w="2771" w:type="dxa"/>
            <w:shd w:val="clear" w:color="auto" w:fill="auto"/>
            <w:vAlign w:val="center"/>
          </w:tcPr>
          <w:p w14:paraId="41AF0EA2">
            <w:pPr>
              <w:jc w:val="center"/>
              <w:rPr>
                <w:rFonts w:ascii="仿宋" w:hAnsi="仿宋" w:eastAsia="仿宋"/>
                <w:color w:val="auto"/>
                <w:sz w:val="20"/>
              </w:rPr>
            </w:pPr>
            <w:r>
              <w:rPr>
                <w:rFonts w:hint="eastAsia" w:ascii="仿宋" w:hAnsi="仿宋" w:eastAsia="仿宋"/>
                <w:color w:val="auto"/>
                <w:sz w:val="20"/>
              </w:rPr>
              <w:t>复兴门内大街</w:t>
            </w:r>
          </w:p>
        </w:tc>
        <w:tc>
          <w:tcPr>
            <w:tcW w:w="2668" w:type="dxa"/>
            <w:shd w:val="clear" w:color="auto" w:fill="auto"/>
            <w:vAlign w:val="center"/>
          </w:tcPr>
          <w:p w14:paraId="7BF7512B">
            <w:pPr>
              <w:jc w:val="center"/>
              <w:rPr>
                <w:rFonts w:ascii="仿宋" w:hAnsi="仿宋" w:eastAsia="仿宋"/>
                <w:color w:val="auto"/>
                <w:sz w:val="20"/>
              </w:rPr>
            </w:pPr>
            <w:r>
              <w:rPr>
                <w:rFonts w:hint="eastAsia" w:ascii="仿宋" w:hAnsi="仿宋" w:eastAsia="仿宋"/>
                <w:color w:val="auto"/>
                <w:sz w:val="20"/>
              </w:rPr>
              <w:t>西单－－复兴门</w:t>
            </w:r>
          </w:p>
        </w:tc>
        <w:tc>
          <w:tcPr>
            <w:tcW w:w="1080" w:type="dxa"/>
            <w:shd w:val="clear" w:color="auto" w:fill="auto"/>
            <w:vAlign w:val="center"/>
          </w:tcPr>
          <w:p w14:paraId="6506BFA1">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42DAC1F4">
            <w:pPr>
              <w:jc w:val="center"/>
              <w:rPr>
                <w:rFonts w:ascii="Arial" w:hAnsi="Arial" w:eastAsia="仿宋_GB2312" w:cs="Arial"/>
                <w:color w:val="auto"/>
                <w:sz w:val="20"/>
              </w:rPr>
            </w:pPr>
            <w:r>
              <w:rPr>
                <w:rFonts w:hint="eastAsia" w:ascii="Arial" w:hAnsi="Arial" w:eastAsia="仿宋_GB2312" w:cs="Arial"/>
                <w:color w:val="auto"/>
                <w:sz w:val="20"/>
              </w:rPr>
              <w:t>20</w:t>
            </w:r>
          </w:p>
        </w:tc>
      </w:tr>
      <w:tr w14:paraId="52C02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31EC7BB9">
            <w:pPr>
              <w:jc w:val="center"/>
              <w:rPr>
                <w:rFonts w:ascii="Arial" w:hAnsi="Arial" w:eastAsia="仿宋_GB2312" w:cs="Arial"/>
                <w:color w:val="auto"/>
                <w:sz w:val="20"/>
              </w:rPr>
            </w:pPr>
            <w:r>
              <w:rPr>
                <w:rFonts w:hint="eastAsia" w:ascii="Arial" w:hAnsi="Arial" w:eastAsia="仿宋_GB2312" w:cs="Arial"/>
                <w:color w:val="auto"/>
                <w:sz w:val="20"/>
              </w:rPr>
              <w:t>21</w:t>
            </w:r>
          </w:p>
        </w:tc>
        <w:tc>
          <w:tcPr>
            <w:tcW w:w="1021" w:type="dxa"/>
            <w:vMerge w:val="restart"/>
            <w:shd w:val="clear" w:color="auto" w:fill="auto"/>
            <w:vAlign w:val="center"/>
          </w:tcPr>
          <w:p w14:paraId="0B4A404B">
            <w:pPr>
              <w:rPr>
                <w:rFonts w:ascii="仿宋" w:hAnsi="仿宋" w:eastAsia="仿宋"/>
                <w:color w:val="auto"/>
                <w:sz w:val="20"/>
              </w:rPr>
            </w:pPr>
            <w:r>
              <w:rPr>
                <w:rFonts w:hint="eastAsia" w:ascii="仿宋" w:hAnsi="仿宋" w:eastAsia="仿宋"/>
                <w:color w:val="auto"/>
                <w:sz w:val="20"/>
              </w:rPr>
              <w:t>西城区</w:t>
            </w:r>
          </w:p>
        </w:tc>
        <w:tc>
          <w:tcPr>
            <w:tcW w:w="2771" w:type="dxa"/>
            <w:shd w:val="clear" w:color="auto" w:fill="auto"/>
            <w:vAlign w:val="center"/>
          </w:tcPr>
          <w:p w14:paraId="3D122A09">
            <w:pPr>
              <w:jc w:val="center"/>
              <w:rPr>
                <w:rFonts w:ascii="仿宋" w:hAnsi="仿宋" w:eastAsia="仿宋"/>
                <w:color w:val="auto"/>
                <w:sz w:val="20"/>
              </w:rPr>
            </w:pPr>
            <w:r>
              <w:rPr>
                <w:rFonts w:hint="eastAsia" w:ascii="仿宋" w:hAnsi="仿宋" w:eastAsia="仿宋"/>
                <w:color w:val="auto"/>
                <w:sz w:val="20"/>
              </w:rPr>
              <w:t>西四大街</w:t>
            </w:r>
          </w:p>
        </w:tc>
        <w:tc>
          <w:tcPr>
            <w:tcW w:w="2668" w:type="dxa"/>
            <w:shd w:val="clear" w:color="auto" w:fill="auto"/>
            <w:vAlign w:val="center"/>
          </w:tcPr>
          <w:p w14:paraId="462A5C14">
            <w:pPr>
              <w:jc w:val="center"/>
              <w:rPr>
                <w:rFonts w:ascii="仿宋" w:hAnsi="仿宋" w:eastAsia="仿宋"/>
                <w:color w:val="auto"/>
                <w:sz w:val="20"/>
              </w:rPr>
            </w:pPr>
            <w:r>
              <w:rPr>
                <w:rFonts w:hint="eastAsia" w:ascii="仿宋" w:hAnsi="仿宋" w:eastAsia="仿宋"/>
                <w:color w:val="auto"/>
                <w:sz w:val="20"/>
              </w:rPr>
              <w:t>辟才胡同－－平安里</w:t>
            </w:r>
          </w:p>
        </w:tc>
        <w:tc>
          <w:tcPr>
            <w:tcW w:w="1080" w:type="dxa"/>
            <w:shd w:val="clear" w:color="auto" w:fill="auto"/>
            <w:vAlign w:val="center"/>
          </w:tcPr>
          <w:p w14:paraId="1C34E3F5">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79E9FDB6">
            <w:pPr>
              <w:jc w:val="center"/>
              <w:rPr>
                <w:rFonts w:ascii="Arial" w:hAnsi="Arial" w:eastAsia="仿宋_GB2312" w:cs="Arial"/>
                <w:color w:val="auto"/>
                <w:sz w:val="20"/>
              </w:rPr>
            </w:pPr>
            <w:r>
              <w:rPr>
                <w:rFonts w:hint="eastAsia" w:ascii="Arial" w:hAnsi="Arial" w:eastAsia="仿宋_GB2312" w:cs="Arial"/>
                <w:color w:val="auto"/>
                <w:sz w:val="20"/>
              </w:rPr>
              <w:t>20</w:t>
            </w:r>
          </w:p>
        </w:tc>
      </w:tr>
      <w:tr w14:paraId="18A4E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5357DA6D">
            <w:pPr>
              <w:jc w:val="center"/>
              <w:rPr>
                <w:rFonts w:ascii="Arial" w:hAnsi="Arial" w:eastAsia="仿宋_GB2312" w:cs="Arial"/>
                <w:color w:val="auto"/>
                <w:sz w:val="20"/>
              </w:rPr>
            </w:pPr>
            <w:r>
              <w:rPr>
                <w:rFonts w:hint="eastAsia" w:ascii="Arial" w:hAnsi="Arial" w:eastAsia="仿宋_GB2312" w:cs="Arial"/>
                <w:color w:val="auto"/>
                <w:sz w:val="20"/>
              </w:rPr>
              <w:t>22</w:t>
            </w:r>
          </w:p>
        </w:tc>
        <w:tc>
          <w:tcPr>
            <w:tcW w:w="1021" w:type="dxa"/>
            <w:vMerge w:val="continue"/>
            <w:shd w:val="clear" w:color="auto" w:fill="auto"/>
            <w:vAlign w:val="center"/>
          </w:tcPr>
          <w:p w14:paraId="30955AC6">
            <w:pPr>
              <w:rPr>
                <w:rFonts w:ascii="仿宋" w:hAnsi="仿宋" w:eastAsia="仿宋"/>
                <w:color w:val="auto"/>
                <w:sz w:val="20"/>
              </w:rPr>
            </w:pPr>
          </w:p>
        </w:tc>
        <w:tc>
          <w:tcPr>
            <w:tcW w:w="2771" w:type="dxa"/>
            <w:shd w:val="clear" w:color="auto" w:fill="auto"/>
            <w:vAlign w:val="center"/>
          </w:tcPr>
          <w:p w14:paraId="03FBEC3F">
            <w:pPr>
              <w:jc w:val="center"/>
              <w:rPr>
                <w:rFonts w:ascii="仿宋" w:hAnsi="仿宋" w:eastAsia="仿宋"/>
                <w:color w:val="auto"/>
                <w:sz w:val="20"/>
              </w:rPr>
            </w:pPr>
            <w:r>
              <w:rPr>
                <w:rFonts w:hint="eastAsia" w:ascii="仿宋" w:hAnsi="仿宋" w:eastAsia="仿宋"/>
                <w:color w:val="auto"/>
                <w:sz w:val="20"/>
              </w:rPr>
              <w:t>大栅栏商业街</w:t>
            </w:r>
          </w:p>
        </w:tc>
        <w:tc>
          <w:tcPr>
            <w:tcW w:w="2668" w:type="dxa"/>
            <w:shd w:val="clear" w:color="auto" w:fill="auto"/>
            <w:vAlign w:val="center"/>
          </w:tcPr>
          <w:p w14:paraId="463D4818">
            <w:pPr>
              <w:jc w:val="center"/>
              <w:rPr>
                <w:rFonts w:ascii="仿宋" w:hAnsi="仿宋" w:eastAsia="仿宋"/>
                <w:color w:val="auto"/>
                <w:sz w:val="20"/>
              </w:rPr>
            </w:pPr>
            <w:r>
              <w:rPr>
                <w:rFonts w:hint="eastAsia" w:ascii="仿宋" w:hAnsi="仿宋" w:eastAsia="仿宋"/>
                <w:color w:val="auto"/>
                <w:sz w:val="20"/>
              </w:rPr>
              <w:t>前门大街－－煤市街</w:t>
            </w:r>
          </w:p>
        </w:tc>
        <w:tc>
          <w:tcPr>
            <w:tcW w:w="1080" w:type="dxa"/>
            <w:shd w:val="clear" w:color="auto" w:fill="auto"/>
            <w:vAlign w:val="center"/>
          </w:tcPr>
          <w:p w14:paraId="3F0114FF">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74A6A378">
            <w:pPr>
              <w:jc w:val="center"/>
              <w:rPr>
                <w:rFonts w:ascii="Arial" w:hAnsi="Arial" w:eastAsia="仿宋_GB2312" w:cs="Arial"/>
                <w:color w:val="auto"/>
                <w:sz w:val="20"/>
              </w:rPr>
            </w:pPr>
            <w:r>
              <w:rPr>
                <w:rFonts w:hint="eastAsia" w:ascii="Arial" w:hAnsi="Arial" w:eastAsia="仿宋_GB2312" w:cs="Arial"/>
                <w:color w:val="auto"/>
                <w:sz w:val="20"/>
              </w:rPr>
              <w:t>20</w:t>
            </w:r>
          </w:p>
        </w:tc>
      </w:tr>
      <w:tr w14:paraId="33810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58013DF4">
            <w:pPr>
              <w:jc w:val="center"/>
              <w:rPr>
                <w:rFonts w:ascii="Arial" w:hAnsi="Arial" w:eastAsia="仿宋_GB2312" w:cs="Arial"/>
                <w:color w:val="auto"/>
                <w:sz w:val="20"/>
              </w:rPr>
            </w:pPr>
            <w:r>
              <w:rPr>
                <w:rFonts w:hint="eastAsia" w:ascii="Arial" w:hAnsi="Arial" w:eastAsia="仿宋_GB2312" w:cs="Arial"/>
                <w:color w:val="auto"/>
                <w:sz w:val="20"/>
              </w:rPr>
              <w:t>23</w:t>
            </w:r>
          </w:p>
        </w:tc>
        <w:tc>
          <w:tcPr>
            <w:tcW w:w="1021" w:type="dxa"/>
            <w:vMerge w:val="continue"/>
            <w:shd w:val="clear" w:color="auto" w:fill="auto"/>
            <w:vAlign w:val="center"/>
          </w:tcPr>
          <w:p w14:paraId="46C52572">
            <w:pPr>
              <w:rPr>
                <w:rFonts w:ascii="仿宋" w:hAnsi="仿宋" w:eastAsia="仿宋"/>
                <w:color w:val="auto"/>
                <w:sz w:val="20"/>
              </w:rPr>
            </w:pPr>
          </w:p>
        </w:tc>
        <w:tc>
          <w:tcPr>
            <w:tcW w:w="2771" w:type="dxa"/>
            <w:shd w:val="clear" w:color="auto" w:fill="auto"/>
            <w:vAlign w:val="center"/>
          </w:tcPr>
          <w:p w14:paraId="6B80533B">
            <w:pPr>
              <w:jc w:val="center"/>
              <w:rPr>
                <w:rFonts w:ascii="仿宋" w:hAnsi="仿宋" w:eastAsia="仿宋"/>
                <w:color w:val="auto"/>
                <w:sz w:val="20"/>
              </w:rPr>
            </w:pPr>
            <w:r>
              <w:rPr>
                <w:rFonts w:hint="eastAsia" w:ascii="仿宋" w:hAnsi="仿宋" w:eastAsia="仿宋"/>
                <w:color w:val="auto"/>
                <w:sz w:val="20"/>
              </w:rPr>
              <w:t>琉璃厂古文化街（琉璃厂西街、琉璃厂东街）</w:t>
            </w:r>
          </w:p>
        </w:tc>
        <w:tc>
          <w:tcPr>
            <w:tcW w:w="2668" w:type="dxa"/>
            <w:shd w:val="clear" w:color="auto" w:fill="auto"/>
            <w:vAlign w:val="center"/>
          </w:tcPr>
          <w:p w14:paraId="7B51FAB5">
            <w:pPr>
              <w:jc w:val="center"/>
              <w:rPr>
                <w:rFonts w:ascii="仿宋" w:hAnsi="仿宋" w:eastAsia="仿宋"/>
                <w:color w:val="auto"/>
                <w:sz w:val="20"/>
              </w:rPr>
            </w:pPr>
            <w:r>
              <w:rPr>
                <w:rFonts w:hint="eastAsia" w:ascii="仿宋" w:hAnsi="仿宋" w:eastAsia="仿宋"/>
                <w:color w:val="auto"/>
                <w:sz w:val="20"/>
              </w:rPr>
              <w:t>南柳巷－－延寿街</w:t>
            </w:r>
          </w:p>
        </w:tc>
        <w:tc>
          <w:tcPr>
            <w:tcW w:w="1080" w:type="dxa"/>
            <w:shd w:val="clear" w:color="auto" w:fill="auto"/>
            <w:vAlign w:val="center"/>
          </w:tcPr>
          <w:p w14:paraId="52163ECD">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5DB87C9F">
            <w:pPr>
              <w:jc w:val="center"/>
              <w:rPr>
                <w:rFonts w:ascii="Arial" w:hAnsi="Arial" w:eastAsia="仿宋_GB2312" w:cs="Arial"/>
                <w:color w:val="auto"/>
                <w:sz w:val="20"/>
              </w:rPr>
            </w:pPr>
            <w:r>
              <w:rPr>
                <w:rFonts w:hint="eastAsia" w:ascii="Arial" w:hAnsi="Arial" w:eastAsia="仿宋_GB2312" w:cs="Arial"/>
                <w:color w:val="auto"/>
                <w:sz w:val="20"/>
              </w:rPr>
              <w:t>20</w:t>
            </w:r>
          </w:p>
        </w:tc>
      </w:tr>
      <w:tr w14:paraId="2CCD5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08BA6DC8">
            <w:pPr>
              <w:jc w:val="center"/>
              <w:rPr>
                <w:rFonts w:ascii="Arial" w:hAnsi="Arial" w:eastAsia="仿宋_GB2312" w:cs="Arial"/>
                <w:color w:val="auto"/>
                <w:sz w:val="20"/>
              </w:rPr>
            </w:pPr>
            <w:r>
              <w:rPr>
                <w:rFonts w:hint="eastAsia" w:ascii="Arial" w:hAnsi="Arial" w:eastAsia="仿宋_GB2312" w:cs="Arial"/>
                <w:color w:val="auto"/>
                <w:sz w:val="20"/>
              </w:rPr>
              <w:t>24</w:t>
            </w:r>
          </w:p>
        </w:tc>
        <w:tc>
          <w:tcPr>
            <w:tcW w:w="1021" w:type="dxa"/>
            <w:vMerge w:val="continue"/>
            <w:shd w:val="clear" w:color="auto" w:fill="auto"/>
            <w:vAlign w:val="center"/>
          </w:tcPr>
          <w:p w14:paraId="7C7CFCD1">
            <w:pPr>
              <w:rPr>
                <w:rFonts w:ascii="仿宋" w:hAnsi="仿宋" w:eastAsia="仿宋"/>
                <w:color w:val="auto"/>
                <w:sz w:val="20"/>
              </w:rPr>
            </w:pPr>
          </w:p>
        </w:tc>
        <w:tc>
          <w:tcPr>
            <w:tcW w:w="2771" w:type="dxa"/>
            <w:shd w:val="clear" w:color="auto" w:fill="auto"/>
            <w:vAlign w:val="center"/>
          </w:tcPr>
          <w:p w14:paraId="28D8B871">
            <w:pPr>
              <w:jc w:val="center"/>
              <w:rPr>
                <w:rFonts w:ascii="仿宋" w:hAnsi="仿宋" w:eastAsia="仿宋"/>
                <w:color w:val="auto"/>
                <w:sz w:val="20"/>
              </w:rPr>
            </w:pPr>
            <w:r>
              <w:rPr>
                <w:rFonts w:hint="eastAsia" w:ascii="仿宋" w:hAnsi="仿宋" w:eastAsia="仿宋"/>
                <w:color w:val="auto"/>
                <w:sz w:val="20"/>
              </w:rPr>
              <w:t>复兴门外大街</w:t>
            </w:r>
          </w:p>
        </w:tc>
        <w:tc>
          <w:tcPr>
            <w:tcW w:w="2668" w:type="dxa"/>
            <w:shd w:val="clear" w:color="auto" w:fill="auto"/>
            <w:vAlign w:val="center"/>
          </w:tcPr>
          <w:p w14:paraId="17972033">
            <w:pPr>
              <w:jc w:val="center"/>
              <w:rPr>
                <w:rFonts w:ascii="仿宋" w:hAnsi="仿宋" w:eastAsia="仿宋"/>
                <w:color w:val="auto"/>
                <w:sz w:val="20"/>
              </w:rPr>
            </w:pPr>
            <w:r>
              <w:rPr>
                <w:rFonts w:hint="eastAsia" w:ascii="仿宋" w:hAnsi="仿宋" w:eastAsia="仿宋"/>
                <w:color w:val="auto"/>
                <w:sz w:val="20"/>
              </w:rPr>
              <w:t>复兴门－－木樨地</w:t>
            </w:r>
          </w:p>
        </w:tc>
        <w:tc>
          <w:tcPr>
            <w:tcW w:w="1080" w:type="dxa"/>
            <w:shd w:val="clear" w:color="auto" w:fill="auto"/>
            <w:vAlign w:val="center"/>
          </w:tcPr>
          <w:p w14:paraId="01EB5335">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78F78847">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C53C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4349FDF2">
            <w:pPr>
              <w:jc w:val="center"/>
              <w:rPr>
                <w:rFonts w:ascii="Arial" w:hAnsi="Arial" w:eastAsia="仿宋_GB2312" w:cs="Arial"/>
                <w:color w:val="auto"/>
                <w:sz w:val="20"/>
              </w:rPr>
            </w:pPr>
            <w:r>
              <w:rPr>
                <w:rFonts w:hint="eastAsia" w:ascii="Arial" w:hAnsi="Arial" w:eastAsia="仿宋_GB2312" w:cs="Arial"/>
                <w:color w:val="auto"/>
                <w:sz w:val="20"/>
              </w:rPr>
              <w:t>25</w:t>
            </w:r>
          </w:p>
        </w:tc>
        <w:tc>
          <w:tcPr>
            <w:tcW w:w="1021" w:type="dxa"/>
            <w:vMerge w:val="continue"/>
            <w:shd w:val="clear" w:color="auto" w:fill="auto"/>
            <w:vAlign w:val="center"/>
          </w:tcPr>
          <w:p w14:paraId="3D6D8AAD">
            <w:pPr>
              <w:rPr>
                <w:rFonts w:ascii="仿宋" w:hAnsi="仿宋" w:eastAsia="仿宋"/>
                <w:color w:val="auto"/>
                <w:sz w:val="20"/>
              </w:rPr>
            </w:pPr>
          </w:p>
        </w:tc>
        <w:tc>
          <w:tcPr>
            <w:tcW w:w="2771" w:type="dxa"/>
            <w:shd w:val="clear" w:color="auto" w:fill="auto"/>
            <w:vAlign w:val="center"/>
          </w:tcPr>
          <w:p w14:paraId="13441E84">
            <w:pPr>
              <w:jc w:val="center"/>
              <w:rPr>
                <w:rFonts w:ascii="仿宋" w:hAnsi="仿宋" w:eastAsia="仿宋"/>
                <w:color w:val="auto"/>
                <w:sz w:val="20"/>
              </w:rPr>
            </w:pPr>
            <w:r>
              <w:rPr>
                <w:rFonts w:hint="eastAsia" w:ascii="仿宋" w:hAnsi="仿宋" w:eastAsia="仿宋"/>
                <w:color w:val="auto"/>
                <w:sz w:val="20"/>
              </w:rPr>
              <w:t>新街口大街</w:t>
            </w:r>
          </w:p>
        </w:tc>
        <w:tc>
          <w:tcPr>
            <w:tcW w:w="2668" w:type="dxa"/>
            <w:shd w:val="clear" w:color="auto" w:fill="auto"/>
            <w:vAlign w:val="center"/>
          </w:tcPr>
          <w:p w14:paraId="3F4D817D">
            <w:pPr>
              <w:jc w:val="center"/>
              <w:rPr>
                <w:rFonts w:ascii="仿宋" w:hAnsi="仿宋" w:eastAsia="仿宋"/>
                <w:color w:val="auto"/>
                <w:sz w:val="20"/>
              </w:rPr>
            </w:pPr>
            <w:r>
              <w:rPr>
                <w:rFonts w:hint="eastAsia" w:ascii="仿宋" w:hAnsi="仿宋" w:eastAsia="仿宋"/>
                <w:color w:val="auto"/>
                <w:sz w:val="20"/>
              </w:rPr>
              <w:t>平安里－－积水潭桥</w:t>
            </w:r>
          </w:p>
        </w:tc>
        <w:tc>
          <w:tcPr>
            <w:tcW w:w="1080" w:type="dxa"/>
            <w:shd w:val="clear" w:color="auto" w:fill="auto"/>
            <w:vAlign w:val="center"/>
          </w:tcPr>
          <w:p w14:paraId="005E2AAE">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12B37127">
            <w:pPr>
              <w:jc w:val="center"/>
              <w:rPr>
                <w:rFonts w:ascii="Arial" w:hAnsi="Arial" w:eastAsia="仿宋_GB2312" w:cs="Arial"/>
                <w:color w:val="auto"/>
                <w:sz w:val="20"/>
              </w:rPr>
            </w:pPr>
            <w:r>
              <w:rPr>
                <w:rFonts w:hint="eastAsia" w:ascii="Arial" w:hAnsi="Arial" w:eastAsia="仿宋_GB2312" w:cs="Arial"/>
                <w:color w:val="auto"/>
                <w:sz w:val="20"/>
              </w:rPr>
              <w:t>15</w:t>
            </w:r>
          </w:p>
        </w:tc>
      </w:tr>
      <w:tr w14:paraId="6C895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1E0C9FCD">
            <w:pPr>
              <w:jc w:val="center"/>
              <w:rPr>
                <w:rFonts w:ascii="Arial" w:hAnsi="Arial" w:eastAsia="仿宋_GB2312" w:cs="Arial"/>
                <w:color w:val="auto"/>
                <w:sz w:val="20"/>
              </w:rPr>
            </w:pPr>
            <w:r>
              <w:rPr>
                <w:rFonts w:hint="eastAsia" w:ascii="Arial" w:hAnsi="Arial" w:eastAsia="仿宋_GB2312" w:cs="Arial"/>
                <w:color w:val="auto"/>
                <w:sz w:val="20"/>
              </w:rPr>
              <w:t>26</w:t>
            </w:r>
          </w:p>
        </w:tc>
        <w:tc>
          <w:tcPr>
            <w:tcW w:w="1021" w:type="dxa"/>
            <w:vMerge w:val="continue"/>
            <w:shd w:val="clear" w:color="auto" w:fill="auto"/>
            <w:vAlign w:val="center"/>
          </w:tcPr>
          <w:p w14:paraId="1779DB32">
            <w:pPr>
              <w:rPr>
                <w:rFonts w:ascii="仿宋" w:hAnsi="仿宋" w:eastAsia="仿宋"/>
                <w:color w:val="auto"/>
                <w:sz w:val="20"/>
              </w:rPr>
            </w:pPr>
          </w:p>
        </w:tc>
        <w:tc>
          <w:tcPr>
            <w:tcW w:w="2771" w:type="dxa"/>
            <w:shd w:val="clear" w:color="auto" w:fill="auto"/>
            <w:vAlign w:val="center"/>
          </w:tcPr>
          <w:p w14:paraId="109B9D13">
            <w:pPr>
              <w:jc w:val="center"/>
              <w:rPr>
                <w:rFonts w:ascii="仿宋" w:hAnsi="仿宋" w:eastAsia="仿宋"/>
                <w:color w:val="auto"/>
                <w:sz w:val="20"/>
              </w:rPr>
            </w:pPr>
            <w:r>
              <w:rPr>
                <w:rFonts w:hint="eastAsia" w:ascii="仿宋" w:hAnsi="仿宋" w:eastAsia="仿宋"/>
                <w:color w:val="auto"/>
                <w:sz w:val="20"/>
              </w:rPr>
              <w:t>地安门西大街</w:t>
            </w:r>
          </w:p>
        </w:tc>
        <w:tc>
          <w:tcPr>
            <w:tcW w:w="2668" w:type="dxa"/>
            <w:shd w:val="clear" w:color="auto" w:fill="auto"/>
            <w:tcMar>
              <w:top w:w="0" w:type="dxa"/>
              <w:left w:w="51" w:type="dxa"/>
              <w:bottom w:w="0" w:type="dxa"/>
              <w:right w:w="51" w:type="dxa"/>
            </w:tcMar>
            <w:vAlign w:val="center"/>
          </w:tcPr>
          <w:p w14:paraId="59D5AD96">
            <w:pPr>
              <w:jc w:val="center"/>
              <w:rPr>
                <w:rFonts w:ascii="仿宋" w:hAnsi="仿宋" w:eastAsia="仿宋"/>
                <w:color w:val="auto"/>
                <w:sz w:val="20"/>
              </w:rPr>
            </w:pPr>
            <w:r>
              <w:rPr>
                <w:rFonts w:hint="eastAsia" w:ascii="仿宋" w:hAnsi="仿宋" w:eastAsia="仿宋"/>
                <w:color w:val="auto"/>
                <w:sz w:val="20"/>
              </w:rPr>
              <w:t>地安门外大街－－新街口南大街</w:t>
            </w:r>
          </w:p>
        </w:tc>
        <w:tc>
          <w:tcPr>
            <w:tcW w:w="1080" w:type="dxa"/>
            <w:shd w:val="clear" w:color="auto" w:fill="auto"/>
            <w:vAlign w:val="center"/>
          </w:tcPr>
          <w:p w14:paraId="158E208C">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2AC4FDB6">
            <w:pPr>
              <w:jc w:val="center"/>
              <w:rPr>
                <w:rFonts w:ascii="Arial" w:hAnsi="Arial" w:eastAsia="仿宋_GB2312" w:cs="Arial"/>
                <w:color w:val="auto"/>
                <w:sz w:val="20"/>
              </w:rPr>
            </w:pPr>
            <w:r>
              <w:rPr>
                <w:rFonts w:hint="eastAsia" w:ascii="Arial" w:hAnsi="Arial" w:eastAsia="仿宋_GB2312" w:cs="Arial"/>
                <w:color w:val="auto"/>
                <w:sz w:val="20"/>
              </w:rPr>
              <w:t>15</w:t>
            </w:r>
          </w:p>
        </w:tc>
      </w:tr>
      <w:tr w14:paraId="1F092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0ED8CC8">
            <w:pPr>
              <w:jc w:val="center"/>
              <w:rPr>
                <w:rFonts w:ascii="Arial" w:hAnsi="Arial" w:eastAsia="仿宋_GB2312" w:cs="Arial"/>
                <w:color w:val="auto"/>
                <w:sz w:val="20"/>
              </w:rPr>
            </w:pPr>
            <w:r>
              <w:rPr>
                <w:rFonts w:hint="eastAsia" w:ascii="Arial" w:hAnsi="Arial" w:eastAsia="仿宋_GB2312" w:cs="Arial"/>
                <w:color w:val="auto"/>
                <w:sz w:val="20"/>
              </w:rPr>
              <w:t>27</w:t>
            </w:r>
          </w:p>
        </w:tc>
        <w:tc>
          <w:tcPr>
            <w:tcW w:w="1021" w:type="dxa"/>
            <w:vMerge w:val="continue"/>
            <w:shd w:val="clear" w:color="auto" w:fill="auto"/>
            <w:vAlign w:val="center"/>
          </w:tcPr>
          <w:p w14:paraId="23753643">
            <w:pPr>
              <w:rPr>
                <w:rFonts w:ascii="仿宋" w:hAnsi="仿宋" w:eastAsia="仿宋"/>
                <w:color w:val="auto"/>
                <w:sz w:val="20"/>
              </w:rPr>
            </w:pPr>
          </w:p>
        </w:tc>
        <w:tc>
          <w:tcPr>
            <w:tcW w:w="2771" w:type="dxa"/>
            <w:shd w:val="clear" w:color="auto" w:fill="auto"/>
            <w:vAlign w:val="center"/>
          </w:tcPr>
          <w:p w14:paraId="123DC8DB">
            <w:pPr>
              <w:jc w:val="center"/>
              <w:rPr>
                <w:rFonts w:ascii="仿宋" w:hAnsi="仿宋" w:eastAsia="仿宋"/>
                <w:color w:val="auto"/>
                <w:sz w:val="20"/>
              </w:rPr>
            </w:pPr>
            <w:r>
              <w:rPr>
                <w:rFonts w:hint="eastAsia" w:ascii="仿宋" w:hAnsi="仿宋" w:eastAsia="仿宋"/>
                <w:color w:val="auto"/>
                <w:sz w:val="20"/>
              </w:rPr>
              <w:t>平安里西大街　</w:t>
            </w:r>
          </w:p>
        </w:tc>
        <w:tc>
          <w:tcPr>
            <w:tcW w:w="2668" w:type="dxa"/>
            <w:shd w:val="clear" w:color="auto" w:fill="auto"/>
            <w:vAlign w:val="center"/>
          </w:tcPr>
          <w:p w14:paraId="01676A40">
            <w:pPr>
              <w:jc w:val="center"/>
              <w:rPr>
                <w:rFonts w:ascii="仿宋" w:hAnsi="仿宋" w:eastAsia="仿宋"/>
                <w:color w:val="auto"/>
                <w:sz w:val="20"/>
              </w:rPr>
            </w:pPr>
            <w:r>
              <w:rPr>
                <w:rFonts w:hint="eastAsia" w:ascii="仿宋" w:hAnsi="仿宋" w:eastAsia="仿宋"/>
                <w:color w:val="auto"/>
                <w:sz w:val="20"/>
              </w:rPr>
              <w:t>新街口南大街－－车公庄</w:t>
            </w:r>
          </w:p>
        </w:tc>
        <w:tc>
          <w:tcPr>
            <w:tcW w:w="1080" w:type="dxa"/>
            <w:shd w:val="clear" w:color="auto" w:fill="auto"/>
            <w:vAlign w:val="center"/>
          </w:tcPr>
          <w:p w14:paraId="47FA3304">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67C04C60">
            <w:pPr>
              <w:jc w:val="center"/>
              <w:rPr>
                <w:rFonts w:ascii="Arial" w:hAnsi="Arial" w:eastAsia="仿宋_GB2312" w:cs="Arial"/>
                <w:color w:val="auto"/>
                <w:sz w:val="20"/>
              </w:rPr>
            </w:pPr>
            <w:r>
              <w:rPr>
                <w:rFonts w:hint="eastAsia" w:ascii="Arial" w:hAnsi="Arial" w:eastAsia="仿宋_GB2312" w:cs="Arial"/>
                <w:color w:val="auto"/>
                <w:sz w:val="20"/>
              </w:rPr>
              <w:t>15</w:t>
            </w:r>
          </w:p>
        </w:tc>
      </w:tr>
      <w:tr w14:paraId="35ACD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27C5BD2C">
            <w:pPr>
              <w:jc w:val="center"/>
              <w:rPr>
                <w:rFonts w:ascii="Arial" w:hAnsi="Arial" w:eastAsia="仿宋_GB2312" w:cs="Arial"/>
                <w:color w:val="auto"/>
                <w:sz w:val="20"/>
              </w:rPr>
            </w:pPr>
            <w:r>
              <w:rPr>
                <w:rFonts w:hint="eastAsia" w:ascii="Arial" w:hAnsi="Arial" w:eastAsia="仿宋_GB2312" w:cs="Arial"/>
                <w:color w:val="auto"/>
                <w:sz w:val="20"/>
              </w:rPr>
              <w:t>28</w:t>
            </w:r>
          </w:p>
        </w:tc>
        <w:tc>
          <w:tcPr>
            <w:tcW w:w="1021" w:type="dxa"/>
            <w:vMerge w:val="continue"/>
            <w:shd w:val="clear" w:color="auto" w:fill="auto"/>
            <w:vAlign w:val="center"/>
          </w:tcPr>
          <w:p w14:paraId="43C6D988">
            <w:pPr>
              <w:rPr>
                <w:rFonts w:ascii="仿宋" w:hAnsi="仿宋" w:eastAsia="仿宋"/>
                <w:color w:val="auto"/>
                <w:sz w:val="20"/>
              </w:rPr>
            </w:pPr>
          </w:p>
        </w:tc>
        <w:tc>
          <w:tcPr>
            <w:tcW w:w="2771" w:type="dxa"/>
            <w:shd w:val="clear" w:color="auto" w:fill="auto"/>
            <w:vAlign w:val="center"/>
          </w:tcPr>
          <w:p w14:paraId="233E672B">
            <w:pPr>
              <w:jc w:val="center"/>
              <w:rPr>
                <w:rFonts w:ascii="仿宋" w:hAnsi="仿宋" w:eastAsia="仿宋"/>
                <w:color w:val="auto"/>
                <w:sz w:val="20"/>
              </w:rPr>
            </w:pPr>
            <w:r>
              <w:rPr>
                <w:rFonts w:hint="eastAsia" w:ascii="仿宋" w:hAnsi="仿宋" w:eastAsia="仿宋"/>
                <w:color w:val="auto"/>
                <w:sz w:val="20"/>
              </w:rPr>
              <w:t>珠市口西大街</w:t>
            </w:r>
          </w:p>
        </w:tc>
        <w:tc>
          <w:tcPr>
            <w:tcW w:w="2668" w:type="dxa"/>
            <w:shd w:val="clear" w:color="auto" w:fill="auto"/>
            <w:vAlign w:val="center"/>
          </w:tcPr>
          <w:p w14:paraId="6CC9236D">
            <w:pPr>
              <w:jc w:val="center"/>
              <w:rPr>
                <w:rFonts w:ascii="仿宋" w:hAnsi="仿宋" w:eastAsia="仿宋"/>
                <w:color w:val="auto"/>
                <w:sz w:val="20"/>
              </w:rPr>
            </w:pPr>
            <w:r>
              <w:rPr>
                <w:rFonts w:hint="eastAsia" w:ascii="仿宋" w:hAnsi="仿宋" w:eastAsia="仿宋"/>
                <w:color w:val="auto"/>
                <w:sz w:val="20"/>
              </w:rPr>
              <w:t>珠市口－－南新华街</w:t>
            </w:r>
          </w:p>
        </w:tc>
        <w:tc>
          <w:tcPr>
            <w:tcW w:w="1080" w:type="dxa"/>
            <w:shd w:val="clear" w:color="auto" w:fill="auto"/>
            <w:vAlign w:val="center"/>
          </w:tcPr>
          <w:p w14:paraId="7E86B09B">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633281E1">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D0D2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0938CFCB">
            <w:pPr>
              <w:jc w:val="center"/>
              <w:rPr>
                <w:rFonts w:ascii="Arial" w:hAnsi="Arial" w:eastAsia="仿宋_GB2312" w:cs="Arial"/>
                <w:color w:val="auto"/>
                <w:sz w:val="20"/>
              </w:rPr>
            </w:pPr>
            <w:r>
              <w:rPr>
                <w:rFonts w:hint="eastAsia" w:ascii="Arial" w:hAnsi="Arial" w:eastAsia="仿宋_GB2312" w:cs="Arial"/>
                <w:color w:val="auto"/>
                <w:sz w:val="20"/>
              </w:rPr>
              <w:t>29</w:t>
            </w:r>
          </w:p>
        </w:tc>
        <w:tc>
          <w:tcPr>
            <w:tcW w:w="1021" w:type="dxa"/>
            <w:vMerge w:val="continue"/>
            <w:shd w:val="clear" w:color="auto" w:fill="auto"/>
            <w:vAlign w:val="center"/>
          </w:tcPr>
          <w:p w14:paraId="1D52E035">
            <w:pPr>
              <w:rPr>
                <w:rFonts w:ascii="仿宋" w:hAnsi="仿宋" w:eastAsia="仿宋"/>
                <w:color w:val="auto"/>
                <w:sz w:val="20"/>
              </w:rPr>
            </w:pPr>
          </w:p>
        </w:tc>
        <w:tc>
          <w:tcPr>
            <w:tcW w:w="2771" w:type="dxa"/>
            <w:shd w:val="clear" w:color="auto" w:fill="auto"/>
            <w:vAlign w:val="center"/>
          </w:tcPr>
          <w:p w14:paraId="299F9680">
            <w:pPr>
              <w:jc w:val="center"/>
              <w:rPr>
                <w:rFonts w:ascii="仿宋" w:hAnsi="仿宋" w:eastAsia="仿宋"/>
                <w:color w:val="auto"/>
                <w:sz w:val="20"/>
              </w:rPr>
            </w:pPr>
            <w:r>
              <w:rPr>
                <w:rFonts w:hint="eastAsia" w:ascii="仿宋" w:hAnsi="仿宋" w:eastAsia="仿宋"/>
                <w:color w:val="auto"/>
                <w:sz w:val="20"/>
              </w:rPr>
              <w:t>骡马市大街</w:t>
            </w:r>
          </w:p>
        </w:tc>
        <w:tc>
          <w:tcPr>
            <w:tcW w:w="2668" w:type="dxa"/>
            <w:shd w:val="clear" w:color="auto" w:fill="auto"/>
            <w:vAlign w:val="center"/>
          </w:tcPr>
          <w:p w14:paraId="13D042A3">
            <w:pPr>
              <w:jc w:val="center"/>
              <w:rPr>
                <w:rFonts w:ascii="仿宋" w:hAnsi="仿宋" w:eastAsia="仿宋"/>
                <w:color w:val="auto"/>
                <w:sz w:val="20"/>
              </w:rPr>
            </w:pPr>
            <w:r>
              <w:rPr>
                <w:rFonts w:hint="eastAsia" w:ascii="仿宋" w:hAnsi="仿宋" w:eastAsia="仿宋"/>
                <w:color w:val="auto"/>
                <w:sz w:val="20"/>
              </w:rPr>
              <w:t>南新华街－－菜市口</w:t>
            </w:r>
          </w:p>
        </w:tc>
        <w:tc>
          <w:tcPr>
            <w:tcW w:w="1080" w:type="dxa"/>
            <w:shd w:val="clear" w:color="auto" w:fill="auto"/>
            <w:vAlign w:val="center"/>
          </w:tcPr>
          <w:p w14:paraId="51EE0176">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5D640E08">
            <w:pPr>
              <w:jc w:val="center"/>
              <w:rPr>
                <w:rFonts w:ascii="Arial" w:hAnsi="Arial" w:eastAsia="仿宋_GB2312" w:cs="Arial"/>
                <w:color w:val="auto"/>
                <w:sz w:val="20"/>
              </w:rPr>
            </w:pPr>
            <w:r>
              <w:rPr>
                <w:rFonts w:hint="eastAsia" w:ascii="Arial" w:hAnsi="Arial" w:eastAsia="仿宋_GB2312" w:cs="Arial"/>
                <w:color w:val="auto"/>
                <w:sz w:val="20"/>
              </w:rPr>
              <w:t>15</w:t>
            </w:r>
          </w:p>
        </w:tc>
      </w:tr>
      <w:tr w14:paraId="3643D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6AEDED08">
            <w:pPr>
              <w:jc w:val="center"/>
              <w:rPr>
                <w:rFonts w:ascii="Arial" w:hAnsi="Arial" w:eastAsia="仿宋_GB2312" w:cs="Arial"/>
                <w:color w:val="auto"/>
                <w:sz w:val="20"/>
              </w:rPr>
            </w:pPr>
            <w:r>
              <w:rPr>
                <w:rFonts w:hint="eastAsia" w:ascii="Arial" w:hAnsi="Arial" w:eastAsia="仿宋_GB2312" w:cs="Arial"/>
                <w:color w:val="auto"/>
                <w:sz w:val="20"/>
              </w:rPr>
              <w:t>30</w:t>
            </w:r>
          </w:p>
        </w:tc>
        <w:tc>
          <w:tcPr>
            <w:tcW w:w="1021" w:type="dxa"/>
            <w:vMerge w:val="continue"/>
            <w:shd w:val="clear" w:color="auto" w:fill="auto"/>
            <w:vAlign w:val="center"/>
          </w:tcPr>
          <w:p w14:paraId="3AEB5B59">
            <w:pPr>
              <w:rPr>
                <w:rFonts w:ascii="仿宋" w:hAnsi="仿宋" w:eastAsia="仿宋"/>
                <w:color w:val="auto"/>
                <w:sz w:val="20"/>
              </w:rPr>
            </w:pPr>
          </w:p>
        </w:tc>
        <w:tc>
          <w:tcPr>
            <w:tcW w:w="2771" w:type="dxa"/>
            <w:shd w:val="clear" w:color="auto" w:fill="auto"/>
            <w:vAlign w:val="center"/>
          </w:tcPr>
          <w:p w14:paraId="6ECE4348">
            <w:pPr>
              <w:jc w:val="center"/>
              <w:rPr>
                <w:rFonts w:ascii="仿宋" w:hAnsi="仿宋" w:eastAsia="仿宋"/>
                <w:color w:val="auto"/>
                <w:sz w:val="20"/>
              </w:rPr>
            </w:pPr>
            <w:r>
              <w:rPr>
                <w:rFonts w:hint="eastAsia" w:ascii="仿宋" w:hAnsi="仿宋" w:eastAsia="仿宋"/>
                <w:color w:val="auto"/>
                <w:sz w:val="20"/>
              </w:rPr>
              <w:t>广安门内大街</w:t>
            </w:r>
          </w:p>
        </w:tc>
        <w:tc>
          <w:tcPr>
            <w:tcW w:w="2668" w:type="dxa"/>
            <w:shd w:val="clear" w:color="auto" w:fill="auto"/>
            <w:vAlign w:val="center"/>
          </w:tcPr>
          <w:p w14:paraId="7DD4DE4E">
            <w:pPr>
              <w:jc w:val="center"/>
              <w:rPr>
                <w:rFonts w:ascii="仿宋" w:hAnsi="仿宋" w:eastAsia="仿宋"/>
                <w:color w:val="auto"/>
                <w:sz w:val="20"/>
              </w:rPr>
            </w:pPr>
            <w:r>
              <w:rPr>
                <w:rFonts w:hint="eastAsia" w:ascii="仿宋" w:hAnsi="仿宋" w:eastAsia="仿宋"/>
                <w:color w:val="auto"/>
                <w:sz w:val="20"/>
              </w:rPr>
              <w:t>菜市口－－广安门桥</w:t>
            </w:r>
          </w:p>
        </w:tc>
        <w:tc>
          <w:tcPr>
            <w:tcW w:w="1080" w:type="dxa"/>
            <w:shd w:val="clear" w:color="auto" w:fill="auto"/>
            <w:vAlign w:val="center"/>
          </w:tcPr>
          <w:p w14:paraId="25CA9E78">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48381628">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D07E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00701FCD">
            <w:pPr>
              <w:jc w:val="center"/>
              <w:rPr>
                <w:rFonts w:ascii="Arial" w:hAnsi="Arial" w:eastAsia="仿宋_GB2312" w:cs="Arial"/>
                <w:color w:val="auto"/>
                <w:sz w:val="20"/>
              </w:rPr>
            </w:pPr>
            <w:r>
              <w:rPr>
                <w:rFonts w:hint="eastAsia" w:ascii="Arial" w:hAnsi="Arial" w:eastAsia="仿宋_GB2312" w:cs="Arial"/>
                <w:color w:val="auto"/>
                <w:sz w:val="20"/>
              </w:rPr>
              <w:t>31</w:t>
            </w:r>
          </w:p>
        </w:tc>
        <w:tc>
          <w:tcPr>
            <w:tcW w:w="1021" w:type="dxa"/>
            <w:vMerge w:val="continue"/>
            <w:shd w:val="clear" w:color="auto" w:fill="auto"/>
            <w:vAlign w:val="center"/>
          </w:tcPr>
          <w:p w14:paraId="42B30B3D">
            <w:pPr>
              <w:rPr>
                <w:rFonts w:ascii="仿宋" w:hAnsi="仿宋" w:eastAsia="仿宋"/>
                <w:color w:val="auto"/>
                <w:sz w:val="20"/>
              </w:rPr>
            </w:pPr>
          </w:p>
        </w:tc>
        <w:tc>
          <w:tcPr>
            <w:tcW w:w="2771" w:type="dxa"/>
            <w:shd w:val="clear" w:color="auto" w:fill="auto"/>
            <w:vAlign w:val="center"/>
          </w:tcPr>
          <w:p w14:paraId="34F6BF40">
            <w:pPr>
              <w:jc w:val="center"/>
              <w:rPr>
                <w:rFonts w:ascii="仿宋" w:hAnsi="仿宋" w:eastAsia="仿宋"/>
                <w:color w:val="auto"/>
                <w:sz w:val="20"/>
              </w:rPr>
            </w:pPr>
            <w:r>
              <w:rPr>
                <w:rFonts w:hint="eastAsia" w:ascii="仿宋" w:hAnsi="仿宋" w:eastAsia="仿宋"/>
                <w:color w:val="auto"/>
                <w:sz w:val="20"/>
              </w:rPr>
              <w:t>马连道茶叶街</w:t>
            </w:r>
            <w:r>
              <w:rPr>
                <w:rFonts w:hint="eastAsia" w:ascii="仿宋" w:hAnsi="仿宋" w:eastAsia="仿宋"/>
                <w:color w:val="auto"/>
                <w:sz w:val="20"/>
              </w:rPr>
              <w:br w:type="textWrapping"/>
            </w:r>
            <w:r>
              <w:rPr>
                <w:rFonts w:hint="eastAsia" w:ascii="仿宋" w:hAnsi="仿宋" w:eastAsia="仿宋"/>
                <w:color w:val="auto"/>
                <w:sz w:val="20"/>
              </w:rPr>
              <w:t>（马连道路）</w:t>
            </w:r>
          </w:p>
        </w:tc>
        <w:tc>
          <w:tcPr>
            <w:tcW w:w="2668" w:type="dxa"/>
            <w:shd w:val="clear" w:color="auto" w:fill="auto"/>
            <w:vAlign w:val="center"/>
          </w:tcPr>
          <w:p w14:paraId="4F2F6E66">
            <w:pPr>
              <w:jc w:val="center"/>
              <w:rPr>
                <w:rFonts w:ascii="仿宋" w:hAnsi="仿宋" w:eastAsia="仿宋"/>
                <w:color w:val="auto"/>
                <w:sz w:val="20"/>
              </w:rPr>
            </w:pPr>
            <w:r>
              <w:rPr>
                <w:rFonts w:hint="eastAsia" w:ascii="仿宋" w:hAnsi="仿宋" w:eastAsia="仿宋"/>
                <w:color w:val="auto"/>
                <w:sz w:val="20"/>
              </w:rPr>
              <w:t>广安门外大街－－红莲南路</w:t>
            </w:r>
          </w:p>
        </w:tc>
        <w:tc>
          <w:tcPr>
            <w:tcW w:w="1080" w:type="dxa"/>
            <w:shd w:val="clear" w:color="auto" w:fill="auto"/>
            <w:vAlign w:val="center"/>
          </w:tcPr>
          <w:p w14:paraId="129A952D">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2CAD42F4">
            <w:pPr>
              <w:jc w:val="center"/>
              <w:rPr>
                <w:rFonts w:ascii="Arial" w:hAnsi="Arial" w:eastAsia="仿宋_GB2312" w:cs="Arial"/>
                <w:color w:val="auto"/>
                <w:sz w:val="20"/>
              </w:rPr>
            </w:pPr>
            <w:r>
              <w:rPr>
                <w:rFonts w:hint="eastAsia" w:ascii="Arial" w:hAnsi="Arial" w:eastAsia="仿宋_GB2312" w:cs="Arial"/>
                <w:color w:val="auto"/>
                <w:sz w:val="20"/>
              </w:rPr>
              <w:t>15</w:t>
            </w:r>
          </w:p>
        </w:tc>
      </w:tr>
      <w:tr w14:paraId="3067E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9FD3BDD">
            <w:pPr>
              <w:jc w:val="center"/>
              <w:rPr>
                <w:rFonts w:ascii="Arial" w:hAnsi="Arial" w:eastAsia="仿宋_GB2312" w:cs="Arial"/>
                <w:color w:val="auto"/>
                <w:sz w:val="20"/>
              </w:rPr>
            </w:pPr>
            <w:r>
              <w:rPr>
                <w:rFonts w:hint="eastAsia" w:ascii="Arial" w:hAnsi="Arial" w:eastAsia="仿宋_GB2312" w:cs="Arial"/>
                <w:color w:val="auto"/>
                <w:sz w:val="20"/>
              </w:rPr>
              <w:t>32</w:t>
            </w:r>
          </w:p>
        </w:tc>
        <w:tc>
          <w:tcPr>
            <w:tcW w:w="1021" w:type="dxa"/>
            <w:vMerge w:val="continue"/>
            <w:shd w:val="clear" w:color="auto" w:fill="auto"/>
            <w:vAlign w:val="center"/>
          </w:tcPr>
          <w:p w14:paraId="5CC40844">
            <w:pPr>
              <w:rPr>
                <w:rFonts w:ascii="仿宋" w:hAnsi="仿宋" w:eastAsia="仿宋"/>
                <w:color w:val="auto"/>
                <w:sz w:val="20"/>
              </w:rPr>
            </w:pPr>
          </w:p>
        </w:tc>
        <w:tc>
          <w:tcPr>
            <w:tcW w:w="2771" w:type="dxa"/>
            <w:shd w:val="clear" w:color="auto" w:fill="auto"/>
            <w:vAlign w:val="center"/>
          </w:tcPr>
          <w:p w14:paraId="257B81A9">
            <w:pPr>
              <w:jc w:val="center"/>
              <w:rPr>
                <w:rFonts w:ascii="仿宋" w:hAnsi="仿宋" w:eastAsia="仿宋"/>
                <w:color w:val="auto"/>
                <w:sz w:val="20"/>
              </w:rPr>
            </w:pPr>
            <w:r>
              <w:rPr>
                <w:rFonts w:hint="eastAsia" w:ascii="仿宋" w:hAnsi="仿宋" w:eastAsia="仿宋"/>
                <w:color w:val="auto"/>
                <w:sz w:val="20"/>
              </w:rPr>
              <w:t>烟袋斜街</w:t>
            </w:r>
          </w:p>
        </w:tc>
        <w:tc>
          <w:tcPr>
            <w:tcW w:w="2668" w:type="dxa"/>
            <w:shd w:val="clear" w:color="auto" w:fill="auto"/>
            <w:vAlign w:val="center"/>
          </w:tcPr>
          <w:p w14:paraId="3F90AAFA">
            <w:pPr>
              <w:jc w:val="center"/>
              <w:rPr>
                <w:rFonts w:ascii="仿宋" w:hAnsi="仿宋" w:eastAsia="仿宋"/>
                <w:color w:val="auto"/>
                <w:sz w:val="20"/>
              </w:rPr>
            </w:pPr>
            <w:r>
              <w:rPr>
                <w:rFonts w:hint="eastAsia" w:ascii="仿宋" w:hAnsi="仿宋" w:eastAsia="仿宋"/>
                <w:color w:val="auto"/>
                <w:sz w:val="20"/>
              </w:rPr>
              <w:t>小石碑胡同－－地安门外大街</w:t>
            </w:r>
          </w:p>
        </w:tc>
        <w:tc>
          <w:tcPr>
            <w:tcW w:w="1080" w:type="dxa"/>
            <w:shd w:val="clear" w:color="auto" w:fill="auto"/>
            <w:vAlign w:val="center"/>
          </w:tcPr>
          <w:p w14:paraId="7DA5D9E9">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379BC7FF">
            <w:pPr>
              <w:jc w:val="center"/>
              <w:rPr>
                <w:rFonts w:ascii="Arial" w:hAnsi="Arial" w:eastAsia="仿宋_GB2312" w:cs="Arial"/>
                <w:color w:val="auto"/>
                <w:sz w:val="20"/>
              </w:rPr>
            </w:pPr>
            <w:r>
              <w:rPr>
                <w:rFonts w:hint="eastAsia" w:ascii="Arial" w:hAnsi="Arial" w:eastAsia="仿宋_GB2312" w:cs="Arial"/>
                <w:color w:val="auto"/>
                <w:sz w:val="20"/>
              </w:rPr>
              <w:t>15</w:t>
            </w:r>
          </w:p>
        </w:tc>
      </w:tr>
      <w:tr w14:paraId="3F728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3A6835B8">
            <w:pPr>
              <w:jc w:val="center"/>
              <w:rPr>
                <w:rFonts w:ascii="Arial" w:hAnsi="Arial" w:eastAsia="仿宋_GB2312" w:cs="Arial"/>
                <w:color w:val="auto"/>
                <w:sz w:val="20"/>
              </w:rPr>
            </w:pPr>
            <w:r>
              <w:rPr>
                <w:rFonts w:hint="eastAsia" w:ascii="Arial" w:hAnsi="Arial" w:eastAsia="仿宋_GB2312" w:cs="Arial"/>
                <w:color w:val="auto"/>
                <w:sz w:val="20"/>
              </w:rPr>
              <w:t>33</w:t>
            </w:r>
          </w:p>
        </w:tc>
        <w:tc>
          <w:tcPr>
            <w:tcW w:w="1021" w:type="dxa"/>
            <w:vMerge w:val="continue"/>
            <w:shd w:val="clear" w:color="auto" w:fill="auto"/>
            <w:vAlign w:val="center"/>
          </w:tcPr>
          <w:p w14:paraId="1E45E5E0">
            <w:pPr>
              <w:rPr>
                <w:rFonts w:ascii="仿宋" w:hAnsi="仿宋" w:eastAsia="仿宋"/>
                <w:color w:val="auto"/>
                <w:sz w:val="20"/>
              </w:rPr>
            </w:pPr>
          </w:p>
        </w:tc>
        <w:tc>
          <w:tcPr>
            <w:tcW w:w="2771" w:type="dxa"/>
            <w:shd w:val="clear" w:color="auto" w:fill="auto"/>
            <w:vAlign w:val="center"/>
          </w:tcPr>
          <w:p w14:paraId="0ABAB25D">
            <w:pPr>
              <w:jc w:val="center"/>
              <w:rPr>
                <w:rFonts w:ascii="仿宋" w:hAnsi="仿宋" w:eastAsia="仿宋"/>
                <w:color w:val="auto"/>
                <w:sz w:val="20"/>
              </w:rPr>
            </w:pPr>
            <w:r>
              <w:rPr>
                <w:rFonts w:hint="eastAsia" w:ascii="仿宋" w:hAnsi="仿宋" w:eastAsia="仿宋"/>
                <w:color w:val="auto"/>
                <w:sz w:val="20"/>
              </w:rPr>
              <w:t>护国寺街</w:t>
            </w:r>
          </w:p>
        </w:tc>
        <w:tc>
          <w:tcPr>
            <w:tcW w:w="2668" w:type="dxa"/>
            <w:shd w:val="clear" w:color="auto" w:fill="auto"/>
            <w:tcMar>
              <w:top w:w="0" w:type="dxa"/>
              <w:left w:w="51" w:type="dxa"/>
              <w:bottom w:w="0" w:type="dxa"/>
              <w:right w:w="51" w:type="dxa"/>
            </w:tcMar>
            <w:vAlign w:val="center"/>
          </w:tcPr>
          <w:p w14:paraId="0EC980C6">
            <w:pPr>
              <w:jc w:val="center"/>
              <w:rPr>
                <w:rFonts w:ascii="仿宋" w:hAnsi="仿宋" w:eastAsia="仿宋"/>
                <w:color w:val="auto"/>
                <w:sz w:val="20"/>
              </w:rPr>
            </w:pPr>
            <w:r>
              <w:rPr>
                <w:rFonts w:hint="eastAsia" w:ascii="仿宋" w:hAnsi="仿宋" w:eastAsia="仿宋"/>
                <w:color w:val="auto"/>
                <w:sz w:val="20"/>
              </w:rPr>
              <w:t>新街口南大街－－德胜门内大街</w:t>
            </w:r>
          </w:p>
        </w:tc>
        <w:tc>
          <w:tcPr>
            <w:tcW w:w="1080" w:type="dxa"/>
            <w:shd w:val="clear" w:color="auto" w:fill="auto"/>
            <w:vAlign w:val="center"/>
          </w:tcPr>
          <w:p w14:paraId="21123229">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06992DE6">
            <w:pPr>
              <w:jc w:val="center"/>
              <w:rPr>
                <w:rFonts w:ascii="Arial" w:hAnsi="Arial" w:eastAsia="仿宋_GB2312" w:cs="Arial"/>
                <w:color w:val="auto"/>
                <w:sz w:val="20"/>
              </w:rPr>
            </w:pPr>
            <w:r>
              <w:rPr>
                <w:rFonts w:hint="eastAsia" w:ascii="Arial" w:hAnsi="Arial" w:eastAsia="仿宋_GB2312" w:cs="Arial"/>
                <w:color w:val="auto"/>
                <w:sz w:val="20"/>
              </w:rPr>
              <w:t>15</w:t>
            </w:r>
          </w:p>
        </w:tc>
      </w:tr>
      <w:tr w14:paraId="38827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45802629">
            <w:pPr>
              <w:jc w:val="center"/>
              <w:rPr>
                <w:rFonts w:ascii="Arial" w:hAnsi="Arial" w:eastAsia="仿宋_GB2312" w:cs="Arial"/>
                <w:color w:val="auto"/>
                <w:sz w:val="20"/>
              </w:rPr>
            </w:pPr>
            <w:r>
              <w:rPr>
                <w:rFonts w:hint="eastAsia" w:ascii="Arial" w:hAnsi="Arial" w:eastAsia="仿宋_GB2312" w:cs="Arial"/>
                <w:color w:val="auto"/>
                <w:sz w:val="20"/>
              </w:rPr>
              <w:t>34</w:t>
            </w:r>
          </w:p>
        </w:tc>
        <w:tc>
          <w:tcPr>
            <w:tcW w:w="1021" w:type="dxa"/>
            <w:vMerge w:val="continue"/>
            <w:shd w:val="clear" w:color="auto" w:fill="auto"/>
            <w:vAlign w:val="center"/>
          </w:tcPr>
          <w:p w14:paraId="269506A2">
            <w:pPr>
              <w:rPr>
                <w:rFonts w:ascii="仿宋" w:hAnsi="仿宋" w:eastAsia="仿宋"/>
                <w:color w:val="auto"/>
                <w:sz w:val="20"/>
              </w:rPr>
            </w:pPr>
          </w:p>
        </w:tc>
        <w:tc>
          <w:tcPr>
            <w:tcW w:w="2771" w:type="dxa"/>
            <w:shd w:val="clear" w:color="auto" w:fill="auto"/>
            <w:vAlign w:val="center"/>
          </w:tcPr>
          <w:p w14:paraId="400080E8">
            <w:pPr>
              <w:jc w:val="center"/>
              <w:rPr>
                <w:rFonts w:ascii="仿宋" w:hAnsi="仿宋" w:eastAsia="仿宋"/>
                <w:color w:val="auto"/>
                <w:sz w:val="20"/>
              </w:rPr>
            </w:pPr>
            <w:r>
              <w:rPr>
                <w:rFonts w:hint="eastAsia" w:ascii="仿宋" w:hAnsi="仿宋" w:eastAsia="仿宋"/>
                <w:color w:val="auto"/>
                <w:sz w:val="20"/>
              </w:rPr>
              <w:t>什刹海茶艺酒吧街</w:t>
            </w:r>
          </w:p>
        </w:tc>
        <w:tc>
          <w:tcPr>
            <w:tcW w:w="2668" w:type="dxa"/>
            <w:shd w:val="clear" w:color="auto" w:fill="auto"/>
            <w:vAlign w:val="center"/>
          </w:tcPr>
          <w:p w14:paraId="636E83F6">
            <w:pPr>
              <w:jc w:val="center"/>
              <w:rPr>
                <w:rFonts w:ascii="仿宋" w:hAnsi="仿宋" w:eastAsia="仿宋"/>
                <w:color w:val="auto"/>
                <w:sz w:val="20"/>
              </w:rPr>
            </w:pPr>
            <w:r>
              <w:rPr>
                <w:rFonts w:hint="eastAsia" w:ascii="仿宋" w:hAnsi="仿宋" w:eastAsia="仿宋"/>
                <w:color w:val="auto"/>
                <w:sz w:val="20"/>
              </w:rPr>
              <w:t>地安门西大街－－前海北沿</w:t>
            </w:r>
          </w:p>
        </w:tc>
        <w:tc>
          <w:tcPr>
            <w:tcW w:w="1080" w:type="dxa"/>
            <w:shd w:val="clear" w:color="auto" w:fill="auto"/>
            <w:vAlign w:val="center"/>
          </w:tcPr>
          <w:p w14:paraId="703244EC">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093C043C">
            <w:pPr>
              <w:jc w:val="center"/>
              <w:rPr>
                <w:rFonts w:ascii="Arial" w:hAnsi="Arial" w:eastAsia="仿宋_GB2312" w:cs="Arial"/>
                <w:color w:val="auto"/>
                <w:sz w:val="20"/>
              </w:rPr>
            </w:pPr>
            <w:r>
              <w:rPr>
                <w:rFonts w:hint="eastAsia" w:ascii="Arial" w:hAnsi="Arial" w:eastAsia="仿宋_GB2312" w:cs="Arial"/>
                <w:color w:val="auto"/>
                <w:sz w:val="20"/>
              </w:rPr>
              <w:t>15</w:t>
            </w:r>
          </w:p>
        </w:tc>
      </w:tr>
      <w:tr w14:paraId="6F13F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0D33DBF9">
            <w:pPr>
              <w:jc w:val="center"/>
              <w:rPr>
                <w:rFonts w:ascii="Arial" w:hAnsi="Arial" w:eastAsia="仿宋_GB2312" w:cs="Arial"/>
                <w:color w:val="auto"/>
                <w:sz w:val="20"/>
              </w:rPr>
            </w:pPr>
            <w:r>
              <w:rPr>
                <w:rFonts w:hint="eastAsia" w:ascii="Arial" w:hAnsi="Arial" w:eastAsia="仿宋_GB2312" w:cs="Arial"/>
                <w:color w:val="auto"/>
                <w:sz w:val="20"/>
              </w:rPr>
              <w:t>35</w:t>
            </w:r>
          </w:p>
        </w:tc>
        <w:tc>
          <w:tcPr>
            <w:tcW w:w="1021" w:type="dxa"/>
            <w:vMerge w:val="restart"/>
            <w:shd w:val="clear" w:color="auto" w:fill="auto"/>
            <w:vAlign w:val="center"/>
          </w:tcPr>
          <w:p w14:paraId="7EF92F93">
            <w:pPr>
              <w:jc w:val="center"/>
              <w:rPr>
                <w:rFonts w:ascii="仿宋" w:hAnsi="仿宋" w:eastAsia="仿宋"/>
                <w:color w:val="auto"/>
                <w:sz w:val="20"/>
              </w:rPr>
            </w:pPr>
            <w:r>
              <w:rPr>
                <w:rFonts w:hint="eastAsia" w:ascii="仿宋" w:hAnsi="仿宋" w:eastAsia="仿宋"/>
                <w:color w:val="auto"/>
                <w:sz w:val="20"/>
              </w:rPr>
              <w:t>朝阳区</w:t>
            </w:r>
          </w:p>
        </w:tc>
        <w:tc>
          <w:tcPr>
            <w:tcW w:w="2771" w:type="dxa"/>
            <w:shd w:val="clear" w:color="auto" w:fill="auto"/>
            <w:vAlign w:val="center"/>
          </w:tcPr>
          <w:p w14:paraId="1B1FC963">
            <w:pPr>
              <w:jc w:val="center"/>
              <w:rPr>
                <w:rFonts w:ascii="仿宋" w:hAnsi="仿宋" w:eastAsia="仿宋"/>
                <w:color w:val="auto"/>
                <w:sz w:val="20"/>
              </w:rPr>
            </w:pPr>
            <w:r>
              <w:rPr>
                <w:rFonts w:hint="eastAsia" w:ascii="仿宋" w:hAnsi="仿宋" w:eastAsia="仿宋"/>
                <w:color w:val="auto"/>
                <w:sz w:val="20"/>
              </w:rPr>
              <w:t>三里屯路</w:t>
            </w:r>
          </w:p>
        </w:tc>
        <w:tc>
          <w:tcPr>
            <w:tcW w:w="2668" w:type="dxa"/>
            <w:shd w:val="clear" w:color="auto" w:fill="auto"/>
            <w:vAlign w:val="center"/>
          </w:tcPr>
          <w:p w14:paraId="31D882DE">
            <w:pPr>
              <w:jc w:val="center"/>
              <w:rPr>
                <w:rFonts w:ascii="仿宋" w:hAnsi="仿宋" w:eastAsia="仿宋"/>
                <w:color w:val="auto"/>
                <w:sz w:val="20"/>
              </w:rPr>
            </w:pPr>
            <w:r>
              <w:rPr>
                <w:rFonts w:hint="eastAsia" w:ascii="仿宋" w:hAnsi="仿宋" w:eastAsia="仿宋"/>
                <w:color w:val="auto"/>
                <w:sz w:val="20"/>
              </w:rPr>
              <w:t>工人体育场北路－－三里屯东三街</w:t>
            </w:r>
          </w:p>
        </w:tc>
        <w:tc>
          <w:tcPr>
            <w:tcW w:w="1080" w:type="dxa"/>
            <w:shd w:val="clear" w:color="auto" w:fill="auto"/>
            <w:vAlign w:val="center"/>
          </w:tcPr>
          <w:p w14:paraId="53ECC782">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7FF65B4F">
            <w:pPr>
              <w:jc w:val="center"/>
              <w:rPr>
                <w:rFonts w:ascii="Arial" w:hAnsi="Arial" w:eastAsia="仿宋_GB2312" w:cs="Arial"/>
                <w:color w:val="auto"/>
                <w:sz w:val="20"/>
              </w:rPr>
            </w:pPr>
            <w:r>
              <w:rPr>
                <w:rFonts w:hint="eastAsia" w:ascii="Arial" w:hAnsi="Arial" w:eastAsia="仿宋_GB2312" w:cs="Arial"/>
                <w:color w:val="auto"/>
                <w:sz w:val="20"/>
              </w:rPr>
              <w:t>20</w:t>
            </w:r>
          </w:p>
        </w:tc>
      </w:tr>
      <w:tr w14:paraId="0422B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4C91FCAD">
            <w:pPr>
              <w:jc w:val="center"/>
              <w:rPr>
                <w:rFonts w:ascii="Arial" w:hAnsi="Arial" w:eastAsia="仿宋_GB2312" w:cs="Arial"/>
                <w:color w:val="auto"/>
                <w:sz w:val="20"/>
              </w:rPr>
            </w:pPr>
            <w:r>
              <w:rPr>
                <w:rFonts w:hint="eastAsia" w:ascii="Arial" w:hAnsi="Arial" w:eastAsia="仿宋_GB2312" w:cs="Arial"/>
                <w:color w:val="auto"/>
                <w:sz w:val="20"/>
              </w:rPr>
              <w:t>36</w:t>
            </w:r>
          </w:p>
        </w:tc>
        <w:tc>
          <w:tcPr>
            <w:tcW w:w="1021" w:type="dxa"/>
            <w:vMerge w:val="continue"/>
            <w:vAlign w:val="center"/>
          </w:tcPr>
          <w:p w14:paraId="368EE0F7">
            <w:pPr>
              <w:rPr>
                <w:rFonts w:ascii="仿宋" w:hAnsi="仿宋" w:eastAsia="仿宋"/>
                <w:color w:val="auto"/>
                <w:sz w:val="20"/>
              </w:rPr>
            </w:pPr>
          </w:p>
        </w:tc>
        <w:tc>
          <w:tcPr>
            <w:tcW w:w="2771" w:type="dxa"/>
            <w:shd w:val="clear" w:color="auto" w:fill="auto"/>
            <w:vAlign w:val="center"/>
          </w:tcPr>
          <w:p w14:paraId="28F9B377">
            <w:pPr>
              <w:jc w:val="center"/>
              <w:rPr>
                <w:rFonts w:ascii="仿宋" w:hAnsi="仿宋" w:eastAsia="仿宋"/>
                <w:color w:val="auto"/>
                <w:sz w:val="20"/>
              </w:rPr>
            </w:pPr>
            <w:r>
              <w:rPr>
                <w:rFonts w:hint="eastAsia" w:ascii="仿宋" w:hAnsi="仿宋" w:eastAsia="仿宋"/>
                <w:color w:val="auto"/>
                <w:sz w:val="20"/>
              </w:rPr>
              <w:t>建国门外大街</w:t>
            </w:r>
          </w:p>
        </w:tc>
        <w:tc>
          <w:tcPr>
            <w:tcW w:w="2668" w:type="dxa"/>
            <w:shd w:val="clear" w:color="auto" w:fill="auto"/>
            <w:vAlign w:val="center"/>
          </w:tcPr>
          <w:p w14:paraId="5864F18E">
            <w:pPr>
              <w:jc w:val="center"/>
              <w:rPr>
                <w:rFonts w:ascii="仿宋" w:hAnsi="仿宋" w:eastAsia="仿宋"/>
                <w:color w:val="auto"/>
                <w:sz w:val="20"/>
              </w:rPr>
            </w:pPr>
            <w:r>
              <w:rPr>
                <w:rFonts w:hint="eastAsia" w:ascii="仿宋" w:hAnsi="仿宋" w:eastAsia="仿宋"/>
                <w:color w:val="auto"/>
                <w:sz w:val="20"/>
              </w:rPr>
              <w:t>建国门桥－－国贸桥</w:t>
            </w:r>
          </w:p>
        </w:tc>
        <w:tc>
          <w:tcPr>
            <w:tcW w:w="1080" w:type="dxa"/>
            <w:shd w:val="clear" w:color="auto" w:fill="auto"/>
            <w:vAlign w:val="center"/>
          </w:tcPr>
          <w:p w14:paraId="464A84B6">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0A29C33B">
            <w:pPr>
              <w:jc w:val="center"/>
              <w:rPr>
                <w:rFonts w:ascii="Arial" w:hAnsi="Arial" w:eastAsia="仿宋_GB2312" w:cs="Arial"/>
                <w:color w:val="auto"/>
                <w:sz w:val="20"/>
              </w:rPr>
            </w:pPr>
            <w:r>
              <w:rPr>
                <w:rFonts w:hint="eastAsia" w:ascii="Arial" w:hAnsi="Arial" w:eastAsia="仿宋_GB2312" w:cs="Arial"/>
                <w:color w:val="auto"/>
                <w:sz w:val="20"/>
              </w:rPr>
              <w:t>20</w:t>
            </w:r>
          </w:p>
        </w:tc>
      </w:tr>
      <w:tr w14:paraId="1B48B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0671EA65">
            <w:pPr>
              <w:jc w:val="center"/>
              <w:rPr>
                <w:rFonts w:ascii="Arial" w:hAnsi="Arial" w:eastAsia="仿宋_GB2312" w:cs="Arial"/>
                <w:color w:val="auto"/>
                <w:sz w:val="20"/>
              </w:rPr>
            </w:pPr>
            <w:r>
              <w:rPr>
                <w:rFonts w:hint="eastAsia" w:ascii="Arial" w:hAnsi="Arial" w:eastAsia="仿宋_GB2312" w:cs="Arial"/>
                <w:color w:val="auto"/>
                <w:sz w:val="20"/>
              </w:rPr>
              <w:t>37</w:t>
            </w:r>
          </w:p>
        </w:tc>
        <w:tc>
          <w:tcPr>
            <w:tcW w:w="1021" w:type="dxa"/>
            <w:vMerge w:val="continue"/>
            <w:vAlign w:val="center"/>
          </w:tcPr>
          <w:p w14:paraId="36FC369F">
            <w:pPr>
              <w:rPr>
                <w:rFonts w:ascii="仿宋" w:hAnsi="仿宋" w:eastAsia="仿宋"/>
                <w:color w:val="auto"/>
                <w:sz w:val="20"/>
              </w:rPr>
            </w:pPr>
          </w:p>
        </w:tc>
        <w:tc>
          <w:tcPr>
            <w:tcW w:w="2771" w:type="dxa"/>
            <w:shd w:val="clear" w:color="auto" w:fill="auto"/>
            <w:vAlign w:val="center"/>
          </w:tcPr>
          <w:p w14:paraId="52E7A164">
            <w:pPr>
              <w:jc w:val="center"/>
              <w:rPr>
                <w:rFonts w:ascii="仿宋" w:hAnsi="仿宋" w:eastAsia="仿宋"/>
                <w:color w:val="auto"/>
                <w:sz w:val="20"/>
              </w:rPr>
            </w:pPr>
            <w:r>
              <w:rPr>
                <w:rFonts w:hint="eastAsia" w:ascii="仿宋" w:hAnsi="仿宋" w:eastAsia="仿宋"/>
                <w:color w:val="auto"/>
                <w:sz w:val="20"/>
              </w:rPr>
              <w:t>建国路</w:t>
            </w:r>
          </w:p>
        </w:tc>
        <w:tc>
          <w:tcPr>
            <w:tcW w:w="2668" w:type="dxa"/>
            <w:shd w:val="clear" w:color="auto" w:fill="auto"/>
            <w:vAlign w:val="center"/>
          </w:tcPr>
          <w:p w14:paraId="787F126D">
            <w:pPr>
              <w:jc w:val="center"/>
              <w:rPr>
                <w:rFonts w:ascii="仿宋" w:hAnsi="仿宋" w:eastAsia="仿宋"/>
                <w:color w:val="auto"/>
                <w:sz w:val="20"/>
              </w:rPr>
            </w:pPr>
            <w:r>
              <w:rPr>
                <w:rFonts w:hint="eastAsia" w:ascii="仿宋" w:hAnsi="仿宋" w:eastAsia="仿宋"/>
                <w:color w:val="auto"/>
                <w:sz w:val="20"/>
              </w:rPr>
              <w:t>国贸桥－－西大望路</w:t>
            </w:r>
          </w:p>
        </w:tc>
        <w:tc>
          <w:tcPr>
            <w:tcW w:w="1080" w:type="dxa"/>
            <w:shd w:val="clear" w:color="auto" w:fill="auto"/>
            <w:vAlign w:val="center"/>
          </w:tcPr>
          <w:p w14:paraId="58C1238B">
            <w:pPr>
              <w:jc w:val="center"/>
              <w:rPr>
                <w:rFonts w:ascii="Arial" w:hAnsi="Arial" w:eastAsia="仿宋_GB2312" w:cs="Arial"/>
                <w:color w:val="auto"/>
                <w:sz w:val="20"/>
              </w:rPr>
            </w:pPr>
            <w:r>
              <w:rPr>
                <w:rFonts w:hint="eastAsia" w:ascii="Arial" w:hAnsi="Arial" w:eastAsia="仿宋_GB2312" w:cs="Arial"/>
                <w:color w:val="auto"/>
                <w:sz w:val="20"/>
              </w:rPr>
              <w:t>15%</w:t>
            </w:r>
          </w:p>
        </w:tc>
        <w:tc>
          <w:tcPr>
            <w:tcW w:w="1028" w:type="dxa"/>
            <w:shd w:val="clear" w:color="auto" w:fill="auto"/>
            <w:vAlign w:val="center"/>
          </w:tcPr>
          <w:p w14:paraId="3BD1FBD4">
            <w:pPr>
              <w:jc w:val="center"/>
              <w:rPr>
                <w:rFonts w:ascii="Arial" w:hAnsi="Arial" w:eastAsia="仿宋_GB2312" w:cs="Arial"/>
                <w:color w:val="auto"/>
                <w:sz w:val="20"/>
              </w:rPr>
            </w:pPr>
            <w:r>
              <w:rPr>
                <w:rFonts w:hint="eastAsia" w:ascii="Arial" w:hAnsi="Arial" w:eastAsia="仿宋_GB2312" w:cs="Arial"/>
                <w:color w:val="auto"/>
                <w:sz w:val="20"/>
              </w:rPr>
              <w:t>20</w:t>
            </w:r>
          </w:p>
        </w:tc>
      </w:tr>
      <w:tr w14:paraId="7F427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04D7EDB">
            <w:pPr>
              <w:jc w:val="center"/>
              <w:rPr>
                <w:rFonts w:ascii="Arial" w:hAnsi="Arial" w:eastAsia="仿宋_GB2312" w:cs="Arial"/>
                <w:color w:val="auto"/>
                <w:sz w:val="20"/>
              </w:rPr>
            </w:pPr>
            <w:r>
              <w:rPr>
                <w:rFonts w:hint="eastAsia" w:ascii="Arial" w:hAnsi="Arial" w:eastAsia="仿宋_GB2312" w:cs="Arial"/>
                <w:color w:val="auto"/>
                <w:sz w:val="20"/>
              </w:rPr>
              <w:t>38</w:t>
            </w:r>
          </w:p>
        </w:tc>
        <w:tc>
          <w:tcPr>
            <w:tcW w:w="1021" w:type="dxa"/>
            <w:vMerge w:val="continue"/>
            <w:vAlign w:val="center"/>
          </w:tcPr>
          <w:p w14:paraId="7EBE2FB1">
            <w:pPr>
              <w:rPr>
                <w:rFonts w:ascii="仿宋" w:hAnsi="仿宋" w:eastAsia="仿宋"/>
                <w:color w:val="auto"/>
                <w:sz w:val="20"/>
              </w:rPr>
            </w:pPr>
          </w:p>
        </w:tc>
        <w:tc>
          <w:tcPr>
            <w:tcW w:w="2771" w:type="dxa"/>
            <w:shd w:val="clear" w:color="auto" w:fill="auto"/>
            <w:vAlign w:val="center"/>
          </w:tcPr>
          <w:p w14:paraId="6D6E6711">
            <w:pPr>
              <w:jc w:val="center"/>
              <w:rPr>
                <w:rFonts w:ascii="仿宋" w:hAnsi="仿宋" w:eastAsia="仿宋"/>
                <w:color w:val="auto"/>
                <w:sz w:val="20"/>
              </w:rPr>
            </w:pPr>
            <w:r>
              <w:rPr>
                <w:rFonts w:hint="eastAsia" w:ascii="仿宋" w:hAnsi="仿宋" w:eastAsia="仿宋"/>
                <w:color w:val="auto"/>
                <w:sz w:val="20"/>
              </w:rPr>
              <w:t>朝阳门外大街</w:t>
            </w:r>
          </w:p>
        </w:tc>
        <w:tc>
          <w:tcPr>
            <w:tcW w:w="2668" w:type="dxa"/>
            <w:shd w:val="clear" w:color="auto" w:fill="auto"/>
            <w:vAlign w:val="center"/>
          </w:tcPr>
          <w:p w14:paraId="21E91A51">
            <w:pPr>
              <w:jc w:val="center"/>
              <w:rPr>
                <w:rFonts w:ascii="仿宋" w:hAnsi="仿宋" w:eastAsia="仿宋"/>
                <w:color w:val="auto"/>
                <w:sz w:val="20"/>
              </w:rPr>
            </w:pPr>
            <w:r>
              <w:rPr>
                <w:rFonts w:hint="eastAsia" w:ascii="仿宋" w:hAnsi="仿宋" w:eastAsia="仿宋"/>
                <w:color w:val="auto"/>
                <w:sz w:val="20"/>
              </w:rPr>
              <w:t>朝阳门－－东大桥</w:t>
            </w:r>
          </w:p>
        </w:tc>
        <w:tc>
          <w:tcPr>
            <w:tcW w:w="1080" w:type="dxa"/>
            <w:shd w:val="clear" w:color="auto" w:fill="auto"/>
            <w:vAlign w:val="center"/>
          </w:tcPr>
          <w:p w14:paraId="5ED8C475">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314CD5D7">
            <w:pPr>
              <w:jc w:val="center"/>
              <w:rPr>
                <w:rFonts w:ascii="Arial" w:hAnsi="Arial" w:eastAsia="仿宋_GB2312" w:cs="Arial"/>
                <w:color w:val="auto"/>
                <w:sz w:val="20"/>
              </w:rPr>
            </w:pPr>
            <w:r>
              <w:rPr>
                <w:rFonts w:hint="eastAsia" w:ascii="Arial" w:hAnsi="Arial" w:eastAsia="仿宋_GB2312" w:cs="Arial"/>
                <w:color w:val="auto"/>
                <w:sz w:val="20"/>
              </w:rPr>
              <w:t>15</w:t>
            </w:r>
          </w:p>
        </w:tc>
      </w:tr>
      <w:tr w14:paraId="68446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636CB368">
            <w:pPr>
              <w:jc w:val="center"/>
              <w:rPr>
                <w:rFonts w:ascii="Arial" w:hAnsi="Arial" w:eastAsia="仿宋_GB2312" w:cs="Arial"/>
                <w:color w:val="auto"/>
                <w:sz w:val="20"/>
              </w:rPr>
            </w:pPr>
            <w:r>
              <w:rPr>
                <w:rFonts w:hint="eastAsia" w:ascii="Arial" w:hAnsi="Arial" w:eastAsia="仿宋_GB2312" w:cs="Arial"/>
                <w:color w:val="auto"/>
                <w:sz w:val="20"/>
              </w:rPr>
              <w:t>39</w:t>
            </w:r>
          </w:p>
        </w:tc>
        <w:tc>
          <w:tcPr>
            <w:tcW w:w="1021" w:type="dxa"/>
            <w:vMerge w:val="continue"/>
            <w:vAlign w:val="center"/>
          </w:tcPr>
          <w:p w14:paraId="3D73BEAD">
            <w:pPr>
              <w:rPr>
                <w:rFonts w:ascii="仿宋" w:hAnsi="仿宋" w:eastAsia="仿宋"/>
                <w:color w:val="auto"/>
                <w:sz w:val="20"/>
              </w:rPr>
            </w:pPr>
          </w:p>
        </w:tc>
        <w:tc>
          <w:tcPr>
            <w:tcW w:w="2771" w:type="dxa"/>
            <w:shd w:val="clear" w:color="auto" w:fill="auto"/>
            <w:vAlign w:val="center"/>
          </w:tcPr>
          <w:p w14:paraId="105FE799">
            <w:pPr>
              <w:jc w:val="center"/>
              <w:rPr>
                <w:rFonts w:ascii="仿宋" w:hAnsi="仿宋" w:eastAsia="仿宋"/>
                <w:color w:val="auto"/>
                <w:sz w:val="20"/>
              </w:rPr>
            </w:pPr>
            <w:r>
              <w:rPr>
                <w:rFonts w:hint="eastAsia" w:ascii="仿宋" w:hAnsi="仿宋" w:eastAsia="仿宋"/>
                <w:color w:val="auto"/>
                <w:sz w:val="20"/>
              </w:rPr>
              <w:t>十里河家具大道</w:t>
            </w:r>
          </w:p>
        </w:tc>
        <w:tc>
          <w:tcPr>
            <w:tcW w:w="2668" w:type="dxa"/>
            <w:shd w:val="clear" w:color="auto" w:fill="auto"/>
            <w:vAlign w:val="center"/>
          </w:tcPr>
          <w:p w14:paraId="5575DA11">
            <w:pPr>
              <w:jc w:val="center"/>
              <w:rPr>
                <w:rFonts w:ascii="仿宋" w:hAnsi="仿宋" w:eastAsia="仿宋"/>
                <w:color w:val="auto"/>
                <w:sz w:val="20"/>
              </w:rPr>
            </w:pPr>
            <w:r>
              <w:rPr>
                <w:rFonts w:hint="eastAsia" w:ascii="仿宋" w:hAnsi="仿宋" w:eastAsia="仿宋"/>
                <w:color w:val="auto"/>
                <w:sz w:val="20"/>
              </w:rPr>
              <w:t>东三环南路－－周家庄路</w:t>
            </w:r>
          </w:p>
        </w:tc>
        <w:tc>
          <w:tcPr>
            <w:tcW w:w="1080" w:type="dxa"/>
            <w:shd w:val="clear" w:color="auto" w:fill="auto"/>
            <w:vAlign w:val="center"/>
          </w:tcPr>
          <w:p w14:paraId="702D9023">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7BD0BD3C">
            <w:pPr>
              <w:jc w:val="center"/>
              <w:rPr>
                <w:rFonts w:ascii="Arial" w:hAnsi="Arial" w:eastAsia="仿宋_GB2312" w:cs="Arial"/>
                <w:color w:val="auto"/>
                <w:sz w:val="20"/>
              </w:rPr>
            </w:pPr>
            <w:r>
              <w:rPr>
                <w:rFonts w:hint="eastAsia" w:ascii="Arial" w:hAnsi="Arial" w:eastAsia="仿宋_GB2312" w:cs="Arial"/>
                <w:color w:val="auto"/>
                <w:sz w:val="20"/>
              </w:rPr>
              <w:t>15</w:t>
            </w:r>
          </w:p>
        </w:tc>
      </w:tr>
      <w:tr w14:paraId="4E2B9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50C16E76">
            <w:pPr>
              <w:jc w:val="center"/>
              <w:rPr>
                <w:rFonts w:ascii="Arial" w:hAnsi="Arial" w:eastAsia="仿宋_GB2312" w:cs="Arial"/>
                <w:color w:val="auto"/>
                <w:sz w:val="20"/>
              </w:rPr>
            </w:pPr>
            <w:r>
              <w:rPr>
                <w:rFonts w:hint="eastAsia" w:ascii="Arial" w:hAnsi="Arial" w:eastAsia="仿宋_GB2312" w:cs="Arial"/>
                <w:color w:val="auto"/>
                <w:sz w:val="20"/>
              </w:rPr>
              <w:t>40</w:t>
            </w:r>
          </w:p>
        </w:tc>
        <w:tc>
          <w:tcPr>
            <w:tcW w:w="1021" w:type="dxa"/>
            <w:vMerge w:val="continue"/>
            <w:shd w:val="clear" w:color="auto" w:fill="auto"/>
            <w:vAlign w:val="center"/>
          </w:tcPr>
          <w:p w14:paraId="3A8F41D4">
            <w:pPr>
              <w:jc w:val="center"/>
              <w:rPr>
                <w:rFonts w:ascii="仿宋" w:hAnsi="仿宋" w:eastAsia="仿宋"/>
                <w:color w:val="auto"/>
                <w:sz w:val="20"/>
              </w:rPr>
            </w:pPr>
          </w:p>
        </w:tc>
        <w:tc>
          <w:tcPr>
            <w:tcW w:w="2771" w:type="dxa"/>
            <w:shd w:val="clear" w:color="auto" w:fill="auto"/>
            <w:vAlign w:val="center"/>
          </w:tcPr>
          <w:p w14:paraId="41A48FBB">
            <w:pPr>
              <w:jc w:val="center"/>
              <w:rPr>
                <w:rFonts w:ascii="仿宋" w:hAnsi="仿宋" w:eastAsia="仿宋"/>
                <w:color w:val="auto"/>
                <w:sz w:val="20"/>
              </w:rPr>
            </w:pPr>
            <w:r>
              <w:rPr>
                <w:rFonts w:hint="eastAsia" w:ascii="仿宋" w:hAnsi="仿宋" w:eastAsia="仿宋"/>
                <w:color w:val="auto"/>
                <w:sz w:val="20"/>
              </w:rPr>
              <w:t>大羊坊路</w:t>
            </w:r>
          </w:p>
        </w:tc>
        <w:tc>
          <w:tcPr>
            <w:tcW w:w="2668" w:type="dxa"/>
            <w:shd w:val="clear" w:color="auto" w:fill="auto"/>
            <w:vAlign w:val="center"/>
          </w:tcPr>
          <w:p w14:paraId="2F086846">
            <w:pPr>
              <w:jc w:val="center"/>
              <w:rPr>
                <w:rFonts w:ascii="仿宋" w:hAnsi="仿宋" w:eastAsia="仿宋"/>
                <w:color w:val="auto"/>
                <w:sz w:val="20"/>
              </w:rPr>
            </w:pPr>
            <w:r>
              <w:rPr>
                <w:rFonts w:hint="eastAsia" w:ascii="仿宋" w:hAnsi="仿宋" w:eastAsia="仿宋"/>
                <w:color w:val="auto"/>
                <w:sz w:val="20"/>
              </w:rPr>
              <w:t>十里河桥－－小武基路</w:t>
            </w:r>
          </w:p>
        </w:tc>
        <w:tc>
          <w:tcPr>
            <w:tcW w:w="1080" w:type="dxa"/>
            <w:shd w:val="clear" w:color="auto" w:fill="auto"/>
            <w:vAlign w:val="center"/>
          </w:tcPr>
          <w:p w14:paraId="2BA05EEE">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4AC6EF20">
            <w:pPr>
              <w:jc w:val="center"/>
              <w:rPr>
                <w:rFonts w:ascii="Arial" w:hAnsi="Arial" w:eastAsia="仿宋_GB2312" w:cs="Arial"/>
                <w:color w:val="auto"/>
                <w:sz w:val="20"/>
              </w:rPr>
            </w:pPr>
            <w:r>
              <w:rPr>
                <w:rFonts w:hint="eastAsia" w:ascii="Arial" w:hAnsi="Arial" w:eastAsia="仿宋_GB2312" w:cs="Arial"/>
                <w:color w:val="auto"/>
                <w:sz w:val="20"/>
              </w:rPr>
              <w:t>15</w:t>
            </w:r>
          </w:p>
        </w:tc>
      </w:tr>
      <w:tr w14:paraId="7871E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6BC6495A">
            <w:pPr>
              <w:jc w:val="center"/>
              <w:rPr>
                <w:rFonts w:ascii="Arial" w:hAnsi="Arial" w:eastAsia="仿宋_GB2312" w:cs="Arial"/>
                <w:color w:val="auto"/>
                <w:sz w:val="20"/>
              </w:rPr>
            </w:pPr>
            <w:r>
              <w:rPr>
                <w:rFonts w:hint="eastAsia" w:ascii="Arial" w:hAnsi="Arial" w:eastAsia="仿宋_GB2312" w:cs="Arial"/>
                <w:color w:val="auto"/>
                <w:sz w:val="20"/>
              </w:rPr>
              <w:t>41</w:t>
            </w:r>
          </w:p>
        </w:tc>
        <w:tc>
          <w:tcPr>
            <w:tcW w:w="1021" w:type="dxa"/>
            <w:vMerge w:val="restart"/>
            <w:shd w:val="clear" w:color="auto" w:fill="auto"/>
            <w:vAlign w:val="center"/>
          </w:tcPr>
          <w:p w14:paraId="25ECD69E">
            <w:pPr>
              <w:jc w:val="center"/>
              <w:rPr>
                <w:rFonts w:ascii="仿宋" w:hAnsi="仿宋" w:eastAsia="仿宋"/>
                <w:color w:val="auto"/>
                <w:sz w:val="20"/>
              </w:rPr>
            </w:pPr>
            <w:r>
              <w:rPr>
                <w:rFonts w:hint="eastAsia" w:ascii="仿宋" w:hAnsi="仿宋" w:eastAsia="仿宋"/>
                <w:color w:val="auto"/>
                <w:sz w:val="20"/>
              </w:rPr>
              <w:t>海淀区</w:t>
            </w:r>
          </w:p>
        </w:tc>
        <w:tc>
          <w:tcPr>
            <w:tcW w:w="2771" w:type="dxa"/>
            <w:shd w:val="clear" w:color="auto" w:fill="auto"/>
            <w:vAlign w:val="center"/>
          </w:tcPr>
          <w:p w14:paraId="5A322071">
            <w:pPr>
              <w:jc w:val="center"/>
              <w:rPr>
                <w:rFonts w:ascii="仿宋" w:hAnsi="仿宋" w:eastAsia="仿宋"/>
                <w:color w:val="auto"/>
                <w:sz w:val="20"/>
              </w:rPr>
            </w:pPr>
            <w:r>
              <w:rPr>
                <w:rFonts w:hint="eastAsia" w:ascii="仿宋" w:hAnsi="仿宋" w:eastAsia="仿宋"/>
                <w:color w:val="auto"/>
                <w:sz w:val="20"/>
              </w:rPr>
              <w:t>中关村大街</w:t>
            </w:r>
          </w:p>
        </w:tc>
        <w:tc>
          <w:tcPr>
            <w:tcW w:w="2668" w:type="dxa"/>
            <w:shd w:val="clear" w:color="auto" w:fill="auto"/>
            <w:vAlign w:val="center"/>
          </w:tcPr>
          <w:p w14:paraId="2628453C">
            <w:pPr>
              <w:jc w:val="center"/>
              <w:rPr>
                <w:rFonts w:ascii="仿宋" w:hAnsi="仿宋" w:eastAsia="仿宋"/>
                <w:color w:val="auto"/>
                <w:sz w:val="20"/>
              </w:rPr>
            </w:pPr>
            <w:r>
              <w:rPr>
                <w:rFonts w:hint="eastAsia" w:ascii="仿宋" w:hAnsi="仿宋" w:eastAsia="仿宋"/>
                <w:color w:val="auto"/>
                <w:sz w:val="20"/>
              </w:rPr>
              <w:t>海淀南路－－北四环</w:t>
            </w:r>
          </w:p>
        </w:tc>
        <w:tc>
          <w:tcPr>
            <w:tcW w:w="1080" w:type="dxa"/>
            <w:shd w:val="clear" w:color="auto" w:fill="auto"/>
            <w:vAlign w:val="center"/>
          </w:tcPr>
          <w:p w14:paraId="05AA635A">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48A4A10D">
            <w:pPr>
              <w:jc w:val="center"/>
              <w:rPr>
                <w:rFonts w:ascii="Arial" w:hAnsi="Arial" w:eastAsia="仿宋_GB2312" w:cs="Arial"/>
                <w:color w:val="auto"/>
                <w:sz w:val="20"/>
              </w:rPr>
            </w:pPr>
            <w:r>
              <w:rPr>
                <w:rFonts w:hint="eastAsia" w:ascii="Arial" w:hAnsi="Arial" w:eastAsia="仿宋_GB2312" w:cs="Arial"/>
                <w:color w:val="auto"/>
                <w:sz w:val="20"/>
              </w:rPr>
              <w:t>15</w:t>
            </w:r>
          </w:p>
        </w:tc>
      </w:tr>
      <w:tr w14:paraId="22338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41237A0E">
            <w:pPr>
              <w:jc w:val="center"/>
              <w:rPr>
                <w:rFonts w:ascii="Arial" w:hAnsi="Arial" w:eastAsia="仿宋_GB2312" w:cs="Arial"/>
                <w:color w:val="auto"/>
                <w:sz w:val="20"/>
              </w:rPr>
            </w:pPr>
            <w:r>
              <w:rPr>
                <w:rFonts w:hint="eastAsia" w:ascii="Arial" w:hAnsi="Arial" w:eastAsia="仿宋_GB2312" w:cs="Arial"/>
                <w:color w:val="auto"/>
                <w:sz w:val="20"/>
              </w:rPr>
              <w:t>42</w:t>
            </w:r>
          </w:p>
        </w:tc>
        <w:tc>
          <w:tcPr>
            <w:tcW w:w="1021" w:type="dxa"/>
            <w:vMerge w:val="continue"/>
            <w:shd w:val="clear" w:color="auto" w:fill="auto"/>
            <w:vAlign w:val="center"/>
          </w:tcPr>
          <w:p w14:paraId="06DBFF13">
            <w:pPr>
              <w:rPr>
                <w:rFonts w:ascii="仿宋" w:hAnsi="仿宋" w:eastAsia="仿宋"/>
                <w:color w:val="auto"/>
                <w:sz w:val="20"/>
              </w:rPr>
            </w:pPr>
          </w:p>
        </w:tc>
        <w:tc>
          <w:tcPr>
            <w:tcW w:w="2771" w:type="dxa"/>
            <w:shd w:val="clear" w:color="auto" w:fill="auto"/>
            <w:vAlign w:val="center"/>
          </w:tcPr>
          <w:p w14:paraId="09E098DB">
            <w:pPr>
              <w:jc w:val="center"/>
              <w:rPr>
                <w:rFonts w:ascii="仿宋" w:hAnsi="仿宋" w:eastAsia="仿宋"/>
                <w:color w:val="auto"/>
                <w:sz w:val="20"/>
              </w:rPr>
            </w:pPr>
            <w:r>
              <w:rPr>
                <w:rFonts w:hint="eastAsia" w:ascii="仿宋" w:hAnsi="仿宋" w:eastAsia="仿宋"/>
                <w:color w:val="auto"/>
                <w:sz w:val="20"/>
              </w:rPr>
              <w:t>复兴路</w:t>
            </w:r>
          </w:p>
        </w:tc>
        <w:tc>
          <w:tcPr>
            <w:tcW w:w="2668" w:type="dxa"/>
            <w:shd w:val="clear" w:color="auto" w:fill="auto"/>
            <w:vAlign w:val="center"/>
          </w:tcPr>
          <w:p w14:paraId="3B0CE5F2">
            <w:pPr>
              <w:jc w:val="center"/>
              <w:rPr>
                <w:rFonts w:ascii="仿宋" w:hAnsi="仿宋" w:eastAsia="仿宋"/>
                <w:color w:val="auto"/>
                <w:sz w:val="20"/>
              </w:rPr>
            </w:pPr>
            <w:r>
              <w:rPr>
                <w:rFonts w:hint="eastAsia" w:ascii="仿宋" w:hAnsi="仿宋" w:eastAsia="仿宋"/>
                <w:color w:val="auto"/>
                <w:sz w:val="20"/>
              </w:rPr>
              <w:t>木樨地－－万寿路</w:t>
            </w:r>
          </w:p>
        </w:tc>
        <w:tc>
          <w:tcPr>
            <w:tcW w:w="1080" w:type="dxa"/>
            <w:shd w:val="clear" w:color="auto" w:fill="auto"/>
            <w:vAlign w:val="center"/>
          </w:tcPr>
          <w:p w14:paraId="0BD8B18E">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2C2FE3F7">
            <w:pPr>
              <w:jc w:val="center"/>
              <w:rPr>
                <w:rFonts w:ascii="Arial" w:hAnsi="Arial" w:eastAsia="仿宋_GB2312" w:cs="Arial"/>
                <w:color w:val="auto"/>
                <w:sz w:val="20"/>
              </w:rPr>
            </w:pPr>
            <w:r>
              <w:rPr>
                <w:rFonts w:hint="eastAsia" w:ascii="Arial" w:hAnsi="Arial" w:eastAsia="仿宋_GB2312" w:cs="Arial"/>
                <w:color w:val="auto"/>
                <w:sz w:val="20"/>
              </w:rPr>
              <w:t>15</w:t>
            </w:r>
          </w:p>
        </w:tc>
      </w:tr>
      <w:tr w14:paraId="123CC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405549D7">
            <w:pPr>
              <w:jc w:val="center"/>
              <w:rPr>
                <w:rFonts w:ascii="Arial" w:hAnsi="Arial" w:eastAsia="仿宋_GB2312" w:cs="Arial"/>
                <w:color w:val="auto"/>
                <w:sz w:val="20"/>
              </w:rPr>
            </w:pPr>
            <w:r>
              <w:rPr>
                <w:rFonts w:hint="eastAsia" w:ascii="Arial" w:hAnsi="Arial" w:eastAsia="仿宋_GB2312" w:cs="Arial"/>
                <w:color w:val="auto"/>
                <w:sz w:val="20"/>
              </w:rPr>
              <w:t>43</w:t>
            </w:r>
          </w:p>
        </w:tc>
        <w:tc>
          <w:tcPr>
            <w:tcW w:w="1021" w:type="dxa"/>
            <w:vMerge w:val="continue"/>
            <w:shd w:val="clear" w:color="auto" w:fill="auto"/>
            <w:vAlign w:val="center"/>
          </w:tcPr>
          <w:p w14:paraId="14692DCC">
            <w:pPr>
              <w:rPr>
                <w:rFonts w:ascii="仿宋" w:hAnsi="仿宋" w:eastAsia="仿宋"/>
                <w:color w:val="auto"/>
                <w:sz w:val="20"/>
              </w:rPr>
            </w:pPr>
          </w:p>
        </w:tc>
        <w:tc>
          <w:tcPr>
            <w:tcW w:w="2771" w:type="dxa"/>
            <w:shd w:val="clear" w:color="auto" w:fill="auto"/>
            <w:vAlign w:val="center"/>
          </w:tcPr>
          <w:p w14:paraId="53888CCC">
            <w:pPr>
              <w:jc w:val="center"/>
              <w:rPr>
                <w:rFonts w:ascii="仿宋" w:hAnsi="仿宋" w:eastAsia="仿宋"/>
                <w:color w:val="auto"/>
                <w:sz w:val="20"/>
              </w:rPr>
            </w:pPr>
            <w:r>
              <w:rPr>
                <w:rFonts w:hint="eastAsia" w:ascii="仿宋" w:hAnsi="仿宋" w:eastAsia="仿宋"/>
                <w:color w:val="auto"/>
                <w:sz w:val="20"/>
              </w:rPr>
              <w:t>丹棱街</w:t>
            </w:r>
          </w:p>
        </w:tc>
        <w:tc>
          <w:tcPr>
            <w:tcW w:w="2668" w:type="dxa"/>
            <w:shd w:val="clear" w:color="auto" w:fill="auto"/>
            <w:vAlign w:val="center"/>
          </w:tcPr>
          <w:p w14:paraId="35D1D85F">
            <w:pPr>
              <w:jc w:val="center"/>
              <w:rPr>
                <w:rFonts w:ascii="仿宋" w:hAnsi="仿宋" w:eastAsia="仿宋"/>
                <w:color w:val="auto"/>
                <w:sz w:val="20"/>
              </w:rPr>
            </w:pPr>
            <w:r>
              <w:rPr>
                <w:rFonts w:hint="eastAsia" w:ascii="仿宋" w:hAnsi="仿宋" w:eastAsia="仿宋"/>
                <w:color w:val="auto"/>
                <w:sz w:val="20"/>
              </w:rPr>
              <w:t>苏州街－－中关村大街</w:t>
            </w:r>
          </w:p>
        </w:tc>
        <w:tc>
          <w:tcPr>
            <w:tcW w:w="1080" w:type="dxa"/>
            <w:shd w:val="clear" w:color="auto" w:fill="auto"/>
            <w:vAlign w:val="center"/>
          </w:tcPr>
          <w:p w14:paraId="3E3D0394">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75AA7799">
            <w:pPr>
              <w:jc w:val="center"/>
              <w:rPr>
                <w:rFonts w:ascii="Arial" w:hAnsi="Arial" w:eastAsia="仿宋_GB2312" w:cs="Arial"/>
                <w:color w:val="auto"/>
                <w:sz w:val="20"/>
              </w:rPr>
            </w:pPr>
            <w:r>
              <w:rPr>
                <w:rFonts w:hint="eastAsia" w:ascii="Arial" w:hAnsi="Arial" w:eastAsia="仿宋_GB2312" w:cs="Arial"/>
                <w:color w:val="auto"/>
                <w:sz w:val="20"/>
              </w:rPr>
              <w:t>15</w:t>
            </w:r>
          </w:p>
        </w:tc>
      </w:tr>
      <w:tr w14:paraId="4540C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1A2DEE60">
            <w:pPr>
              <w:jc w:val="center"/>
              <w:rPr>
                <w:rFonts w:ascii="Arial" w:hAnsi="Arial" w:eastAsia="仿宋_GB2312" w:cs="Arial"/>
                <w:color w:val="auto"/>
                <w:sz w:val="20"/>
              </w:rPr>
            </w:pPr>
            <w:r>
              <w:rPr>
                <w:rFonts w:hint="eastAsia" w:ascii="Arial" w:hAnsi="Arial" w:eastAsia="仿宋_GB2312" w:cs="Arial"/>
                <w:color w:val="auto"/>
                <w:sz w:val="20"/>
              </w:rPr>
              <w:t>44</w:t>
            </w:r>
          </w:p>
        </w:tc>
        <w:tc>
          <w:tcPr>
            <w:tcW w:w="1021" w:type="dxa"/>
            <w:vMerge w:val="restart"/>
            <w:shd w:val="clear" w:color="auto" w:fill="auto"/>
            <w:vAlign w:val="center"/>
          </w:tcPr>
          <w:p w14:paraId="370AC72E">
            <w:pPr>
              <w:jc w:val="center"/>
              <w:rPr>
                <w:rFonts w:ascii="仿宋" w:hAnsi="仿宋" w:eastAsia="仿宋"/>
                <w:color w:val="auto"/>
                <w:sz w:val="20"/>
              </w:rPr>
            </w:pPr>
            <w:r>
              <w:rPr>
                <w:rFonts w:hint="eastAsia" w:ascii="仿宋" w:hAnsi="仿宋" w:eastAsia="仿宋"/>
                <w:color w:val="auto"/>
                <w:sz w:val="20"/>
              </w:rPr>
              <w:t>丰台区</w:t>
            </w:r>
          </w:p>
        </w:tc>
        <w:tc>
          <w:tcPr>
            <w:tcW w:w="2771" w:type="dxa"/>
            <w:shd w:val="clear" w:color="auto" w:fill="auto"/>
            <w:vAlign w:val="center"/>
          </w:tcPr>
          <w:p w14:paraId="5984DA86">
            <w:pPr>
              <w:jc w:val="center"/>
              <w:rPr>
                <w:rFonts w:ascii="仿宋" w:hAnsi="仿宋" w:eastAsia="仿宋"/>
                <w:color w:val="auto"/>
                <w:sz w:val="20"/>
              </w:rPr>
            </w:pPr>
            <w:r>
              <w:rPr>
                <w:rFonts w:hint="eastAsia" w:ascii="仿宋" w:hAnsi="仿宋" w:eastAsia="仿宋"/>
                <w:color w:val="auto"/>
                <w:sz w:val="20"/>
              </w:rPr>
              <w:t>丽泽路</w:t>
            </w:r>
          </w:p>
        </w:tc>
        <w:tc>
          <w:tcPr>
            <w:tcW w:w="2668" w:type="dxa"/>
            <w:shd w:val="clear" w:color="auto" w:fill="auto"/>
            <w:vAlign w:val="center"/>
          </w:tcPr>
          <w:p w14:paraId="7534541D">
            <w:pPr>
              <w:jc w:val="center"/>
              <w:rPr>
                <w:rFonts w:ascii="仿宋" w:hAnsi="仿宋" w:eastAsia="仿宋"/>
                <w:color w:val="auto"/>
                <w:sz w:val="20"/>
              </w:rPr>
            </w:pPr>
            <w:r>
              <w:rPr>
                <w:rFonts w:hint="eastAsia" w:ascii="仿宋" w:hAnsi="仿宋" w:eastAsia="仿宋"/>
                <w:color w:val="auto"/>
                <w:sz w:val="20"/>
              </w:rPr>
              <w:t>菜户营桥－－丽泽桥</w:t>
            </w:r>
          </w:p>
        </w:tc>
        <w:tc>
          <w:tcPr>
            <w:tcW w:w="1080" w:type="dxa"/>
            <w:shd w:val="clear" w:color="auto" w:fill="auto"/>
            <w:vAlign w:val="center"/>
          </w:tcPr>
          <w:p w14:paraId="2830273A">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1B87F97C">
            <w:pPr>
              <w:jc w:val="center"/>
              <w:rPr>
                <w:rFonts w:ascii="Arial" w:hAnsi="Arial" w:eastAsia="仿宋_GB2312" w:cs="Arial"/>
                <w:color w:val="auto"/>
                <w:sz w:val="20"/>
              </w:rPr>
            </w:pPr>
            <w:r>
              <w:rPr>
                <w:rFonts w:hint="eastAsia" w:ascii="Arial" w:hAnsi="Arial" w:eastAsia="仿宋_GB2312" w:cs="Arial"/>
                <w:color w:val="auto"/>
                <w:sz w:val="20"/>
              </w:rPr>
              <w:t>15</w:t>
            </w:r>
          </w:p>
        </w:tc>
      </w:tr>
      <w:tr w14:paraId="19065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22D0281">
            <w:pPr>
              <w:jc w:val="center"/>
              <w:rPr>
                <w:rFonts w:ascii="Arial" w:hAnsi="Arial" w:eastAsia="仿宋_GB2312" w:cs="Arial"/>
                <w:color w:val="auto"/>
                <w:sz w:val="20"/>
              </w:rPr>
            </w:pPr>
            <w:r>
              <w:rPr>
                <w:rFonts w:hint="eastAsia" w:ascii="Arial" w:hAnsi="Arial" w:eastAsia="仿宋_GB2312" w:cs="Arial"/>
                <w:color w:val="auto"/>
                <w:sz w:val="20"/>
              </w:rPr>
              <w:t>45</w:t>
            </w:r>
          </w:p>
        </w:tc>
        <w:tc>
          <w:tcPr>
            <w:tcW w:w="1021" w:type="dxa"/>
            <w:vMerge w:val="continue"/>
            <w:vAlign w:val="center"/>
          </w:tcPr>
          <w:p w14:paraId="460E68A6">
            <w:pPr>
              <w:rPr>
                <w:rFonts w:ascii="仿宋" w:hAnsi="仿宋" w:eastAsia="仿宋"/>
                <w:color w:val="auto"/>
                <w:sz w:val="20"/>
              </w:rPr>
            </w:pPr>
          </w:p>
        </w:tc>
        <w:tc>
          <w:tcPr>
            <w:tcW w:w="2771" w:type="dxa"/>
            <w:shd w:val="clear" w:color="auto" w:fill="auto"/>
            <w:vAlign w:val="center"/>
          </w:tcPr>
          <w:p w14:paraId="11661572">
            <w:pPr>
              <w:jc w:val="center"/>
              <w:rPr>
                <w:rFonts w:ascii="仿宋" w:hAnsi="仿宋" w:eastAsia="仿宋"/>
                <w:color w:val="auto"/>
                <w:sz w:val="20"/>
              </w:rPr>
            </w:pPr>
            <w:r>
              <w:rPr>
                <w:rFonts w:hint="eastAsia" w:ascii="仿宋" w:hAnsi="仿宋" w:eastAsia="仿宋"/>
                <w:color w:val="auto"/>
                <w:sz w:val="20"/>
              </w:rPr>
              <w:t>方庄商业街（蒲芳路）</w:t>
            </w:r>
          </w:p>
        </w:tc>
        <w:tc>
          <w:tcPr>
            <w:tcW w:w="2668" w:type="dxa"/>
            <w:shd w:val="clear" w:color="auto" w:fill="auto"/>
            <w:vAlign w:val="center"/>
          </w:tcPr>
          <w:p w14:paraId="727185FA">
            <w:pPr>
              <w:jc w:val="center"/>
              <w:rPr>
                <w:rFonts w:ascii="仿宋" w:hAnsi="仿宋" w:eastAsia="仿宋"/>
                <w:color w:val="auto"/>
                <w:sz w:val="20"/>
              </w:rPr>
            </w:pPr>
            <w:r>
              <w:rPr>
                <w:rFonts w:hint="eastAsia" w:ascii="仿宋" w:hAnsi="仿宋" w:eastAsia="仿宋"/>
                <w:color w:val="auto"/>
                <w:sz w:val="20"/>
              </w:rPr>
              <w:t>蒲黄榆路－－方庄路</w:t>
            </w:r>
          </w:p>
        </w:tc>
        <w:tc>
          <w:tcPr>
            <w:tcW w:w="1080" w:type="dxa"/>
            <w:shd w:val="clear" w:color="auto" w:fill="auto"/>
            <w:vAlign w:val="center"/>
          </w:tcPr>
          <w:p w14:paraId="5E1F084D">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4F61A7BA">
            <w:pPr>
              <w:jc w:val="center"/>
              <w:rPr>
                <w:rFonts w:ascii="Arial" w:hAnsi="Arial" w:eastAsia="仿宋_GB2312" w:cs="Arial"/>
                <w:color w:val="auto"/>
                <w:sz w:val="20"/>
              </w:rPr>
            </w:pPr>
            <w:r>
              <w:rPr>
                <w:rFonts w:hint="eastAsia" w:ascii="Arial" w:hAnsi="Arial" w:eastAsia="仿宋_GB2312" w:cs="Arial"/>
                <w:color w:val="auto"/>
                <w:sz w:val="20"/>
              </w:rPr>
              <w:t>15</w:t>
            </w:r>
          </w:p>
        </w:tc>
      </w:tr>
      <w:tr w14:paraId="33DB3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09E70CC7">
            <w:pPr>
              <w:jc w:val="center"/>
              <w:rPr>
                <w:rFonts w:ascii="Arial" w:hAnsi="Arial" w:eastAsia="仿宋_GB2312" w:cs="Arial"/>
                <w:color w:val="auto"/>
                <w:sz w:val="20"/>
              </w:rPr>
            </w:pPr>
            <w:r>
              <w:rPr>
                <w:rFonts w:hint="eastAsia" w:ascii="Arial" w:hAnsi="Arial" w:eastAsia="仿宋_GB2312" w:cs="Arial"/>
                <w:color w:val="auto"/>
                <w:sz w:val="20"/>
              </w:rPr>
              <w:t>46</w:t>
            </w:r>
          </w:p>
        </w:tc>
        <w:tc>
          <w:tcPr>
            <w:tcW w:w="1021" w:type="dxa"/>
            <w:vMerge w:val="restart"/>
            <w:shd w:val="clear" w:color="auto" w:fill="auto"/>
            <w:vAlign w:val="center"/>
          </w:tcPr>
          <w:p w14:paraId="3B7CA03D">
            <w:pPr>
              <w:jc w:val="center"/>
              <w:rPr>
                <w:rFonts w:ascii="仿宋" w:hAnsi="仿宋" w:eastAsia="仿宋"/>
                <w:color w:val="auto"/>
                <w:sz w:val="20"/>
              </w:rPr>
            </w:pPr>
            <w:r>
              <w:rPr>
                <w:rFonts w:hint="eastAsia" w:ascii="仿宋" w:hAnsi="仿宋" w:eastAsia="仿宋"/>
                <w:color w:val="auto"/>
                <w:sz w:val="20"/>
              </w:rPr>
              <w:t>石景山区</w:t>
            </w:r>
          </w:p>
        </w:tc>
        <w:tc>
          <w:tcPr>
            <w:tcW w:w="2771" w:type="dxa"/>
            <w:shd w:val="clear" w:color="auto" w:fill="auto"/>
            <w:vAlign w:val="center"/>
          </w:tcPr>
          <w:p w14:paraId="1EADF1DA">
            <w:pPr>
              <w:jc w:val="center"/>
              <w:rPr>
                <w:rFonts w:ascii="仿宋" w:hAnsi="仿宋" w:eastAsia="仿宋"/>
                <w:color w:val="auto"/>
                <w:sz w:val="20"/>
              </w:rPr>
            </w:pPr>
            <w:r>
              <w:rPr>
                <w:rFonts w:hint="eastAsia" w:ascii="仿宋" w:hAnsi="仿宋" w:eastAsia="仿宋"/>
                <w:color w:val="auto"/>
                <w:sz w:val="20"/>
              </w:rPr>
              <w:t>政达路</w:t>
            </w:r>
          </w:p>
        </w:tc>
        <w:tc>
          <w:tcPr>
            <w:tcW w:w="2668" w:type="dxa"/>
            <w:shd w:val="clear" w:color="auto" w:fill="auto"/>
            <w:vAlign w:val="center"/>
          </w:tcPr>
          <w:p w14:paraId="132BC599">
            <w:pPr>
              <w:jc w:val="center"/>
              <w:rPr>
                <w:rFonts w:ascii="仿宋" w:hAnsi="仿宋" w:eastAsia="仿宋"/>
                <w:color w:val="auto"/>
                <w:sz w:val="20"/>
              </w:rPr>
            </w:pPr>
            <w:r>
              <w:rPr>
                <w:rFonts w:hint="eastAsia" w:ascii="仿宋" w:hAnsi="仿宋" w:eastAsia="仿宋"/>
                <w:color w:val="auto"/>
                <w:sz w:val="20"/>
              </w:rPr>
              <w:t>鲁谷大街－－银河大街</w:t>
            </w:r>
          </w:p>
        </w:tc>
        <w:tc>
          <w:tcPr>
            <w:tcW w:w="1080" w:type="dxa"/>
            <w:shd w:val="clear" w:color="auto" w:fill="auto"/>
            <w:vAlign w:val="center"/>
          </w:tcPr>
          <w:p w14:paraId="222177CB">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44AF9B20">
            <w:pPr>
              <w:jc w:val="center"/>
              <w:rPr>
                <w:rFonts w:ascii="Arial" w:hAnsi="Arial" w:eastAsia="仿宋_GB2312" w:cs="Arial"/>
                <w:color w:val="auto"/>
                <w:sz w:val="20"/>
              </w:rPr>
            </w:pPr>
            <w:r>
              <w:rPr>
                <w:rFonts w:hint="eastAsia" w:ascii="Arial" w:hAnsi="Arial" w:eastAsia="仿宋_GB2312" w:cs="Arial"/>
                <w:color w:val="auto"/>
                <w:sz w:val="20"/>
              </w:rPr>
              <w:t>15</w:t>
            </w:r>
          </w:p>
        </w:tc>
      </w:tr>
      <w:tr w14:paraId="6329F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59D08FEF">
            <w:pPr>
              <w:jc w:val="center"/>
              <w:rPr>
                <w:rFonts w:ascii="Arial" w:hAnsi="Arial" w:eastAsia="仿宋_GB2312" w:cs="Arial"/>
                <w:color w:val="auto"/>
                <w:sz w:val="20"/>
              </w:rPr>
            </w:pPr>
            <w:r>
              <w:rPr>
                <w:rFonts w:hint="eastAsia" w:ascii="Arial" w:hAnsi="Arial" w:eastAsia="仿宋_GB2312" w:cs="Arial"/>
                <w:color w:val="auto"/>
                <w:sz w:val="20"/>
              </w:rPr>
              <w:t>47</w:t>
            </w:r>
          </w:p>
        </w:tc>
        <w:tc>
          <w:tcPr>
            <w:tcW w:w="1021" w:type="dxa"/>
            <w:vMerge w:val="continue"/>
            <w:vAlign w:val="center"/>
          </w:tcPr>
          <w:p w14:paraId="078ED3A6">
            <w:pPr>
              <w:rPr>
                <w:rFonts w:ascii="仿宋" w:hAnsi="仿宋" w:eastAsia="仿宋"/>
                <w:color w:val="auto"/>
                <w:sz w:val="20"/>
              </w:rPr>
            </w:pPr>
          </w:p>
        </w:tc>
        <w:tc>
          <w:tcPr>
            <w:tcW w:w="2771" w:type="dxa"/>
            <w:shd w:val="clear" w:color="auto" w:fill="auto"/>
            <w:vAlign w:val="center"/>
          </w:tcPr>
          <w:p w14:paraId="5B66E9F0">
            <w:pPr>
              <w:jc w:val="center"/>
              <w:rPr>
                <w:rFonts w:ascii="仿宋" w:hAnsi="仿宋" w:eastAsia="仿宋"/>
                <w:color w:val="auto"/>
                <w:sz w:val="20"/>
              </w:rPr>
            </w:pPr>
            <w:r>
              <w:rPr>
                <w:rFonts w:hint="eastAsia" w:ascii="仿宋" w:hAnsi="仿宋" w:eastAsia="仿宋"/>
                <w:color w:val="auto"/>
                <w:sz w:val="20"/>
              </w:rPr>
              <w:t>北京台湾街</w:t>
            </w:r>
          </w:p>
        </w:tc>
        <w:tc>
          <w:tcPr>
            <w:tcW w:w="2668" w:type="dxa"/>
            <w:shd w:val="clear" w:color="auto" w:fill="auto"/>
            <w:vAlign w:val="center"/>
          </w:tcPr>
          <w:p w14:paraId="70D2E235">
            <w:pPr>
              <w:jc w:val="center"/>
              <w:rPr>
                <w:rFonts w:ascii="仿宋" w:hAnsi="仿宋" w:eastAsia="仿宋"/>
                <w:color w:val="auto"/>
                <w:sz w:val="20"/>
              </w:rPr>
            </w:pPr>
            <w:r>
              <w:rPr>
                <w:rFonts w:hint="eastAsia" w:ascii="仿宋" w:hAnsi="仿宋" w:eastAsia="仿宋"/>
                <w:color w:val="auto"/>
                <w:sz w:val="20"/>
              </w:rPr>
              <w:t>雕塑园中街－－鲁谷东街</w:t>
            </w:r>
          </w:p>
        </w:tc>
        <w:tc>
          <w:tcPr>
            <w:tcW w:w="1080" w:type="dxa"/>
            <w:shd w:val="clear" w:color="auto" w:fill="auto"/>
            <w:vAlign w:val="center"/>
          </w:tcPr>
          <w:p w14:paraId="7BBFF9EA">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1A106B90">
            <w:pPr>
              <w:jc w:val="center"/>
              <w:rPr>
                <w:rFonts w:ascii="Arial" w:hAnsi="Arial" w:eastAsia="仿宋_GB2312" w:cs="Arial"/>
                <w:color w:val="auto"/>
                <w:sz w:val="20"/>
              </w:rPr>
            </w:pPr>
            <w:r>
              <w:rPr>
                <w:rFonts w:hint="eastAsia" w:ascii="Arial" w:hAnsi="Arial" w:eastAsia="仿宋_GB2312" w:cs="Arial"/>
                <w:color w:val="auto"/>
                <w:sz w:val="20"/>
              </w:rPr>
              <w:t>15</w:t>
            </w:r>
          </w:p>
        </w:tc>
      </w:tr>
      <w:tr w14:paraId="1894A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36A32036">
            <w:pPr>
              <w:jc w:val="center"/>
              <w:rPr>
                <w:rFonts w:ascii="Arial" w:hAnsi="Arial" w:eastAsia="仿宋_GB2312" w:cs="Arial"/>
                <w:color w:val="auto"/>
                <w:sz w:val="20"/>
              </w:rPr>
            </w:pPr>
            <w:r>
              <w:rPr>
                <w:rFonts w:hint="eastAsia" w:ascii="Arial" w:hAnsi="Arial" w:eastAsia="仿宋_GB2312" w:cs="Arial"/>
                <w:color w:val="auto"/>
                <w:sz w:val="20"/>
              </w:rPr>
              <w:t>48</w:t>
            </w:r>
          </w:p>
        </w:tc>
        <w:tc>
          <w:tcPr>
            <w:tcW w:w="1021" w:type="dxa"/>
            <w:vMerge w:val="restart"/>
            <w:shd w:val="clear" w:color="auto" w:fill="auto"/>
            <w:vAlign w:val="center"/>
          </w:tcPr>
          <w:p w14:paraId="792CDD96">
            <w:pPr>
              <w:jc w:val="center"/>
              <w:rPr>
                <w:rFonts w:ascii="仿宋" w:hAnsi="仿宋" w:eastAsia="仿宋"/>
                <w:color w:val="auto"/>
                <w:sz w:val="20"/>
              </w:rPr>
            </w:pPr>
            <w:r>
              <w:rPr>
                <w:rFonts w:hint="eastAsia" w:ascii="仿宋" w:hAnsi="仿宋" w:eastAsia="仿宋"/>
                <w:color w:val="auto"/>
                <w:sz w:val="20"/>
              </w:rPr>
              <w:t>门头沟区</w:t>
            </w:r>
          </w:p>
        </w:tc>
        <w:tc>
          <w:tcPr>
            <w:tcW w:w="2771" w:type="dxa"/>
            <w:shd w:val="clear" w:color="auto" w:fill="auto"/>
            <w:vAlign w:val="center"/>
          </w:tcPr>
          <w:p w14:paraId="3A5B5130">
            <w:pPr>
              <w:jc w:val="center"/>
              <w:rPr>
                <w:rFonts w:ascii="仿宋" w:hAnsi="仿宋" w:eastAsia="仿宋"/>
                <w:color w:val="auto"/>
                <w:sz w:val="20"/>
              </w:rPr>
            </w:pPr>
            <w:r>
              <w:rPr>
                <w:rFonts w:hint="eastAsia" w:ascii="仿宋" w:hAnsi="仿宋" w:eastAsia="仿宋"/>
                <w:color w:val="auto"/>
                <w:sz w:val="20"/>
              </w:rPr>
              <w:t>新桥大街</w:t>
            </w:r>
          </w:p>
        </w:tc>
        <w:tc>
          <w:tcPr>
            <w:tcW w:w="2668" w:type="dxa"/>
            <w:shd w:val="clear" w:color="auto" w:fill="auto"/>
            <w:vAlign w:val="center"/>
          </w:tcPr>
          <w:p w14:paraId="5999FB0A">
            <w:pPr>
              <w:jc w:val="center"/>
              <w:rPr>
                <w:rFonts w:ascii="仿宋" w:hAnsi="仿宋" w:eastAsia="仿宋"/>
                <w:color w:val="auto"/>
                <w:sz w:val="20"/>
              </w:rPr>
            </w:pPr>
            <w:r>
              <w:rPr>
                <w:rFonts w:hint="eastAsia" w:ascii="仿宋" w:hAnsi="仿宋" w:eastAsia="仿宋"/>
                <w:color w:val="auto"/>
                <w:sz w:val="20"/>
              </w:rPr>
              <w:t>门头沟路－－双峪路</w:t>
            </w:r>
          </w:p>
        </w:tc>
        <w:tc>
          <w:tcPr>
            <w:tcW w:w="1080" w:type="dxa"/>
            <w:shd w:val="clear" w:color="auto" w:fill="auto"/>
            <w:vAlign w:val="center"/>
          </w:tcPr>
          <w:p w14:paraId="4870D668">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4EE42E5A">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C984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8F1F83C">
            <w:pPr>
              <w:jc w:val="center"/>
              <w:rPr>
                <w:rFonts w:ascii="Arial" w:hAnsi="Arial" w:eastAsia="仿宋_GB2312" w:cs="Arial"/>
                <w:color w:val="auto"/>
                <w:sz w:val="20"/>
              </w:rPr>
            </w:pPr>
            <w:r>
              <w:rPr>
                <w:rFonts w:hint="eastAsia" w:ascii="Arial" w:hAnsi="Arial" w:eastAsia="仿宋_GB2312" w:cs="Arial"/>
                <w:color w:val="auto"/>
                <w:sz w:val="20"/>
              </w:rPr>
              <w:t>49</w:t>
            </w:r>
          </w:p>
        </w:tc>
        <w:tc>
          <w:tcPr>
            <w:tcW w:w="1021" w:type="dxa"/>
            <w:vMerge w:val="continue"/>
            <w:vAlign w:val="center"/>
          </w:tcPr>
          <w:p w14:paraId="72127A2C">
            <w:pPr>
              <w:rPr>
                <w:rFonts w:ascii="仿宋" w:hAnsi="仿宋" w:eastAsia="仿宋"/>
                <w:color w:val="auto"/>
                <w:sz w:val="20"/>
              </w:rPr>
            </w:pPr>
          </w:p>
        </w:tc>
        <w:tc>
          <w:tcPr>
            <w:tcW w:w="2771" w:type="dxa"/>
            <w:shd w:val="clear" w:color="auto" w:fill="auto"/>
            <w:vAlign w:val="center"/>
          </w:tcPr>
          <w:p w14:paraId="2BAD6251">
            <w:pPr>
              <w:jc w:val="center"/>
              <w:rPr>
                <w:rFonts w:ascii="仿宋" w:hAnsi="仿宋" w:eastAsia="仿宋"/>
                <w:color w:val="auto"/>
                <w:sz w:val="20"/>
              </w:rPr>
            </w:pPr>
            <w:r>
              <w:rPr>
                <w:rFonts w:hint="eastAsia" w:ascii="仿宋" w:hAnsi="仿宋" w:eastAsia="仿宋"/>
                <w:color w:val="auto"/>
                <w:sz w:val="20"/>
              </w:rPr>
              <w:t>金安路</w:t>
            </w:r>
          </w:p>
        </w:tc>
        <w:tc>
          <w:tcPr>
            <w:tcW w:w="2668" w:type="dxa"/>
            <w:shd w:val="clear" w:color="auto" w:fill="auto"/>
            <w:vAlign w:val="center"/>
          </w:tcPr>
          <w:p w14:paraId="5D341BE0">
            <w:pPr>
              <w:jc w:val="center"/>
              <w:rPr>
                <w:rFonts w:ascii="仿宋" w:hAnsi="仿宋" w:eastAsia="仿宋"/>
                <w:color w:val="auto"/>
                <w:sz w:val="20"/>
              </w:rPr>
            </w:pPr>
            <w:r>
              <w:rPr>
                <w:rFonts w:hint="eastAsia" w:ascii="仿宋" w:hAnsi="仿宋" w:eastAsia="仿宋"/>
                <w:color w:val="auto"/>
                <w:sz w:val="20"/>
              </w:rPr>
              <w:t>西六环－－石担路</w:t>
            </w:r>
          </w:p>
        </w:tc>
        <w:tc>
          <w:tcPr>
            <w:tcW w:w="1080" w:type="dxa"/>
            <w:shd w:val="clear" w:color="auto" w:fill="auto"/>
            <w:vAlign w:val="center"/>
          </w:tcPr>
          <w:p w14:paraId="68CDCFBE">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7550C9A2">
            <w:pPr>
              <w:jc w:val="center"/>
              <w:rPr>
                <w:rFonts w:ascii="Arial" w:hAnsi="Arial" w:eastAsia="仿宋_GB2312" w:cs="Arial"/>
                <w:color w:val="auto"/>
                <w:sz w:val="20"/>
              </w:rPr>
            </w:pPr>
            <w:r>
              <w:rPr>
                <w:rFonts w:hint="eastAsia" w:ascii="Arial" w:hAnsi="Arial" w:eastAsia="仿宋_GB2312" w:cs="Arial"/>
                <w:color w:val="auto"/>
                <w:sz w:val="20"/>
              </w:rPr>
              <w:t>15</w:t>
            </w:r>
          </w:p>
        </w:tc>
      </w:tr>
      <w:tr w14:paraId="290AE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1F4BA22D">
            <w:pPr>
              <w:jc w:val="center"/>
              <w:rPr>
                <w:rFonts w:ascii="Arial" w:hAnsi="Arial" w:eastAsia="仿宋_GB2312" w:cs="Arial"/>
                <w:color w:val="auto"/>
                <w:sz w:val="20"/>
              </w:rPr>
            </w:pPr>
            <w:r>
              <w:rPr>
                <w:rFonts w:hint="eastAsia" w:ascii="Arial" w:hAnsi="Arial" w:eastAsia="仿宋_GB2312" w:cs="Arial"/>
                <w:color w:val="auto"/>
                <w:sz w:val="20"/>
              </w:rPr>
              <w:t>50</w:t>
            </w:r>
          </w:p>
        </w:tc>
        <w:tc>
          <w:tcPr>
            <w:tcW w:w="1021" w:type="dxa"/>
            <w:vMerge w:val="restart"/>
            <w:shd w:val="clear" w:color="auto" w:fill="auto"/>
            <w:vAlign w:val="center"/>
          </w:tcPr>
          <w:p w14:paraId="4505D2BC">
            <w:pPr>
              <w:jc w:val="center"/>
              <w:rPr>
                <w:rFonts w:ascii="仿宋" w:hAnsi="仿宋" w:eastAsia="仿宋"/>
                <w:color w:val="auto"/>
                <w:sz w:val="20"/>
              </w:rPr>
            </w:pPr>
            <w:r>
              <w:rPr>
                <w:rFonts w:hint="eastAsia" w:ascii="仿宋" w:hAnsi="仿宋" w:eastAsia="仿宋"/>
                <w:color w:val="auto"/>
                <w:sz w:val="20"/>
              </w:rPr>
              <w:t>房山区</w:t>
            </w:r>
          </w:p>
        </w:tc>
        <w:tc>
          <w:tcPr>
            <w:tcW w:w="2771" w:type="dxa"/>
            <w:shd w:val="clear" w:color="auto" w:fill="auto"/>
            <w:vAlign w:val="center"/>
          </w:tcPr>
          <w:p w14:paraId="70627074">
            <w:pPr>
              <w:jc w:val="center"/>
              <w:rPr>
                <w:rFonts w:ascii="仿宋" w:hAnsi="仿宋" w:eastAsia="仿宋"/>
                <w:color w:val="auto"/>
                <w:sz w:val="20"/>
              </w:rPr>
            </w:pPr>
            <w:r>
              <w:rPr>
                <w:rFonts w:hint="eastAsia" w:ascii="仿宋" w:hAnsi="仿宋" w:eastAsia="仿宋"/>
                <w:color w:val="auto"/>
                <w:sz w:val="20"/>
              </w:rPr>
              <w:t>南关大街</w:t>
            </w:r>
          </w:p>
        </w:tc>
        <w:tc>
          <w:tcPr>
            <w:tcW w:w="2668" w:type="dxa"/>
            <w:shd w:val="clear" w:color="auto" w:fill="auto"/>
            <w:vAlign w:val="center"/>
          </w:tcPr>
          <w:p w14:paraId="741BC073">
            <w:pPr>
              <w:jc w:val="center"/>
              <w:rPr>
                <w:rFonts w:ascii="仿宋" w:hAnsi="仿宋" w:eastAsia="仿宋"/>
                <w:color w:val="auto"/>
                <w:sz w:val="20"/>
              </w:rPr>
            </w:pPr>
            <w:r>
              <w:rPr>
                <w:rFonts w:hint="eastAsia" w:ascii="仿宋" w:hAnsi="仿宋" w:eastAsia="仿宋"/>
                <w:color w:val="auto"/>
                <w:sz w:val="20"/>
              </w:rPr>
              <w:t>房山东大街－－南关立交桥</w:t>
            </w:r>
          </w:p>
        </w:tc>
        <w:tc>
          <w:tcPr>
            <w:tcW w:w="1080" w:type="dxa"/>
            <w:shd w:val="clear" w:color="auto" w:fill="auto"/>
            <w:vAlign w:val="center"/>
          </w:tcPr>
          <w:p w14:paraId="7DA96CD4">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071A60A5">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0D16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13B57995">
            <w:pPr>
              <w:jc w:val="center"/>
              <w:rPr>
                <w:rFonts w:ascii="Arial" w:hAnsi="Arial" w:eastAsia="仿宋_GB2312" w:cs="Arial"/>
                <w:color w:val="auto"/>
                <w:sz w:val="20"/>
              </w:rPr>
            </w:pPr>
            <w:r>
              <w:rPr>
                <w:rFonts w:hint="eastAsia" w:ascii="Arial" w:hAnsi="Arial" w:eastAsia="仿宋_GB2312" w:cs="Arial"/>
                <w:color w:val="auto"/>
                <w:sz w:val="20"/>
              </w:rPr>
              <w:t>51</w:t>
            </w:r>
          </w:p>
        </w:tc>
        <w:tc>
          <w:tcPr>
            <w:tcW w:w="1021" w:type="dxa"/>
            <w:vMerge w:val="continue"/>
            <w:vAlign w:val="center"/>
          </w:tcPr>
          <w:p w14:paraId="5E41466E">
            <w:pPr>
              <w:rPr>
                <w:rFonts w:ascii="仿宋" w:hAnsi="仿宋" w:eastAsia="仿宋"/>
                <w:color w:val="auto"/>
                <w:sz w:val="20"/>
              </w:rPr>
            </w:pPr>
          </w:p>
        </w:tc>
        <w:tc>
          <w:tcPr>
            <w:tcW w:w="2771" w:type="dxa"/>
            <w:shd w:val="clear" w:color="auto" w:fill="auto"/>
            <w:vAlign w:val="center"/>
          </w:tcPr>
          <w:p w14:paraId="14D49D9F">
            <w:pPr>
              <w:jc w:val="center"/>
              <w:rPr>
                <w:rFonts w:ascii="仿宋" w:hAnsi="仿宋" w:eastAsia="仿宋"/>
                <w:color w:val="auto"/>
                <w:sz w:val="20"/>
              </w:rPr>
            </w:pPr>
            <w:r>
              <w:rPr>
                <w:rFonts w:hint="eastAsia" w:ascii="仿宋" w:hAnsi="仿宋" w:eastAsia="仿宋"/>
                <w:color w:val="auto"/>
                <w:sz w:val="20"/>
              </w:rPr>
              <w:t>拱辰大街</w:t>
            </w:r>
          </w:p>
        </w:tc>
        <w:tc>
          <w:tcPr>
            <w:tcW w:w="2668" w:type="dxa"/>
            <w:shd w:val="clear" w:color="auto" w:fill="auto"/>
            <w:vAlign w:val="center"/>
          </w:tcPr>
          <w:p w14:paraId="2EAB3585">
            <w:pPr>
              <w:jc w:val="center"/>
              <w:rPr>
                <w:rFonts w:ascii="仿宋" w:hAnsi="仿宋" w:eastAsia="仿宋"/>
                <w:color w:val="auto"/>
                <w:sz w:val="20"/>
              </w:rPr>
            </w:pPr>
            <w:r>
              <w:rPr>
                <w:rFonts w:hint="eastAsia" w:ascii="仿宋" w:hAnsi="仿宋" w:eastAsia="仿宋"/>
                <w:color w:val="auto"/>
                <w:sz w:val="20"/>
              </w:rPr>
              <w:t>良乡中路－－月华大街</w:t>
            </w:r>
          </w:p>
        </w:tc>
        <w:tc>
          <w:tcPr>
            <w:tcW w:w="1080" w:type="dxa"/>
            <w:shd w:val="clear" w:color="auto" w:fill="auto"/>
            <w:vAlign w:val="center"/>
          </w:tcPr>
          <w:p w14:paraId="6A7A6222">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450F11D6">
            <w:pPr>
              <w:jc w:val="center"/>
              <w:rPr>
                <w:rFonts w:ascii="Arial" w:hAnsi="Arial" w:eastAsia="仿宋_GB2312" w:cs="Arial"/>
                <w:color w:val="auto"/>
                <w:sz w:val="20"/>
              </w:rPr>
            </w:pPr>
            <w:r>
              <w:rPr>
                <w:rFonts w:hint="eastAsia" w:ascii="Arial" w:hAnsi="Arial" w:eastAsia="仿宋_GB2312" w:cs="Arial"/>
                <w:color w:val="auto"/>
                <w:sz w:val="20"/>
              </w:rPr>
              <w:t>15</w:t>
            </w:r>
          </w:p>
        </w:tc>
      </w:tr>
      <w:tr w14:paraId="43F9C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6484C6BC">
            <w:pPr>
              <w:jc w:val="center"/>
              <w:rPr>
                <w:rFonts w:ascii="Arial" w:hAnsi="Arial" w:eastAsia="仿宋_GB2312" w:cs="Arial"/>
                <w:color w:val="auto"/>
                <w:sz w:val="20"/>
              </w:rPr>
            </w:pPr>
            <w:r>
              <w:rPr>
                <w:rFonts w:hint="eastAsia" w:ascii="Arial" w:hAnsi="Arial" w:eastAsia="仿宋_GB2312" w:cs="Arial"/>
                <w:color w:val="auto"/>
                <w:sz w:val="20"/>
              </w:rPr>
              <w:t>52</w:t>
            </w:r>
          </w:p>
        </w:tc>
        <w:tc>
          <w:tcPr>
            <w:tcW w:w="1021" w:type="dxa"/>
            <w:vMerge w:val="restart"/>
            <w:shd w:val="clear" w:color="auto" w:fill="auto"/>
            <w:vAlign w:val="center"/>
          </w:tcPr>
          <w:p w14:paraId="2718B247">
            <w:pPr>
              <w:jc w:val="center"/>
              <w:rPr>
                <w:rFonts w:ascii="仿宋" w:hAnsi="仿宋" w:eastAsia="仿宋"/>
                <w:color w:val="auto"/>
                <w:sz w:val="20"/>
              </w:rPr>
            </w:pPr>
            <w:r>
              <w:rPr>
                <w:rFonts w:hint="eastAsia" w:ascii="仿宋" w:hAnsi="仿宋" w:eastAsia="仿宋"/>
                <w:color w:val="auto"/>
                <w:sz w:val="20"/>
              </w:rPr>
              <w:t>通州区</w:t>
            </w:r>
          </w:p>
        </w:tc>
        <w:tc>
          <w:tcPr>
            <w:tcW w:w="2771" w:type="dxa"/>
            <w:shd w:val="clear" w:color="auto" w:fill="auto"/>
            <w:vAlign w:val="center"/>
          </w:tcPr>
          <w:p w14:paraId="47106E5E">
            <w:pPr>
              <w:jc w:val="center"/>
              <w:rPr>
                <w:rFonts w:ascii="仿宋" w:hAnsi="仿宋" w:eastAsia="仿宋"/>
                <w:color w:val="auto"/>
                <w:sz w:val="20"/>
              </w:rPr>
            </w:pPr>
            <w:r>
              <w:rPr>
                <w:rFonts w:hint="eastAsia" w:ascii="仿宋" w:hAnsi="仿宋" w:eastAsia="仿宋"/>
                <w:color w:val="auto"/>
                <w:sz w:val="20"/>
              </w:rPr>
              <w:t>新华大街</w:t>
            </w:r>
          </w:p>
        </w:tc>
        <w:tc>
          <w:tcPr>
            <w:tcW w:w="2668" w:type="dxa"/>
            <w:shd w:val="clear" w:color="auto" w:fill="auto"/>
            <w:vAlign w:val="center"/>
          </w:tcPr>
          <w:p w14:paraId="6E07C9CA">
            <w:pPr>
              <w:jc w:val="center"/>
              <w:rPr>
                <w:rFonts w:ascii="仿宋" w:hAnsi="仿宋" w:eastAsia="仿宋"/>
                <w:color w:val="auto"/>
                <w:sz w:val="20"/>
              </w:rPr>
            </w:pPr>
            <w:r>
              <w:rPr>
                <w:rFonts w:hint="eastAsia" w:ascii="仿宋" w:hAnsi="仿宋" w:eastAsia="仿宋"/>
                <w:color w:val="auto"/>
                <w:sz w:val="20"/>
              </w:rPr>
              <w:t>北苑南路－－滨河中路</w:t>
            </w:r>
          </w:p>
        </w:tc>
        <w:tc>
          <w:tcPr>
            <w:tcW w:w="1080" w:type="dxa"/>
            <w:shd w:val="clear" w:color="auto" w:fill="auto"/>
            <w:vAlign w:val="center"/>
          </w:tcPr>
          <w:p w14:paraId="4DE3CCB3">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7719130B">
            <w:pPr>
              <w:jc w:val="center"/>
              <w:rPr>
                <w:rFonts w:ascii="Arial" w:hAnsi="Arial" w:eastAsia="仿宋_GB2312" w:cs="Arial"/>
                <w:color w:val="auto"/>
                <w:sz w:val="20"/>
              </w:rPr>
            </w:pPr>
            <w:r>
              <w:rPr>
                <w:rFonts w:hint="eastAsia" w:ascii="Arial" w:hAnsi="Arial" w:eastAsia="仿宋_GB2312" w:cs="Arial"/>
                <w:color w:val="auto"/>
                <w:sz w:val="20"/>
              </w:rPr>
              <w:t>15</w:t>
            </w:r>
          </w:p>
        </w:tc>
      </w:tr>
      <w:tr w14:paraId="1601E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1B708B3E">
            <w:pPr>
              <w:jc w:val="center"/>
              <w:rPr>
                <w:rFonts w:ascii="Arial" w:hAnsi="Arial" w:eastAsia="仿宋_GB2312" w:cs="Arial"/>
                <w:color w:val="auto"/>
                <w:sz w:val="20"/>
              </w:rPr>
            </w:pPr>
            <w:r>
              <w:rPr>
                <w:rFonts w:hint="eastAsia" w:ascii="Arial" w:hAnsi="Arial" w:eastAsia="仿宋_GB2312" w:cs="Arial"/>
                <w:color w:val="auto"/>
                <w:sz w:val="20"/>
              </w:rPr>
              <w:t>53</w:t>
            </w:r>
          </w:p>
        </w:tc>
        <w:tc>
          <w:tcPr>
            <w:tcW w:w="1021" w:type="dxa"/>
            <w:vMerge w:val="continue"/>
            <w:vAlign w:val="center"/>
          </w:tcPr>
          <w:p w14:paraId="12AE2337">
            <w:pPr>
              <w:rPr>
                <w:rFonts w:ascii="仿宋" w:hAnsi="仿宋" w:eastAsia="仿宋"/>
                <w:color w:val="auto"/>
                <w:sz w:val="20"/>
              </w:rPr>
            </w:pPr>
          </w:p>
        </w:tc>
        <w:tc>
          <w:tcPr>
            <w:tcW w:w="2771" w:type="dxa"/>
            <w:shd w:val="clear" w:color="auto" w:fill="auto"/>
            <w:vAlign w:val="center"/>
          </w:tcPr>
          <w:p w14:paraId="486C9656">
            <w:pPr>
              <w:jc w:val="center"/>
              <w:rPr>
                <w:rFonts w:ascii="仿宋" w:hAnsi="仿宋" w:eastAsia="仿宋"/>
                <w:color w:val="auto"/>
                <w:sz w:val="20"/>
              </w:rPr>
            </w:pPr>
            <w:r>
              <w:rPr>
                <w:rFonts w:hint="eastAsia" w:ascii="仿宋" w:hAnsi="仿宋" w:eastAsia="仿宋"/>
                <w:color w:val="auto"/>
                <w:sz w:val="20"/>
              </w:rPr>
              <w:t>云景东路</w:t>
            </w:r>
          </w:p>
        </w:tc>
        <w:tc>
          <w:tcPr>
            <w:tcW w:w="2668" w:type="dxa"/>
            <w:shd w:val="clear" w:color="auto" w:fill="auto"/>
            <w:vAlign w:val="center"/>
          </w:tcPr>
          <w:p w14:paraId="64E548EA">
            <w:pPr>
              <w:jc w:val="center"/>
              <w:rPr>
                <w:rFonts w:ascii="仿宋" w:hAnsi="仿宋" w:eastAsia="仿宋"/>
                <w:color w:val="auto"/>
                <w:sz w:val="20"/>
              </w:rPr>
            </w:pPr>
            <w:r>
              <w:rPr>
                <w:rFonts w:hint="eastAsia" w:ascii="仿宋" w:hAnsi="仿宋" w:eastAsia="仿宋"/>
                <w:color w:val="auto"/>
                <w:sz w:val="20"/>
              </w:rPr>
              <w:t>地铁八通线－－云景南大街</w:t>
            </w:r>
          </w:p>
        </w:tc>
        <w:tc>
          <w:tcPr>
            <w:tcW w:w="1080" w:type="dxa"/>
            <w:shd w:val="clear" w:color="auto" w:fill="auto"/>
            <w:vAlign w:val="center"/>
          </w:tcPr>
          <w:p w14:paraId="247F739E">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7C06273E">
            <w:pPr>
              <w:jc w:val="center"/>
              <w:rPr>
                <w:rFonts w:ascii="Arial" w:hAnsi="Arial" w:eastAsia="仿宋_GB2312" w:cs="Arial"/>
                <w:color w:val="auto"/>
                <w:sz w:val="20"/>
              </w:rPr>
            </w:pPr>
            <w:r>
              <w:rPr>
                <w:rFonts w:hint="eastAsia" w:ascii="Arial" w:hAnsi="Arial" w:eastAsia="仿宋_GB2312" w:cs="Arial"/>
                <w:color w:val="auto"/>
                <w:sz w:val="20"/>
              </w:rPr>
              <w:t>15</w:t>
            </w:r>
          </w:p>
        </w:tc>
      </w:tr>
      <w:tr w14:paraId="1126C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4ED2BE51">
            <w:pPr>
              <w:jc w:val="center"/>
              <w:rPr>
                <w:rFonts w:ascii="Arial" w:hAnsi="Arial" w:eastAsia="仿宋_GB2312" w:cs="Arial"/>
                <w:color w:val="auto"/>
                <w:sz w:val="20"/>
              </w:rPr>
            </w:pPr>
            <w:r>
              <w:rPr>
                <w:rFonts w:hint="eastAsia" w:ascii="Arial" w:hAnsi="Arial" w:eastAsia="仿宋_GB2312" w:cs="Arial"/>
                <w:color w:val="auto"/>
                <w:sz w:val="20"/>
              </w:rPr>
              <w:t>54</w:t>
            </w:r>
          </w:p>
        </w:tc>
        <w:tc>
          <w:tcPr>
            <w:tcW w:w="1021" w:type="dxa"/>
            <w:shd w:val="clear" w:color="auto" w:fill="auto"/>
            <w:vAlign w:val="center"/>
          </w:tcPr>
          <w:p w14:paraId="2EFA6491">
            <w:pPr>
              <w:jc w:val="center"/>
              <w:rPr>
                <w:rFonts w:ascii="仿宋" w:hAnsi="仿宋" w:eastAsia="仿宋"/>
                <w:color w:val="auto"/>
                <w:sz w:val="20"/>
              </w:rPr>
            </w:pPr>
            <w:r>
              <w:rPr>
                <w:rFonts w:hint="eastAsia" w:ascii="仿宋" w:hAnsi="仿宋" w:eastAsia="仿宋"/>
                <w:color w:val="auto"/>
                <w:sz w:val="20"/>
              </w:rPr>
              <w:t>顺义区</w:t>
            </w:r>
          </w:p>
        </w:tc>
        <w:tc>
          <w:tcPr>
            <w:tcW w:w="2771" w:type="dxa"/>
            <w:shd w:val="clear" w:color="auto" w:fill="auto"/>
            <w:vAlign w:val="center"/>
          </w:tcPr>
          <w:p w14:paraId="5EE59852">
            <w:pPr>
              <w:jc w:val="center"/>
              <w:rPr>
                <w:rFonts w:ascii="仿宋" w:hAnsi="仿宋" w:eastAsia="仿宋"/>
                <w:color w:val="auto"/>
                <w:sz w:val="20"/>
              </w:rPr>
            </w:pPr>
            <w:r>
              <w:rPr>
                <w:rFonts w:hint="eastAsia" w:ascii="仿宋" w:hAnsi="仿宋" w:eastAsia="仿宋"/>
                <w:color w:val="auto"/>
                <w:sz w:val="20"/>
              </w:rPr>
              <w:t>新顺大街</w:t>
            </w:r>
          </w:p>
        </w:tc>
        <w:tc>
          <w:tcPr>
            <w:tcW w:w="2668" w:type="dxa"/>
            <w:shd w:val="clear" w:color="auto" w:fill="auto"/>
            <w:vAlign w:val="center"/>
          </w:tcPr>
          <w:p w14:paraId="208BFC11">
            <w:pPr>
              <w:jc w:val="center"/>
              <w:rPr>
                <w:rFonts w:ascii="仿宋" w:hAnsi="仿宋" w:eastAsia="仿宋"/>
                <w:color w:val="auto"/>
                <w:sz w:val="20"/>
              </w:rPr>
            </w:pPr>
            <w:r>
              <w:rPr>
                <w:rFonts w:hint="eastAsia" w:ascii="仿宋" w:hAnsi="仿宋" w:eastAsia="仿宋"/>
                <w:color w:val="auto"/>
                <w:sz w:val="20"/>
              </w:rPr>
              <w:t>幸福西街－－站前街</w:t>
            </w:r>
          </w:p>
        </w:tc>
        <w:tc>
          <w:tcPr>
            <w:tcW w:w="1080" w:type="dxa"/>
            <w:shd w:val="clear" w:color="auto" w:fill="auto"/>
            <w:vAlign w:val="center"/>
          </w:tcPr>
          <w:p w14:paraId="030FC559">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2C0D2775">
            <w:pPr>
              <w:jc w:val="center"/>
              <w:rPr>
                <w:rFonts w:ascii="Arial" w:hAnsi="Arial" w:eastAsia="仿宋_GB2312" w:cs="Arial"/>
                <w:color w:val="auto"/>
                <w:sz w:val="20"/>
              </w:rPr>
            </w:pPr>
            <w:r>
              <w:rPr>
                <w:rFonts w:hint="eastAsia" w:ascii="Arial" w:hAnsi="Arial" w:eastAsia="仿宋_GB2312" w:cs="Arial"/>
                <w:color w:val="auto"/>
                <w:sz w:val="20"/>
              </w:rPr>
              <w:t>15</w:t>
            </w:r>
          </w:p>
        </w:tc>
      </w:tr>
      <w:tr w14:paraId="6BFA0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67375342">
            <w:pPr>
              <w:jc w:val="center"/>
              <w:rPr>
                <w:rFonts w:ascii="Arial" w:hAnsi="Arial" w:eastAsia="仿宋_GB2312" w:cs="Arial"/>
                <w:color w:val="auto"/>
                <w:sz w:val="20"/>
              </w:rPr>
            </w:pPr>
            <w:r>
              <w:rPr>
                <w:rFonts w:hint="eastAsia" w:ascii="Arial" w:hAnsi="Arial" w:eastAsia="仿宋_GB2312" w:cs="Arial"/>
                <w:color w:val="auto"/>
                <w:sz w:val="20"/>
              </w:rPr>
              <w:t>55</w:t>
            </w:r>
          </w:p>
        </w:tc>
        <w:tc>
          <w:tcPr>
            <w:tcW w:w="1021" w:type="dxa"/>
            <w:vMerge w:val="restart"/>
            <w:shd w:val="clear" w:color="auto" w:fill="auto"/>
            <w:vAlign w:val="center"/>
          </w:tcPr>
          <w:p w14:paraId="5692B62E">
            <w:pPr>
              <w:jc w:val="center"/>
              <w:rPr>
                <w:rFonts w:ascii="仿宋" w:hAnsi="仿宋" w:eastAsia="仿宋"/>
                <w:color w:val="auto"/>
                <w:sz w:val="20"/>
              </w:rPr>
            </w:pPr>
            <w:r>
              <w:rPr>
                <w:rFonts w:hint="eastAsia" w:ascii="仿宋" w:hAnsi="仿宋" w:eastAsia="仿宋"/>
                <w:color w:val="auto"/>
                <w:sz w:val="20"/>
              </w:rPr>
              <w:t>昌平区</w:t>
            </w:r>
          </w:p>
        </w:tc>
        <w:tc>
          <w:tcPr>
            <w:tcW w:w="2771" w:type="dxa"/>
            <w:shd w:val="clear" w:color="auto" w:fill="auto"/>
            <w:vAlign w:val="center"/>
          </w:tcPr>
          <w:p w14:paraId="77247F6D">
            <w:pPr>
              <w:jc w:val="center"/>
              <w:rPr>
                <w:rFonts w:ascii="仿宋" w:hAnsi="仿宋" w:eastAsia="仿宋"/>
                <w:color w:val="auto"/>
                <w:sz w:val="20"/>
              </w:rPr>
            </w:pPr>
            <w:r>
              <w:rPr>
                <w:rFonts w:hint="eastAsia" w:ascii="仿宋" w:hAnsi="仿宋" w:eastAsia="仿宋"/>
                <w:color w:val="auto"/>
                <w:sz w:val="20"/>
              </w:rPr>
              <w:t>鼓楼东、西街</w:t>
            </w:r>
          </w:p>
        </w:tc>
        <w:tc>
          <w:tcPr>
            <w:tcW w:w="2668" w:type="dxa"/>
            <w:shd w:val="clear" w:color="auto" w:fill="auto"/>
            <w:vAlign w:val="center"/>
          </w:tcPr>
          <w:p w14:paraId="0F77991C">
            <w:pPr>
              <w:jc w:val="center"/>
              <w:rPr>
                <w:rFonts w:ascii="仿宋" w:hAnsi="仿宋" w:eastAsia="仿宋"/>
                <w:color w:val="auto"/>
                <w:sz w:val="20"/>
              </w:rPr>
            </w:pPr>
            <w:r>
              <w:rPr>
                <w:rFonts w:hint="eastAsia" w:ascii="仿宋" w:hAnsi="仿宋" w:eastAsia="仿宋"/>
                <w:color w:val="auto"/>
                <w:sz w:val="20"/>
              </w:rPr>
              <w:t>东环路－－西环路</w:t>
            </w:r>
          </w:p>
        </w:tc>
        <w:tc>
          <w:tcPr>
            <w:tcW w:w="1080" w:type="dxa"/>
            <w:shd w:val="clear" w:color="auto" w:fill="auto"/>
            <w:vAlign w:val="center"/>
          </w:tcPr>
          <w:p w14:paraId="5FBA2872">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7F07C9ED">
            <w:pPr>
              <w:jc w:val="center"/>
              <w:rPr>
                <w:rFonts w:ascii="Arial" w:hAnsi="Arial" w:eastAsia="仿宋_GB2312" w:cs="Arial"/>
                <w:color w:val="auto"/>
                <w:sz w:val="20"/>
              </w:rPr>
            </w:pPr>
            <w:r>
              <w:rPr>
                <w:rFonts w:hint="eastAsia" w:ascii="Arial" w:hAnsi="Arial" w:eastAsia="仿宋_GB2312" w:cs="Arial"/>
                <w:color w:val="auto"/>
                <w:sz w:val="20"/>
              </w:rPr>
              <w:t>15</w:t>
            </w:r>
          </w:p>
        </w:tc>
      </w:tr>
      <w:tr w14:paraId="0E0D1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5035BCBD">
            <w:pPr>
              <w:jc w:val="center"/>
              <w:rPr>
                <w:rFonts w:ascii="Arial" w:hAnsi="Arial" w:eastAsia="仿宋_GB2312" w:cs="Arial"/>
                <w:color w:val="auto"/>
                <w:sz w:val="20"/>
              </w:rPr>
            </w:pPr>
            <w:r>
              <w:rPr>
                <w:rFonts w:hint="eastAsia" w:ascii="Arial" w:hAnsi="Arial" w:eastAsia="仿宋_GB2312" w:cs="Arial"/>
                <w:color w:val="auto"/>
                <w:sz w:val="20"/>
              </w:rPr>
              <w:t>56</w:t>
            </w:r>
          </w:p>
        </w:tc>
        <w:tc>
          <w:tcPr>
            <w:tcW w:w="1021" w:type="dxa"/>
            <w:vMerge w:val="continue"/>
            <w:shd w:val="clear" w:color="auto" w:fill="auto"/>
            <w:vAlign w:val="center"/>
          </w:tcPr>
          <w:p w14:paraId="3B08E922">
            <w:pPr>
              <w:rPr>
                <w:rFonts w:ascii="仿宋" w:hAnsi="仿宋" w:eastAsia="仿宋"/>
                <w:color w:val="auto"/>
                <w:sz w:val="20"/>
              </w:rPr>
            </w:pPr>
          </w:p>
        </w:tc>
        <w:tc>
          <w:tcPr>
            <w:tcW w:w="2771" w:type="dxa"/>
            <w:shd w:val="clear" w:color="auto" w:fill="auto"/>
            <w:vAlign w:val="center"/>
          </w:tcPr>
          <w:p w14:paraId="6D9B4562">
            <w:pPr>
              <w:jc w:val="center"/>
              <w:rPr>
                <w:rFonts w:ascii="仿宋" w:hAnsi="仿宋" w:eastAsia="仿宋"/>
                <w:color w:val="auto"/>
                <w:sz w:val="20"/>
              </w:rPr>
            </w:pPr>
            <w:r>
              <w:rPr>
                <w:rFonts w:hint="eastAsia" w:ascii="仿宋" w:hAnsi="仿宋" w:eastAsia="仿宋"/>
                <w:color w:val="auto"/>
                <w:sz w:val="20"/>
              </w:rPr>
              <w:t>鼓楼南、北街</w:t>
            </w:r>
          </w:p>
        </w:tc>
        <w:tc>
          <w:tcPr>
            <w:tcW w:w="2668" w:type="dxa"/>
            <w:shd w:val="clear" w:color="auto" w:fill="auto"/>
            <w:vAlign w:val="center"/>
          </w:tcPr>
          <w:p w14:paraId="314C6D79">
            <w:pPr>
              <w:jc w:val="center"/>
              <w:rPr>
                <w:rFonts w:ascii="仿宋" w:hAnsi="仿宋" w:eastAsia="仿宋"/>
                <w:color w:val="auto"/>
                <w:sz w:val="20"/>
              </w:rPr>
            </w:pPr>
            <w:r>
              <w:rPr>
                <w:rFonts w:hint="eastAsia" w:ascii="仿宋" w:hAnsi="仿宋" w:eastAsia="仿宋"/>
                <w:color w:val="auto"/>
                <w:sz w:val="20"/>
              </w:rPr>
              <w:t>北环路－－府学路</w:t>
            </w:r>
          </w:p>
        </w:tc>
        <w:tc>
          <w:tcPr>
            <w:tcW w:w="1080" w:type="dxa"/>
            <w:shd w:val="clear" w:color="auto" w:fill="auto"/>
            <w:vAlign w:val="center"/>
          </w:tcPr>
          <w:p w14:paraId="03B5C45B">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5C62BC6A">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9C81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141CBE1C">
            <w:pPr>
              <w:jc w:val="center"/>
              <w:rPr>
                <w:rFonts w:ascii="Arial" w:hAnsi="Arial" w:eastAsia="仿宋_GB2312" w:cs="Arial"/>
                <w:color w:val="auto"/>
                <w:sz w:val="20"/>
              </w:rPr>
            </w:pPr>
            <w:r>
              <w:rPr>
                <w:rFonts w:hint="eastAsia" w:ascii="Arial" w:hAnsi="Arial" w:eastAsia="仿宋_GB2312" w:cs="Arial"/>
                <w:color w:val="auto"/>
                <w:sz w:val="20"/>
              </w:rPr>
              <w:t>57</w:t>
            </w:r>
          </w:p>
        </w:tc>
        <w:tc>
          <w:tcPr>
            <w:tcW w:w="1021" w:type="dxa"/>
            <w:vMerge w:val="continue"/>
            <w:shd w:val="clear" w:color="auto" w:fill="auto"/>
            <w:vAlign w:val="center"/>
          </w:tcPr>
          <w:p w14:paraId="7EB5AFD7">
            <w:pPr>
              <w:rPr>
                <w:rFonts w:ascii="仿宋" w:hAnsi="仿宋" w:eastAsia="仿宋"/>
                <w:color w:val="auto"/>
                <w:sz w:val="20"/>
              </w:rPr>
            </w:pPr>
          </w:p>
        </w:tc>
        <w:tc>
          <w:tcPr>
            <w:tcW w:w="2771" w:type="dxa"/>
            <w:shd w:val="clear" w:color="auto" w:fill="auto"/>
            <w:vAlign w:val="center"/>
          </w:tcPr>
          <w:p w14:paraId="4F6E41EB">
            <w:pPr>
              <w:jc w:val="center"/>
              <w:rPr>
                <w:rFonts w:ascii="仿宋" w:hAnsi="仿宋" w:eastAsia="仿宋"/>
                <w:color w:val="auto"/>
                <w:sz w:val="20"/>
              </w:rPr>
            </w:pPr>
            <w:r>
              <w:rPr>
                <w:rFonts w:hint="eastAsia" w:ascii="仿宋" w:hAnsi="仿宋" w:eastAsia="仿宋"/>
                <w:color w:val="auto"/>
                <w:sz w:val="20"/>
              </w:rPr>
              <w:t>回龙观西大街</w:t>
            </w:r>
          </w:p>
        </w:tc>
        <w:tc>
          <w:tcPr>
            <w:tcW w:w="2668" w:type="dxa"/>
            <w:shd w:val="clear" w:color="auto" w:fill="auto"/>
            <w:vAlign w:val="center"/>
          </w:tcPr>
          <w:p w14:paraId="7A29BA0D">
            <w:pPr>
              <w:jc w:val="center"/>
              <w:rPr>
                <w:rFonts w:ascii="仿宋" w:hAnsi="仿宋" w:eastAsia="仿宋"/>
                <w:color w:val="auto"/>
                <w:sz w:val="20"/>
              </w:rPr>
            </w:pPr>
            <w:r>
              <w:rPr>
                <w:rFonts w:hint="eastAsia" w:ascii="仿宋" w:hAnsi="仿宋" w:eastAsia="仿宋"/>
                <w:color w:val="auto"/>
                <w:sz w:val="20"/>
              </w:rPr>
              <w:t>京藏高速公路－－文华西路</w:t>
            </w:r>
          </w:p>
        </w:tc>
        <w:tc>
          <w:tcPr>
            <w:tcW w:w="1080" w:type="dxa"/>
            <w:shd w:val="clear" w:color="auto" w:fill="auto"/>
            <w:vAlign w:val="center"/>
          </w:tcPr>
          <w:p w14:paraId="2D53E96E">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3B9BBB87">
            <w:pPr>
              <w:jc w:val="center"/>
              <w:rPr>
                <w:rFonts w:ascii="Arial" w:hAnsi="Arial" w:eastAsia="仿宋_GB2312" w:cs="Arial"/>
                <w:color w:val="auto"/>
                <w:sz w:val="20"/>
              </w:rPr>
            </w:pPr>
            <w:r>
              <w:rPr>
                <w:rFonts w:hint="eastAsia" w:ascii="Arial" w:hAnsi="Arial" w:eastAsia="仿宋_GB2312" w:cs="Arial"/>
                <w:color w:val="auto"/>
                <w:sz w:val="20"/>
              </w:rPr>
              <w:t>15</w:t>
            </w:r>
          </w:p>
        </w:tc>
      </w:tr>
      <w:tr w14:paraId="20A41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1729366">
            <w:pPr>
              <w:jc w:val="center"/>
              <w:rPr>
                <w:rFonts w:ascii="Arial" w:hAnsi="Arial" w:eastAsia="仿宋_GB2312" w:cs="Arial"/>
                <w:color w:val="auto"/>
                <w:sz w:val="20"/>
              </w:rPr>
            </w:pPr>
            <w:r>
              <w:rPr>
                <w:rFonts w:hint="eastAsia" w:ascii="Arial" w:hAnsi="Arial" w:eastAsia="仿宋_GB2312" w:cs="Arial"/>
                <w:color w:val="auto"/>
                <w:sz w:val="20"/>
              </w:rPr>
              <w:t>58</w:t>
            </w:r>
          </w:p>
        </w:tc>
        <w:tc>
          <w:tcPr>
            <w:tcW w:w="1021" w:type="dxa"/>
            <w:vMerge w:val="restart"/>
            <w:shd w:val="clear" w:color="auto" w:fill="auto"/>
            <w:vAlign w:val="center"/>
          </w:tcPr>
          <w:p w14:paraId="6AC72644">
            <w:pPr>
              <w:jc w:val="center"/>
              <w:rPr>
                <w:rFonts w:ascii="仿宋" w:hAnsi="仿宋" w:eastAsia="仿宋"/>
                <w:color w:val="auto"/>
                <w:sz w:val="20"/>
              </w:rPr>
            </w:pPr>
            <w:r>
              <w:rPr>
                <w:rFonts w:hint="eastAsia" w:ascii="仿宋" w:hAnsi="仿宋" w:eastAsia="仿宋"/>
                <w:color w:val="auto"/>
                <w:sz w:val="20"/>
              </w:rPr>
              <w:t>大兴区</w:t>
            </w:r>
          </w:p>
        </w:tc>
        <w:tc>
          <w:tcPr>
            <w:tcW w:w="2771" w:type="dxa"/>
            <w:shd w:val="clear" w:color="auto" w:fill="auto"/>
            <w:vAlign w:val="center"/>
          </w:tcPr>
          <w:p w14:paraId="7F34C387">
            <w:pPr>
              <w:jc w:val="center"/>
              <w:rPr>
                <w:rFonts w:ascii="仿宋" w:hAnsi="仿宋" w:eastAsia="仿宋"/>
                <w:color w:val="auto"/>
                <w:sz w:val="20"/>
              </w:rPr>
            </w:pPr>
            <w:r>
              <w:rPr>
                <w:rFonts w:hint="eastAsia" w:ascii="仿宋" w:hAnsi="仿宋" w:eastAsia="仿宋"/>
                <w:color w:val="auto"/>
                <w:sz w:val="20"/>
              </w:rPr>
              <w:t>兴华大街</w:t>
            </w:r>
          </w:p>
        </w:tc>
        <w:tc>
          <w:tcPr>
            <w:tcW w:w="2668" w:type="dxa"/>
            <w:shd w:val="clear" w:color="auto" w:fill="auto"/>
            <w:vAlign w:val="center"/>
          </w:tcPr>
          <w:p w14:paraId="74C9ED27">
            <w:pPr>
              <w:jc w:val="center"/>
              <w:rPr>
                <w:rFonts w:ascii="仿宋" w:hAnsi="仿宋" w:eastAsia="仿宋"/>
                <w:color w:val="auto"/>
                <w:sz w:val="20"/>
              </w:rPr>
            </w:pPr>
            <w:r>
              <w:rPr>
                <w:rFonts w:hint="eastAsia" w:ascii="仿宋" w:hAnsi="仿宋" w:eastAsia="仿宋"/>
                <w:color w:val="auto"/>
                <w:sz w:val="20"/>
              </w:rPr>
              <w:t>乐园路－－黄村火车站</w:t>
            </w:r>
          </w:p>
        </w:tc>
        <w:tc>
          <w:tcPr>
            <w:tcW w:w="1080" w:type="dxa"/>
            <w:shd w:val="clear" w:color="auto" w:fill="auto"/>
            <w:vAlign w:val="center"/>
          </w:tcPr>
          <w:p w14:paraId="57CA67B0">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5F2B26AD">
            <w:pPr>
              <w:jc w:val="center"/>
              <w:rPr>
                <w:rFonts w:ascii="Arial" w:hAnsi="Arial" w:eastAsia="仿宋_GB2312" w:cs="Arial"/>
                <w:color w:val="auto"/>
                <w:sz w:val="20"/>
              </w:rPr>
            </w:pPr>
            <w:r>
              <w:rPr>
                <w:rFonts w:hint="eastAsia" w:ascii="Arial" w:hAnsi="Arial" w:eastAsia="仿宋_GB2312" w:cs="Arial"/>
                <w:color w:val="auto"/>
                <w:sz w:val="20"/>
              </w:rPr>
              <w:t>15</w:t>
            </w:r>
          </w:p>
        </w:tc>
      </w:tr>
      <w:tr w14:paraId="62A3B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1DB0B4E5">
            <w:pPr>
              <w:jc w:val="center"/>
              <w:rPr>
                <w:rFonts w:ascii="Arial" w:hAnsi="Arial" w:eastAsia="仿宋_GB2312" w:cs="Arial"/>
                <w:color w:val="auto"/>
                <w:sz w:val="20"/>
              </w:rPr>
            </w:pPr>
            <w:r>
              <w:rPr>
                <w:rFonts w:hint="eastAsia" w:ascii="Arial" w:hAnsi="Arial" w:eastAsia="仿宋_GB2312" w:cs="Arial"/>
                <w:color w:val="auto"/>
                <w:sz w:val="20"/>
              </w:rPr>
              <w:t>59</w:t>
            </w:r>
          </w:p>
        </w:tc>
        <w:tc>
          <w:tcPr>
            <w:tcW w:w="1021" w:type="dxa"/>
            <w:vMerge w:val="continue"/>
            <w:vAlign w:val="center"/>
          </w:tcPr>
          <w:p w14:paraId="0D6BB8BC">
            <w:pPr>
              <w:rPr>
                <w:rFonts w:ascii="仿宋" w:hAnsi="仿宋" w:eastAsia="仿宋"/>
                <w:color w:val="auto"/>
                <w:sz w:val="20"/>
              </w:rPr>
            </w:pPr>
          </w:p>
        </w:tc>
        <w:tc>
          <w:tcPr>
            <w:tcW w:w="2771" w:type="dxa"/>
            <w:shd w:val="clear" w:color="auto" w:fill="auto"/>
            <w:vAlign w:val="center"/>
          </w:tcPr>
          <w:p w14:paraId="1B04FB31">
            <w:pPr>
              <w:jc w:val="center"/>
              <w:rPr>
                <w:rFonts w:ascii="仿宋" w:hAnsi="仿宋" w:eastAsia="仿宋"/>
                <w:color w:val="auto"/>
                <w:sz w:val="20"/>
              </w:rPr>
            </w:pPr>
            <w:r>
              <w:rPr>
                <w:rFonts w:hint="eastAsia" w:ascii="仿宋" w:hAnsi="仿宋" w:eastAsia="仿宋"/>
                <w:color w:val="auto"/>
                <w:sz w:val="20"/>
              </w:rPr>
              <w:t>新源大街</w:t>
            </w:r>
          </w:p>
        </w:tc>
        <w:tc>
          <w:tcPr>
            <w:tcW w:w="2668" w:type="dxa"/>
            <w:shd w:val="clear" w:color="auto" w:fill="auto"/>
            <w:vAlign w:val="center"/>
          </w:tcPr>
          <w:p w14:paraId="7AC55D55">
            <w:pPr>
              <w:jc w:val="center"/>
              <w:rPr>
                <w:rFonts w:ascii="仿宋" w:hAnsi="仿宋" w:eastAsia="仿宋"/>
                <w:color w:val="auto"/>
                <w:sz w:val="20"/>
              </w:rPr>
            </w:pPr>
            <w:r>
              <w:rPr>
                <w:rFonts w:hint="eastAsia" w:ascii="仿宋" w:hAnsi="仿宋" w:eastAsia="仿宋"/>
                <w:color w:val="auto"/>
                <w:sz w:val="20"/>
              </w:rPr>
              <w:t>天河西路－－永旺路</w:t>
            </w:r>
          </w:p>
        </w:tc>
        <w:tc>
          <w:tcPr>
            <w:tcW w:w="1080" w:type="dxa"/>
            <w:shd w:val="clear" w:color="auto" w:fill="auto"/>
            <w:vAlign w:val="center"/>
          </w:tcPr>
          <w:p w14:paraId="3F4D8F54">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34AF32C2">
            <w:pPr>
              <w:jc w:val="center"/>
              <w:rPr>
                <w:rFonts w:ascii="Arial" w:hAnsi="Arial" w:eastAsia="仿宋_GB2312" w:cs="Arial"/>
                <w:color w:val="auto"/>
                <w:sz w:val="20"/>
              </w:rPr>
            </w:pPr>
            <w:r>
              <w:rPr>
                <w:rFonts w:hint="eastAsia" w:ascii="Arial" w:hAnsi="Arial" w:eastAsia="仿宋_GB2312" w:cs="Arial"/>
                <w:color w:val="auto"/>
                <w:sz w:val="20"/>
              </w:rPr>
              <w:t>15</w:t>
            </w:r>
          </w:p>
        </w:tc>
      </w:tr>
      <w:tr w14:paraId="3FE42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04DD0F2D">
            <w:pPr>
              <w:jc w:val="center"/>
              <w:rPr>
                <w:rFonts w:ascii="Arial" w:hAnsi="Arial" w:eastAsia="仿宋_GB2312" w:cs="Arial"/>
                <w:color w:val="auto"/>
                <w:sz w:val="20"/>
              </w:rPr>
            </w:pPr>
            <w:r>
              <w:rPr>
                <w:rFonts w:hint="eastAsia" w:ascii="Arial" w:hAnsi="Arial" w:eastAsia="仿宋_GB2312" w:cs="Arial"/>
                <w:color w:val="auto"/>
                <w:sz w:val="20"/>
              </w:rPr>
              <w:t>60</w:t>
            </w:r>
          </w:p>
        </w:tc>
        <w:tc>
          <w:tcPr>
            <w:tcW w:w="1021" w:type="dxa"/>
            <w:vMerge w:val="restart"/>
            <w:shd w:val="clear" w:color="auto" w:fill="auto"/>
            <w:vAlign w:val="center"/>
          </w:tcPr>
          <w:p w14:paraId="446101EC">
            <w:pPr>
              <w:jc w:val="center"/>
              <w:rPr>
                <w:rFonts w:ascii="仿宋" w:hAnsi="仿宋" w:eastAsia="仿宋"/>
                <w:color w:val="auto"/>
                <w:sz w:val="20"/>
              </w:rPr>
            </w:pPr>
            <w:r>
              <w:rPr>
                <w:rFonts w:hint="eastAsia" w:ascii="仿宋" w:hAnsi="仿宋" w:eastAsia="仿宋"/>
                <w:color w:val="auto"/>
                <w:sz w:val="20"/>
              </w:rPr>
              <w:t>怀柔区</w:t>
            </w:r>
          </w:p>
        </w:tc>
        <w:tc>
          <w:tcPr>
            <w:tcW w:w="2771" w:type="dxa"/>
            <w:shd w:val="clear" w:color="auto" w:fill="auto"/>
            <w:vAlign w:val="center"/>
          </w:tcPr>
          <w:p w14:paraId="3C40CB7E">
            <w:pPr>
              <w:jc w:val="center"/>
              <w:rPr>
                <w:rFonts w:ascii="仿宋" w:hAnsi="仿宋" w:eastAsia="仿宋"/>
                <w:color w:val="auto"/>
                <w:sz w:val="20"/>
              </w:rPr>
            </w:pPr>
            <w:r>
              <w:rPr>
                <w:rFonts w:hint="eastAsia" w:ascii="仿宋" w:hAnsi="仿宋" w:eastAsia="仿宋"/>
                <w:color w:val="auto"/>
                <w:sz w:val="20"/>
              </w:rPr>
              <w:t>商业街</w:t>
            </w:r>
          </w:p>
        </w:tc>
        <w:tc>
          <w:tcPr>
            <w:tcW w:w="2668" w:type="dxa"/>
            <w:shd w:val="clear" w:color="auto" w:fill="auto"/>
            <w:vAlign w:val="center"/>
          </w:tcPr>
          <w:p w14:paraId="1F519400">
            <w:pPr>
              <w:jc w:val="center"/>
              <w:rPr>
                <w:rFonts w:ascii="仿宋" w:hAnsi="仿宋" w:eastAsia="仿宋"/>
                <w:color w:val="auto"/>
                <w:sz w:val="20"/>
              </w:rPr>
            </w:pPr>
            <w:r>
              <w:rPr>
                <w:rFonts w:hint="eastAsia" w:ascii="仿宋" w:hAnsi="仿宋" w:eastAsia="仿宋"/>
                <w:color w:val="auto"/>
                <w:sz w:val="20"/>
              </w:rPr>
              <w:t>迎宾路－－龙山东路</w:t>
            </w:r>
          </w:p>
        </w:tc>
        <w:tc>
          <w:tcPr>
            <w:tcW w:w="1080" w:type="dxa"/>
            <w:shd w:val="clear" w:color="auto" w:fill="auto"/>
            <w:vAlign w:val="center"/>
          </w:tcPr>
          <w:p w14:paraId="4678AFE2">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63F8478E">
            <w:pPr>
              <w:jc w:val="center"/>
              <w:rPr>
                <w:rFonts w:ascii="Arial" w:hAnsi="Arial" w:eastAsia="仿宋_GB2312" w:cs="Arial"/>
                <w:color w:val="auto"/>
                <w:sz w:val="20"/>
              </w:rPr>
            </w:pPr>
            <w:r>
              <w:rPr>
                <w:rFonts w:hint="eastAsia" w:ascii="Arial" w:hAnsi="Arial" w:eastAsia="仿宋_GB2312" w:cs="Arial"/>
                <w:color w:val="auto"/>
                <w:sz w:val="20"/>
              </w:rPr>
              <w:t>15</w:t>
            </w:r>
          </w:p>
        </w:tc>
      </w:tr>
      <w:tr w14:paraId="00E38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0935AF72">
            <w:pPr>
              <w:jc w:val="center"/>
              <w:rPr>
                <w:rFonts w:ascii="Arial" w:hAnsi="Arial" w:eastAsia="仿宋_GB2312" w:cs="Arial"/>
                <w:color w:val="auto"/>
                <w:sz w:val="20"/>
              </w:rPr>
            </w:pPr>
            <w:r>
              <w:rPr>
                <w:rFonts w:hint="eastAsia" w:ascii="Arial" w:hAnsi="Arial" w:eastAsia="仿宋_GB2312" w:cs="Arial"/>
                <w:color w:val="auto"/>
                <w:sz w:val="20"/>
              </w:rPr>
              <w:t>61</w:t>
            </w:r>
          </w:p>
        </w:tc>
        <w:tc>
          <w:tcPr>
            <w:tcW w:w="1021" w:type="dxa"/>
            <w:vMerge w:val="continue"/>
            <w:vAlign w:val="center"/>
          </w:tcPr>
          <w:p w14:paraId="4194E4AE">
            <w:pPr>
              <w:rPr>
                <w:rFonts w:ascii="仿宋" w:hAnsi="仿宋" w:eastAsia="仿宋"/>
                <w:color w:val="auto"/>
                <w:sz w:val="20"/>
              </w:rPr>
            </w:pPr>
          </w:p>
        </w:tc>
        <w:tc>
          <w:tcPr>
            <w:tcW w:w="2771" w:type="dxa"/>
            <w:shd w:val="clear" w:color="auto" w:fill="auto"/>
            <w:vAlign w:val="center"/>
          </w:tcPr>
          <w:p w14:paraId="4317675F">
            <w:pPr>
              <w:jc w:val="center"/>
              <w:rPr>
                <w:rFonts w:ascii="仿宋" w:hAnsi="仿宋" w:eastAsia="仿宋"/>
                <w:color w:val="auto"/>
                <w:sz w:val="20"/>
              </w:rPr>
            </w:pPr>
            <w:r>
              <w:rPr>
                <w:rFonts w:hint="eastAsia" w:ascii="仿宋" w:hAnsi="仿宋" w:eastAsia="仿宋"/>
                <w:color w:val="auto"/>
                <w:sz w:val="20"/>
              </w:rPr>
              <w:t>青春路</w:t>
            </w:r>
          </w:p>
        </w:tc>
        <w:tc>
          <w:tcPr>
            <w:tcW w:w="2668" w:type="dxa"/>
            <w:shd w:val="clear" w:color="auto" w:fill="auto"/>
            <w:vAlign w:val="center"/>
          </w:tcPr>
          <w:p w14:paraId="393F6AB5">
            <w:pPr>
              <w:jc w:val="center"/>
              <w:rPr>
                <w:rFonts w:ascii="仿宋" w:hAnsi="仿宋" w:eastAsia="仿宋"/>
                <w:color w:val="auto"/>
                <w:sz w:val="20"/>
              </w:rPr>
            </w:pPr>
            <w:r>
              <w:rPr>
                <w:rFonts w:hint="eastAsia" w:ascii="仿宋" w:hAnsi="仿宋" w:eastAsia="仿宋"/>
                <w:color w:val="auto"/>
                <w:sz w:val="20"/>
              </w:rPr>
              <w:t>南大街－－兴怀大街</w:t>
            </w:r>
          </w:p>
        </w:tc>
        <w:tc>
          <w:tcPr>
            <w:tcW w:w="1080" w:type="dxa"/>
            <w:shd w:val="clear" w:color="auto" w:fill="auto"/>
            <w:vAlign w:val="center"/>
          </w:tcPr>
          <w:p w14:paraId="25E5462C">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0B70F36E">
            <w:pPr>
              <w:jc w:val="center"/>
              <w:rPr>
                <w:rFonts w:ascii="Arial" w:hAnsi="Arial" w:eastAsia="仿宋_GB2312" w:cs="Arial"/>
                <w:color w:val="auto"/>
                <w:sz w:val="20"/>
              </w:rPr>
            </w:pPr>
            <w:r>
              <w:rPr>
                <w:rFonts w:hint="eastAsia" w:ascii="Arial" w:hAnsi="Arial" w:eastAsia="仿宋_GB2312" w:cs="Arial"/>
                <w:color w:val="auto"/>
                <w:sz w:val="20"/>
              </w:rPr>
              <w:t>15</w:t>
            </w:r>
          </w:p>
        </w:tc>
      </w:tr>
      <w:tr w14:paraId="4BFAC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651DCF14">
            <w:pPr>
              <w:jc w:val="center"/>
              <w:rPr>
                <w:rFonts w:ascii="Arial" w:hAnsi="Arial" w:eastAsia="仿宋_GB2312" w:cs="Arial"/>
                <w:color w:val="auto"/>
                <w:sz w:val="20"/>
              </w:rPr>
            </w:pPr>
            <w:r>
              <w:rPr>
                <w:rFonts w:hint="eastAsia" w:ascii="Arial" w:hAnsi="Arial" w:eastAsia="仿宋_GB2312" w:cs="Arial"/>
                <w:color w:val="auto"/>
                <w:sz w:val="20"/>
              </w:rPr>
              <w:t>62</w:t>
            </w:r>
          </w:p>
        </w:tc>
        <w:tc>
          <w:tcPr>
            <w:tcW w:w="1021" w:type="dxa"/>
            <w:shd w:val="clear" w:color="auto" w:fill="auto"/>
            <w:vAlign w:val="center"/>
          </w:tcPr>
          <w:p w14:paraId="6E18F1C6">
            <w:pPr>
              <w:jc w:val="center"/>
              <w:rPr>
                <w:rFonts w:ascii="仿宋" w:hAnsi="仿宋" w:eastAsia="仿宋"/>
                <w:color w:val="auto"/>
                <w:sz w:val="20"/>
              </w:rPr>
            </w:pPr>
            <w:r>
              <w:rPr>
                <w:rFonts w:hint="eastAsia" w:ascii="仿宋" w:hAnsi="仿宋" w:eastAsia="仿宋"/>
                <w:color w:val="auto"/>
                <w:sz w:val="20"/>
              </w:rPr>
              <w:t>平谷区</w:t>
            </w:r>
          </w:p>
        </w:tc>
        <w:tc>
          <w:tcPr>
            <w:tcW w:w="2771" w:type="dxa"/>
            <w:shd w:val="clear" w:color="auto" w:fill="auto"/>
            <w:vAlign w:val="center"/>
          </w:tcPr>
          <w:p w14:paraId="52478F20">
            <w:pPr>
              <w:jc w:val="center"/>
              <w:rPr>
                <w:rFonts w:ascii="仿宋" w:hAnsi="仿宋" w:eastAsia="仿宋"/>
                <w:color w:val="auto"/>
                <w:sz w:val="20"/>
              </w:rPr>
            </w:pPr>
            <w:r>
              <w:rPr>
                <w:rFonts w:hint="eastAsia" w:ascii="仿宋" w:hAnsi="仿宋" w:eastAsia="仿宋"/>
                <w:color w:val="auto"/>
                <w:sz w:val="20"/>
              </w:rPr>
              <w:t>步行街</w:t>
            </w:r>
          </w:p>
        </w:tc>
        <w:tc>
          <w:tcPr>
            <w:tcW w:w="2668" w:type="dxa"/>
            <w:shd w:val="clear" w:color="auto" w:fill="auto"/>
            <w:vAlign w:val="center"/>
          </w:tcPr>
          <w:p w14:paraId="79C54E52">
            <w:pPr>
              <w:jc w:val="center"/>
              <w:rPr>
                <w:rFonts w:ascii="仿宋" w:hAnsi="仿宋" w:eastAsia="仿宋"/>
                <w:color w:val="auto"/>
                <w:sz w:val="20"/>
              </w:rPr>
            </w:pPr>
            <w:r>
              <w:rPr>
                <w:rFonts w:hint="eastAsia" w:ascii="仿宋" w:hAnsi="仿宋" w:eastAsia="仿宋"/>
                <w:color w:val="auto"/>
                <w:sz w:val="20"/>
              </w:rPr>
              <w:t>文化北街－－向阳北街</w:t>
            </w:r>
          </w:p>
        </w:tc>
        <w:tc>
          <w:tcPr>
            <w:tcW w:w="1080" w:type="dxa"/>
            <w:shd w:val="clear" w:color="auto" w:fill="auto"/>
            <w:vAlign w:val="center"/>
          </w:tcPr>
          <w:p w14:paraId="77FD96DD">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3CDE6CA9">
            <w:pPr>
              <w:jc w:val="center"/>
              <w:rPr>
                <w:rFonts w:ascii="Arial" w:hAnsi="Arial" w:eastAsia="仿宋_GB2312" w:cs="Arial"/>
                <w:color w:val="auto"/>
                <w:sz w:val="20"/>
              </w:rPr>
            </w:pPr>
            <w:r>
              <w:rPr>
                <w:rFonts w:hint="eastAsia" w:ascii="Arial" w:hAnsi="Arial" w:eastAsia="仿宋_GB2312" w:cs="Arial"/>
                <w:color w:val="auto"/>
                <w:sz w:val="20"/>
              </w:rPr>
              <w:t>15</w:t>
            </w:r>
          </w:p>
        </w:tc>
      </w:tr>
      <w:tr w14:paraId="146F6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71537D8D">
            <w:pPr>
              <w:jc w:val="center"/>
              <w:rPr>
                <w:rFonts w:ascii="Arial" w:hAnsi="Arial" w:eastAsia="仿宋_GB2312" w:cs="Arial"/>
                <w:color w:val="auto"/>
                <w:sz w:val="20"/>
              </w:rPr>
            </w:pPr>
            <w:r>
              <w:rPr>
                <w:rFonts w:hint="eastAsia" w:ascii="Arial" w:hAnsi="Arial" w:eastAsia="仿宋_GB2312" w:cs="Arial"/>
                <w:color w:val="auto"/>
                <w:sz w:val="20"/>
              </w:rPr>
              <w:t>63</w:t>
            </w:r>
          </w:p>
        </w:tc>
        <w:tc>
          <w:tcPr>
            <w:tcW w:w="1021" w:type="dxa"/>
            <w:vMerge w:val="restart"/>
            <w:shd w:val="clear" w:color="auto" w:fill="auto"/>
            <w:vAlign w:val="center"/>
          </w:tcPr>
          <w:p w14:paraId="6B40046B">
            <w:pPr>
              <w:jc w:val="center"/>
              <w:rPr>
                <w:rFonts w:ascii="仿宋" w:hAnsi="仿宋" w:eastAsia="仿宋"/>
                <w:color w:val="auto"/>
                <w:sz w:val="20"/>
              </w:rPr>
            </w:pPr>
            <w:r>
              <w:rPr>
                <w:rFonts w:hint="eastAsia" w:ascii="仿宋" w:hAnsi="仿宋" w:eastAsia="仿宋"/>
                <w:color w:val="auto"/>
                <w:sz w:val="20"/>
              </w:rPr>
              <w:t>密云区</w:t>
            </w:r>
          </w:p>
        </w:tc>
        <w:tc>
          <w:tcPr>
            <w:tcW w:w="2771" w:type="dxa"/>
            <w:shd w:val="clear" w:color="auto" w:fill="auto"/>
            <w:vAlign w:val="center"/>
          </w:tcPr>
          <w:p w14:paraId="3997F2B9">
            <w:pPr>
              <w:jc w:val="center"/>
              <w:rPr>
                <w:rFonts w:ascii="仿宋" w:hAnsi="仿宋" w:eastAsia="仿宋"/>
                <w:color w:val="auto"/>
                <w:sz w:val="20"/>
              </w:rPr>
            </w:pPr>
            <w:r>
              <w:rPr>
                <w:rFonts w:hint="eastAsia" w:ascii="仿宋" w:hAnsi="仿宋" w:eastAsia="仿宋"/>
                <w:color w:val="auto"/>
                <w:sz w:val="20"/>
              </w:rPr>
              <w:t>鼓楼东、西大街</w:t>
            </w:r>
          </w:p>
        </w:tc>
        <w:tc>
          <w:tcPr>
            <w:tcW w:w="2668" w:type="dxa"/>
            <w:shd w:val="clear" w:color="auto" w:fill="auto"/>
            <w:vAlign w:val="center"/>
          </w:tcPr>
          <w:p w14:paraId="7D28E885">
            <w:pPr>
              <w:jc w:val="center"/>
              <w:rPr>
                <w:rFonts w:ascii="仿宋" w:hAnsi="仿宋" w:eastAsia="仿宋"/>
                <w:color w:val="auto"/>
                <w:sz w:val="20"/>
              </w:rPr>
            </w:pPr>
            <w:r>
              <w:rPr>
                <w:rFonts w:hint="eastAsia" w:ascii="仿宋" w:hAnsi="仿宋" w:eastAsia="仿宋"/>
                <w:color w:val="auto"/>
                <w:sz w:val="20"/>
              </w:rPr>
              <w:t>新中街－－南更大街</w:t>
            </w:r>
          </w:p>
        </w:tc>
        <w:tc>
          <w:tcPr>
            <w:tcW w:w="1080" w:type="dxa"/>
            <w:shd w:val="clear" w:color="auto" w:fill="auto"/>
            <w:vAlign w:val="center"/>
          </w:tcPr>
          <w:p w14:paraId="54C21AEF">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6F38140B">
            <w:pPr>
              <w:jc w:val="center"/>
              <w:rPr>
                <w:rFonts w:ascii="Arial" w:hAnsi="Arial" w:eastAsia="仿宋_GB2312" w:cs="Arial"/>
                <w:color w:val="auto"/>
                <w:sz w:val="20"/>
              </w:rPr>
            </w:pPr>
            <w:r>
              <w:rPr>
                <w:rFonts w:hint="eastAsia" w:ascii="Arial" w:hAnsi="Arial" w:eastAsia="仿宋_GB2312" w:cs="Arial"/>
                <w:color w:val="auto"/>
                <w:sz w:val="20"/>
              </w:rPr>
              <w:t>15</w:t>
            </w:r>
          </w:p>
        </w:tc>
      </w:tr>
      <w:tr w14:paraId="51C37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038ACD37">
            <w:pPr>
              <w:jc w:val="center"/>
              <w:rPr>
                <w:rFonts w:ascii="Arial" w:hAnsi="Arial" w:eastAsia="仿宋_GB2312" w:cs="Arial"/>
                <w:color w:val="auto"/>
                <w:sz w:val="20"/>
              </w:rPr>
            </w:pPr>
            <w:r>
              <w:rPr>
                <w:rFonts w:hint="eastAsia" w:ascii="Arial" w:hAnsi="Arial" w:eastAsia="仿宋_GB2312" w:cs="Arial"/>
                <w:color w:val="auto"/>
                <w:sz w:val="20"/>
              </w:rPr>
              <w:t>64</w:t>
            </w:r>
          </w:p>
        </w:tc>
        <w:tc>
          <w:tcPr>
            <w:tcW w:w="1021" w:type="dxa"/>
            <w:vMerge w:val="continue"/>
            <w:vAlign w:val="center"/>
          </w:tcPr>
          <w:p w14:paraId="44A5A77E">
            <w:pPr>
              <w:rPr>
                <w:rFonts w:ascii="仿宋" w:hAnsi="仿宋" w:eastAsia="仿宋"/>
                <w:color w:val="auto"/>
                <w:sz w:val="20"/>
              </w:rPr>
            </w:pPr>
          </w:p>
        </w:tc>
        <w:tc>
          <w:tcPr>
            <w:tcW w:w="2771" w:type="dxa"/>
            <w:shd w:val="clear" w:color="auto" w:fill="auto"/>
            <w:vAlign w:val="center"/>
          </w:tcPr>
          <w:p w14:paraId="6BC17535">
            <w:pPr>
              <w:jc w:val="center"/>
              <w:rPr>
                <w:rFonts w:ascii="仿宋" w:hAnsi="仿宋" w:eastAsia="仿宋"/>
                <w:color w:val="auto"/>
                <w:sz w:val="20"/>
              </w:rPr>
            </w:pPr>
            <w:r>
              <w:rPr>
                <w:rFonts w:hint="eastAsia" w:ascii="仿宋" w:hAnsi="仿宋" w:eastAsia="仿宋"/>
                <w:color w:val="auto"/>
                <w:sz w:val="20"/>
              </w:rPr>
              <w:t>鼓楼南北大街</w:t>
            </w:r>
          </w:p>
        </w:tc>
        <w:tc>
          <w:tcPr>
            <w:tcW w:w="2668" w:type="dxa"/>
            <w:shd w:val="clear" w:color="auto" w:fill="auto"/>
            <w:vAlign w:val="center"/>
          </w:tcPr>
          <w:p w14:paraId="3E88076A">
            <w:pPr>
              <w:jc w:val="center"/>
              <w:rPr>
                <w:rFonts w:ascii="仿宋" w:hAnsi="仿宋" w:eastAsia="仿宋"/>
                <w:color w:val="auto"/>
                <w:sz w:val="20"/>
              </w:rPr>
            </w:pPr>
            <w:r>
              <w:rPr>
                <w:rFonts w:hint="eastAsia" w:ascii="仿宋" w:hAnsi="仿宋" w:eastAsia="仿宋"/>
                <w:color w:val="auto"/>
                <w:sz w:val="20"/>
              </w:rPr>
              <w:t>京沈路－－康复路</w:t>
            </w:r>
          </w:p>
        </w:tc>
        <w:tc>
          <w:tcPr>
            <w:tcW w:w="1080" w:type="dxa"/>
            <w:shd w:val="clear" w:color="auto" w:fill="auto"/>
            <w:vAlign w:val="center"/>
          </w:tcPr>
          <w:p w14:paraId="5BD9BCD1">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452188BF">
            <w:pPr>
              <w:jc w:val="center"/>
              <w:rPr>
                <w:rFonts w:ascii="Arial" w:hAnsi="Arial" w:eastAsia="仿宋_GB2312" w:cs="Arial"/>
                <w:color w:val="auto"/>
                <w:sz w:val="20"/>
              </w:rPr>
            </w:pPr>
            <w:r>
              <w:rPr>
                <w:rFonts w:hint="eastAsia" w:ascii="Arial" w:hAnsi="Arial" w:eastAsia="仿宋_GB2312" w:cs="Arial"/>
                <w:color w:val="auto"/>
                <w:sz w:val="20"/>
              </w:rPr>
              <w:t>15</w:t>
            </w:r>
          </w:p>
        </w:tc>
      </w:tr>
      <w:tr w14:paraId="32502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75" w:type="dxa"/>
            <w:shd w:val="clear" w:color="auto" w:fill="auto"/>
            <w:vAlign w:val="center"/>
          </w:tcPr>
          <w:p w14:paraId="539A87DE">
            <w:pPr>
              <w:jc w:val="center"/>
              <w:rPr>
                <w:rFonts w:ascii="Arial" w:hAnsi="Arial" w:eastAsia="仿宋_GB2312" w:cs="Arial"/>
                <w:color w:val="auto"/>
                <w:sz w:val="20"/>
              </w:rPr>
            </w:pPr>
            <w:r>
              <w:rPr>
                <w:rFonts w:hint="eastAsia" w:ascii="Arial" w:hAnsi="Arial" w:eastAsia="仿宋_GB2312" w:cs="Arial"/>
                <w:color w:val="auto"/>
                <w:sz w:val="20"/>
              </w:rPr>
              <w:t>65</w:t>
            </w:r>
          </w:p>
        </w:tc>
        <w:tc>
          <w:tcPr>
            <w:tcW w:w="1021" w:type="dxa"/>
            <w:shd w:val="clear" w:color="auto" w:fill="auto"/>
            <w:vAlign w:val="center"/>
          </w:tcPr>
          <w:p w14:paraId="7EC94D58">
            <w:pPr>
              <w:jc w:val="center"/>
              <w:rPr>
                <w:rFonts w:ascii="仿宋" w:hAnsi="仿宋" w:eastAsia="仿宋"/>
                <w:color w:val="auto"/>
                <w:sz w:val="20"/>
              </w:rPr>
            </w:pPr>
            <w:r>
              <w:rPr>
                <w:rFonts w:hint="eastAsia" w:ascii="仿宋" w:hAnsi="仿宋" w:eastAsia="仿宋"/>
                <w:color w:val="auto"/>
                <w:sz w:val="20"/>
              </w:rPr>
              <w:t>延庆区</w:t>
            </w:r>
          </w:p>
        </w:tc>
        <w:tc>
          <w:tcPr>
            <w:tcW w:w="2771" w:type="dxa"/>
            <w:shd w:val="clear" w:color="auto" w:fill="auto"/>
            <w:vAlign w:val="center"/>
          </w:tcPr>
          <w:p w14:paraId="6553B2B7">
            <w:pPr>
              <w:jc w:val="center"/>
              <w:rPr>
                <w:rFonts w:ascii="仿宋" w:hAnsi="仿宋" w:eastAsia="仿宋"/>
                <w:color w:val="auto"/>
                <w:sz w:val="20"/>
              </w:rPr>
            </w:pPr>
            <w:r>
              <w:rPr>
                <w:rFonts w:hint="eastAsia" w:ascii="仿宋" w:hAnsi="仿宋" w:eastAsia="仿宋"/>
                <w:color w:val="auto"/>
                <w:sz w:val="20"/>
              </w:rPr>
              <w:t>东外大街</w:t>
            </w:r>
          </w:p>
        </w:tc>
        <w:tc>
          <w:tcPr>
            <w:tcW w:w="2668" w:type="dxa"/>
            <w:shd w:val="clear" w:color="auto" w:fill="auto"/>
            <w:vAlign w:val="center"/>
          </w:tcPr>
          <w:p w14:paraId="04D37600">
            <w:pPr>
              <w:jc w:val="center"/>
              <w:rPr>
                <w:rFonts w:ascii="仿宋" w:hAnsi="仿宋" w:eastAsia="仿宋"/>
                <w:color w:val="auto"/>
                <w:sz w:val="20"/>
              </w:rPr>
            </w:pPr>
            <w:r>
              <w:rPr>
                <w:rFonts w:hint="eastAsia" w:ascii="仿宋" w:hAnsi="仿宋" w:eastAsia="仿宋"/>
                <w:color w:val="auto"/>
                <w:sz w:val="20"/>
              </w:rPr>
              <w:t>香苑街－－东顺城街</w:t>
            </w:r>
          </w:p>
        </w:tc>
        <w:tc>
          <w:tcPr>
            <w:tcW w:w="1080" w:type="dxa"/>
            <w:shd w:val="clear" w:color="auto" w:fill="auto"/>
            <w:vAlign w:val="center"/>
          </w:tcPr>
          <w:p w14:paraId="440FBF4C">
            <w:pPr>
              <w:jc w:val="center"/>
              <w:rPr>
                <w:rFonts w:ascii="Arial" w:hAnsi="Arial" w:eastAsia="仿宋_GB2312" w:cs="Arial"/>
                <w:color w:val="auto"/>
                <w:sz w:val="20"/>
              </w:rPr>
            </w:pPr>
            <w:r>
              <w:rPr>
                <w:rFonts w:hint="eastAsia" w:ascii="Arial" w:hAnsi="Arial" w:eastAsia="仿宋_GB2312" w:cs="Arial"/>
                <w:color w:val="auto"/>
                <w:sz w:val="20"/>
              </w:rPr>
              <w:t>10%</w:t>
            </w:r>
          </w:p>
        </w:tc>
        <w:tc>
          <w:tcPr>
            <w:tcW w:w="1028" w:type="dxa"/>
            <w:shd w:val="clear" w:color="auto" w:fill="auto"/>
            <w:vAlign w:val="center"/>
          </w:tcPr>
          <w:p w14:paraId="1C38AE1F">
            <w:pPr>
              <w:jc w:val="center"/>
              <w:rPr>
                <w:rFonts w:ascii="Arial" w:hAnsi="Arial" w:eastAsia="仿宋_GB2312" w:cs="Arial"/>
                <w:color w:val="auto"/>
                <w:sz w:val="20"/>
              </w:rPr>
            </w:pPr>
            <w:r>
              <w:rPr>
                <w:rFonts w:hint="eastAsia" w:ascii="Arial" w:hAnsi="Arial" w:eastAsia="仿宋_GB2312" w:cs="Arial"/>
                <w:color w:val="auto"/>
                <w:sz w:val="20"/>
              </w:rPr>
              <w:t>15</w:t>
            </w:r>
          </w:p>
        </w:tc>
      </w:tr>
    </w:tbl>
    <w:p w14:paraId="6169FEF6">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B.办公、住宅、工业、公共服务类用地</w:t>
      </w:r>
    </w:p>
    <w:p w14:paraId="2EFE2B84">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楼面熟地价计算公式</w:t>
      </w:r>
    </w:p>
    <w:p w14:paraId="1D0D68C4">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 xml:space="preserve">楼面熟地价=适用的基准地价×用途修正系数×期日修正系数×年期修正 系数×容积率修正系数×因素修正系数 </w:t>
      </w:r>
    </w:p>
    <w:p w14:paraId="057AA406">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②</w:t>
      </w:r>
      <w:r>
        <w:rPr>
          <w:rFonts w:ascii="Arial" w:hAnsi="Arial" w:eastAsia="仿宋_GB2312" w:cs="Arial"/>
          <w:color w:val="auto"/>
          <w:sz w:val="28"/>
          <w:szCs w:val="28"/>
        </w:rPr>
        <w:t>地下部分</w:t>
      </w:r>
    </w:p>
    <w:p w14:paraId="1C1FF264">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楼面熟地价=适用的基准地价×用途修正系数×期日修正系数×年期修正 系数×因素修正系数×相应用途地下空间修正系数</w:t>
      </w:r>
    </w:p>
    <w:p w14:paraId="66E59104">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2）宗地价格测算中有关参数的选取</w:t>
      </w:r>
    </w:p>
    <w:p w14:paraId="07919003">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①</w:t>
      </w:r>
      <w:r>
        <w:rPr>
          <w:rFonts w:ascii="Arial" w:hAnsi="Arial" w:eastAsia="仿宋_GB2312" w:cs="Arial"/>
          <w:color w:val="auto"/>
          <w:sz w:val="28"/>
          <w:szCs w:val="28"/>
        </w:rPr>
        <w:t>宗地用途类别的确定</w:t>
      </w:r>
    </w:p>
    <w:p w14:paraId="4200F13E">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 xml:space="preserve">根据宗地规划用途,对照北京市基准地价土地用途分类,合理确定宗地用途类别。地下部分包括地下商业、地下办公、地下仓储、地下车库等用途,根据相应用途基准类别确定。不能确定用途类别的特殊宗地,可参照其他有关规定合理确定。 </w:t>
      </w:r>
    </w:p>
    <w:p w14:paraId="134787C3">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②</w:t>
      </w:r>
      <w:r>
        <w:rPr>
          <w:rFonts w:ascii="Arial" w:hAnsi="Arial" w:eastAsia="仿宋_GB2312" w:cs="Arial"/>
          <w:color w:val="auto"/>
          <w:sz w:val="28"/>
          <w:szCs w:val="28"/>
        </w:rPr>
        <w:t xml:space="preserve">宗地地价区片的确定 </w:t>
      </w:r>
    </w:p>
    <w:p w14:paraId="6F6464B5">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根据宗地用途类别和位置,参照《北京市基准地价级别(区片)图》及《北 京市基准地价级别(区片)范围文字说明》的规定,确定宗地地价区片。</w:t>
      </w:r>
    </w:p>
    <w:p w14:paraId="018EDCB0">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③</w:t>
      </w:r>
      <w:r>
        <w:rPr>
          <w:rFonts w:ascii="Arial" w:hAnsi="Arial" w:eastAsia="仿宋_GB2312" w:cs="Arial"/>
          <w:color w:val="auto"/>
          <w:sz w:val="28"/>
          <w:szCs w:val="28"/>
        </w:rPr>
        <w:t>宗地适用基准地价水平的确定</w:t>
      </w:r>
    </w:p>
    <w:p w14:paraId="34391B31">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A、基准地价参照《北京市区片基准地价表》确定。</w:t>
      </w:r>
    </w:p>
    <w:p w14:paraId="6AC96D7B">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B、商业路线价加价幅度表中列示的商业街两侧的商业用地</w:t>
      </w:r>
      <w:r>
        <w:rPr>
          <w:rFonts w:hint="eastAsia" w:ascii="Arial" w:hAnsi="Arial" w:eastAsia="仿宋_GB2312" w:cs="Arial"/>
          <w:color w:val="auto"/>
          <w:sz w:val="28"/>
          <w:szCs w:val="28"/>
        </w:rPr>
        <w:t>；</w:t>
      </w:r>
      <w:r>
        <w:rPr>
          <w:rFonts w:ascii="Arial" w:hAnsi="Arial" w:eastAsia="仿宋_GB2312" w:cs="Arial"/>
          <w:color w:val="auto"/>
          <w:sz w:val="28"/>
          <w:szCs w:val="28"/>
        </w:rPr>
        <w:t>轨道交通 站点500米范围内的办公用地</w:t>
      </w:r>
      <w:r>
        <w:rPr>
          <w:rFonts w:hint="eastAsia" w:ascii="Arial" w:hAnsi="Arial" w:eastAsia="仿宋_GB2312" w:cs="Arial"/>
          <w:color w:val="auto"/>
          <w:sz w:val="28"/>
          <w:szCs w:val="28"/>
        </w:rPr>
        <w:t>；</w:t>
      </w:r>
      <w:r>
        <w:rPr>
          <w:rFonts w:ascii="Arial" w:hAnsi="Arial" w:eastAsia="仿宋_GB2312" w:cs="Arial"/>
          <w:color w:val="auto"/>
          <w:sz w:val="28"/>
          <w:szCs w:val="28"/>
        </w:rPr>
        <w:t>公园、水系、轨道交通站点1500米范围内 住宅用地及其他特殊住宅用地,均需先进行特殊情况修正。</w:t>
      </w:r>
    </w:p>
    <w:p w14:paraId="04D307B7">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C、对于建成后限定物业自持的商业、办公、住宅类用地,需进行特殊 情况修正。</w:t>
      </w:r>
    </w:p>
    <w:p w14:paraId="5F0A71EC">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D、宗地开发程度与基准地价界定不一致的,适用进行开发程度差异修 正后的基准地价。</w:t>
      </w:r>
    </w:p>
    <w:p w14:paraId="00CAD842">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④</w:t>
      </w:r>
      <w:r>
        <w:rPr>
          <w:rFonts w:ascii="Arial" w:hAnsi="Arial" w:eastAsia="仿宋_GB2312" w:cs="Arial"/>
          <w:color w:val="auto"/>
          <w:sz w:val="28"/>
          <w:szCs w:val="28"/>
        </w:rPr>
        <w:t>用途修正系数的确定</w:t>
      </w:r>
    </w:p>
    <w:p w14:paraId="38C3DA7A">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根据《土地利用现状分类》(GB/T21010-2017),对现有用地按照一级分类进行归类,分为商业、办公、住宅、工业和公共服务五类用途基准地价, 并按照二级分类建立了用途修正系数,详见《北京市基准地价土地用途二级分类用地修正系数表》。</w:t>
      </w:r>
    </w:p>
    <w:p w14:paraId="0D745238">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⑤</w:t>
      </w:r>
      <w:r>
        <w:rPr>
          <w:rFonts w:ascii="Arial" w:hAnsi="Arial" w:eastAsia="仿宋_GB2312" w:cs="Arial"/>
          <w:color w:val="auto"/>
          <w:sz w:val="28"/>
          <w:szCs w:val="28"/>
        </w:rPr>
        <w:t>期日修正系数的确定</w:t>
      </w:r>
    </w:p>
    <w:p w14:paraId="2BA871B4">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基准地价期日修正系数以北京城市地价动态监测成果公布的地价指数、 地价增长率为准。</w:t>
      </w:r>
    </w:p>
    <w:p w14:paraId="63FFB7FC">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⑥</w:t>
      </w:r>
      <w:r>
        <w:rPr>
          <w:rFonts w:ascii="Arial" w:hAnsi="Arial" w:eastAsia="仿宋_GB2312" w:cs="Arial"/>
          <w:color w:val="auto"/>
          <w:sz w:val="28"/>
          <w:szCs w:val="28"/>
        </w:rPr>
        <w:t>年期修正系数的确定</w:t>
      </w:r>
    </w:p>
    <w:p w14:paraId="7EDB73B2">
      <w:pPr>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年期修正系数</w:t>
      </w:r>
      <w:r>
        <w:rPr>
          <w:rFonts w:hint="eastAsia" w:ascii="Arial" w:hAnsi="Arial" w:eastAsia="仿宋" w:cs="Arial"/>
          <w:color w:val="auto"/>
          <w:sz w:val="28"/>
          <w:szCs w:val="28"/>
        </w:rPr>
        <w:t>＝</w:t>
      </w:r>
      <w:r>
        <w:rPr>
          <w:rFonts w:ascii="Arial" w:hAnsi="Arial" w:eastAsia="仿宋" w:cs="Arial"/>
          <w:color w:val="auto"/>
          <w:sz w:val="28"/>
          <w:szCs w:val="28"/>
        </w:rPr>
        <w:t>（1－1</w:t>
      </w:r>
      <w:r>
        <w:rPr>
          <w:rFonts w:hint="eastAsia" w:ascii="Arial" w:hAnsi="Arial" w:eastAsia="仿宋" w:cs="Arial"/>
          <w:color w:val="auto"/>
          <w:sz w:val="28"/>
          <w:szCs w:val="28"/>
        </w:rPr>
        <w:t>÷</w:t>
      </w:r>
      <w:r>
        <w:rPr>
          <w:rFonts w:ascii="Arial" w:hAnsi="Arial" w:eastAsia="仿宋" w:cs="Arial"/>
          <w:color w:val="auto"/>
          <w:sz w:val="28"/>
          <w:szCs w:val="28"/>
        </w:rPr>
        <w:t>（1＋r）</w:t>
      </w:r>
      <w:r>
        <w:rPr>
          <w:rFonts w:ascii="Arial" w:hAnsi="Arial" w:eastAsia="仿宋" w:cs="Arial"/>
          <w:color w:val="auto"/>
          <w:sz w:val="28"/>
          <w:szCs w:val="28"/>
          <w:vertAlign w:val="superscript"/>
        </w:rPr>
        <w:t>n</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（1－1</w:t>
      </w:r>
      <w:r>
        <w:rPr>
          <w:rFonts w:hint="eastAsia" w:ascii="Arial" w:hAnsi="Arial" w:eastAsia="仿宋" w:cs="Arial"/>
          <w:color w:val="auto"/>
          <w:sz w:val="28"/>
          <w:szCs w:val="28"/>
        </w:rPr>
        <w:t>÷</w:t>
      </w:r>
      <w:r>
        <w:rPr>
          <w:rFonts w:ascii="Arial" w:hAnsi="Arial" w:eastAsia="仿宋" w:cs="Arial"/>
          <w:color w:val="auto"/>
          <w:sz w:val="28"/>
          <w:szCs w:val="28"/>
        </w:rPr>
        <w:t>（1＋r）</w:t>
      </w:r>
      <w:r>
        <w:rPr>
          <w:rFonts w:ascii="Arial" w:hAnsi="Arial" w:eastAsia="仿宋" w:cs="Arial"/>
          <w:color w:val="auto"/>
          <w:sz w:val="28"/>
          <w:szCs w:val="28"/>
          <w:vertAlign w:val="superscript"/>
        </w:rPr>
        <w:t>N</w:t>
      </w:r>
      <w:r>
        <w:rPr>
          <w:rFonts w:ascii="Arial" w:hAnsi="Arial" w:eastAsia="仿宋" w:cs="Arial"/>
          <w:color w:val="auto"/>
          <w:sz w:val="28"/>
          <w:szCs w:val="28"/>
        </w:rPr>
        <w:t>）</w:t>
      </w:r>
    </w:p>
    <w:p w14:paraId="66A6EA6F">
      <w:pPr>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其中：r</w:t>
      </w:r>
      <w:r>
        <w:rPr>
          <w:rFonts w:hint="eastAsia" w:ascii="Arial" w:hAnsi="Arial" w:eastAsia="仿宋" w:cs="Arial"/>
          <w:color w:val="auto"/>
          <w:sz w:val="28"/>
          <w:szCs w:val="28"/>
        </w:rPr>
        <w:t>－－－－</w:t>
      </w:r>
      <w:r>
        <w:rPr>
          <w:rFonts w:ascii="Arial" w:hAnsi="Arial" w:eastAsia="仿宋" w:cs="Arial"/>
          <w:color w:val="auto"/>
          <w:sz w:val="28"/>
          <w:szCs w:val="28"/>
        </w:rPr>
        <w:t>土地还原率</w:t>
      </w:r>
    </w:p>
    <w:p w14:paraId="53ADB30B">
      <w:pPr>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n</w:t>
      </w:r>
      <w:r>
        <w:rPr>
          <w:rFonts w:hint="eastAsia" w:ascii="Arial" w:hAnsi="Arial" w:eastAsia="仿宋" w:cs="Arial"/>
          <w:color w:val="auto"/>
          <w:sz w:val="28"/>
          <w:szCs w:val="28"/>
        </w:rPr>
        <w:t>－－－－</w:t>
      </w:r>
      <w:r>
        <w:rPr>
          <w:rFonts w:ascii="Arial" w:hAnsi="Arial" w:eastAsia="仿宋" w:cs="Arial"/>
          <w:color w:val="auto"/>
          <w:sz w:val="28"/>
          <w:szCs w:val="28"/>
        </w:rPr>
        <w:t>宗地剩余土地使用年限</w:t>
      </w:r>
    </w:p>
    <w:p w14:paraId="377BAA68">
      <w:pPr>
        <w:snapToGrid w:val="0"/>
        <w:spacing w:before="120" w:beforeLines="50" w:line="300" w:lineRule="auto"/>
        <w:ind w:firstLine="560" w:firstLineChars="200"/>
        <w:rPr>
          <w:rFonts w:ascii="Arial" w:hAnsi="Arial" w:eastAsia="仿宋_GB2312" w:cs="Arial"/>
          <w:color w:val="auto"/>
          <w:sz w:val="28"/>
          <w:szCs w:val="28"/>
        </w:rPr>
      </w:pPr>
      <w:r>
        <w:rPr>
          <w:rFonts w:ascii="Arial" w:hAnsi="Arial" w:eastAsia="仿宋" w:cs="Arial"/>
          <w:color w:val="auto"/>
          <w:sz w:val="28"/>
          <w:szCs w:val="28"/>
        </w:rPr>
        <w:t>N</w:t>
      </w:r>
      <w:r>
        <w:rPr>
          <w:rFonts w:hint="eastAsia" w:ascii="Arial" w:hAnsi="Arial" w:eastAsia="仿宋" w:cs="Arial"/>
          <w:color w:val="auto"/>
          <w:sz w:val="28"/>
          <w:szCs w:val="28"/>
        </w:rPr>
        <w:t>－－－－</w:t>
      </w:r>
      <w:r>
        <w:rPr>
          <w:rFonts w:ascii="Arial" w:hAnsi="Arial" w:eastAsia="仿宋" w:cs="Arial"/>
          <w:color w:val="auto"/>
          <w:sz w:val="28"/>
          <w:szCs w:val="28"/>
        </w:rPr>
        <w:t>基准地价规定的相应用途土地使用年限</w:t>
      </w:r>
    </w:p>
    <w:p w14:paraId="2F930648">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商业、办公、住宅、工业、公共服务用途的土地还原率原则上按同期 中国人民银行公布的一年期贷款利率分别上浮 25%、20%、15%、10%、15% 确定,且须分别不低于 5.5%、5.5%、5%、5%、5%,不高于 6.5%、6.5%、6%、 6%、6%。</w:t>
      </w:r>
    </w:p>
    <w:p w14:paraId="3C7A79AF">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⑦</w:t>
      </w:r>
      <w:r>
        <w:rPr>
          <w:rFonts w:ascii="Arial" w:hAnsi="Arial" w:eastAsia="仿宋_GB2312" w:cs="Arial"/>
          <w:color w:val="auto"/>
          <w:sz w:val="28"/>
          <w:szCs w:val="28"/>
        </w:rPr>
        <w:t>容积率（楼层）修正系数的确定</w:t>
      </w:r>
    </w:p>
    <w:p w14:paraId="7535AECC">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地上部分,按照自然资源管理部门给定的宗地地上容积率(R),查相应 的《容积率修正系数表》确定容积率修正系数。</w:t>
      </w:r>
    </w:p>
    <w:p w14:paraId="3EEB5613">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当R≥1</w:t>
      </w:r>
      <w:r>
        <w:rPr>
          <w:rFonts w:hint="eastAsia" w:ascii="Arial" w:hAnsi="Arial" w:eastAsia="仿宋_GB2312" w:cs="Arial"/>
          <w:color w:val="auto"/>
          <w:sz w:val="28"/>
          <w:szCs w:val="28"/>
        </w:rPr>
        <w:t>，</w:t>
      </w:r>
      <w:r>
        <w:rPr>
          <w:rFonts w:ascii="Arial" w:hAnsi="Arial" w:eastAsia="仿宋_GB2312" w:cs="Arial"/>
          <w:color w:val="auto"/>
          <w:sz w:val="28"/>
          <w:szCs w:val="28"/>
        </w:rPr>
        <w:t>R</w:t>
      </w:r>
      <w:r>
        <w:rPr>
          <w:rFonts w:ascii="Arial" w:hAnsi="Arial" w:eastAsia="仿宋_GB2312" w:cs="Arial"/>
          <w:color w:val="auto"/>
          <w:sz w:val="28"/>
          <w:szCs w:val="28"/>
          <w:vertAlign w:val="subscript"/>
        </w:rPr>
        <w:t>1</w:t>
      </w:r>
      <w:r>
        <w:rPr>
          <w:rFonts w:ascii="Arial" w:hAnsi="Arial" w:eastAsia="仿宋_GB2312" w:cs="Arial"/>
          <w:color w:val="auto"/>
          <w:sz w:val="28"/>
          <w:szCs w:val="28"/>
        </w:rPr>
        <w:t>&lt;R&lt;R</w:t>
      </w:r>
      <w:r>
        <w:rPr>
          <w:rFonts w:ascii="Arial" w:hAnsi="Arial" w:eastAsia="仿宋_GB2312" w:cs="Arial"/>
          <w:color w:val="auto"/>
          <w:sz w:val="28"/>
          <w:szCs w:val="28"/>
          <w:vertAlign w:val="subscript"/>
        </w:rPr>
        <w:t>2</w:t>
      </w:r>
      <w:r>
        <w:rPr>
          <w:color w:val="auto"/>
        </w:rPr>
        <w:t xml:space="preserve"> </w:t>
      </w:r>
      <w:r>
        <w:rPr>
          <w:rFonts w:ascii="Arial" w:hAnsi="Arial" w:eastAsia="仿宋_GB2312" w:cs="Arial"/>
          <w:color w:val="auto"/>
          <w:sz w:val="28"/>
          <w:szCs w:val="28"/>
        </w:rPr>
        <w:t>(R</w:t>
      </w:r>
      <w:r>
        <w:rPr>
          <w:rFonts w:ascii="Arial" w:hAnsi="Arial" w:eastAsia="仿宋_GB2312" w:cs="Arial"/>
          <w:color w:val="auto"/>
          <w:sz w:val="28"/>
          <w:szCs w:val="28"/>
          <w:vertAlign w:val="subscript"/>
        </w:rPr>
        <w:t>1</w:t>
      </w:r>
      <w:r>
        <w:rPr>
          <w:rFonts w:ascii="Arial" w:hAnsi="Arial" w:eastAsia="仿宋_GB2312" w:cs="Arial"/>
          <w:color w:val="auto"/>
          <w:sz w:val="28"/>
          <w:szCs w:val="28"/>
        </w:rPr>
        <w:t>、R</w:t>
      </w:r>
      <w:r>
        <w:rPr>
          <w:rFonts w:ascii="Arial" w:hAnsi="Arial" w:eastAsia="仿宋_GB2312" w:cs="Arial"/>
          <w:color w:val="auto"/>
          <w:sz w:val="28"/>
          <w:szCs w:val="28"/>
          <w:vertAlign w:val="subscript"/>
        </w:rPr>
        <w:t>2</w:t>
      </w:r>
      <w:r>
        <w:rPr>
          <w:rFonts w:ascii="Arial" w:hAnsi="Arial" w:eastAsia="仿宋_GB2312" w:cs="Arial"/>
          <w:color w:val="auto"/>
          <w:sz w:val="28"/>
          <w:szCs w:val="28"/>
        </w:rPr>
        <w:t>为容积率修正系数表所列的容积率)</w:t>
      </w:r>
      <w:r>
        <w:rPr>
          <w:color w:val="auto"/>
        </w:rPr>
        <w:t xml:space="preserve"> </w:t>
      </w:r>
      <w:r>
        <w:rPr>
          <w:rFonts w:ascii="Arial" w:hAnsi="Arial" w:eastAsia="仿宋_GB2312" w:cs="Arial"/>
          <w:color w:val="auto"/>
          <w:sz w:val="28"/>
          <w:szCs w:val="28"/>
        </w:rPr>
        <w:t>时,容积率修正系数计算公式为</w:t>
      </w:r>
      <w:r>
        <w:rPr>
          <w:rFonts w:hint="eastAsia" w:ascii="Arial" w:hAnsi="Arial" w:eastAsia="仿宋_GB2312" w:cs="Arial"/>
          <w:color w:val="auto"/>
          <w:sz w:val="28"/>
          <w:szCs w:val="28"/>
        </w:rPr>
        <w:t>：</w:t>
      </w:r>
      <w:r>
        <w:rPr>
          <w:rFonts w:ascii="Arial" w:hAnsi="Arial" w:eastAsia="仿宋_GB2312" w:cs="Arial"/>
          <w:color w:val="auto"/>
          <w:sz w:val="28"/>
          <w:szCs w:val="28"/>
        </w:rPr>
        <w:t>X＝X</w:t>
      </w:r>
      <w:r>
        <w:rPr>
          <w:rFonts w:ascii="Arial" w:hAnsi="Arial" w:eastAsia="仿宋_GB2312" w:cs="Arial"/>
          <w:color w:val="auto"/>
          <w:sz w:val="28"/>
          <w:szCs w:val="28"/>
          <w:vertAlign w:val="subscript"/>
        </w:rPr>
        <w:t xml:space="preserve">1 </w:t>
      </w:r>
      <w:r>
        <w:rPr>
          <w:rFonts w:ascii="Arial" w:hAnsi="Arial" w:eastAsia="仿宋_GB2312" w:cs="Arial"/>
          <w:color w:val="auto"/>
          <w:sz w:val="28"/>
          <w:szCs w:val="28"/>
        </w:rPr>
        <w:t>+(X</w:t>
      </w:r>
      <w:r>
        <w:rPr>
          <w:rFonts w:ascii="Arial" w:hAnsi="Arial" w:eastAsia="仿宋_GB2312" w:cs="Arial"/>
          <w:color w:val="auto"/>
          <w:sz w:val="28"/>
          <w:szCs w:val="28"/>
          <w:vertAlign w:val="subscript"/>
        </w:rPr>
        <w:t>2</w:t>
      </w:r>
      <w:r>
        <w:rPr>
          <w:rFonts w:ascii="Arial" w:hAnsi="Arial" w:eastAsia="仿宋_GB2312" w:cs="Arial"/>
          <w:color w:val="auto"/>
          <w:sz w:val="28"/>
          <w:szCs w:val="28"/>
        </w:rPr>
        <w:t>-X</w:t>
      </w:r>
      <w:r>
        <w:rPr>
          <w:rFonts w:ascii="Arial" w:hAnsi="Arial" w:eastAsia="仿宋_GB2312" w:cs="Arial"/>
          <w:color w:val="auto"/>
          <w:sz w:val="28"/>
          <w:szCs w:val="28"/>
          <w:vertAlign w:val="subscript"/>
        </w:rPr>
        <w:t>1</w:t>
      </w:r>
      <w:r>
        <w:rPr>
          <w:rFonts w:ascii="Arial" w:hAnsi="Arial" w:eastAsia="仿宋_GB2312" w:cs="Arial"/>
          <w:color w:val="auto"/>
          <w:sz w:val="28"/>
          <w:szCs w:val="28"/>
        </w:rPr>
        <w:t xml:space="preserve"> )×(R-R</w:t>
      </w:r>
      <w:r>
        <w:rPr>
          <w:rFonts w:ascii="Arial" w:hAnsi="Arial" w:eastAsia="仿宋_GB2312" w:cs="Arial"/>
          <w:color w:val="auto"/>
          <w:sz w:val="28"/>
          <w:szCs w:val="28"/>
          <w:vertAlign w:val="subscript"/>
        </w:rPr>
        <w:t>1</w:t>
      </w:r>
      <w:r>
        <w:rPr>
          <w:rFonts w:ascii="Arial" w:hAnsi="Arial" w:eastAsia="仿宋_GB2312" w:cs="Arial"/>
          <w:color w:val="auto"/>
          <w:sz w:val="28"/>
          <w:szCs w:val="28"/>
        </w:rPr>
        <w:t xml:space="preserve"> )/(R</w:t>
      </w:r>
      <w:r>
        <w:rPr>
          <w:rFonts w:ascii="Arial" w:hAnsi="Arial" w:eastAsia="仿宋_GB2312" w:cs="Arial"/>
          <w:color w:val="auto"/>
          <w:sz w:val="28"/>
          <w:szCs w:val="28"/>
          <w:vertAlign w:val="subscript"/>
        </w:rPr>
        <w:t>2</w:t>
      </w:r>
      <w:r>
        <w:rPr>
          <w:rFonts w:ascii="Arial" w:hAnsi="Arial" w:eastAsia="仿宋_GB2312" w:cs="Arial"/>
          <w:color w:val="auto"/>
          <w:sz w:val="28"/>
          <w:szCs w:val="28"/>
        </w:rPr>
        <w:t>-R</w:t>
      </w:r>
      <w:r>
        <w:rPr>
          <w:rFonts w:ascii="Arial" w:hAnsi="Arial" w:eastAsia="仿宋_GB2312" w:cs="Arial"/>
          <w:color w:val="auto"/>
          <w:sz w:val="28"/>
          <w:szCs w:val="28"/>
          <w:vertAlign w:val="subscript"/>
        </w:rPr>
        <w:t>1</w:t>
      </w:r>
      <w:r>
        <w:rPr>
          <w:rFonts w:ascii="Arial" w:hAnsi="Arial" w:eastAsia="仿宋_GB2312" w:cs="Arial"/>
          <w:color w:val="auto"/>
          <w:sz w:val="28"/>
          <w:szCs w:val="28"/>
        </w:rPr>
        <w:t xml:space="preserve"> )</w:t>
      </w:r>
      <w:r>
        <w:rPr>
          <w:rFonts w:hint="eastAsia" w:ascii="Arial" w:hAnsi="Arial" w:eastAsia="仿宋_GB2312" w:cs="Arial"/>
          <w:color w:val="auto"/>
          <w:sz w:val="28"/>
          <w:szCs w:val="28"/>
        </w:rPr>
        <w:t>，</w:t>
      </w:r>
      <w:r>
        <w:rPr>
          <w:rFonts w:ascii="Arial" w:hAnsi="Arial" w:eastAsia="仿宋_GB2312" w:cs="Arial"/>
          <w:color w:val="auto"/>
          <w:sz w:val="28"/>
          <w:szCs w:val="28"/>
        </w:rPr>
        <w:t>其中</w:t>
      </w:r>
      <w:r>
        <w:rPr>
          <w:rFonts w:hint="eastAsia" w:ascii="Arial" w:hAnsi="Arial" w:eastAsia="仿宋_GB2312" w:cs="Arial"/>
          <w:color w:val="auto"/>
          <w:sz w:val="28"/>
          <w:szCs w:val="28"/>
        </w:rPr>
        <w:t>，</w:t>
      </w:r>
      <w:r>
        <w:rPr>
          <w:rFonts w:ascii="Arial" w:hAnsi="Arial" w:eastAsia="仿宋_GB2312" w:cs="Arial"/>
          <w:color w:val="auto"/>
          <w:sz w:val="28"/>
          <w:szCs w:val="28"/>
        </w:rPr>
        <w:t>X</w:t>
      </w:r>
      <w:r>
        <w:rPr>
          <w:rFonts w:ascii="Arial" w:hAnsi="Arial" w:eastAsia="仿宋_GB2312" w:cs="Arial"/>
          <w:color w:val="auto"/>
          <w:sz w:val="28"/>
          <w:szCs w:val="28"/>
          <w:vertAlign w:val="subscript"/>
        </w:rPr>
        <w:t xml:space="preserve">1 </w:t>
      </w:r>
      <w:r>
        <w:rPr>
          <w:rFonts w:ascii="Arial" w:hAnsi="Arial" w:eastAsia="仿宋_GB2312" w:cs="Arial"/>
          <w:color w:val="auto"/>
          <w:sz w:val="28"/>
          <w:szCs w:val="28"/>
        </w:rPr>
        <w:t>是R</w:t>
      </w:r>
      <w:r>
        <w:rPr>
          <w:rFonts w:ascii="Arial" w:hAnsi="Arial" w:eastAsia="仿宋_GB2312" w:cs="Arial"/>
          <w:color w:val="auto"/>
          <w:sz w:val="28"/>
          <w:szCs w:val="28"/>
          <w:vertAlign w:val="subscript"/>
        </w:rPr>
        <w:t>1</w:t>
      </w:r>
      <w:r>
        <w:rPr>
          <w:rFonts w:ascii="Arial" w:hAnsi="Arial" w:eastAsia="仿宋_GB2312" w:cs="Arial"/>
          <w:color w:val="auto"/>
          <w:sz w:val="28"/>
          <w:szCs w:val="28"/>
        </w:rPr>
        <w:t xml:space="preserve"> 对应的容积率修正系数</w:t>
      </w:r>
      <w:r>
        <w:rPr>
          <w:rFonts w:hint="eastAsia" w:ascii="Arial" w:hAnsi="Arial" w:eastAsia="仿宋_GB2312" w:cs="Arial"/>
          <w:color w:val="auto"/>
          <w:sz w:val="28"/>
          <w:szCs w:val="28"/>
        </w:rPr>
        <w:t>；</w:t>
      </w:r>
      <w:r>
        <w:rPr>
          <w:rFonts w:ascii="Arial" w:hAnsi="Arial" w:eastAsia="仿宋_GB2312" w:cs="Arial"/>
          <w:color w:val="auto"/>
          <w:sz w:val="28"/>
          <w:szCs w:val="28"/>
        </w:rPr>
        <w:t>X</w:t>
      </w:r>
      <w:r>
        <w:rPr>
          <w:rFonts w:ascii="Arial" w:hAnsi="Arial" w:eastAsia="仿宋_GB2312" w:cs="Arial"/>
          <w:color w:val="auto"/>
          <w:sz w:val="28"/>
          <w:szCs w:val="28"/>
          <w:vertAlign w:val="subscript"/>
        </w:rPr>
        <w:t xml:space="preserve">2 </w:t>
      </w:r>
      <w:r>
        <w:rPr>
          <w:rFonts w:ascii="Arial" w:hAnsi="Arial" w:eastAsia="仿宋_GB2312" w:cs="Arial"/>
          <w:color w:val="auto"/>
          <w:sz w:val="28"/>
          <w:szCs w:val="28"/>
        </w:rPr>
        <w:t>是R</w:t>
      </w:r>
      <w:r>
        <w:rPr>
          <w:rFonts w:ascii="Arial" w:hAnsi="Arial" w:eastAsia="仿宋_GB2312" w:cs="Arial"/>
          <w:color w:val="auto"/>
          <w:sz w:val="28"/>
          <w:szCs w:val="28"/>
          <w:vertAlign w:val="subscript"/>
        </w:rPr>
        <w:t xml:space="preserve">2 </w:t>
      </w:r>
      <w:r>
        <w:rPr>
          <w:rFonts w:ascii="Arial" w:hAnsi="Arial" w:eastAsia="仿宋_GB2312" w:cs="Arial"/>
          <w:color w:val="auto"/>
          <w:sz w:val="28"/>
          <w:szCs w:val="28"/>
        </w:rPr>
        <w:t>对应的容积率修正系数。当R</w:t>
      </w:r>
      <w:r>
        <w:rPr>
          <w:color w:val="auto"/>
        </w:rPr>
        <w:t xml:space="preserve"> </w:t>
      </w:r>
      <w:r>
        <w:rPr>
          <w:rFonts w:ascii="Arial" w:hAnsi="Arial" w:eastAsia="仿宋_GB2312" w:cs="Arial"/>
          <w:color w:val="auto"/>
          <w:sz w:val="28"/>
          <w:szCs w:val="28"/>
        </w:rPr>
        <w:t>&lt;1</w:t>
      </w:r>
      <w:r>
        <w:rPr>
          <w:rFonts w:hint="eastAsia" w:ascii="Arial" w:hAnsi="Arial" w:eastAsia="仿宋_GB2312" w:cs="Arial"/>
          <w:color w:val="auto"/>
          <w:sz w:val="28"/>
          <w:szCs w:val="28"/>
        </w:rPr>
        <w:t>时，</w:t>
      </w:r>
      <w:r>
        <w:rPr>
          <w:rFonts w:ascii="Arial" w:hAnsi="Arial" w:eastAsia="仿宋_GB2312" w:cs="Arial"/>
          <w:color w:val="auto"/>
          <w:sz w:val="28"/>
          <w:szCs w:val="28"/>
        </w:rPr>
        <w:t>容积率按1.0进行计算。</w:t>
      </w:r>
    </w:p>
    <w:p w14:paraId="60FDBC13">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商业用途应选用楼层修正系数进行修正，查相应《商业用途楼层修正 系数表》确定楼层修正系数，不具备条件时可选用容积率修正系数。当R&lt;1时，容积率按1进行计算。</w:t>
      </w:r>
    </w:p>
    <w:p w14:paraId="03B5EA04">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地下部分包括地下商业、地下办公、地下仓储(及其他)、地下车库等用 途</w:t>
      </w:r>
      <w:r>
        <w:rPr>
          <w:rFonts w:hint="eastAsia" w:ascii="Arial" w:hAnsi="Arial" w:eastAsia="仿宋_GB2312" w:cs="Arial"/>
          <w:color w:val="auto"/>
          <w:sz w:val="28"/>
          <w:szCs w:val="28"/>
        </w:rPr>
        <w:t>，</w:t>
      </w:r>
      <w:r>
        <w:rPr>
          <w:rFonts w:ascii="Arial" w:hAnsi="Arial" w:eastAsia="仿宋_GB2312" w:cs="Arial"/>
          <w:color w:val="auto"/>
          <w:sz w:val="28"/>
          <w:szCs w:val="28"/>
        </w:rPr>
        <w:t>参照《北京市基准地价地下空间修正系数表》确定。</w:t>
      </w:r>
    </w:p>
    <w:p w14:paraId="7C0B92F6">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⑧</w:t>
      </w:r>
      <w:r>
        <w:rPr>
          <w:rFonts w:ascii="Arial" w:hAnsi="Arial" w:eastAsia="仿宋_GB2312" w:cs="Arial"/>
          <w:color w:val="auto"/>
          <w:sz w:val="28"/>
          <w:szCs w:val="28"/>
        </w:rPr>
        <w:t>因素修正系数的确定</w:t>
      </w:r>
    </w:p>
    <w:p w14:paraId="3748BB79">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因素修正系数是指除容积率(楼层)、期日、年期、用途之外的其他地价 影响因素的综合修正系数。参照《北京市基准地价因素修正系数表》,根据 宗地各种因素情况确定每种因素的修正系数,应用以下公式测算宗地因素修 正系数:</w:t>
      </w:r>
    </w:p>
    <w:p w14:paraId="50EFF3C3">
      <w:pPr>
        <w:adjustRightInd/>
        <w:spacing w:line="300" w:lineRule="auto"/>
        <w:ind w:firstLine="560" w:firstLineChars="200"/>
        <w:jc w:val="both"/>
        <w:rPr>
          <w:rFonts w:ascii="Arial" w:hAnsi="Arial" w:eastAsia="仿宋_GB2312" w:cs="Arial"/>
          <w:color w:val="auto"/>
          <w:sz w:val="28"/>
          <w:szCs w:val="28"/>
          <w:vertAlign w:val="subscript"/>
        </w:rPr>
      </w:pPr>
      <w:r>
        <w:rPr>
          <w:rFonts w:ascii="Arial" w:hAnsi="Arial" w:eastAsia="仿宋_GB2312" w:cs="Arial"/>
          <w:color w:val="auto"/>
          <w:sz w:val="28"/>
          <w:szCs w:val="28"/>
        </w:rPr>
        <w:t xml:space="preserve">因素修正系数 </w:t>
      </w:r>
      <w:r>
        <w:rPr>
          <w:rFonts w:hint="eastAsia" w:ascii="Arial" w:hAnsi="Arial" w:eastAsia="仿宋_GB2312" w:cs="Arial"/>
          <w:color w:val="auto"/>
          <w:sz w:val="28"/>
          <w:szCs w:val="28"/>
        </w:rPr>
        <w:sym w:font="Symbol" w:char="F03D"/>
      </w:r>
      <w:r>
        <w:rPr>
          <w:rFonts w:ascii="Arial" w:hAnsi="Arial" w:eastAsia="仿宋_GB2312" w:cs="Arial"/>
          <w:color w:val="auto"/>
          <w:sz w:val="28"/>
          <w:szCs w:val="28"/>
        </w:rPr>
        <w:t xml:space="preserve"> 1 </w:t>
      </w:r>
      <w:r>
        <w:rPr>
          <w:rFonts w:hint="eastAsia" w:ascii="Arial" w:hAnsi="Arial" w:eastAsia="仿宋_GB2312" w:cs="Arial"/>
          <w:color w:val="auto"/>
          <w:sz w:val="28"/>
          <w:szCs w:val="28"/>
        </w:rPr>
        <w:sym w:font="Symbol" w:char="F02B"/>
      </w:r>
      <w:r>
        <w:rPr>
          <w:rFonts w:ascii="Arial" w:hAnsi="Arial" w:eastAsia="仿宋_GB2312" w:cs="Arial"/>
          <w:color w:val="auto"/>
          <w:sz w:val="28"/>
          <w:szCs w:val="28"/>
        </w:rPr>
        <w:t xml:space="preserve"> </w:t>
      </w:r>
      <w:r>
        <w:rPr>
          <w:rFonts w:hint="eastAsia" w:ascii="Arial" w:hAnsi="Arial" w:eastAsia="仿宋_GB2312" w:cs="Arial"/>
          <w:color w:val="auto"/>
          <w:sz w:val="28"/>
          <w:szCs w:val="28"/>
        </w:rPr>
        <w:sym w:font="Symbol" w:char="F0E5"/>
      </w:r>
      <w:r>
        <w:rPr>
          <w:rFonts w:ascii="Arial" w:hAnsi="Arial" w:eastAsia="仿宋_GB2312" w:cs="Arial"/>
          <w:color w:val="auto"/>
          <w:sz w:val="28"/>
          <w:szCs w:val="28"/>
        </w:rPr>
        <w:t xml:space="preserve"> k</w:t>
      </w:r>
      <w:r>
        <w:rPr>
          <w:rFonts w:hint="eastAsia" w:ascii="Arial" w:hAnsi="Arial" w:eastAsia="仿宋_GB2312" w:cs="Arial"/>
          <w:color w:val="auto"/>
          <w:sz w:val="28"/>
          <w:szCs w:val="28"/>
          <w:vertAlign w:val="subscript"/>
        </w:rPr>
        <w:t>i</w:t>
      </w:r>
    </w:p>
    <w:p w14:paraId="059811E2">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各因素的修正系数根据影响地价的因素权重和因素总修正幅度确定。</w:t>
      </w:r>
    </w:p>
    <w:p w14:paraId="50037A0B">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⑨</w:t>
      </w:r>
      <w:r>
        <w:rPr>
          <w:rFonts w:ascii="Arial" w:hAnsi="Arial" w:eastAsia="仿宋_GB2312" w:cs="Arial"/>
          <w:color w:val="auto"/>
          <w:sz w:val="28"/>
          <w:szCs w:val="28"/>
        </w:rPr>
        <w:t>土地开发程度修正</w:t>
      </w:r>
    </w:p>
    <w:p w14:paraId="2CE0A1F9">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宗地土地开发程度与基准地价界定不一致时,需对适用的基准地价进行土地开发程度差异修正后作为下一步宗地地价评估的基准。</w:t>
      </w:r>
    </w:p>
    <w:p w14:paraId="12A93746">
      <w:pPr>
        <w:adjustRightInd/>
        <w:spacing w:line="300" w:lineRule="auto"/>
        <w:jc w:val="center"/>
        <w:rPr>
          <w:rFonts w:ascii="Arial" w:hAnsi="Arial" w:eastAsia="仿宋" w:cs="Arial"/>
          <w:bCs/>
          <w:color w:val="auto"/>
          <w:sz w:val="28"/>
          <w:szCs w:val="28"/>
        </w:rPr>
      </w:pPr>
      <w:r>
        <w:rPr>
          <w:rFonts w:ascii="Arial" w:hAnsi="Arial" w:eastAsia="仿宋" w:cs="Arial"/>
          <w:b/>
          <w:bCs/>
          <w:color w:val="auto"/>
          <w:sz w:val="28"/>
          <w:szCs w:val="28"/>
        </w:rPr>
        <w:t>基础设施建设费（土地开发费）</w:t>
      </w:r>
    </w:p>
    <w:p w14:paraId="6486FB0B">
      <w:pPr>
        <w:adjustRightInd/>
        <w:spacing w:line="240" w:lineRule="auto"/>
        <w:jc w:val="right"/>
        <w:rPr>
          <w:rFonts w:ascii="仿宋" w:hAnsi="仿宋" w:eastAsia="仿宋"/>
          <w:color w:val="auto"/>
          <w:sz w:val="21"/>
          <w:szCs w:val="21"/>
        </w:rPr>
      </w:pPr>
      <w:r>
        <w:rPr>
          <w:rFonts w:hint="eastAsia" w:ascii="仿宋" w:hAnsi="仿宋" w:eastAsia="仿宋" w:cs="宋体"/>
          <w:color w:val="auto"/>
          <w:sz w:val="21"/>
          <w:szCs w:val="21"/>
        </w:rPr>
        <w:t>单位：元/土地平方米</w:t>
      </w:r>
    </w:p>
    <w:tbl>
      <w:tblPr>
        <w:tblStyle w:val="34"/>
        <w:tblW w:w="9299" w:type="dxa"/>
        <w:jc w:val="center"/>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Layout w:type="fixed"/>
        <w:tblCellMar>
          <w:top w:w="57" w:type="dxa"/>
          <w:left w:w="57" w:type="dxa"/>
          <w:bottom w:w="57" w:type="dxa"/>
          <w:right w:w="57" w:type="dxa"/>
        </w:tblCellMar>
      </w:tblPr>
      <w:tblGrid>
        <w:gridCol w:w="1602"/>
        <w:gridCol w:w="856"/>
        <w:gridCol w:w="856"/>
        <w:gridCol w:w="855"/>
        <w:gridCol w:w="855"/>
        <w:gridCol w:w="855"/>
        <w:gridCol w:w="855"/>
        <w:gridCol w:w="855"/>
        <w:gridCol w:w="855"/>
        <w:gridCol w:w="855"/>
      </w:tblGrid>
      <w:tr w14:paraId="1FFF0E89">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l2br w:val="single" w:color="auto" w:sz="4" w:space="0"/>
            </w:tcBorders>
            <w:shd w:val="clear" w:color="auto" w:fill="auto"/>
            <w:noWrap/>
            <w:vAlign w:val="center"/>
          </w:tcPr>
          <w:p w14:paraId="0EB59B83">
            <w:pPr>
              <w:widowControl/>
              <w:adjustRightInd/>
              <w:spacing w:line="240" w:lineRule="exact"/>
              <w:ind w:firstLine="945" w:firstLineChars="450"/>
              <w:jc w:val="right"/>
              <w:textAlignment w:val="auto"/>
              <w:rPr>
                <w:rFonts w:ascii="Arial" w:hAnsi="Arial" w:eastAsia="仿宋" w:cs="Arial"/>
                <w:color w:val="auto"/>
                <w:sz w:val="21"/>
                <w:szCs w:val="21"/>
              </w:rPr>
            </w:pPr>
            <w:r>
              <w:rPr>
                <w:rFonts w:ascii="Arial" w:hAnsi="Arial" w:eastAsia="仿宋" w:cs="Arial"/>
                <w:color w:val="auto"/>
                <w:sz w:val="21"/>
                <w:szCs w:val="21"/>
              </w:rPr>
              <w:t>费用</w:t>
            </w:r>
          </w:p>
          <w:p w14:paraId="6E29AE7E">
            <w:pPr>
              <w:spacing w:line="240" w:lineRule="exact"/>
              <w:rPr>
                <w:rFonts w:ascii="Arial" w:hAnsi="Arial" w:eastAsia="仿宋" w:cs="Arial"/>
                <w:color w:val="auto"/>
                <w:sz w:val="21"/>
                <w:szCs w:val="21"/>
              </w:rPr>
            </w:pPr>
            <w:r>
              <w:rPr>
                <w:rFonts w:ascii="Arial" w:hAnsi="Arial" w:eastAsia="仿宋" w:cs="Arial"/>
                <w:color w:val="auto"/>
                <w:sz w:val="21"/>
                <w:szCs w:val="21"/>
              </w:rPr>
              <w:t>类别</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9EB291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通路</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3FC93B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通电</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9E96EF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通讯</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49FE09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通上水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F70CB8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通下水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94D58C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通热</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673CB2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通燃气</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4BDD68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平整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EE44BD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合计</w:t>
            </w:r>
          </w:p>
        </w:tc>
      </w:tr>
      <w:tr w14:paraId="7954F84E">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7B6FB7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一至二级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2B3B51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B7BFD0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3264D6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553489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E24FDF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886222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326728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855EDD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631F99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375</w:t>
            </w:r>
          </w:p>
        </w:tc>
      </w:tr>
      <w:tr w14:paraId="2A31428F">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863B2E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三至七级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390980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8DFC9C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DB3290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50E64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72EDCA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FF67D0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B73168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9DD39E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EE5302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315</w:t>
            </w:r>
          </w:p>
        </w:tc>
      </w:tr>
      <w:tr w14:paraId="6F0F44C9">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6AA29B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八至十二级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68E8F9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77DFF6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34FA58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13F065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71E646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C7083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1F952C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B2E378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058047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255</w:t>
            </w:r>
          </w:p>
        </w:tc>
      </w:tr>
    </w:tbl>
    <w:p w14:paraId="3ADA209F">
      <w:pPr>
        <w:widowControl/>
        <w:adjustRightInd/>
        <w:spacing w:line="240" w:lineRule="exact"/>
        <w:textAlignment w:val="auto"/>
        <w:rPr>
          <w:rFonts w:ascii="Arial" w:hAnsi="Arial" w:eastAsia="华文细黑" w:cs="宋体"/>
          <w:color w:val="auto"/>
          <w:sz w:val="18"/>
          <w:szCs w:val="24"/>
        </w:rPr>
      </w:pPr>
    </w:p>
    <w:p w14:paraId="032515BC">
      <w:pPr>
        <w:adjustRightInd/>
        <w:spacing w:line="300" w:lineRule="auto"/>
        <w:ind w:firstLine="560" w:firstLineChars="200"/>
        <w:jc w:val="both"/>
        <w:rPr>
          <w:rFonts w:ascii="Arial" w:hAnsi="Arial" w:eastAsia="仿宋_GB2312" w:cs="Arial"/>
          <w:color w:val="auto"/>
          <w:sz w:val="28"/>
          <w:szCs w:val="28"/>
        </w:rPr>
      </w:pPr>
      <w:r>
        <w:rPr>
          <w:rFonts w:ascii="Cambria Math" w:hAnsi="Cambria Math" w:eastAsia="仿宋_GB2312" w:cs="Cambria Math"/>
          <w:color w:val="auto"/>
          <w:sz w:val="28"/>
          <w:szCs w:val="28"/>
        </w:rPr>
        <w:t>⑩</w:t>
      </w:r>
      <w:r>
        <w:rPr>
          <w:rFonts w:ascii="Arial" w:hAnsi="Arial" w:eastAsia="仿宋_GB2312" w:cs="Arial"/>
          <w:color w:val="auto"/>
          <w:sz w:val="28"/>
          <w:szCs w:val="28"/>
        </w:rPr>
        <w:t>特殊情况修正</w:t>
      </w:r>
    </w:p>
    <w:p w14:paraId="4BFD11E6">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A、</w:t>
      </w:r>
      <w:r>
        <w:rPr>
          <w:rFonts w:ascii="Arial" w:hAnsi="Arial" w:eastAsia="仿宋_GB2312" w:cs="Arial"/>
          <w:color w:val="auto"/>
          <w:sz w:val="28"/>
          <w:szCs w:val="28"/>
        </w:rPr>
        <w:t>对于商业路线价加价幅度表中列示的商业街两侧的商业用地，需对适用的基准地价进行商业路线价特殊情况修正后作为下一步宗地地价评估的基准。</w:t>
      </w:r>
    </w:p>
    <w:p w14:paraId="70918AA3">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商业路线价修正公式为：</w:t>
      </w:r>
    </w:p>
    <w:p w14:paraId="21D65B4C">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P=P</w:t>
      </w:r>
      <w:r>
        <w:rPr>
          <w:rFonts w:ascii="Arial" w:hAnsi="Arial" w:eastAsia="仿宋_GB2312" w:cs="Arial"/>
          <w:color w:val="auto"/>
          <w:sz w:val="28"/>
          <w:szCs w:val="28"/>
          <w:vertAlign w:val="subscript"/>
        </w:rPr>
        <w:t>0</w:t>
      </w:r>
      <w:r>
        <w:rPr>
          <w:rFonts w:ascii="Arial" w:hAnsi="Arial" w:eastAsia="仿宋_GB2312" w:cs="Arial"/>
          <w:color w:val="auto"/>
          <w:sz w:val="28"/>
          <w:szCs w:val="28"/>
        </w:rPr>
        <w:t>（1+∑K</w:t>
      </w:r>
      <w:r>
        <w:rPr>
          <w:rFonts w:ascii="Arial" w:hAnsi="Arial" w:eastAsia="仿宋_GB2312" w:cs="Arial"/>
          <w:color w:val="auto"/>
          <w:sz w:val="28"/>
          <w:szCs w:val="28"/>
          <w:vertAlign w:val="subscript"/>
        </w:rPr>
        <w:t>u</w:t>
      </w:r>
      <w:r>
        <w:rPr>
          <w:rFonts w:hint="eastAsia" w:ascii="Arial" w:hAnsi="Arial" w:eastAsia="仿宋_GB2312" w:cs="Arial"/>
          <w:color w:val="auto"/>
          <w:sz w:val="28"/>
          <w:szCs w:val="28"/>
        </w:rPr>
        <w:t>）</w:t>
      </w:r>
    </w:p>
    <w:p w14:paraId="5C3F17E2">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K</w:t>
      </w:r>
      <w:r>
        <w:rPr>
          <w:rFonts w:ascii="Arial" w:hAnsi="Arial" w:eastAsia="仿宋_GB2312" w:cs="Arial"/>
          <w:color w:val="auto"/>
          <w:sz w:val="28"/>
          <w:szCs w:val="28"/>
          <w:vertAlign w:val="subscript"/>
        </w:rPr>
        <w:t>u</w:t>
      </w:r>
      <w:r>
        <w:rPr>
          <w:rFonts w:ascii="Arial" w:hAnsi="Arial" w:eastAsia="仿宋_GB2312" w:cs="Arial"/>
          <w:color w:val="auto"/>
          <w:sz w:val="28"/>
          <w:szCs w:val="28"/>
        </w:rPr>
        <w:t xml:space="preserve"> =（1.6A</w:t>
      </w:r>
      <w:r>
        <w:rPr>
          <w:rFonts w:ascii="Arial" w:hAnsi="Arial" w:eastAsia="仿宋_GB2312" w:cs="Arial"/>
          <w:color w:val="auto"/>
          <w:sz w:val="28"/>
          <w:szCs w:val="28"/>
          <w:vertAlign w:val="subscript"/>
        </w:rPr>
        <w:t>1</w:t>
      </w:r>
      <w:r>
        <w:rPr>
          <w:rFonts w:ascii="Arial" w:hAnsi="Arial" w:eastAsia="仿宋_GB2312" w:cs="Arial"/>
          <w:color w:val="auto"/>
          <w:sz w:val="28"/>
          <w:szCs w:val="28"/>
        </w:rPr>
        <w:t xml:space="preserve"> +1.2A</w:t>
      </w:r>
      <w:r>
        <w:rPr>
          <w:rFonts w:ascii="Arial" w:hAnsi="Arial" w:eastAsia="仿宋_GB2312" w:cs="Arial"/>
          <w:color w:val="auto"/>
          <w:sz w:val="28"/>
          <w:szCs w:val="28"/>
          <w:vertAlign w:val="subscript"/>
        </w:rPr>
        <w:t xml:space="preserve">2 </w:t>
      </w:r>
      <w:r>
        <w:rPr>
          <w:rFonts w:ascii="Arial" w:hAnsi="Arial" w:eastAsia="仿宋_GB2312" w:cs="Arial"/>
          <w:color w:val="auto"/>
          <w:sz w:val="28"/>
          <w:szCs w:val="28"/>
        </w:rPr>
        <w:t>+0.8A</w:t>
      </w:r>
      <w:r>
        <w:rPr>
          <w:rFonts w:ascii="Arial" w:hAnsi="Arial" w:eastAsia="仿宋_GB2312" w:cs="Arial"/>
          <w:color w:val="auto"/>
          <w:sz w:val="28"/>
          <w:szCs w:val="28"/>
          <w:vertAlign w:val="subscript"/>
        </w:rPr>
        <w:t>3</w:t>
      </w:r>
      <w:r>
        <w:rPr>
          <w:rFonts w:ascii="Arial" w:hAnsi="Arial" w:eastAsia="仿宋_GB2312" w:cs="Arial"/>
          <w:color w:val="auto"/>
          <w:sz w:val="28"/>
          <w:szCs w:val="28"/>
        </w:rPr>
        <w:t>+0.4A</w:t>
      </w:r>
      <w:r>
        <w:rPr>
          <w:rFonts w:ascii="Arial" w:hAnsi="Arial" w:eastAsia="仿宋_GB2312" w:cs="Arial"/>
          <w:color w:val="auto"/>
          <w:sz w:val="28"/>
          <w:szCs w:val="28"/>
          <w:vertAlign w:val="subscript"/>
        </w:rPr>
        <w:t xml:space="preserve">4 </w:t>
      </w:r>
      <w:r>
        <w:rPr>
          <w:rFonts w:ascii="Arial" w:hAnsi="Arial" w:eastAsia="仿宋_GB2312" w:cs="Arial"/>
          <w:color w:val="auto"/>
          <w:sz w:val="28"/>
          <w:szCs w:val="28"/>
        </w:rPr>
        <w:t>）×加价幅度</w:t>
      </w:r>
    </w:p>
    <w:p w14:paraId="1926D58B">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其中:P—适用的基准地价</w:t>
      </w:r>
    </w:p>
    <w:p w14:paraId="62328746">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P</w:t>
      </w:r>
      <w:r>
        <w:rPr>
          <w:rFonts w:ascii="Arial" w:hAnsi="Arial" w:eastAsia="仿宋_GB2312" w:cs="Arial"/>
          <w:color w:val="auto"/>
          <w:sz w:val="28"/>
          <w:szCs w:val="28"/>
          <w:vertAlign w:val="subscript"/>
        </w:rPr>
        <w:t xml:space="preserve">0 </w:t>
      </w:r>
      <w:r>
        <w:rPr>
          <w:rFonts w:ascii="Arial" w:hAnsi="Arial" w:eastAsia="仿宋_GB2312" w:cs="Arial"/>
          <w:color w:val="auto"/>
          <w:sz w:val="28"/>
          <w:szCs w:val="28"/>
        </w:rPr>
        <w:t>—宗地所在区片基准地价</w:t>
      </w:r>
    </w:p>
    <w:p w14:paraId="3376323F">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K</w:t>
      </w:r>
      <w:r>
        <w:rPr>
          <w:rFonts w:ascii="Arial" w:hAnsi="Arial" w:eastAsia="仿宋_GB2312" w:cs="Arial"/>
          <w:color w:val="auto"/>
          <w:sz w:val="28"/>
          <w:szCs w:val="28"/>
          <w:vertAlign w:val="subscript"/>
        </w:rPr>
        <w:t xml:space="preserve">u </w:t>
      </w:r>
      <w:r>
        <w:rPr>
          <w:rFonts w:ascii="Arial" w:hAnsi="Arial" w:eastAsia="仿宋_GB2312" w:cs="Arial"/>
          <w:color w:val="auto"/>
          <w:sz w:val="28"/>
          <w:szCs w:val="28"/>
        </w:rPr>
        <w:t>—商业路线价修正幅度</w:t>
      </w:r>
    </w:p>
    <w:p w14:paraId="06466040">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A</w:t>
      </w:r>
      <w:r>
        <w:rPr>
          <w:rFonts w:ascii="Arial" w:hAnsi="Arial" w:eastAsia="仿宋_GB2312" w:cs="Arial"/>
          <w:color w:val="auto"/>
          <w:sz w:val="28"/>
          <w:szCs w:val="28"/>
          <w:vertAlign w:val="subscript"/>
        </w:rPr>
        <w:t xml:space="preserve">1 </w:t>
      </w:r>
      <w:r>
        <w:rPr>
          <w:rFonts w:ascii="Arial" w:hAnsi="Arial" w:eastAsia="仿宋_GB2312" w:cs="Arial"/>
          <w:color w:val="auto"/>
          <w:sz w:val="28"/>
          <w:szCs w:val="28"/>
        </w:rPr>
        <w:t>—临商业街红线1/4标准深度占地面积/宗地总面积</w:t>
      </w:r>
    </w:p>
    <w:p w14:paraId="5A037899">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A</w:t>
      </w:r>
      <w:r>
        <w:rPr>
          <w:rFonts w:ascii="Arial" w:hAnsi="Arial" w:eastAsia="仿宋_GB2312" w:cs="Arial"/>
          <w:color w:val="auto"/>
          <w:sz w:val="28"/>
          <w:szCs w:val="28"/>
          <w:vertAlign w:val="subscript"/>
        </w:rPr>
        <w:t>2</w:t>
      </w:r>
      <w:r>
        <w:rPr>
          <w:rFonts w:ascii="Arial" w:hAnsi="Arial" w:eastAsia="仿宋_GB2312" w:cs="Arial"/>
          <w:color w:val="auto"/>
          <w:sz w:val="28"/>
          <w:szCs w:val="28"/>
        </w:rPr>
        <w:t xml:space="preserve"> —临商业街红线1/4至2/4标准深度占地面积/宗地总面积</w:t>
      </w:r>
    </w:p>
    <w:p w14:paraId="05D965B5">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A</w:t>
      </w:r>
      <w:r>
        <w:rPr>
          <w:rFonts w:ascii="Arial" w:hAnsi="Arial" w:eastAsia="仿宋_GB2312" w:cs="Arial"/>
          <w:color w:val="auto"/>
          <w:sz w:val="28"/>
          <w:szCs w:val="28"/>
          <w:vertAlign w:val="subscript"/>
        </w:rPr>
        <w:t>3</w:t>
      </w:r>
      <w:r>
        <w:rPr>
          <w:rFonts w:ascii="Arial" w:hAnsi="Arial" w:eastAsia="仿宋_GB2312" w:cs="Arial"/>
          <w:color w:val="auto"/>
          <w:sz w:val="28"/>
          <w:szCs w:val="28"/>
        </w:rPr>
        <w:t xml:space="preserve"> —临商业街红线2/4至3/4标准深度占地面积/宗地总面积</w:t>
      </w:r>
    </w:p>
    <w:p w14:paraId="06919DA6">
      <w:pPr>
        <w:adjustRightInd/>
        <w:spacing w:line="300" w:lineRule="auto"/>
        <w:ind w:left="560"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A</w:t>
      </w:r>
      <w:r>
        <w:rPr>
          <w:rFonts w:ascii="Arial" w:hAnsi="Arial" w:eastAsia="仿宋_GB2312" w:cs="Arial"/>
          <w:color w:val="auto"/>
          <w:sz w:val="28"/>
          <w:szCs w:val="28"/>
          <w:vertAlign w:val="subscript"/>
        </w:rPr>
        <w:t>4</w:t>
      </w:r>
      <w:r>
        <w:rPr>
          <w:rFonts w:ascii="Arial" w:hAnsi="Arial" w:eastAsia="仿宋_GB2312" w:cs="Arial"/>
          <w:color w:val="auto"/>
          <w:sz w:val="28"/>
          <w:szCs w:val="28"/>
        </w:rPr>
        <w:t xml:space="preserve"> —临商业街红线3/4至4/4标准深度占地面积/宗地总面积</w:t>
      </w:r>
    </w:p>
    <w:p w14:paraId="7A8BD5F0">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临两条以上商业街的，其商业路线价修正幅度分别计算，并加总求和。</w:t>
      </w:r>
    </w:p>
    <w:p w14:paraId="35CB78B1">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B、轨道交通站点500米范围内的办公用地</w:t>
      </w:r>
      <w:r>
        <w:rPr>
          <w:rFonts w:hint="eastAsia" w:ascii="Arial" w:hAnsi="Arial" w:eastAsia="仿宋_GB2312" w:cs="Arial"/>
          <w:color w:val="auto"/>
          <w:sz w:val="28"/>
          <w:szCs w:val="28"/>
        </w:rPr>
        <w:t>，</w:t>
      </w:r>
      <w:r>
        <w:rPr>
          <w:rFonts w:ascii="Arial" w:hAnsi="Arial" w:eastAsia="仿宋_GB2312" w:cs="Arial"/>
          <w:color w:val="auto"/>
          <w:sz w:val="28"/>
          <w:szCs w:val="28"/>
        </w:rPr>
        <w:t>需对适用的基准地价进行特殊情况修正后作为下一步宗地地价评估的基准</w:t>
      </w:r>
      <w:r>
        <w:rPr>
          <w:rFonts w:hint="eastAsia" w:ascii="Arial" w:hAnsi="Arial" w:eastAsia="仿宋_GB2312" w:cs="Arial"/>
          <w:color w:val="auto"/>
          <w:sz w:val="28"/>
          <w:szCs w:val="28"/>
        </w:rPr>
        <w:t>，</w:t>
      </w:r>
      <w:r>
        <w:rPr>
          <w:rFonts w:ascii="Arial" w:hAnsi="Arial" w:eastAsia="仿宋_GB2312" w:cs="Arial"/>
          <w:color w:val="auto"/>
          <w:sz w:val="28"/>
          <w:szCs w:val="28"/>
        </w:rPr>
        <w:t>500米范围内修正系数为1.00-1.05。</w:t>
      </w:r>
    </w:p>
    <w:p w14:paraId="3AED0ECA">
      <w:pPr>
        <w:adjustRightInd/>
        <w:spacing w:line="300" w:lineRule="auto"/>
        <w:ind w:firstLine="560" w:firstLineChars="200"/>
        <w:jc w:val="both"/>
        <w:rPr>
          <w:rFonts w:ascii="Arial" w:hAnsi="Arial" w:eastAsia="仿宋_GB2312" w:cs="Arial"/>
          <w:b/>
          <w:bCs/>
          <w:color w:val="auto"/>
          <w:sz w:val="28"/>
          <w:szCs w:val="28"/>
        </w:rPr>
      </w:pPr>
      <w:r>
        <w:rPr>
          <w:rFonts w:ascii="Arial" w:hAnsi="Arial" w:eastAsia="仿宋_GB2312" w:cs="Arial"/>
          <w:color w:val="auto"/>
          <w:sz w:val="28"/>
          <w:szCs w:val="28"/>
        </w:rPr>
        <w:t>C、公园、水系、轨道交通站点1500米范围内的住宅用地</w:t>
      </w:r>
      <w:r>
        <w:rPr>
          <w:rFonts w:hint="eastAsia" w:ascii="Arial" w:hAnsi="Arial" w:eastAsia="仿宋_GB2312" w:cs="Arial"/>
          <w:color w:val="auto"/>
          <w:sz w:val="28"/>
          <w:szCs w:val="28"/>
        </w:rPr>
        <w:t>，</w:t>
      </w:r>
      <w:r>
        <w:rPr>
          <w:rFonts w:ascii="Arial" w:hAnsi="Arial" w:eastAsia="仿宋_GB2312" w:cs="Arial"/>
          <w:color w:val="auto"/>
          <w:sz w:val="28"/>
          <w:szCs w:val="28"/>
        </w:rPr>
        <w:t>需对适用的基准地价进行特殊情况修正后作为下一步宗地地价评估的基准。同时需进行多种特殊情况修正的,将各特殊情况修正系数进行连乘。</w:t>
      </w:r>
    </w:p>
    <w:p w14:paraId="31E57EFD">
      <w:pPr>
        <w:adjustRightInd/>
        <w:spacing w:line="300" w:lineRule="auto"/>
        <w:jc w:val="center"/>
        <w:rPr>
          <w:rFonts w:ascii="Arial" w:hAnsi="Arial" w:eastAsia="仿宋_GB2312" w:cs="Arial"/>
          <w:b/>
          <w:bCs/>
          <w:color w:val="auto"/>
          <w:sz w:val="28"/>
          <w:szCs w:val="28"/>
        </w:rPr>
      </w:pPr>
      <w:r>
        <w:rPr>
          <w:rFonts w:ascii="Arial" w:hAnsi="Arial" w:eastAsia="仿宋_GB2312" w:cs="Arial"/>
          <w:b/>
          <w:bCs/>
          <w:color w:val="auto"/>
          <w:sz w:val="28"/>
          <w:szCs w:val="28"/>
        </w:rPr>
        <w:t>住宅用地特殊情况修正系数</w:t>
      </w:r>
    </w:p>
    <w:tbl>
      <w:tblPr>
        <w:tblStyle w:val="34"/>
        <w:tblW w:w="9299" w:type="dxa"/>
        <w:jc w:val="center"/>
        <w:tblLayout w:type="fixed"/>
        <w:tblCellMar>
          <w:top w:w="57" w:type="dxa"/>
          <w:left w:w="57" w:type="dxa"/>
          <w:bottom w:w="57" w:type="dxa"/>
          <w:right w:w="57" w:type="dxa"/>
        </w:tblCellMar>
      </w:tblPr>
      <w:tblGrid>
        <w:gridCol w:w="1135"/>
        <w:gridCol w:w="1276"/>
        <w:gridCol w:w="1276"/>
        <w:gridCol w:w="1870"/>
        <w:gridCol w:w="1871"/>
        <w:gridCol w:w="1871"/>
      </w:tblGrid>
      <w:tr w14:paraId="4B026336">
        <w:tblPrEx>
          <w:tblCellMar>
            <w:top w:w="57" w:type="dxa"/>
            <w:left w:w="57" w:type="dxa"/>
            <w:bottom w:w="57" w:type="dxa"/>
            <w:right w:w="57" w:type="dxa"/>
          </w:tblCellMar>
        </w:tblPrEx>
        <w:trPr>
          <w:cantSplit/>
          <w:jc w:val="center"/>
        </w:trPr>
        <w:tc>
          <w:tcPr>
            <w:tcW w:w="1135"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787758D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特殊情况</w:t>
            </w:r>
          </w:p>
        </w:tc>
        <w:tc>
          <w:tcPr>
            <w:tcW w:w="1276"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40BEEE2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公园</w:t>
            </w:r>
          </w:p>
        </w:tc>
        <w:tc>
          <w:tcPr>
            <w:tcW w:w="1276"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52A8597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水系</w:t>
            </w:r>
          </w:p>
        </w:tc>
        <w:tc>
          <w:tcPr>
            <w:tcW w:w="1870"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74BE920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轨道交通站点周边</w:t>
            </w:r>
          </w:p>
          <w:p w14:paraId="5C0ED6C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（500米范围内）</w:t>
            </w:r>
          </w:p>
        </w:tc>
        <w:tc>
          <w:tcPr>
            <w:tcW w:w="1871" w:type="dxa"/>
            <w:tcBorders>
              <w:top w:val="single" w:color="404040" w:sz="2" w:space="0"/>
              <w:left w:val="single" w:color="404040" w:sz="2" w:space="0"/>
              <w:bottom w:val="single" w:color="404040" w:sz="2" w:space="0"/>
              <w:right w:val="single" w:color="404040" w:sz="2" w:space="0"/>
            </w:tcBorders>
            <w:shd w:val="clear" w:color="auto" w:fill="auto"/>
            <w:vAlign w:val="center"/>
          </w:tcPr>
          <w:p w14:paraId="36B6C81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轨道交通站点周边</w:t>
            </w:r>
          </w:p>
          <w:p w14:paraId="372C837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（500</w:t>
            </w:r>
            <w:r>
              <w:rPr>
                <w:rFonts w:hint="eastAsia" w:ascii="Arial" w:hAnsi="Arial" w:eastAsia="仿宋" w:cs="Arial"/>
                <w:color w:val="auto"/>
                <w:sz w:val="21"/>
                <w:szCs w:val="21"/>
              </w:rPr>
              <w:t>－</w:t>
            </w:r>
            <w:r>
              <w:rPr>
                <w:rFonts w:ascii="Arial" w:hAnsi="Arial" w:eastAsia="仿宋" w:cs="Arial"/>
                <w:color w:val="auto"/>
                <w:sz w:val="21"/>
                <w:szCs w:val="21"/>
              </w:rPr>
              <w:t>1000米）</w:t>
            </w:r>
          </w:p>
        </w:tc>
        <w:tc>
          <w:tcPr>
            <w:tcW w:w="1871" w:type="dxa"/>
            <w:tcBorders>
              <w:top w:val="single" w:color="404040" w:sz="2" w:space="0"/>
              <w:left w:val="single" w:color="404040" w:sz="2" w:space="0"/>
              <w:bottom w:val="single" w:color="404040" w:sz="2" w:space="0"/>
              <w:right w:val="single" w:color="404040" w:sz="2" w:space="0"/>
            </w:tcBorders>
            <w:shd w:val="clear" w:color="auto" w:fill="auto"/>
            <w:vAlign w:val="center"/>
          </w:tcPr>
          <w:p w14:paraId="63C9FB6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轨道交通站点周边（1000</w:t>
            </w:r>
            <w:r>
              <w:rPr>
                <w:rFonts w:hint="eastAsia" w:ascii="Arial" w:hAnsi="Arial" w:eastAsia="仿宋" w:cs="Arial"/>
                <w:color w:val="auto"/>
                <w:sz w:val="21"/>
                <w:szCs w:val="21"/>
              </w:rPr>
              <w:t>－</w:t>
            </w:r>
            <w:r>
              <w:rPr>
                <w:rFonts w:ascii="Arial" w:hAnsi="Arial" w:eastAsia="仿宋" w:cs="Arial"/>
                <w:color w:val="auto"/>
                <w:sz w:val="21"/>
                <w:szCs w:val="21"/>
              </w:rPr>
              <w:t>1500米）</w:t>
            </w:r>
          </w:p>
        </w:tc>
      </w:tr>
      <w:tr w14:paraId="571087CB">
        <w:tblPrEx>
          <w:tblCellMar>
            <w:top w:w="57" w:type="dxa"/>
            <w:left w:w="57" w:type="dxa"/>
            <w:bottom w:w="57" w:type="dxa"/>
            <w:right w:w="57" w:type="dxa"/>
          </w:tblCellMar>
        </w:tblPrEx>
        <w:trPr>
          <w:cantSplit/>
          <w:jc w:val="center"/>
        </w:trPr>
        <w:tc>
          <w:tcPr>
            <w:tcW w:w="1135"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38FC921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修正系数</w:t>
            </w:r>
          </w:p>
        </w:tc>
        <w:tc>
          <w:tcPr>
            <w:tcW w:w="1276"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621D2F0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1.1~1.15</w:t>
            </w:r>
          </w:p>
        </w:tc>
        <w:tc>
          <w:tcPr>
            <w:tcW w:w="1276"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3BB4439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1.05~1.1</w:t>
            </w:r>
          </w:p>
        </w:tc>
        <w:tc>
          <w:tcPr>
            <w:tcW w:w="1870"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21AF54D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1.1~1.15</w:t>
            </w:r>
          </w:p>
        </w:tc>
        <w:tc>
          <w:tcPr>
            <w:tcW w:w="1871"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583B338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1.05~1.1</w:t>
            </w:r>
          </w:p>
        </w:tc>
        <w:tc>
          <w:tcPr>
            <w:tcW w:w="1871"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386AFF3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1~1.05</w:t>
            </w:r>
          </w:p>
        </w:tc>
      </w:tr>
    </w:tbl>
    <w:p w14:paraId="1F8118BC">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住宅用地周边存在对地价有较大影响的其他特殊情况(如大型博物馆、文体设施、优等教育资源、垃圾填埋场、污水处理厂、殡葬场等),可视影响程度进行其他特殊情况修正,总修正幅度不得超过±10%。</w:t>
      </w:r>
    </w:p>
    <w:p w14:paraId="6BE2BFE9">
      <w:pPr>
        <w:adjustRightInd/>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D、对于建成后限定物业自持的商业、办公、住宅类用地</w:t>
      </w:r>
      <w:r>
        <w:rPr>
          <w:rFonts w:hint="eastAsia" w:ascii="Arial" w:hAnsi="Arial" w:eastAsia="仿宋_GB2312" w:cs="Arial"/>
          <w:color w:val="auto"/>
          <w:sz w:val="28"/>
          <w:szCs w:val="28"/>
        </w:rPr>
        <w:t>，</w:t>
      </w:r>
      <w:r>
        <w:rPr>
          <w:rFonts w:ascii="Arial" w:hAnsi="Arial" w:eastAsia="仿宋_GB2312" w:cs="Arial"/>
          <w:color w:val="auto"/>
          <w:sz w:val="28"/>
          <w:szCs w:val="28"/>
        </w:rPr>
        <w:t>需对适用的基准地价进行特殊情况修正后作为下一步宗地地价评估的基准</w:t>
      </w:r>
      <w:r>
        <w:rPr>
          <w:rFonts w:hint="eastAsia" w:ascii="Arial" w:hAnsi="Arial" w:eastAsia="仿宋_GB2312" w:cs="Arial"/>
          <w:color w:val="auto"/>
          <w:sz w:val="28"/>
          <w:szCs w:val="28"/>
        </w:rPr>
        <w:t>，</w:t>
      </w:r>
      <w:r>
        <w:rPr>
          <w:rFonts w:ascii="Arial" w:hAnsi="Arial" w:eastAsia="仿宋_GB2312" w:cs="Arial"/>
          <w:color w:val="auto"/>
          <w:sz w:val="28"/>
          <w:szCs w:val="28"/>
        </w:rPr>
        <w:t>对于全面积、全出让年期自持的，总修正幅度不得超过-20%</w:t>
      </w:r>
      <w:r>
        <w:rPr>
          <w:rFonts w:hint="eastAsia" w:ascii="Arial" w:hAnsi="Arial" w:eastAsia="仿宋_GB2312" w:cs="Arial"/>
          <w:color w:val="auto"/>
          <w:sz w:val="28"/>
          <w:szCs w:val="28"/>
        </w:rPr>
        <w:t>，</w:t>
      </w:r>
      <w:r>
        <w:rPr>
          <w:rFonts w:ascii="Arial" w:hAnsi="Arial" w:eastAsia="仿宋_GB2312" w:cs="Arial"/>
          <w:color w:val="auto"/>
          <w:sz w:val="28"/>
          <w:szCs w:val="28"/>
        </w:rPr>
        <w:t>非全部建筑面积自持的</w:t>
      </w:r>
      <w:r>
        <w:rPr>
          <w:rFonts w:hint="eastAsia" w:ascii="Arial" w:hAnsi="Arial" w:eastAsia="仿宋_GB2312" w:cs="Arial"/>
          <w:color w:val="auto"/>
          <w:sz w:val="28"/>
          <w:szCs w:val="28"/>
        </w:rPr>
        <w:t>，</w:t>
      </w:r>
      <w:r>
        <w:rPr>
          <w:rFonts w:ascii="Arial" w:hAnsi="Arial" w:eastAsia="仿宋_GB2312" w:cs="Arial"/>
          <w:color w:val="auto"/>
          <w:sz w:val="28"/>
          <w:szCs w:val="28"/>
        </w:rPr>
        <w:t>按自持面积所占比例进行修正</w:t>
      </w:r>
      <w:r>
        <w:rPr>
          <w:rFonts w:hint="eastAsia" w:ascii="Arial" w:hAnsi="Arial" w:eastAsia="仿宋_GB2312" w:cs="Arial"/>
          <w:color w:val="auto"/>
          <w:sz w:val="28"/>
          <w:szCs w:val="28"/>
        </w:rPr>
        <w:t>，</w:t>
      </w:r>
      <w:r>
        <w:rPr>
          <w:rFonts w:ascii="Arial" w:hAnsi="Arial" w:eastAsia="仿宋_GB2312" w:cs="Arial"/>
          <w:color w:val="auto"/>
          <w:sz w:val="28"/>
          <w:szCs w:val="28"/>
        </w:rPr>
        <w:t>出让后在一定年限内自持的</w:t>
      </w:r>
      <w:r>
        <w:rPr>
          <w:rFonts w:hint="eastAsia" w:ascii="Arial" w:hAnsi="Arial" w:eastAsia="仿宋_GB2312" w:cs="Arial"/>
          <w:color w:val="auto"/>
          <w:sz w:val="28"/>
          <w:szCs w:val="28"/>
        </w:rPr>
        <w:t>，</w:t>
      </w:r>
      <w:r>
        <w:rPr>
          <w:rFonts w:ascii="Arial" w:hAnsi="Arial" w:eastAsia="仿宋_GB2312" w:cs="Arial"/>
          <w:color w:val="auto"/>
          <w:sz w:val="28"/>
          <w:szCs w:val="28"/>
        </w:rPr>
        <w:t>按自持年限进行年期修正。</w:t>
      </w:r>
    </w:p>
    <w:p w14:paraId="0AD6E845">
      <w:pPr>
        <w:adjustRightInd/>
        <w:snapToGrid w:val="0"/>
        <w:spacing w:line="300" w:lineRule="auto"/>
        <w:ind w:firstLine="560" w:firstLineChars="200"/>
        <w:textAlignment w:val="auto"/>
        <w:rPr>
          <w:rFonts w:ascii="Arial" w:hAnsi="Arial" w:eastAsia="仿宋_GB2312" w:cs="Arial"/>
          <w:b/>
          <w:bCs/>
          <w:color w:val="auto"/>
          <w:sz w:val="28"/>
        </w:rPr>
      </w:pPr>
      <w:r>
        <w:rPr>
          <w:rFonts w:ascii="Arial" w:hAnsi="Arial" w:eastAsia="仿宋_GB2312" w:cs="Arial"/>
          <w:color w:val="auto"/>
          <w:sz w:val="28"/>
          <w:szCs w:val="28"/>
        </w:rPr>
        <w:t>修正幅度＝自持年期修正系数×自持面积占总面积比例×(-20%)</w:t>
      </w:r>
    </w:p>
    <w:p w14:paraId="72CAEF5A">
      <w:pPr>
        <w:spacing w:line="300" w:lineRule="auto"/>
        <w:ind w:firstLine="562" w:firstLineChars="200"/>
        <w:jc w:val="both"/>
        <w:rPr>
          <w:rFonts w:ascii="Arial" w:hAnsi="Arial" w:eastAsia="仿宋_GB2312" w:cs="Arial"/>
          <w:b/>
          <w:bCs/>
          <w:color w:val="auto"/>
          <w:sz w:val="28"/>
        </w:rPr>
      </w:pPr>
      <w:r>
        <w:rPr>
          <w:rFonts w:hint="eastAsia" w:ascii="Arial" w:hAnsi="Arial" w:eastAsia="仿宋_GB2312" w:cs="Arial"/>
          <w:b/>
          <w:bCs/>
          <w:color w:val="auto"/>
          <w:sz w:val="28"/>
        </w:rPr>
        <w:t>（3）</w:t>
      </w:r>
      <w:r>
        <w:rPr>
          <w:rFonts w:ascii="Arial" w:hAnsi="Arial" w:eastAsia="仿宋_GB2312" w:cs="Arial"/>
          <w:b/>
          <w:bCs/>
          <w:color w:val="auto"/>
          <w:sz w:val="28"/>
        </w:rPr>
        <w:t xml:space="preserve"> </w:t>
      </w:r>
      <w:r>
        <w:rPr>
          <w:rFonts w:hint="eastAsia" w:ascii="Arial" w:hAnsi="Arial" w:eastAsia="仿宋_GB2312" w:cs="Arial"/>
          <w:b/>
          <w:bCs/>
          <w:color w:val="auto"/>
          <w:sz w:val="28"/>
        </w:rPr>
        <w:t>基准地价系数修正法测算过程</w:t>
      </w:r>
    </w:p>
    <w:p w14:paraId="71C52D91">
      <w:pPr>
        <w:spacing w:line="300" w:lineRule="auto"/>
        <w:ind w:firstLine="562" w:firstLineChars="200"/>
        <w:jc w:val="both"/>
        <w:rPr>
          <w:rFonts w:ascii="Arial" w:hAnsi="Arial" w:eastAsia="仿宋" w:cs="Arial"/>
          <w:b/>
          <w:bCs/>
          <w:color w:val="auto"/>
          <w:sz w:val="28"/>
        </w:rPr>
      </w:pPr>
      <w:r>
        <w:rPr>
          <w:rFonts w:hint="eastAsia" w:ascii="Arial" w:hAnsi="Arial" w:eastAsia="仿宋_GB2312" w:cs="Arial"/>
          <w:b/>
          <w:bCs/>
          <w:color w:val="auto"/>
          <w:sz w:val="28"/>
        </w:rPr>
        <w:t>1）城镇住宅用地基准地价系数修正法测算过程</w:t>
      </w:r>
    </w:p>
    <w:p w14:paraId="00C049E9">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A.</w:t>
      </w:r>
      <w:r>
        <w:rPr>
          <w:rFonts w:ascii="Arial" w:hAnsi="Arial" w:eastAsia="仿宋" w:cs="Arial"/>
          <w:color w:val="auto"/>
          <w:sz w:val="28"/>
          <w:szCs w:val="28"/>
        </w:rPr>
        <w:t xml:space="preserve"> 有关北京市基准地价的说明</w:t>
      </w:r>
    </w:p>
    <w:p w14:paraId="0085B22C">
      <w:pPr>
        <w:pStyle w:val="11"/>
        <w:overflowPunct w:val="0"/>
        <w:snapToGrid w:val="0"/>
        <w:spacing w:line="300" w:lineRule="auto"/>
        <w:ind w:firstLine="560" w:firstLineChars="200"/>
        <w:rPr>
          <w:rFonts w:ascii="Arial" w:hAnsi="Arial" w:eastAsia="仿宋" w:cs="Arial"/>
          <w:color w:val="auto"/>
          <w:sz w:val="28"/>
          <w:szCs w:val="28"/>
        </w:rPr>
      </w:pPr>
      <w:r>
        <w:rPr>
          <w:rFonts w:hint="eastAsia" w:ascii="Arial" w:hAnsi="Arial" w:eastAsia="仿宋_GB2312" w:cs="Arial"/>
          <w:color w:val="auto"/>
          <w:sz w:val="28"/>
        </w:rPr>
        <w:t>a.</w:t>
      </w:r>
      <w:r>
        <w:rPr>
          <w:rFonts w:ascii="Arial" w:hAnsi="Arial" w:eastAsia="仿宋" w:cs="Arial"/>
          <w:color w:val="auto"/>
          <w:sz w:val="28"/>
          <w:szCs w:val="28"/>
        </w:rPr>
        <w:t xml:space="preserve"> 北京市人民政府于2022年3月14日印发了《北京市人民政府关于更新出让国有建设用地使用权基准地价的通知》（京政发【2022】12号），根据《中华人民共和国城市房地产管理法》和《中共中央国务院关于构建更加完善的要素市场化配置体制机制的意见》精神，为进一步加强自然资源管理，完善地价管理体系，规范土地市场秩序，发挥政府的指导调控作用，对北京市出让国有建设用地使用权基准地价进行了更新，自印发之日起施行。</w:t>
      </w:r>
    </w:p>
    <w:p w14:paraId="6252D507">
      <w:pPr>
        <w:overflowPunct w:val="0"/>
        <w:adjustRightInd/>
        <w:snapToGrid w:val="0"/>
        <w:spacing w:line="300" w:lineRule="auto"/>
        <w:ind w:firstLine="560" w:firstLineChars="200"/>
        <w:jc w:val="both"/>
        <w:textAlignment w:val="auto"/>
        <w:rPr>
          <w:rFonts w:ascii="Arial" w:hAnsi="Arial" w:eastAsia="仿宋" w:cs="Arial"/>
          <w:color w:val="auto"/>
          <w:sz w:val="28"/>
          <w:szCs w:val="28"/>
        </w:rPr>
      </w:pPr>
      <w:r>
        <w:rPr>
          <w:rFonts w:ascii="Arial" w:hAnsi="Arial" w:eastAsia="仿宋" w:cs="Arial"/>
          <w:color w:val="auto"/>
          <w:sz w:val="28"/>
          <w:szCs w:val="28"/>
        </w:rPr>
        <w:t>基准地价成果属于政府公示地价，作为确定国有建设用地使用权出让价格审定、国有建设用地租赁租金审定、企业改制土地资产价格处置等依据之一。其他情形参照执行。</w:t>
      </w:r>
    </w:p>
    <w:p w14:paraId="513CC52D">
      <w:pPr>
        <w:overflowPunct w:val="0"/>
        <w:adjustRightInd/>
        <w:snapToGrid w:val="0"/>
        <w:spacing w:line="300" w:lineRule="auto"/>
        <w:ind w:firstLine="560" w:firstLineChars="200"/>
        <w:jc w:val="both"/>
        <w:textAlignment w:val="auto"/>
        <w:rPr>
          <w:rFonts w:ascii="Arial" w:hAnsi="Arial" w:eastAsia="仿宋" w:cs="Arial"/>
          <w:color w:val="auto"/>
          <w:sz w:val="28"/>
          <w:szCs w:val="28"/>
        </w:rPr>
      </w:pPr>
      <w:r>
        <w:rPr>
          <w:rFonts w:ascii="Arial" w:hAnsi="Arial" w:eastAsia="仿宋" w:cs="Arial"/>
          <w:color w:val="auto"/>
          <w:sz w:val="28"/>
          <w:szCs w:val="28"/>
        </w:rPr>
        <w:t>《北京市出让国有建设用地使用权基准地价更新成果》包括基准地价基本内容、基准地价表、基准地价级别</w:t>
      </w:r>
      <w:r>
        <w:rPr>
          <w:rFonts w:hint="eastAsia" w:ascii="Arial" w:hAnsi="Arial" w:eastAsia="仿宋" w:cs="Arial"/>
          <w:color w:val="auto"/>
          <w:sz w:val="28"/>
          <w:szCs w:val="28"/>
        </w:rPr>
        <w:t>（</w:t>
      </w:r>
      <w:r>
        <w:rPr>
          <w:rFonts w:ascii="Arial" w:hAnsi="Arial" w:eastAsia="仿宋" w:cs="Arial"/>
          <w:color w:val="auto"/>
          <w:sz w:val="28"/>
          <w:szCs w:val="28"/>
        </w:rPr>
        <w:t>区片</w:t>
      </w:r>
      <w:r>
        <w:rPr>
          <w:rFonts w:hint="eastAsia" w:ascii="Arial" w:hAnsi="Arial" w:eastAsia="仿宋" w:cs="Arial"/>
          <w:color w:val="auto"/>
          <w:sz w:val="28"/>
          <w:szCs w:val="28"/>
        </w:rPr>
        <w:t>）</w:t>
      </w:r>
      <w:r>
        <w:rPr>
          <w:rFonts w:ascii="Arial" w:hAnsi="Arial" w:eastAsia="仿宋" w:cs="Arial"/>
          <w:color w:val="auto"/>
          <w:sz w:val="28"/>
          <w:szCs w:val="28"/>
        </w:rPr>
        <w:t>范围说明、基准地价应用说明等。</w:t>
      </w:r>
    </w:p>
    <w:p w14:paraId="74421E1B">
      <w:pPr>
        <w:overflowPunct w:val="0"/>
        <w:adjustRightInd/>
        <w:snapToGrid w:val="0"/>
        <w:spacing w:line="300" w:lineRule="auto"/>
        <w:ind w:firstLine="560" w:firstLineChars="200"/>
        <w:jc w:val="both"/>
        <w:textAlignment w:val="auto"/>
        <w:rPr>
          <w:rFonts w:ascii="Arial" w:hAnsi="Arial" w:eastAsia="仿宋" w:cs="Arial"/>
          <w:color w:val="auto"/>
          <w:sz w:val="28"/>
          <w:szCs w:val="28"/>
        </w:rPr>
      </w:pPr>
      <w:r>
        <w:rPr>
          <w:rFonts w:ascii="Arial" w:hAnsi="Arial" w:eastAsia="仿宋" w:cs="Arial"/>
          <w:color w:val="auto"/>
          <w:sz w:val="28"/>
          <w:szCs w:val="28"/>
        </w:rPr>
        <w:t>在《北京市出让国有建设用地使用权基准地价更新成果》中，级别（区片）基准地价是在正常市场条件下各土地级别（区片）内，土地开发程度为宗地外通路、通电、通讯、通上水、通下水、通燃气、通热及宗地内平整（简称</w:t>
      </w:r>
      <w:r>
        <w:rPr>
          <w:rFonts w:hint="eastAsia" w:ascii="Arial" w:hAnsi="Arial" w:eastAsia="仿宋" w:cs="Arial"/>
          <w:color w:val="auto"/>
          <w:sz w:val="28"/>
          <w:szCs w:val="28"/>
        </w:rPr>
        <w:t>“</w:t>
      </w:r>
      <w:r>
        <w:rPr>
          <w:rFonts w:ascii="Arial" w:hAnsi="Arial" w:eastAsia="仿宋" w:cs="Arial"/>
          <w:color w:val="auto"/>
          <w:sz w:val="28"/>
          <w:szCs w:val="28"/>
        </w:rPr>
        <w:t>七通一平</w:t>
      </w:r>
      <w:r>
        <w:rPr>
          <w:rFonts w:hint="eastAsia" w:ascii="Arial" w:hAnsi="Arial" w:eastAsia="仿宋" w:cs="Arial"/>
          <w:color w:val="auto"/>
          <w:sz w:val="28"/>
          <w:szCs w:val="28"/>
        </w:rPr>
        <w:t>”</w:t>
      </w:r>
      <w:r>
        <w:rPr>
          <w:rFonts w:ascii="Arial" w:hAnsi="Arial" w:eastAsia="仿宋" w:cs="Arial"/>
          <w:color w:val="auto"/>
          <w:sz w:val="28"/>
          <w:szCs w:val="28"/>
        </w:rPr>
        <w:t>）或宗地外通路、通电、通讯、通上水、通下水及宗地内平整（简称</w:t>
      </w:r>
      <w:r>
        <w:rPr>
          <w:rFonts w:hint="eastAsia" w:ascii="Arial" w:hAnsi="Arial" w:eastAsia="仿宋" w:cs="Arial"/>
          <w:color w:val="auto"/>
          <w:sz w:val="28"/>
          <w:szCs w:val="28"/>
        </w:rPr>
        <w:t>“</w:t>
      </w:r>
      <w:r>
        <w:rPr>
          <w:rFonts w:ascii="Arial" w:hAnsi="Arial" w:eastAsia="仿宋" w:cs="Arial"/>
          <w:color w:val="auto"/>
          <w:sz w:val="28"/>
          <w:szCs w:val="28"/>
        </w:rPr>
        <w:t>五通一平</w:t>
      </w:r>
      <w:r>
        <w:rPr>
          <w:rFonts w:hint="eastAsia" w:ascii="Arial" w:hAnsi="Arial" w:eastAsia="仿宋" w:cs="Arial"/>
          <w:color w:val="auto"/>
          <w:sz w:val="28"/>
          <w:szCs w:val="28"/>
        </w:rPr>
        <w:t>”</w:t>
      </w:r>
      <w:r>
        <w:rPr>
          <w:rFonts w:ascii="Arial" w:hAnsi="Arial" w:eastAsia="仿宋" w:cs="Arial"/>
          <w:color w:val="auto"/>
          <w:sz w:val="28"/>
          <w:szCs w:val="28"/>
        </w:rPr>
        <w:t>），在平均容积率条件下，各土地用途的法定最高出让年限条件下国有建设用地使用权的平均价格。</w:t>
      </w:r>
    </w:p>
    <w:p w14:paraId="263DAE57">
      <w:pPr>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基准地价的基准期日为2021年1月1日；土地用途划分为商业、办公、住宅、工业、公共服务五类；级别基准地价土地开发程度一至七级为宗地外通路、通电、通讯、通上水、通下水、通燃气、通热及宗地内平整（简称</w:t>
      </w:r>
      <w:r>
        <w:rPr>
          <w:rFonts w:hint="eastAsia" w:ascii="Arial" w:hAnsi="Arial" w:eastAsia="仿宋" w:cs="Arial"/>
          <w:color w:val="auto"/>
          <w:sz w:val="28"/>
          <w:szCs w:val="28"/>
        </w:rPr>
        <w:t>“</w:t>
      </w:r>
      <w:r>
        <w:rPr>
          <w:rFonts w:ascii="Arial" w:hAnsi="Arial" w:eastAsia="仿宋" w:cs="Arial"/>
          <w:color w:val="auto"/>
          <w:sz w:val="28"/>
          <w:szCs w:val="28"/>
        </w:rPr>
        <w:t>七通一平</w:t>
      </w:r>
      <w:r>
        <w:rPr>
          <w:rFonts w:hint="eastAsia" w:ascii="Arial" w:hAnsi="Arial" w:eastAsia="仿宋" w:cs="Arial"/>
          <w:color w:val="auto"/>
          <w:sz w:val="28"/>
          <w:szCs w:val="28"/>
        </w:rPr>
        <w:t>”</w:t>
      </w:r>
      <w:r>
        <w:rPr>
          <w:rFonts w:ascii="Arial" w:hAnsi="Arial" w:eastAsia="仿宋" w:cs="Arial"/>
          <w:color w:val="auto"/>
          <w:sz w:val="28"/>
          <w:szCs w:val="28"/>
        </w:rPr>
        <w:t>），八至十二级为宗地外通路、通电、通讯、通上水、通下水及宗地内平整（简称</w:t>
      </w:r>
      <w:r>
        <w:rPr>
          <w:rFonts w:hint="eastAsia" w:ascii="Arial" w:hAnsi="Arial" w:eastAsia="仿宋" w:cs="Arial"/>
          <w:color w:val="auto"/>
          <w:sz w:val="28"/>
          <w:szCs w:val="28"/>
        </w:rPr>
        <w:t>“</w:t>
      </w:r>
      <w:r>
        <w:rPr>
          <w:rFonts w:ascii="Arial" w:hAnsi="Arial" w:eastAsia="仿宋" w:cs="Arial"/>
          <w:color w:val="auto"/>
          <w:sz w:val="28"/>
          <w:szCs w:val="28"/>
        </w:rPr>
        <w:t>五通一平</w:t>
      </w:r>
      <w:r>
        <w:rPr>
          <w:rFonts w:hint="eastAsia" w:ascii="Arial" w:hAnsi="Arial" w:eastAsia="仿宋" w:cs="Arial"/>
          <w:color w:val="auto"/>
          <w:sz w:val="28"/>
          <w:szCs w:val="28"/>
        </w:rPr>
        <w:t>”</w:t>
      </w:r>
      <w:r>
        <w:rPr>
          <w:rFonts w:ascii="Arial" w:hAnsi="Arial" w:eastAsia="仿宋" w:cs="Arial"/>
          <w:color w:val="auto"/>
          <w:sz w:val="28"/>
          <w:szCs w:val="28"/>
        </w:rPr>
        <w:t>）；级别平均容积率详见下表：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7" w:type="dxa"/>
          <w:left w:w="57" w:type="dxa"/>
          <w:bottom w:w="57" w:type="dxa"/>
          <w:right w:w="57" w:type="dxa"/>
        </w:tblCellMar>
      </w:tblPr>
      <w:tblGrid>
        <w:gridCol w:w="1077"/>
        <w:gridCol w:w="1077"/>
        <w:gridCol w:w="1756"/>
        <w:gridCol w:w="1871"/>
        <w:gridCol w:w="1892"/>
        <w:gridCol w:w="1791"/>
      </w:tblGrid>
      <w:tr w14:paraId="1B6BF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1128" w:type="pct"/>
            <w:gridSpan w:val="2"/>
            <w:tcBorders>
              <w:tl2br w:val="single" w:color="auto" w:sz="4" w:space="0"/>
            </w:tcBorders>
            <w:shd w:val="clear" w:color="auto" w:fill="auto"/>
            <w:noWrap/>
            <w:vAlign w:val="center"/>
          </w:tcPr>
          <w:p w14:paraId="70D54318">
            <w:pPr>
              <w:widowControl/>
              <w:adjustRightInd/>
              <w:spacing w:line="240" w:lineRule="exact"/>
              <w:ind w:firstLine="1050" w:firstLineChars="500"/>
              <w:jc w:val="right"/>
              <w:textAlignment w:val="auto"/>
              <w:rPr>
                <w:rFonts w:ascii="Arial" w:hAnsi="Arial" w:eastAsia="仿宋" w:cs="Arial"/>
                <w:color w:val="auto"/>
                <w:sz w:val="21"/>
                <w:szCs w:val="21"/>
              </w:rPr>
            </w:pPr>
            <w:r>
              <w:rPr>
                <w:rFonts w:ascii="Arial" w:hAnsi="Arial" w:eastAsia="仿宋" w:cs="Arial"/>
                <w:color w:val="auto"/>
                <w:sz w:val="21"/>
                <w:szCs w:val="21"/>
              </w:rPr>
              <w:t>土地级别</w:t>
            </w:r>
          </w:p>
          <w:p w14:paraId="63207E6F">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土地用途</w:t>
            </w:r>
          </w:p>
        </w:tc>
        <w:tc>
          <w:tcPr>
            <w:tcW w:w="930" w:type="pct"/>
            <w:shd w:val="clear" w:color="auto" w:fill="auto"/>
            <w:noWrap/>
            <w:vAlign w:val="center"/>
          </w:tcPr>
          <w:p w14:paraId="4A104C8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一级至二级</w:t>
            </w:r>
          </w:p>
        </w:tc>
        <w:tc>
          <w:tcPr>
            <w:tcW w:w="990" w:type="pct"/>
            <w:shd w:val="clear" w:color="auto" w:fill="auto"/>
            <w:noWrap/>
            <w:vAlign w:val="center"/>
          </w:tcPr>
          <w:p w14:paraId="46ACB5B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三级至五级</w:t>
            </w:r>
          </w:p>
        </w:tc>
        <w:tc>
          <w:tcPr>
            <w:tcW w:w="1002" w:type="pct"/>
            <w:shd w:val="clear" w:color="auto" w:fill="auto"/>
            <w:noWrap/>
            <w:vAlign w:val="center"/>
          </w:tcPr>
          <w:p w14:paraId="54C7741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六级至七级</w:t>
            </w:r>
          </w:p>
        </w:tc>
        <w:tc>
          <w:tcPr>
            <w:tcW w:w="948" w:type="pct"/>
            <w:shd w:val="clear" w:color="auto" w:fill="auto"/>
            <w:noWrap/>
            <w:vAlign w:val="center"/>
          </w:tcPr>
          <w:p w14:paraId="07AE330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八级至十二级</w:t>
            </w:r>
          </w:p>
        </w:tc>
      </w:tr>
      <w:tr w14:paraId="2B4C0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1128" w:type="pct"/>
            <w:gridSpan w:val="2"/>
            <w:shd w:val="clear" w:color="auto" w:fill="auto"/>
            <w:noWrap/>
            <w:vAlign w:val="center"/>
          </w:tcPr>
          <w:p w14:paraId="24C1714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商业类</w:t>
            </w:r>
          </w:p>
        </w:tc>
        <w:tc>
          <w:tcPr>
            <w:tcW w:w="930" w:type="pct"/>
            <w:shd w:val="clear" w:color="auto" w:fill="auto"/>
            <w:noWrap/>
            <w:vAlign w:val="center"/>
          </w:tcPr>
          <w:p w14:paraId="3331496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3.5</w:t>
            </w:r>
          </w:p>
        </w:tc>
        <w:tc>
          <w:tcPr>
            <w:tcW w:w="1992" w:type="pct"/>
            <w:gridSpan w:val="2"/>
            <w:shd w:val="clear" w:color="auto" w:fill="auto"/>
            <w:noWrap/>
            <w:vAlign w:val="center"/>
          </w:tcPr>
          <w:p w14:paraId="5911D9C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948" w:type="pct"/>
            <w:shd w:val="clear" w:color="auto" w:fill="auto"/>
            <w:noWrap/>
            <w:vAlign w:val="center"/>
          </w:tcPr>
          <w:p w14:paraId="115C440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w:t>
            </w:r>
          </w:p>
        </w:tc>
      </w:tr>
      <w:tr w14:paraId="74F83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1128" w:type="pct"/>
            <w:gridSpan w:val="2"/>
            <w:shd w:val="clear" w:color="auto" w:fill="auto"/>
            <w:noWrap/>
            <w:vAlign w:val="center"/>
          </w:tcPr>
          <w:p w14:paraId="35C77E3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办公类</w:t>
            </w:r>
          </w:p>
        </w:tc>
        <w:tc>
          <w:tcPr>
            <w:tcW w:w="930" w:type="pct"/>
            <w:shd w:val="clear" w:color="auto" w:fill="auto"/>
            <w:noWrap/>
            <w:vAlign w:val="center"/>
          </w:tcPr>
          <w:p w14:paraId="5DD88DF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3.5</w:t>
            </w:r>
          </w:p>
        </w:tc>
        <w:tc>
          <w:tcPr>
            <w:tcW w:w="1992" w:type="pct"/>
            <w:gridSpan w:val="2"/>
            <w:shd w:val="clear" w:color="auto" w:fill="auto"/>
            <w:noWrap/>
            <w:vAlign w:val="center"/>
          </w:tcPr>
          <w:p w14:paraId="3AA3C1A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948" w:type="pct"/>
            <w:shd w:val="clear" w:color="auto" w:fill="auto"/>
            <w:noWrap/>
            <w:vAlign w:val="center"/>
          </w:tcPr>
          <w:p w14:paraId="58FBB10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w:t>
            </w:r>
          </w:p>
        </w:tc>
      </w:tr>
      <w:tr w14:paraId="1AC20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1128" w:type="pct"/>
            <w:gridSpan w:val="2"/>
            <w:shd w:val="clear" w:color="auto" w:fill="auto"/>
            <w:noWrap/>
            <w:vAlign w:val="center"/>
          </w:tcPr>
          <w:p w14:paraId="0D6F107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住宅类</w:t>
            </w:r>
          </w:p>
        </w:tc>
        <w:tc>
          <w:tcPr>
            <w:tcW w:w="2923" w:type="pct"/>
            <w:gridSpan w:val="3"/>
            <w:shd w:val="clear" w:color="auto" w:fill="auto"/>
            <w:noWrap/>
            <w:vAlign w:val="center"/>
          </w:tcPr>
          <w:p w14:paraId="0BDE721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948" w:type="pct"/>
            <w:shd w:val="clear" w:color="auto" w:fill="auto"/>
            <w:noWrap/>
            <w:vAlign w:val="center"/>
          </w:tcPr>
          <w:p w14:paraId="3385DBE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r>
      <w:tr w14:paraId="65351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64" w:type="pct"/>
            <w:vMerge w:val="restart"/>
            <w:shd w:val="clear" w:color="auto" w:fill="auto"/>
            <w:noWrap/>
            <w:vAlign w:val="center"/>
          </w:tcPr>
          <w:p w14:paraId="059C10A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工业类</w:t>
            </w:r>
          </w:p>
        </w:tc>
        <w:tc>
          <w:tcPr>
            <w:tcW w:w="564" w:type="pct"/>
            <w:shd w:val="clear" w:color="auto" w:fill="auto"/>
            <w:vAlign w:val="center"/>
          </w:tcPr>
          <w:p w14:paraId="5BC47A4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M4</w:t>
            </w:r>
          </w:p>
        </w:tc>
        <w:tc>
          <w:tcPr>
            <w:tcW w:w="930" w:type="pct"/>
            <w:shd w:val="clear" w:color="auto" w:fill="auto"/>
            <w:noWrap/>
            <w:vAlign w:val="center"/>
          </w:tcPr>
          <w:p w14:paraId="1B4967A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1992" w:type="pct"/>
            <w:gridSpan w:val="2"/>
            <w:shd w:val="clear" w:color="auto" w:fill="auto"/>
            <w:noWrap/>
            <w:vAlign w:val="center"/>
          </w:tcPr>
          <w:p w14:paraId="0AC4D8F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948" w:type="pct"/>
            <w:shd w:val="clear" w:color="auto" w:fill="auto"/>
            <w:noWrap/>
            <w:vAlign w:val="center"/>
          </w:tcPr>
          <w:p w14:paraId="4E20444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r>
      <w:tr w14:paraId="339BE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64" w:type="pct"/>
            <w:vMerge w:val="continue"/>
            <w:shd w:val="clear" w:color="auto" w:fill="auto"/>
            <w:noWrap/>
            <w:vAlign w:val="center"/>
          </w:tcPr>
          <w:p w14:paraId="11C90A21">
            <w:pPr>
              <w:widowControl/>
              <w:adjustRightInd/>
              <w:spacing w:line="240" w:lineRule="exact"/>
              <w:textAlignment w:val="auto"/>
              <w:rPr>
                <w:rFonts w:ascii="Arial" w:hAnsi="Arial" w:eastAsia="仿宋" w:cs="Arial"/>
                <w:color w:val="auto"/>
                <w:sz w:val="21"/>
                <w:szCs w:val="21"/>
              </w:rPr>
            </w:pPr>
          </w:p>
        </w:tc>
        <w:tc>
          <w:tcPr>
            <w:tcW w:w="564" w:type="pct"/>
            <w:shd w:val="clear" w:color="auto" w:fill="auto"/>
            <w:vAlign w:val="center"/>
          </w:tcPr>
          <w:p w14:paraId="1C6028A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一般类</w:t>
            </w:r>
          </w:p>
        </w:tc>
        <w:tc>
          <w:tcPr>
            <w:tcW w:w="1921" w:type="pct"/>
            <w:gridSpan w:val="2"/>
            <w:shd w:val="clear" w:color="auto" w:fill="auto"/>
            <w:noWrap/>
            <w:vAlign w:val="center"/>
          </w:tcPr>
          <w:p w14:paraId="702B94F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c>
          <w:tcPr>
            <w:tcW w:w="1002" w:type="pct"/>
            <w:shd w:val="clear" w:color="auto" w:fill="auto"/>
            <w:vAlign w:val="center"/>
          </w:tcPr>
          <w:p w14:paraId="10F1E9C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1.2</w:t>
            </w:r>
          </w:p>
        </w:tc>
        <w:tc>
          <w:tcPr>
            <w:tcW w:w="948" w:type="pct"/>
            <w:shd w:val="clear" w:color="auto" w:fill="auto"/>
            <w:noWrap/>
            <w:vAlign w:val="center"/>
          </w:tcPr>
          <w:p w14:paraId="1B7217A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r>
      <w:tr w14:paraId="272D0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1128" w:type="pct"/>
            <w:gridSpan w:val="2"/>
            <w:shd w:val="clear" w:color="auto" w:fill="auto"/>
            <w:noWrap/>
            <w:vAlign w:val="center"/>
          </w:tcPr>
          <w:p w14:paraId="174B2ED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公共服务类</w:t>
            </w:r>
          </w:p>
        </w:tc>
        <w:tc>
          <w:tcPr>
            <w:tcW w:w="930" w:type="pct"/>
            <w:shd w:val="clear" w:color="auto" w:fill="auto"/>
            <w:noWrap/>
            <w:vAlign w:val="center"/>
          </w:tcPr>
          <w:p w14:paraId="21889C7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 xml:space="preserve">2.5 </w:t>
            </w:r>
          </w:p>
        </w:tc>
        <w:tc>
          <w:tcPr>
            <w:tcW w:w="1992" w:type="pct"/>
            <w:gridSpan w:val="2"/>
            <w:shd w:val="clear" w:color="auto" w:fill="auto"/>
            <w:vAlign w:val="center"/>
          </w:tcPr>
          <w:p w14:paraId="0C46E19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948" w:type="pct"/>
            <w:shd w:val="clear" w:color="auto" w:fill="auto"/>
            <w:noWrap/>
            <w:vAlign w:val="center"/>
          </w:tcPr>
          <w:p w14:paraId="4EA981D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 xml:space="preserve">1.5 </w:t>
            </w:r>
          </w:p>
        </w:tc>
      </w:tr>
    </w:tbl>
    <w:p w14:paraId="74303901">
      <w:pPr>
        <w:overflowPunct w:val="0"/>
        <w:adjustRightInd/>
        <w:snapToGrid w:val="0"/>
        <w:spacing w:before="120" w:beforeLines="50" w:line="300" w:lineRule="auto"/>
        <w:ind w:firstLine="560" w:firstLineChars="200"/>
        <w:jc w:val="both"/>
        <w:textAlignment w:val="auto"/>
        <w:rPr>
          <w:rFonts w:ascii="Arial" w:hAnsi="Arial" w:eastAsia="仿宋" w:cs="Arial"/>
          <w:color w:val="auto"/>
          <w:sz w:val="28"/>
          <w:szCs w:val="28"/>
        </w:rPr>
      </w:pPr>
      <w:r>
        <w:rPr>
          <w:rFonts w:ascii="Arial" w:hAnsi="Arial" w:eastAsia="仿宋" w:cs="Arial"/>
          <w:color w:val="auto"/>
          <w:sz w:val="28"/>
          <w:szCs w:val="28"/>
        </w:rPr>
        <w:t>基准地价的表示形式为</w:t>
      </w:r>
      <w:r>
        <w:rPr>
          <w:rFonts w:hint="eastAsia" w:ascii="Arial" w:hAnsi="Arial" w:eastAsia="仿宋" w:cs="Arial"/>
          <w:color w:val="auto"/>
          <w:sz w:val="28"/>
          <w:szCs w:val="28"/>
        </w:rPr>
        <w:t>楼面地价</w:t>
      </w:r>
      <w:r>
        <w:rPr>
          <w:rFonts w:ascii="Arial" w:hAnsi="Arial" w:eastAsia="仿宋" w:cs="Arial"/>
          <w:color w:val="auto"/>
          <w:sz w:val="28"/>
          <w:szCs w:val="28"/>
        </w:rPr>
        <w:t>。</w:t>
      </w:r>
      <w:r>
        <w:rPr>
          <w:rFonts w:hint="eastAsia" w:ascii="Arial" w:hAnsi="Arial" w:eastAsia="仿宋" w:cs="Arial"/>
          <w:color w:val="auto"/>
          <w:sz w:val="28"/>
          <w:szCs w:val="28"/>
        </w:rPr>
        <w:t>楼面地价</w:t>
      </w:r>
      <w:r>
        <w:rPr>
          <w:rFonts w:ascii="Arial" w:hAnsi="Arial" w:eastAsia="仿宋" w:cs="Arial"/>
          <w:color w:val="auto"/>
          <w:sz w:val="28"/>
          <w:szCs w:val="28"/>
        </w:rPr>
        <w:t>是指各土地级别（区片）内，在设定土地开发程度和平均容积率条件下，每建筑面积分摊的国有建设用地使用权的平均价格。</w:t>
      </w:r>
    </w:p>
    <w:p w14:paraId="4821C38D">
      <w:pPr>
        <w:overflowPunct w:val="0"/>
        <w:adjustRightInd/>
        <w:snapToGrid w:val="0"/>
        <w:spacing w:line="300" w:lineRule="auto"/>
        <w:ind w:firstLine="560" w:firstLineChars="200"/>
        <w:jc w:val="both"/>
        <w:textAlignment w:val="auto"/>
        <w:rPr>
          <w:rFonts w:ascii="Arial" w:hAnsi="Arial" w:eastAsia="仿宋" w:cs="Arial"/>
          <w:color w:val="auto"/>
          <w:sz w:val="28"/>
          <w:szCs w:val="28"/>
        </w:rPr>
      </w:pPr>
      <w:r>
        <w:rPr>
          <w:rFonts w:ascii="Arial" w:hAnsi="Arial" w:eastAsia="仿宋" w:cs="Arial"/>
          <w:color w:val="auto"/>
          <w:sz w:val="28"/>
          <w:szCs w:val="28"/>
        </w:rPr>
        <w:t>B.计算公式如下：</w:t>
      </w:r>
    </w:p>
    <w:p w14:paraId="2857AF16">
      <w:pPr>
        <w:overflowPunct w:val="0"/>
        <w:adjustRightInd/>
        <w:snapToGrid w:val="0"/>
        <w:spacing w:line="300" w:lineRule="auto"/>
        <w:ind w:firstLine="560" w:firstLineChars="200"/>
        <w:jc w:val="both"/>
        <w:rPr>
          <w:rFonts w:ascii="Arial" w:hAnsi="Arial" w:eastAsia="仿宋" w:cs="Arial"/>
          <w:snapToGrid w:val="0"/>
          <w:color w:val="auto"/>
          <w:sz w:val="28"/>
          <w:szCs w:val="28"/>
        </w:rPr>
      </w:pPr>
      <w:r>
        <w:rPr>
          <w:rFonts w:hint="eastAsia" w:ascii="Arial" w:hAnsi="Arial" w:eastAsia="仿宋" w:cs="Arial"/>
          <w:snapToGrid w:val="0"/>
          <w:color w:val="auto"/>
          <w:sz w:val="28"/>
          <w:szCs w:val="28"/>
        </w:rPr>
        <w:t>楼面地价</w:t>
      </w:r>
      <w:r>
        <w:rPr>
          <w:rFonts w:hint="eastAsia" w:ascii="Arial" w:hAnsi="Arial" w:eastAsia="仿宋" w:cs="Arial"/>
          <w:color w:val="auto"/>
          <w:sz w:val="28"/>
          <w:szCs w:val="28"/>
        </w:rPr>
        <w:t>＝</w:t>
      </w:r>
      <w:r>
        <w:rPr>
          <w:rFonts w:ascii="Arial" w:hAnsi="Arial" w:eastAsia="仿宋" w:cs="Arial"/>
          <w:snapToGrid w:val="0"/>
          <w:color w:val="auto"/>
          <w:sz w:val="28"/>
          <w:szCs w:val="28"/>
        </w:rPr>
        <w:t>适用的基准地价</w:t>
      </w:r>
      <w:r>
        <w:rPr>
          <w:rFonts w:hint="eastAsia" w:ascii="Arial" w:hAnsi="Arial" w:eastAsia="仿宋" w:cs="Arial"/>
          <w:color w:val="auto"/>
          <w:sz w:val="28"/>
          <w:szCs w:val="28"/>
        </w:rPr>
        <w:t>×</w:t>
      </w:r>
      <w:r>
        <w:rPr>
          <w:rFonts w:ascii="Arial" w:hAnsi="Arial" w:eastAsia="仿宋" w:cs="Arial"/>
          <w:snapToGrid w:val="0"/>
          <w:color w:val="auto"/>
          <w:sz w:val="28"/>
          <w:szCs w:val="28"/>
        </w:rPr>
        <w:t>用途修正系数</w:t>
      </w:r>
      <w:r>
        <w:rPr>
          <w:rFonts w:hint="eastAsia" w:ascii="Arial" w:hAnsi="Arial" w:eastAsia="仿宋" w:cs="Arial"/>
          <w:color w:val="auto"/>
          <w:sz w:val="28"/>
          <w:szCs w:val="28"/>
        </w:rPr>
        <w:t>×</w:t>
      </w:r>
      <w:r>
        <w:rPr>
          <w:rFonts w:ascii="Arial" w:hAnsi="Arial" w:eastAsia="仿宋" w:cs="Arial"/>
          <w:snapToGrid w:val="0"/>
          <w:color w:val="auto"/>
          <w:sz w:val="28"/>
          <w:szCs w:val="28"/>
        </w:rPr>
        <w:t>期日修正系数</w:t>
      </w:r>
      <w:r>
        <w:rPr>
          <w:rFonts w:hint="eastAsia" w:ascii="Arial" w:hAnsi="Arial" w:eastAsia="仿宋" w:cs="Arial"/>
          <w:color w:val="auto"/>
          <w:sz w:val="28"/>
          <w:szCs w:val="28"/>
        </w:rPr>
        <w:t>×</w:t>
      </w:r>
      <w:r>
        <w:rPr>
          <w:rFonts w:ascii="Arial" w:hAnsi="Arial" w:eastAsia="仿宋" w:cs="Arial"/>
          <w:snapToGrid w:val="0"/>
          <w:color w:val="auto"/>
          <w:sz w:val="28"/>
          <w:szCs w:val="28"/>
        </w:rPr>
        <w:t>年期修正系数</w:t>
      </w:r>
      <w:r>
        <w:rPr>
          <w:rFonts w:hint="eastAsia" w:ascii="Arial" w:hAnsi="Arial" w:eastAsia="仿宋" w:cs="Arial"/>
          <w:color w:val="auto"/>
          <w:sz w:val="28"/>
          <w:szCs w:val="28"/>
        </w:rPr>
        <w:t>×</w:t>
      </w:r>
      <w:r>
        <w:rPr>
          <w:rFonts w:ascii="Arial" w:hAnsi="Arial" w:eastAsia="仿宋" w:cs="Arial"/>
          <w:snapToGrid w:val="0"/>
          <w:color w:val="auto"/>
          <w:sz w:val="28"/>
          <w:szCs w:val="28"/>
        </w:rPr>
        <w:t>容积率修正系数</w:t>
      </w:r>
      <w:r>
        <w:rPr>
          <w:rFonts w:hint="eastAsia" w:ascii="Arial" w:hAnsi="Arial" w:eastAsia="仿宋" w:cs="Arial"/>
          <w:color w:val="auto"/>
          <w:sz w:val="28"/>
          <w:szCs w:val="28"/>
        </w:rPr>
        <w:t>×</w:t>
      </w:r>
      <w:r>
        <w:rPr>
          <w:rFonts w:ascii="Arial" w:hAnsi="Arial" w:eastAsia="仿宋" w:cs="Arial"/>
          <w:snapToGrid w:val="0"/>
          <w:color w:val="auto"/>
          <w:sz w:val="28"/>
          <w:szCs w:val="28"/>
        </w:rPr>
        <w:t>因素修正系数</w:t>
      </w:r>
    </w:p>
    <w:p w14:paraId="02AFBAE2">
      <w:pPr>
        <w:ind w:firstLine="560" w:firstLineChars="200"/>
        <w:rPr>
          <w:rFonts w:ascii="Arial" w:hAnsi="Arial" w:eastAsia="仿宋" w:cs="Arial"/>
          <w:color w:val="auto"/>
          <w:sz w:val="28"/>
          <w:szCs w:val="28"/>
        </w:rPr>
      </w:pPr>
      <w:r>
        <w:rPr>
          <w:rFonts w:ascii="Arial" w:hAnsi="Arial" w:eastAsia="仿宋" w:cs="Arial"/>
          <w:color w:val="auto"/>
          <w:sz w:val="28"/>
          <w:szCs w:val="28"/>
        </w:rPr>
        <w:t>C.测算过程</w:t>
      </w:r>
    </w:p>
    <w:p w14:paraId="1E78F91E">
      <w:pPr>
        <w:overflowPunct w:val="0"/>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（A）求取估价对象住宅用地</w:t>
      </w:r>
      <w:r>
        <w:rPr>
          <w:rFonts w:hint="eastAsia" w:ascii="Arial" w:hAnsi="Arial" w:eastAsia="仿宋" w:cs="Arial"/>
          <w:color w:val="auto"/>
          <w:sz w:val="28"/>
          <w:szCs w:val="28"/>
        </w:rPr>
        <w:t>楼面地价</w:t>
      </w:r>
    </w:p>
    <w:p w14:paraId="7C07A562">
      <w:pPr>
        <w:overflowPunct w:val="0"/>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A）宗地适用基准地价水平的确定</w:t>
      </w:r>
    </w:p>
    <w:p w14:paraId="698577C0">
      <w:pPr>
        <w:overflowPunct w:val="0"/>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a.估价对象用途为</w:t>
      </w:r>
      <w:r>
        <w:rPr>
          <w:rFonts w:hint="eastAsia" w:ascii="Arial" w:hAnsi="Arial" w:eastAsia="仿宋" w:cs="Arial"/>
          <w:color w:val="auto"/>
          <w:sz w:val="28"/>
          <w:szCs w:val="28"/>
        </w:rPr>
        <w:t>城镇</w:t>
      </w:r>
      <w:r>
        <w:rPr>
          <w:rFonts w:ascii="Arial" w:hAnsi="Arial" w:eastAsia="仿宋" w:cs="Arial"/>
          <w:color w:val="auto"/>
          <w:sz w:val="28"/>
          <w:szCs w:val="28"/>
        </w:rPr>
        <w:t>住宅</w:t>
      </w:r>
      <w:r>
        <w:rPr>
          <w:rFonts w:hint="eastAsia" w:ascii="Arial" w:hAnsi="Arial" w:eastAsia="仿宋" w:cs="Arial"/>
          <w:color w:val="auto"/>
          <w:sz w:val="28"/>
          <w:szCs w:val="28"/>
        </w:rPr>
        <w:t>用地</w:t>
      </w:r>
      <w:r>
        <w:rPr>
          <w:rFonts w:ascii="Arial" w:hAnsi="Arial" w:eastAsia="仿宋" w:cs="Arial"/>
          <w:color w:val="auto"/>
          <w:sz w:val="28"/>
          <w:szCs w:val="28"/>
        </w:rPr>
        <w:t>，位于北京市顺义区</w:t>
      </w:r>
      <w:r>
        <w:rPr>
          <w:rFonts w:hint="eastAsia" w:ascii="Arial" w:hAnsi="Arial" w:eastAsia="仿宋" w:cs="Arial"/>
          <w:color w:val="auto"/>
          <w:sz w:val="28"/>
          <w:szCs w:val="28"/>
        </w:rPr>
        <w:t>高丽营镇</w:t>
      </w:r>
      <w:r>
        <w:rPr>
          <w:rFonts w:ascii="Arial" w:hAnsi="Arial" w:eastAsia="仿宋" w:cs="Arial"/>
          <w:color w:val="auto"/>
          <w:sz w:val="28"/>
          <w:szCs w:val="28"/>
        </w:rPr>
        <w:t>夏县营</w:t>
      </w:r>
      <w:r>
        <w:rPr>
          <w:rFonts w:hint="eastAsia" w:ascii="Arial" w:hAnsi="Arial" w:eastAsia="仿宋" w:cs="Arial"/>
          <w:color w:val="auto"/>
          <w:sz w:val="28"/>
          <w:szCs w:val="28"/>
        </w:rPr>
        <w:t>村</w:t>
      </w:r>
      <w:r>
        <w:rPr>
          <w:rFonts w:ascii="Arial" w:hAnsi="Arial" w:eastAsia="仿宋" w:cs="Arial"/>
          <w:color w:val="auto"/>
          <w:sz w:val="28"/>
          <w:szCs w:val="28"/>
        </w:rPr>
        <w:t>，参照《北京市基准地价级别（区片）图》及《北京市基准地价级别（区片）范围文字说明》，估价对象地处住宅类</w:t>
      </w:r>
      <w:r>
        <w:rPr>
          <w:rFonts w:ascii="Arial" w:hAnsi="Arial" w:eastAsia="仿宋_GB2312" w:cs="Arial"/>
          <w:color w:val="auto"/>
          <w:sz w:val="28"/>
        </w:rPr>
        <w:t>IX</w:t>
      </w:r>
      <w:r>
        <w:rPr>
          <w:rFonts w:ascii="Arial" w:hAnsi="Arial" w:eastAsia="仿宋" w:cs="Arial"/>
          <w:color w:val="auto"/>
          <w:sz w:val="28"/>
          <w:szCs w:val="28"/>
        </w:rPr>
        <w:t>级地价区，属住宅类</w:t>
      </w:r>
      <w:r>
        <w:rPr>
          <w:rFonts w:ascii="Arial" w:hAnsi="Arial" w:eastAsia="仿宋_GB2312" w:cs="Arial"/>
          <w:color w:val="auto"/>
          <w:sz w:val="28"/>
        </w:rPr>
        <w:t>IX</w:t>
      </w:r>
      <w:r>
        <w:rPr>
          <w:rFonts w:hint="eastAsia" w:ascii="Arial" w:hAnsi="Arial" w:eastAsia="仿宋_GB2312" w:cs="Arial"/>
          <w:color w:val="auto"/>
          <w:sz w:val="28"/>
        </w:rPr>
        <w:t>－顺5</w:t>
      </w:r>
      <w:r>
        <w:rPr>
          <w:rFonts w:ascii="Arial" w:hAnsi="Arial" w:eastAsia="仿宋" w:cs="Arial"/>
          <w:color w:val="auto"/>
          <w:sz w:val="28"/>
          <w:szCs w:val="28"/>
        </w:rPr>
        <w:t>区片。</w:t>
      </w:r>
    </w:p>
    <w:p w14:paraId="5E149334">
      <w:pPr>
        <w:overflowPunct w:val="0"/>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北京市区片基准地价详见下表：</w:t>
      </w:r>
    </w:p>
    <w:p w14:paraId="3EB3C7F1">
      <w:pPr>
        <w:pStyle w:val="12"/>
        <w:spacing w:line="240" w:lineRule="auto"/>
        <w:ind w:firstLine="0"/>
        <w:jc w:val="center"/>
        <w:rPr>
          <w:rFonts w:ascii="仿宋" w:hAnsi="仿宋" w:eastAsia="仿宋"/>
          <w:color w:val="auto"/>
          <w:szCs w:val="28"/>
        </w:rPr>
      </w:pPr>
      <w:r>
        <w:rPr>
          <w:rFonts w:hint="eastAsia" w:ascii="仿宋" w:hAnsi="仿宋" w:eastAsia="仿宋"/>
          <w:color w:val="auto"/>
          <w:szCs w:val="28"/>
        </w:rPr>
        <w:t>北京市区片基准地价表（楼面地价）</w:t>
      </w:r>
    </w:p>
    <w:p w14:paraId="13371B99">
      <w:pPr>
        <w:pStyle w:val="12"/>
        <w:spacing w:line="240" w:lineRule="auto"/>
        <w:ind w:firstLine="0"/>
        <w:rPr>
          <w:rFonts w:ascii="Arial" w:hAnsi="Arial" w:eastAsia="方正黑体简体"/>
          <w:b/>
          <w:color w:val="auto"/>
          <w:sz w:val="24"/>
        </w:rPr>
      </w:pPr>
      <w:r>
        <w:rPr>
          <w:rFonts w:hint="eastAsia" w:ascii="Arial" w:hAnsi="Arial" w:eastAsia="华文细黑"/>
          <w:color w:val="auto"/>
          <w:sz w:val="18"/>
          <w:szCs w:val="24"/>
        </w:rPr>
        <w:t>基准日期：2021年1月1日                                                             单位：元/平方米</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7" w:type="dxa"/>
          <w:left w:w="57" w:type="dxa"/>
          <w:bottom w:w="57" w:type="dxa"/>
          <w:right w:w="57" w:type="dxa"/>
        </w:tblCellMar>
      </w:tblPr>
      <w:tblGrid>
        <w:gridCol w:w="983"/>
        <w:gridCol w:w="1720"/>
        <w:gridCol w:w="1352"/>
        <w:gridCol w:w="1352"/>
        <w:gridCol w:w="1352"/>
        <w:gridCol w:w="1352"/>
        <w:gridCol w:w="1353"/>
      </w:tblGrid>
      <w:tr w14:paraId="21926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blHeader/>
          <w:jc w:val="center"/>
        </w:trPr>
        <w:tc>
          <w:tcPr>
            <w:tcW w:w="519" w:type="pct"/>
            <w:vMerge w:val="restart"/>
            <w:shd w:val="clear" w:color="auto" w:fill="auto"/>
            <w:vAlign w:val="center"/>
          </w:tcPr>
          <w:p w14:paraId="7F13AD84">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级别</w:t>
            </w:r>
          </w:p>
        </w:tc>
        <w:tc>
          <w:tcPr>
            <w:tcW w:w="908" w:type="pct"/>
            <w:vMerge w:val="restart"/>
            <w:shd w:val="clear" w:color="auto" w:fill="auto"/>
            <w:noWrap/>
            <w:vAlign w:val="center"/>
          </w:tcPr>
          <w:p w14:paraId="373FF112">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区片编号</w:t>
            </w:r>
          </w:p>
        </w:tc>
        <w:tc>
          <w:tcPr>
            <w:tcW w:w="714" w:type="pct"/>
            <w:shd w:val="clear" w:color="auto" w:fill="auto"/>
            <w:noWrap/>
            <w:vAlign w:val="center"/>
          </w:tcPr>
          <w:p w14:paraId="375F6A1C">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商业类</w:t>
            </w:r>
          </w:p>
        </w:tc>
        <w:tc>
          <w:tcPr>
            <w:tcW w:w="714" w:type="pct"/>
            <w:shd w:val="clear" w:color="auto" w:fill="auto"/>
            <w:noWrap/>
            <w:vAlign w:val="center"/>
          </w:tcPr>
          <w:p w14:paraId="644330B9">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办公类</w:t>
            </w:r>
          </w:p>
        </w:tc>
        <w:tc>
          <w:tcPr>
            <w:tcW w:w="714" w:type="pct"/>
            <w:shd w:val="clear" w:color="auto" w:fill="auto"/>
            <w:noWrap/>
            <w:vAlign w:val="center"/>
          </w:tcPr>
          <w:p w14:paraId="5E8E011E">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住宅类</w:t>
            </w:r>
          </w:p>
        </w:tc>
        <w:tc>
          <w:tcPr>
            <w:tcW w:w="714" w:type="pct"/>
            <w:shd w:val="clear" w:color="auto" w:fill="auto"/>
            <w:noWrap/>
            <w:vAlign w:val="center"/>
          </w:tcPr>
          <w:p w14:paraId="16AA7DDE">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工业类</w:t>
            </w:r>
          </w:p>
        </w:tc>
        <w:tc>
          <w:tcPr>
            <w:tcW w:w="714" w:type="pct"/>
            <w:shd w:val="clear" w:color="auto" w:fill="auto"/>
            <w:noWrap/>
            <w:vAlign w:val="center"/>
          </w:tcPr>
          <w:p w14:paraId="33B0F4A8">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公共服务类</w:t>
            </w:r>
          </w:p>
        </w:tc>
      </w:tr>
      <w:tr w14:paraId="62FCD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blHeader/>
          <w:jc w:val="center"/>
        </w:trPr>
        <w:tc>
          <w:tcPr>
            <w:tcW w:w="519" w:type="pct"/>
            <w:vMerge w:val="continue"/>
            <w:shd w:val="clear" w:color="auto" w:fill="auto"/>
            <w:vAlign w:val="center"/>
          </w:tcPr>
          <w:p w14:paraId="3800B246">
            <w:pPr>
              <w:widowControl/>
              <w:adjustRightInd/>
              <w:spacing w:line="240" w:lineRule="exact"/>
              <w:jc w:val="both"/>
              <w:textAlignment w:val="auto"/>
              <w:rPr>
                <w:rFonts w:ascii="Arial" w:hAnsi="Arial" w:eastAsia="仿宋" w:cs="Arial"/>
                <w:bCs/>
                <w:color w:val="auto"/>
                <w:sz w:val="21"/>
                <w:szCs w:val="21"/>
              </w:rPr>
            </w:pPr>
          </w:p>
        </w:tc>
        <w:tc>
          <w:tcPr>
            <w:tcW w:w="908" w:type="pct"/>
            <w:vMerge w:val="continue"/>
            <w:shd w:val="clear" w:color="auto" w:fill="auto"/>
            <w:noWrap/>
            <w:vAlign w:val="center"/>
          </w:tcPr>
          <w:p w14:paraId="3A88ABE3">
            <w:pPr>
              <w:widowControl/>
              <w:adjustRightInd/>
              <w:spacing w:line="240" w:lineRule="exact"/>
              <w:jc w:val="both"/>
              <w:textAlignment w:val="auto"/>
              <w:rPr>
                <w:rFonts w:ascii="Arial" w:hAnsi="Arial" w:eastAsia="仿宋" w:cs="Arial"/>
                <w:bCs/>
                <w:color w:val="auto"/>
                <w:sz w:val="21"/>
                <w:szCs w:val="21"/>
              </w:rPr>
            </w:pPr>
          </w:p>
        </w:tc>
        <w:tc>
          <w:tcPr>
            <w:tcW w:w="714" w:type="pct"/>
            <w:shd w:val="clear" w:color="auto" w:fill="auto"/>
            <w:noWrap/>
            <w:vAlign w:val="center"/>
          </w:tcPr>
          <w:p w14:paraId="50FF3F48">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区片价格</w:t>
            </w:r>
          </w:p>
        </w:tc>
        <w:tc>
          <w:tcPr>
            <w:tcW w:w="714" w:type="pct"/>
            <w:shd w:val="clear" w:color="auto" w:fill="auto"/>
            <w:noWrap/>
            <w:vAlign w:val="center"/>
          </w:tcPr>
          <w:p w14:paraId="11CC51F0">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区片价格</w:t>
            </w:r>
          </w:p>
        </w:tc>
        <w:tc>
          <w:tcPr>
            <w:tcW w:w="714" w:type="pct"/>
            <w:shd w:val="clear" w:color="auto" w:fill="auto"/>
            <w:noWrap/>
            <w:vAlign w:val="center"/>
          </w:tcPr>
          <w:p w14:paraId="240927ED">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区片价格</w:t>
            </w:r>
          </w:p>
        </w:tc>
        <w:tc>
          <w:tcPr>
            <w:tcW w:w="714" w:type="pct"/>
            <w:shd w:val="clear" w:color="auto" w:fill="auto"/>
            <w:noWrap/>
            <w:vAlign w:val="center"/>
          </w:tcPr>
          <w:p w14:paraId="65EB0D57">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区片价格</w:t>
            </w:r>
          </w:p>
        </w:tc>
        <w:tc>
          <w:tcPr>
            <w:tcW w:w="714" w:type="pct"/>
            <w:shd w:val="clear" w:color="auto" w:fill="auto"/>
            <w:noWrap/>
            <w:vAlign w:val="center"/>
          </w:tcPr>
          <w:p w14:paraId="2737B038">
            <w:pPr>
              <w:widowControl/>
              <w:adjustRightInd/>
              <w:spacing w:line="240" w:lineRule="exact"/>
              <w:jc w:val="both"/>
              <w:textAlignment w:val="auto"/>
              <w:rPr>
                <w:rFonts w:ascii="Arial" w:hAnsi="Arial" w:eastAsia="仿宋" w:cs="Arial"/>
                <w:bCs/>
                <w:color w:val="auto"/>
                <w:sz w:val="21"/>
                <w:szCs w:val="21"/>
              </w:rPr>
            </w:pPr>
            <w:r>
              <w:rPr>
                <w:rFonts w:ascii="Arial" w:hAnsi="Arial" w:eastAsia="仿宋" w:cs="Arial"/>
                <w:bCs/>
                <w:color w:val="auto"/>
                <w:sz w:val="21"/>
                <w:szCs w:val="21"/>
              </w:rPr>
              <w:t>区片价格</w:t>
            </w:r>
          </w:p>
        </w:tc>
      </w:tr>
      <w:tr w14:paraId="32FF1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52EBE37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3BECAC30">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Ⅸ－01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833D0D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5790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7764857">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5740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33CD18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6730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D5AF95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1110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F77A2B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3460</w:t>
            </w:r>
          </w:p>
        </w:tc>
      </w:tr>
      <w:tr w14:paraId="69F6B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35876614">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21E74E4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Ⅸ－02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2A93617">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5740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6FBFAC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5670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5679E7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6680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11B121B">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20C722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3420</w:t>
            </w:r>
          </w:p>
        </w:tc>
      </w:tr>
      <w:tr w14:paraId="69B25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43AF05DE">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D48FB5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Ⅸ－门1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CD1EC91">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4760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1792446">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4720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3B2666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250DC2D">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810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B5F8D8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2850</w:t>
            </w:r>
          </w:p>
        </w:tc>
      </w:tr>
      <w:tr w14:paraId="34AC8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A2B1E10">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38F20628">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Ⅸ－门2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2B56D5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4010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E48237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3950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7DF9AC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4710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F92E83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800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9DEEB0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2390</w:t>
            </w:r>
          </w:p>
        </w:tc>
      </w:tr>
      <w:tr w14:paraId="69C12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C5FAB2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D08320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Ⅸ－门潭</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5F3179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4480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9CC3B8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4420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548707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5230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EC9912C">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870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A37DD68">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2660</w:t>
            </w:r>
          </w:p>
        </w:tc>
      </w:tr>
      <w:tr w14:paraId="1F628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E1EBB0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10A7948F">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Ⅸ－房1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4C8A68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5360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746050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5300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1DD9CB4">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6190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BBDF343">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4EFEFA1">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3190</w:t>
            </w:r>
          </w:p>
        </w:tc>
      </w:tr>
      <w:tr w14:paraId="69252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6C00BEB">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2513A45D">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Ⅸ－房2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56D0D5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4950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6919AF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C3EC9F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5720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2C6821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9FF6C3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2950</w:t>
            </w:r>
          </w:p>
        </w:tc>
      </w:tr>
      <w:tr w14:paraId="71E1B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DEFED88">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19770C24">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Ⅸ－房3</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1C97B1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5610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FBC309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E4F53F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6520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D674F2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0E9F74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3360</w:t>
            </w:r>
          </w:p>
        </w:tc>
      </w:tr>
      <w:tr w14:paraId="6FFDF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45D18734">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31A3C7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Ⅸ－房4</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6FEEE8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5340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169641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5290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51C64E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6170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97DD1A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72C6A5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3180</w:t>
            </w:r>
          </w:p>
        </w:tc>
      </w:tr>
      <w:tr w14:paraId="354CF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2059E09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3777489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Ⅸ－房5</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BC7BAC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4890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51893A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4840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1F6CC2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5640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F0EE88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720FB3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2910</w:t>
            </w:r>
          </w:p>
        </w:tc>
      </w:tr>
      <w:tr w14:paraId="1A369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3EF4B14D">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3021060C">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Ⅸ－通1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773502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4960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CAA0E37">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4920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C728BE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5730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C6C32F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B261F44">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2960</w:t>
            </w:r>
          </w:p>
        </w:tc>
      </w:tr>
      <w:tr w14:paraId="7A629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4564187D">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06FD04C5">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Ⅸ－通2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2CD064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4350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8C8181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4300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A4EE8B1">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A244E0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820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B1F6BF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2590</w:t>
            </w:r>
          </w:p>
        </w:tc>
      </w:tr>
      <w:tr w14:paraId="0F174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5D839E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11B9915C">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Ⅸ－顺1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1E7D51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5230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996898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5170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176CA8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6060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0422695">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38127B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3120</w:t>
            </w:r>
          </w:p>
        </w:tc>
      </w:tr>
      <w:tr w14:paraId="4DCFD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2C1E27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5E8180E">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Ⅸ－顺2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18FDC1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DB5C54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F09517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6440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E65193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EDAA81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3320</w:t>
            </w:r>
          </w:p>
        </w:tc>
      </w:tr>
      <w:tr w14:paraId="79490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BD8A8AE">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02C5564C">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Ⅸ－顺3</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E1E1658">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5440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E06210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5400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57B4D1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6320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40B4C35">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90906D8">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3250</w:t>
            </w:r>
          </w:p>
        </w:tc>
      </w:tr>
      <w:tr w14:paraId="736DB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73F8CD7C">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4E9E0E73">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Ⅸ－顺4</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4E708E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5400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3EDA24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5360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13B76F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6270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17E03B4">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71A05A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3230</w:t>
            </w:r>
          </w:p>
        </w:tc>
      </w:tr>
      <w:tr w14:paraId="66435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0C47BA7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0A6FC96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Ⅸ－顺5</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A69A11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5320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83ED33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5270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05C3D6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6160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4DB047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7493434">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3170</w:t>
            </w:r>
          </w:p>
        </w:tc>
      </w:tr>
      <w:tr w14:paraId="760BF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5EBF0DF2">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910592C">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Ⅸ－昌1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5E3ACD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5260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667A2F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5210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6A1F62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6100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1B43F5E">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8F4469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3150</w:t>
            </w:r>
          </w:p>
        </w:tc>
      </w:tr>
      <w:tr w14:paraId="2D09E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69ABC4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1973417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Ⅸ－昌2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BA9C9B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5610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506820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113BC8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6530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2A4173F">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675100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3360</w:t>
            </w:r>
          </w:p>
        </w:tc>
      </w:tr>
      <w:tr w14:paraId="72252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5AA202F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9906AF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Ⅸ－昌3</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E729A5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FC22688">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5490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B7F447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6430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3F3D928">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A5677D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3310</w:t>
            </w:r>
          </w:p>
        </w:tc>
      </w:tr>
      <w:tr w14:paraId="63022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1B9568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CEE5FAD">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Ⅸ－昌4</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BF1A27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5480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759701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5420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55E6D3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6370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083FE3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275E31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3270</w:t>
            </w:r>
          </w:p>
        </w:tc>
      </w:tr>
      <w:tr w14:paraId="2D668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73698FB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71DE06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Ⅸ－昌5</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CDF03C8">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5090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F3B0B37">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5050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D63F0C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5910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A816AA5">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214DF3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3040</w:t>
            </w:r>
          </w:p>
        </w:tc>
      </w:tr>
      <w:tr w14:paraId="0B3CC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CEC576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CD5D532">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Ⅸ－兴1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80E50E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5430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C8D4D3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5380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289B07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6280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794629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4A8F0E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3240</w:t>
            </w:r>
          </w:p>
        </w:tc>
      </w:tr>
      <w:tr w14:paraId="1B904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50BD46FD">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2A10B73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Ⅸ－兴2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00C9AE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4740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3615EA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4680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AEE0B2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5450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E5F056C">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34D611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2830</w:t>
            </w:r>
          </w:p>
        </w:tc>
      </w:tr>
      <w:tr w14:paraId="53EFF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607345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281CBD1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Ⅸ－兴3</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7B6977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4870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CC493D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4810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734A2F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949D182">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BF2A63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2910</w:t>
            </w:r>
          </w:p>
        </w:tc>
      </w:tr>
      <w:tr w14:paraId="651EE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7501CA7B">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2925EC08">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Ⅸ－怀1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4249031">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8E7FC8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5470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0AC3A7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6410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6A0139D">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F038646">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3300</w:t>
            </w:r>
          </w:p>
        </w:tc>
      </w:tr>
      <w:tr w14:paraId="7DA55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4ED08A9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4A3EB3F0">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Ⅸ－怀2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F81361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5630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CEE94B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B24D03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6550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E4E547B">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F060C3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3370</w:t>
            </w:r>
          </w:p>
        </w:tc>
      </w:tr>
      <w:tr w14:paraId="495EB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4341E4D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233313F8">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Ⅸ－怀3</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E12074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5680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88812E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5620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84EE08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6620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B148E3E">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622706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3390</w:t>
            </w:r>
          </w:p>
        </w:tc>
      </w:tr>
      <w:tr w14:paraId="34879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26A96EA4">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041D745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Ⅸ－怀4</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545EDF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3781AB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DB33D1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6460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714B9A3">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193B2C7">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3340</w:t>
            </w:r>
          </w:p>
        </w:tc>
      </w:tr>
      <w:tr w14:paraId="2D5F3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2F9CC5BE">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B57509B">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Ⅸ－平1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99A1F0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A48C2D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A931F8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6440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6DB0E9B">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D38FD9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3320</w:t>
            </w:r>
          </w:p>
        </w:tc>
      </w:tr>
      <w:tr w14:paraId="42757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31D85A3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7FDC819B">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Ⅸ－平2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368A881">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5650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5058FA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5600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F3446F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6590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A7EFD64">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555E80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3380</w:t>
            </w:r>
          </w:p>
        </w:tc>
      </w:tr>
      <w:tr w14:paraId="19448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0AC875D2">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3AD2E428">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Ⅸ－密1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A61E7A8">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5620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19BA1D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EF745B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6540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604DB5B">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4C416D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3370</w:t>
            </w:r>
          </w:p>
        </w:tc>
      </w:tr>
      <w:tr w14:paraId="7F694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6136AE4">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75DCCAE3">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Ⅸ－延1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31A6706">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5060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5F1957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5020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A763FD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6370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65E145F">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800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B323BC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3020</w:t>
            </w:r>
          </w:p>
        </w:tc>
      </w:tr>
      <w:tr w14:paraId="289EE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40267EE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597C388">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Ⅸ－延2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B10D0F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5150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47574F1">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5110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9D5F55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6500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FC7538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880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414039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3080</w:t>
            </w:r>
          </w:p>
        </w:tc>
      </w:tr>
      <w:tr w14:paraId="77A74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2048D08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434A8BF0">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Ⅸ－亦1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D70B1C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4750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7843EE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4710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80BD84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0C42B6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880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F82CBE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2840</w:t>
            </w:r>
          </w:p>
        </w:tc>
      </w:tr>
      <w:tr w14:paraId="3E185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253E040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A044BF5">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Ⅸ－亦2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AE3EED1">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4690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238958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4640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F663D3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5420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3C658E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800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D4C034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2800</w:t>
            </w:r>
          </w:p>
        </w:tc>
      </w:tr>
      <w:tr w14:paraId="1AF4D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3D90DBE3">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40A50E33">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Ⅸ－亦3</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7093C3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4810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26C15B8">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4760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8E9653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5550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9BF24B8">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157988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2870</w:t>
            </w:r>
          </w:p>
        </w:tc>
      </w:tr>
      <w:tr w14:paraId="75635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F4AA544">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44FA275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Ⅸ－房山工业园西</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87E2BD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F2191E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8125164">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69B104F">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1D6C24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224B1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506DD75C">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139F949">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Ⅸ－房山工业园东</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726158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0E1598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EBA4AC4">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477419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168859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5F94B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22EFBF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2A04A885">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Ⅸ－永乐开发区</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98983B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F5CC4F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F3A58C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12192E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39612C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6776E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7189A520">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79CF3C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Ⅸ－采育开发区</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6EBFEB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31D623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03CFC7D">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6DEC96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7B413E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02050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F07F26E">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75F8349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Ⅸ－雁栖开发区A</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CA4A279">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8D59567">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3D812BF">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145806D">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811233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4A131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4ED25A3">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778C0A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Ⅸ－雁栖开发区B</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4EAA796">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C5E359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9BF64B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870CBAE">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96202EE">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3DF4B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446AF4F8">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2AC74D3">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Ⅸ－雁栖开发区C</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B6F187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FFB025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852126A">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C3A3010">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1050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C651F7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637D6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2272287F">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7A69611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Ⅸ－兴谷开发区A</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611CEE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3D42340">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8870382">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6F771B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867749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7360E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1672578">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781E7094">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Ⅸ－兴谷开发区B</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5B0CB04">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1FAEF08">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36DBB6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AE4C0CD">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CB16E1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32CF0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3B74DFE6">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5979B5C">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Ⅸ－马坊工业园</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AD0D21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3F5EB1C">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5A314C4">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44EDCB7">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880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DC94FC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1A721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7364DF1A">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9D453A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Ⅸ－密云开发区</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023C42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367DCB1">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A2CA561">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D01B9A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A0DE22B">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2EE44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2AAA9A5E">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BDDE0CE">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Ⅸ－延庆开发区</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BE99F84">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5324923">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86CF918">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0BB6F3F">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1633706">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r w14:paraId="20E8E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08B8E40">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20C6DBDF">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Ⅸ－八达岭开发区</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C0B8476">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5773165">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41B7A38">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9CC7721">
            <w:pPr>
              <w:widowControl/>
              <w:adjustRightInd/>
              <w:spacing w:line="240" w:lineRule="exact"/>
              <w:jc w:val="both"/>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790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587E844">
            <w:pPr>
              <w:widowControl/>
              <w:adjustRightInd/>
              <w:spacing w:line="240" w:lineRule="exact"/>
              <w:jc w:val="both"/>
              <w:rPr>
                <w:rFonts w:ascii="Arial" w:hAnsi="Arial" w:eastAsia="仿宋" w:cs="Arial"/>
                <w:color w:val="auto"/>
                <w:sz w:val="21"/>
                <w:szCs w:val="21"/>
                <w:lang w:bidi="ar"/>
              </w:rPr>
            </w:pPr>
            <w:r>
              <w:rPr>
                <w:rFonts w:hint="eastAsia" w:ascii="Arial" w:hAnsi="Arial" w:eastAsia="仿宋" w:cs="Arial"/>
                <w:color w:val="auto"/>
                <w:sz w:val="21"/>
                <w:szCs w:val="21"/>
                <w:lang w:bidi="ar"/>
              </w:rPr>
              <w:t>　</w:t>
            </w:r>
          </w:p>
        </w:tc>
      </w:tr>
    </w:tbl>
    <w:p w14:paraId="4E79E85F">
      <w:pPr>
        <w:adjustRightInd/>
        <w:snapToGrid w:val="0"/>
        <w:spacing w:before="120" w:beforeLines="50"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依据上表，估价对象所在住宅用途</w:t>
      </w:r>
      <w:r>
        <w:rPr>
          <w:rFonts w:ascii="Arial" w:hAnsi="Arial" w:eastAsia="仿宋_GB2312" w:cs="Arial"/>
          <w:color w:val="auto"/>
          <w:sz w:val="28"/>
        </w:rPr>
        <w:t>IX</w:t>
      </w:r>
      <w:r>
        <w:rPr>
          <w:rFonts w:hint="eastAsia" w:ascii="Arial" w:hAnsi="Arial" w:eastAsia="仿宋_GB2312" w:cs="Arial"/>
          <w:color w:val="auto"/>
          <w:sz w:val="28"/>
        </w:rPr>
        <w:t>－顺5</w:t>
      </w:r>
      <w:r>
        <w:rPr>
          <w:rFonts w:ascii="Arial" w:hAnsi="Arial" w:eastAsia="仿宋" w:cs="Arial"/>
          <w:color w:val="auto"/>
          <w:sz w:val="28"/>
          <w:szCs w:val="28"/>
        </w:rPr>
        <w:t>区片的区片基准地价为6160元/平方米。</w:t>
      </w:r>
    </w:p>
    <w:p w14:paraId="3FF25D05">
      <w:pPr>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b.特殊情况修正</w:t>
      </w:r>
    </w:p>
    <w:p w14:paraId="579F917A">
      <w:pPr>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估价对象为住宅用地，以估价对象距离</w:t>
      </w:r>
      <w:r>
        <w:rPr>
          <w:rFonts w:hint="eastAsia" w:ascii="Arial" w:hAnsi="Arial" w:eastAsia="仿宋" w:cs="Arial"/>
          <w:color w:val="auto"/>
          <w:sz w:val="28"/>
          <w:szCs w:val="28"/>
        </w:rPr>
        <w:t>水系</w:t>
      </w:r>
      <w:r>
        <w:rPr>
          <w:rFonts w:ascii="Arial" w:hAnsi="Arial" w:eastAsia="仿宋" w:cs="Arial"/>
          <w:color w:val="auto"/>
          <w:sz w:val="28"/>
          <w:szCs w:val="28"/>
        </w:rPr>
        <w:t>（</w:t>
      </w:r>
      <w:r>
        <w:rPr>
          <w:rFonts w:hint="eastAsia" w:ascii="Arial" w:hAnsi="Arial" w:eastAsia="仿宋" w:cs="Arial"/>
          <w:color w:val="auto"/>
          <w:sz w:val="28"/>
          <w:szCs w:val="28"/>
        </w:rPr>
        <w:t>方氏渠</w:t>
      </w:r>
      <w:r>
        <w:rPr>
          <w:rFonts w:ascii="Arial" w:hAnsi="Arial" w:eastAsia="仿宋" w:cs="Arial"/>
          <w:color w:val="auto"/>
          <w:sz w:val="28"/>
          <w:szCs w:val="28"/>
        </w:rPr>
        <w:t>）</w:t>
      </w:r>
      <w:r>
        <w:rPr>
          <w:rFonts w:hint="eastAsia" w:ascii="Arial" w:hAnsi="Arial" w:eastAsia="仿宋" w:cs="Arial"/>
          <w:color w:val="auto"/>
          <w:sz w:val="28"/>
          <w:szCs w:val="28"/>
        </w:rPr>
        <w:t>650米</w:t>
      </w:r>
      <w:r>
        <w:rPr>
          <w:rFonts w:ascii="Arial" w:hAnsi="Arial" w:eastAsia="仿宋" w:cs="Arial"/>
          <w:color w:val="auto"/>
          <w:sz w:val="28"/>
          <w:szCs w:val="28"/>
        </w:rPr>
        <w:t>。因此，需先进行特殊情况修正。修正表如下：</w:t>
      </w:r>
    </w:p>
    <w:p w14:paraId="3C8745FA">
      <w:pPr>
        <w:rPr>
          <w:rFonts w:ascii="Arial" w:hAnsi="Arial" w:eastAsia="仿宋" w:cs="Arial"/>
          <w:color w:val="auto"/>
          <w:sz w:val="28"/>
          <w:szCs w:val="28"/>
        </w:rPr>
      </w:pPr>
      <w:bookmarkStart w:id="379" w:name="OLE_LINK20"/>
      <w:bookmarkStart w:id="380" w:name="OLE_LINK19"/>
      <w:bookmarkStart w:id="381" w:name="OLE_LINK22"/>
      <w:bookmarkStart w:id="382" w:name="OLE_LINK21"/>
      <w:r>
        <w:rPr>
          <w:rFonts w:ascii="Arial" w:hAnsi="Arial" w:eastAsia="仿宋" w:cs="Arial"/>
          <w:color w:val="auto"/>
          <w:sz w:val="28"/>
          <w:szCs w:val="28"/>
        </w:rPr>
        <w:br w:type="page"/>
      </w:r>
    </w:p>
    <w:p w14:paraId="0DC99587">
      <w:pPr>
        <w:spacing w:line="240" w:lineRule="auto"/>
        <w:jc w:val="center"/>
        <w:rPr>
          <w:rFonts w:ascii="Arial" w:hAnsi="Arial" w:eastAsia="仿宋" w:cs="Arial"/>
          <w:color w:val="auto"/>
          <w:sz w:val="28"/>
          <w:szCs w:val="28"/>
        </w:rPr>
      </w:pPr>
      <w:r>
        <w:rPr>
          <w:rFonts w:ascii="Arial" w:hAnsi="Arial" w:eastAsia="仿宋" w:cs="Arial"/>
          <w:color w:val="auto"/>
          <w:sz w:val="28"/>
          <w:szCs w:val="28"/>
        </w:rPr>
        <w:t>住宅用地特殊情况修正</w:t>
      </w:r>
      <w:bookmarkEnd w:id="379"/>
      <w:bookmarkEnd w:id="380"/>
      <w:r>
        <w:rPr>
          <w:rFonts w:ascii="Arial" w:hAnsi="Arial" w:eastAsia="仿宋" w:cs="Arial"/>
          <w:color w:val="auto"/>
          <w:sz w:val="28"/>
          <w:szCs w:val="28"/>
        </w:rPr>
        <w:t>系数</w:t>
      </w:r>
      <w:bookmarkEnd w:id="381"/>
      <w:bookmarkEnd w:id="382"/>
    </w:p>
    <w:tbl>
      <w:tblPr>
        <w:tblStyle w:val="34"/>
        <w:tblW w:w="9299" w:type="dxa"/>
        <w:jc w:val="center"/>
        <w:tblLayout w:type="fixed"/>
        <w:tblCellMar>
          <w:top w:w="57" w:type="dxa"/>
          <w:left w:w="57" w:type="dxa"/>
          <w:bottom w:w="57" w:type="dxa"/>
          <w:right w:w="57" w:type="dxa"/>
        </w:tblCellMar>
      </w:tblPr>
      <w:tblGrid>
        <w:gridCol w:w="1135"/>
        <w:gridCol w:w="1276"/>
        <w:gridCol w:w="1276"/>
        <w:gridCol w:w="1870"/>
        <w:gridCol w:w="1871"/>
        <w:gridCol w:w="1871"/>
      </w:tblGrid>
      <w:tr w14:paraId="12CB8595">
        <w:tblPrEx>
          <w:tblCellMar>
            <w:top w:w="57" w:type="dxa"/>
            <w:left w:w="57" w:type="dxa"/>
            <w:bottom w:w="57" w:type="dxa"/>
            <w:right w:w="57" w:type="dxa"/>
          </w:tblCellMar>
        </w:tblPrEx>
        <w:trPr>
          <w:cantSplit/>
          <w:jc w:val="center"/>
        </w:trPr>
        <w:tc>
          <w:tcPr>
            <w:tcW w:w="1135"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4FD85E2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特殊情况</w:t>
            </w:r>
          </w:p>
        </w:tc>
        <w:tc>
          <w:tcPr>
            <w:tcW w:w="1276"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576DE24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公园</w:t>
            </w:r>
          </w:p>
        </w:tc>
        <w:tc>
          <w:tcPr>
            <w:tcW w:w="1276"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7CC448D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水系</w:t>
            </w:r>
          </w:p>
        </w:tc>
        <w:tc>
          <w:tcPr>
            <w:tcW w:w="1870"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1F3963C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轨道交通站点周边</w:t>
            </w:r>
          </w:p>
          <w:p w14:paraId="423E584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（500米范围内）</w:t>
            </w:r>
          </w:p>
        </w:tc>
        <w:tc>
          <w:tcPr>
            <w:tcW w:w="1871" w:type="dxa"/>
            <w:tcBorders>
              <w:top w:val="single" w:color="404040" w:sz="2" w:space="0"/>
              <w:left w:val="single" w:color="404040" w:sz="2" w:space="0"/>
              <w:bottom w:val="single" w:color="404040" w:sz="2" w:space="0"/>
              <w:right w:val="single" w:color="404040" w:sz="2" w:space="0"/>
            </w:tcBorders>
            <w:shd w:val="clear" w:color="auto" w:fill="auto"/>
            <w:vAlign w:val="center"/>
          </w:tcPr>
          <w:p w14:paraId="35E140C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轨道交通站点周边</w:t>
            </w:r>
          </w:p>
          <w:p w14:paraId="46505CC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（500</w:t>
            </w:r>
            <w:r>
              <w:rPr>
                <w:rFonts w:hint="eastAsia" w:ascii="Arial" w:hAnsi="Arial" w:eastAsia="仿宋" w:cs="Arial"/>
                <w:color w:val="auto"/>
                <w:sz w:val="21"/>
                <w:szCs w:val="21"/>
              </w:rPr>
              <w:t>－</w:t>
            </w:r>
            <w:r>
              <w:rPr>
                <w:rFonts w:ascii="Arial" w:hAnsi="Arial" w:eastAsia="仿宋" w:cs="Arial"/>
                <w:color w:val="auto"/>
                <w:sz w:val="21"/>
                <w:szCs w:val="21"/>
              </w:rPr>
              <w:t>1000米）</w:t>
            </w:r>
          </w:p>
        </w:tc>
        <w:tc>
          <w:tcPr>
            <w:tcW w:w="1871" w:type="dxa"/>
            <w:tcBorders>
              <w:top w:val="single" w:color="404040" w:sz="2" w:space="0"/>
              <w:left w:val="single" w:color="404040" w:sz="2" w:space="0"/>
              <w:bottom w:val="single" w:color="404040" w:sz="2" w:space="0"/>
              <w:right w:val="single" w:color="404040" w:sz="2" w:space="0"/>
            </w:tcBorders>
            <w:shd w:val="clear" w:color="auto" w:fill="auto"/>
            <w:vAlign w:val="center"/>
          </w:tcPr>
          <w:p w14:paraId="2562B70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轨道交通站点周边（1000</w:t>
            </w:r>
            <w:r>
              <w:rPr>
                <w:rFonts w:hint="eastAsia" w:ascii="Arial" w:hAnsi="Arial" w:eastAsia="仿宋" w:cs="Arial"/>
                <w:color w:val="auto"/>
                <w:sz w:val="21"/>
                <w:szCs w:val="21"/>
              </w:rPr>
              <w:t>－</w:t>
            </w:r>
            <w:r>
              <w:rPr>
                <w:rFonts w:ascii="Arial" w:hAnsi="Arial" w:eastAsia="仿宋" w:cs="Arial"/>
                <w:color w:val="auto"/>
                <w:sz w:val="21"/>
                <w:szCs w:val="21"/>
              </w:rPr>
              <w:t>1500米）</w:t>
            </w:r>
          </w:p>
        </w:tc>
      </w:tr>
      <w:tr w14:paraId="44EC5494">
        <w:tblPrEx>
          <w:tblCellMar>
            <w:top w:w="57" w:type="dxa"/>
            <w:left w:w="57" w:type="dxa"/>
            <w:bottom w:w="57" w:type="dxa"/>
            <w:right w:w="57" w:type="dxa"/>
          </w:tblCellMar>
        </w:tblPrEx>
        <w:trPr>
          <w:cantSplit/>
          <w:jc w:val="center"/>
        </w:trPr>
        <w:tc>
          <w:tcPr>
            <w:tcW w:w="1135"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08689D1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修正系数</w:t>
            </w:r>
          </w:p>
        </w:tc>
        <w:tc>
          <w:tcPr>
            <w:tcW w:w="1276"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0F25A30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1.1~1.15</w:t>
            </w:r>
          </w:p>
        </w:tc>
        <w:tc>
          <w:tcPr>
            <w:tcW w:w="1276"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3C4EBDD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1.05~1.1</w:t>
            </w:r>
          </w:p>
        </w:tc>
        <w:tc>
          <w:tcPr>
            <w:tcW w:w="1870"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478C3C6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1.1~1.15</w:t>
            </w:r>
          </w:p>
        </w:tc>
        <w:tc>
          <w:tcPr>
            <w:tcW w:w="1871"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6BA71BE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1.05~1.1</w:t>
            </w:r>
          </w:p>
        </w:tc>
        <w:tc>
          <w:tcPr>
            <w:tcW w:w="1871"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690EE05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1~1.05</w:t>
            </w:r>
          </w:p>
        </w:tc>
      </w:tr>
    </w:tbl>
    <w:p w14:paraId="1BCBD65A">
      <w:pPr>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估价对象距离</w:t>
      </w:r>
      <w:r>
        <w:rPr>
          <w:rFonts w:hint="eastAsia" w:ascii="Arial" w:hAnsi="Arial" w:eastAsia="仿宋" w:cs="Arial"/>
          <w:color w:val="auto"/>
          <w:sz w:val="28"/>
          <w:szCs w:val="28"/>
        </w:rPr>
        <w:t>方氏渠650米，</w:t>
      </w:r>
      <w:r>
        <w:rPr>
          <w:rFonts w:ascii="Arial" w:hAnsi="Arial" w:eastAsia="仿宋" w:cs="Arial"/>
          <w:color w:val="auto"/>
          <w:sz w:val="28"/>
          <w:szCs w:val="28"/>
        </w:rPr>
        <w:t>本次评估修正系数为1.05。则有：住宅用地特殊情况修正</w:t>
      </w:r>
      <w:bookmarkStart w:id="383" w:name="OLE_LINK27"/>
      <w:bookmarkStart w:id="384" w:name="OLE_LINK28"/>
      <w:r>
        <w:rPr>
          <w:rFonts w:ascii="Arial" w:hAnsi="Arial" w:eastAsia="仿宋" w:cs="Arial"/>
          <w:color w:val="auto"/>
          <w:sz w:val="28"/>
          <w:szCs w:val="28"/>
        </w:rPr>
        <w:t>系数</w:t>
      </w:r>
      <w:bookmarkEnd w:id="383"/>
      <w:bookmarkEnd w:id="384"/>
      <w:r>
        <w:rPr>
          <w:rFonts w:hint="eastAsia" w:ascii="Arial" w:hAnsi="Arial" w:eastAsia="仿宋" w:cs="Arial"/>
          <w:color w:val="auto"/>
          <w:sz w:val="28"/>
          <w:szCs w:val="28"/>
        </w:rPr>
        <w:t>为</w:t>
      </w:r>
      <w:r>
        <w:rPr>
          <w:rFonts w:ascii="Arial" w:hAnsi="Arial" w:eastAsia="仿宋" w:cs="Arial"/>
          <w:color w:val="auto"/>
          <w:sz w:val="28"/>
          <w:szCs w:val="28"/>
        </w:rPr>
        <w:t>1.05</w:t>
      </w:r>
      <w:r>
        <w:rPr>
          <w:rFonts w:hint="eastAsia" w:ascii="Arial" w:hAnsi="Arial" w:eastAsia="仿宋" w:cs="Arial"/>
          <w:color w:val="auto"/>
          <w:sz w:val="28"/>
          <w:szCs w:val="28"/>
        </w:rPr>
        <w:t>。</w:t>
      </w:r>
    </w:p>
    <w:p w14:paraId="0962B383">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c.土地开发程度修正</w:t>
      </w:r>
    </w:p>
    <w:p w14:paraId="4630A2B8">
      <w:pPr>
        <w:adjustRightInd/>
        <w:snapToGrid w:val="0"/>
        <w:spacing w:line="300" w:lineRule="auto"/>
        <w:ind w:firstLine="560" w:firstLineChars="200"/>
        <w:jc w:val="both"/>
        <w:rPr>
          <w:rFonts w:ascii="Arial" w:hAnsi="Arial" w:eastAsia="仿宋" w:cs="Arial"/>
          <w:bCs/>
          <w:color w:val="auto"/>
          <w:sz w:val="28"/>
          <w:szCs w:val="28"/>
        </w:rPr>
      </w:pPr>
      <w:r>
        <w:rPr>
          <w:rFonts w:ascii="Arial" w:hAnsi="Arial" w:eastAsia="仿宋" w:cs="Arial"/>
          <w:color w:val="auto"/>
          <w:sz w:val="28"/>
          <w:szCs w:val="28"/>
        </w:rPr>
        <w:t>估价对象设定宗地土地开发程度为</w:t>
      </w:r>
      <w:r>
        <w:rPr>
          <w:rFonts w:hint="eastAsia" w:ascii="Arial" w:hAnsi="Arial" w:eastAsia="仿宋" w:cs="Arial"/>
          <w:color w:val="auto"/>
          <w:sz w:val="28"/>
          <w:szCs w:val="28"/>
        </w:rPr>
        <w:t>“七通”（通路、通上水（自来水、中水）、通下水（雨水、污水）、通电、通讯、通燃气、通热力）</w:t>
      </w:r>
      <w:r>
        <w:rPr>
          <w:rFonts w:ascii="Arial" w:hAnsi="Arial" w:eastAsia="仿宋" w:cs="Arial"/>
          <w:color w:val="auto"/>
          <w:sz w:val="28"/>
          <w:szCs w:val="28"/>
        </w:rPr>
        <w:t>，估价对象所在区域为</w:t>
      </w:r>
      <w:r>
        <w:rPr>
          <w:rFonts w:hint="eastAsia" w:ascii="Arial" w:hAnsi="Arial" w:eastAsia="仿宋" w:cs="Arial"/>
          <w:color w:val="auto"/>
          <w:sz w:val="28"/>
          <w:szCs w:val="28"/>
        </w:rPr>
        <w:t>九</w:t>
      </w:r>
      <w:r>
        <w:rPr>
          <w:rFonts w:ascii="Arial" w:hAnsi="Arial" w:eastAsia="仿宋" w:cs="Arial"/>
          <w:color w:val="auto"/>
          <w:sz w:val="28"/>
          <w:szCs w:val="28"/>
        </w:rPr>
        <w:t>级地价区，级别基准地价土地开发程度为</w:t>
      </w:r>
      <w:r>
        <w:rPr>
          <w:rFonts w:hint="eastAsia" w:ascii="Arial" w:hAnsi="Arial" w:eastAsia="仿宋" w:cs="Arial"/>
          <w:color w:val="auto"/>
          <w:sz w:val="28"/>
          <w:szCs w:val="28"/>
        </w:rPr>
        <w:t>“五</w:t>
      </w:r>
      <w:r>
        <w:rPr>
          <w:rFonts w:ascii="Arial" w:hAnsi="Arial" w:eastAsia="仿宋" w:cs="Arial"/>
          <w:color w:val="auto"/>
          <w:sz w:val="28"/>
          <w:szCs w:val="28"/>
        </w:rPr>
        <w:t>通</w:t>
      </w:r>
      <w:r>
        <w:rPr>
          <w:rFonts w:hint="eastAsia" w:ascii="Arial" w:hAnsi="Arial" w:eastAsia="仿宋" w:cs="Arial"/>
          <w:color w:val="auto"/>
          <w:sz w:val="28"/>
          <w:szCs w:val="28"/>
        </w:rPr>
        <w:t>”</w:t>
      </w:r>
      <w:r>
        <w:rPr>
          <w:rFonts w:hint="eastAsia" w:ascii="仿宋_GB2312" w:hAnsi="Arial" w:eastAsia="仿宋_GB2312"/>
          <w:color w:val="auto"/>
          <w:sz w:val="28"/>
        </w:rPr>
        <w:t>（通路、通上水、通下水、通电、通讯）</w:t>
      </w:r>
      <w:r>
        <w:rPr>
          <w:rFonts w:ascii="Arial" w:hAnsi="Arial" w:eastAsia="仿宋" w:cs="Arial"/>
          <w:color w:val="auto"/>
          <w:sz w:val="28"/>
          <w:szCs w:val="28"/>
        </w:rPr>
        <w:t>，相应用途级别平均容积率为1.5。估价对象设定状况与级别开发程度不一致，需进行修正。修正表如下：</w:t>
      </w:r>
    </w:p>
    <w:p w14:paraId="6E31D461">
      <w:pPr>
        <w:spacing w:line="240" w:lineRule="auto"/>
        <w:jc w:val="center"/>
        <w:rPr>
          <w:rFonts w:ascii="Arial" w:hAnsi="Arial" w:eastAsia="仿宋" w:cs="Arial"/>
          <w:bCs/>
          <w:color w:val="auto"/>
          <w:sz w:val="28"/>
          <w:szCs w:val="28"/>
        </w:rPr>
      </w:pPr>
      <w:r>
        <w:rPr>
          <w:rFonts w:ascii="Arial" w:hAnsi="Arial" w:eastAsia="仿宋" w:cs="Arial"/>
          <w:bCs/>
          <w:color w:val="auto"/>
          <w:sz w:val="28"/>
          <w:szCs w:val="28"/>
        </w:rPr>
        <w:t>基础设施建设费（土地开发费）</w:t>
      </w:r>
    </w:p>
    <w:p w14:paraId="13156A0B">
      <w:pPr>
        <w:adjustRightInd/>
        <w:spacing w:line="240" w:lineRule="auto"/>
        <w:jc w:val="right"/>
        <w:rPr>
          <w:rFonts w:ascii="Arial" w:hAnsi="Arial"/>
          <w:color w:val="auto"/>
          <w:sz w:val="21"/>
        </w:rPr>
      </w:pPr>
      <w:r>
        <w:rPr>
          <w:rFonts w:hint="eastAsia" w:ascii="Arial" w:hAnsi="Arial" w:eastAsia="华文细黑" w:cs="宋体"/>
          <w:color w:val="auto"/>
          <w:sz w:val="18"/>
          <w:szCs w:val="24"/>
        </w:rPr>
        <w:t>单位：元/土地平方米</w:t>
      </w:r>
    </w:p>
    <w:tbl>
      <w:tblPr>
        <w:tblStyle w:val="34"/>
        <w:tblW w:w="9299" w:type="dxa"/>
        <w:jc w:val="center"/>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Layout w:type="fixed"/>
        <w:tblCellMar>
          <w:top w:w="57" w:type="dxa"/>
          <w:left w:w="57" w:type="dxa"/>
          <w:bottom w:w="57" w:type="dxa"/>
          <w:right w:w="57" w:type="dxa"/>
        </w:tblCellMar>
      </w:tblPr>
      <w:tblGrid>
        <w:gridCol w:w="1602"/>
        <w:gridCol w:w="856"/>
        <w:gridCol w:w="856"/>
        <w:gridCol w:w="855"/>
        <w:gridCol w:w="855"/>
        <w:gridCol w:w="855"/>
        <w:gridCol w:w="855"/>
        <w:gridCol w:w="855"/>
        <w:gridCol w:w="855"/>
        <w:gridCol w:w="855"/>
      </w:tblGrid>
      <w:tr w14:paraId="692604C8">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l2br w:val="single" w:color="auto" w:sz="4" w:space="0"/>
            </w:tcBorders>
            <w:shd w:val="clear" w:color="auto" w:fill="auto"/>
            <w:noWrap/>
            <w:vAlign w:val="center"/>
          </w:tcPr>
          <w:p w14:paraId="44DDAD0E">
            <w:pPr>
              <w:widowControl/>
              <w:adjustRightInd/>
              <w:spacing w:line="240" w:lineRule="exact"/>
              <w:ind w:firstLine="945" w:firstLineChars="450"/>
              <w:jc w:val="right"/>
              <w:textAlignment w:val="auto"/>
              <w:rPr>
                <w:rFonts w:ascii="Arial" w:hAnsi="Arial" w:eastAsia="仿宋" w:cs="Arial"/>
                <w:color w:val="auto"/>
                <w:sz w:val="21"/>
                <w:szCs w:val="21"/>
              </w:rPr>
            </w:pPr>
            <w:r>
              <w:rPr>
                <w:rFonts w:ascii="Arial" w:hAnsi="Arial" w:eastAsia="仿宋" w:cs="Arial"/>
                <w:color w:val="auto"/>
                <w:sz w:val="21"/>
                <w:szCs w:val="21"/>
              </w:rPr>
              <w:t>费用</w:t>
            </w:r>
          </w:p>
          <w:p w14:paraId="1B6D6868">
            <w:pPr>
              <w:spacing w:line="240" w:lineRule="exact"/>
              <w:rPr>
                <w:rFonts w:ascii="Arial" w:hAnsi="Arial" w:eastAsia="仿宋" w:cs="Arial"/>
                <w:color w:val="auto"/>
                <w:sz w:val="21"/>
                <w:szCs w:val="21"/>
              </w:rPr>
            </w:pPr>
            <w:r>
              <w:rPr>
                <w:rFonts w:ascii="Arial" w:hAnsi="Arial" w:eastAsia="仿宋" w:cs="Arial"/>
                <w:color w:val="auto"/>
                <w:sz w:val="21"/>
                <w:szCs w:val="21"/>
              </w:rPr>
              <w:t>类别</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CCB701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通路</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22A4F4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通电</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DD03FE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通讯</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6C62BA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通上水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D35514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通下水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A7E765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通热</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BCD8BA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通燃气</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559C66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平整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44C012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合计</w:t>
            </w:r>
          </w:p>
        </w:tc>
      </w:tr>
      <w:tr w14:paraId="1DF5C648">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78AE09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一至二级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127614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559806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93BBF1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08517B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632243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C88764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8522A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50D420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96ACA6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375</w:t>
            </w:r>
          </w:p>
        </w:tc>
      </w:tr>
      <w:tr w14:paraId="4780A904">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8CB391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三至七级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007EA6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3676BB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DAC91F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593E4D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7AC3D0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B5CECC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ABAB04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1D9680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C4DB2F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315</w:t>
            </w:r>
          </w:p>
        </w:tc>
      </w:tr>
      <w:tr w14:paraId="27EC2CC3">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1EEF2B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八至十二级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34C3B9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ADB78A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22FB6D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5417AB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ED95EC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D9400B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5F1B02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467501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781905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255</w:t>
            </w:r>
          </w:p>
        </w:tc>
      </w:tr>
    </w:tbl>
    <w:p w14:paraId="7CB0CB4B">
      <w:pPr>
        <w:widowControl/>
        <w:adjustRightInd/>
        <w:spacing w:line="240" w:lineRule="exact"/>
        <w:textAlignment w:val="auto"/>
        <w:rPr>
          <w:rFonts w:ascii="Arial" w:hAnsi="Arial" w:eastAsia="华文细黑" w:cs="宋体"/>
          <w:color w:val="auto"/>
          <w:sz w:val="18"/>
          <w:szCs w:val="24"/>
        </w:rPr>
      </w:pPr>
    </w:p>
    <w:p w14:paraId="5822C684">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土地开发程度修正</w:t>
      </w:r>
    </w:p>
    <w:p w14:paraId="407D8A2F">
      <w:pPr>
        <w:adjustRightInd/>
        <w:snapToGrid w:val="0"/>
        <w:spacing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w:t>
      </w:r>
      <w:r>
        <w:rPr>
          <w:rFonts w:ascii="Arial" w:hAnsi="Arial" w:eastAsia="仿宋" w:cs="Arial"/>
          <w:color w:val="auto"/>
          <w:sz w:val="28"/>
          <w:szCs w:val="28"/>
        </w:rPr>
        <w:t>60</w:t>
      </w:r>
      <w:r>
        <w:rPr>
          <w:rFonts w:hint="eastAsia" w:ascii="Arial" w:hAnsi="Arial" w:eastAsia="仿宋" w:cs="Arial"/>
          <w:color w:val="auto"/>
          <w:sz w:val="28"/>
          <w:szCs w:val="28"/>
        </w:rPr>
        <w:t>＋</w:t>
      </w:r>
      <w:r>
        <w:rPr>
          <w:rFonts w:ascii="Arial" w:hAnsi="Arial" w:eastAsia="仿宋" w:cs="Arial"/>
          <w:color w:val="auto"/>
          <w:sz w:val="28"/>
          <w:szCs w:val="28"/>
        </w:rPr>
        <w:t>50</w:t>
      </w:r>
      <w:r>
        <w:rPr>
          <w:rFonts w:hint="eastAsia" w:ascii="Arial" w:hAnsi="Arial" w:eastAsia="仿宋" w:cs="Arial"/>
          <w:color w:val="auto"/>
          <w:sz w:val="28"/>
          <w:szCs w:val="28"/>
        </w:rPr>
        <w:t>＋10＋</w:t>
      </w:r>
      <w:r>
        <w:rPr>
          <w:rFonts w:ascii="Arial" w:hAnsi="Arial" w:eastAsia="仿宋" w:cs="Arial"/>
          <w:color w:val="auto"/>
          <w:sz w:val="28"/>
          <w:szCs w:val="28"/>
        </w:rPr>
        <w:t>20</w:t>
      </w:r>
      <w:r>
        <w:rPr>
          <w:rFonts w:hint="eastAsia" w:ascii="Arial" w:hAnsi="Arial" w:eastAsia="仿宋" w:cs="Arial"/>
          <w:color w:val="auto"/>
          <w:sz w:val="28"/>
          <w:szCs w:val="28"/>
        </w:rPr>
        <w:t>＋</w:t>
      </w:r>
      <w:r>
        <w:rPr>
          <w:rFonts w:ascii="Arial" w:hAnsi="Arial" w:eastAsia="仿宋" w:cs="Arial"/>
          <w:color w:val="auto"/>
          <w:sz w:val="28"/>
          <w:szCs w:val="28"/>
        </w:rPr>
        <w:t>35</w:t>
      </w:r>
      <w:r>
        <w:rPr>
          <w:rFonts w:hint="eastAsia" w:ascii="Arial" w:hAnsi="Arial" w:eastAsia="仿宋" w:cs="Arial"/>
          <w:color w:val="auto"/>
          <w:sz w:val="28"/>
          <w:szCs w:val="28"/>
        </w:rPr>
        <w:t>＋</w:t>
      </w:r>
      <w:r>
        <w:rPr>
          <w:rFonts w:ascii="Arial" w:hAnsi="Arial" w:eastAsia="仿宋" w:cs="Arial"/>
          <w:color w:val="auto"/>
          <w:sz w:val="28"/>
          <w:szCs w:val="28"/>
        </w:rPr>
        <w:t>40</w:t>
      </w:r>
      <w:r>
        <w:rPr>
          <w:rFonts w:hint="eastAsia" w:ascii="Arial" w:hAnsi="Arial" w:eastAsia="仿宋" w:cs="Arial"/>
          <w:color w:val="auto"/>
          <w:sz w:val="28"/>
          <w:szCs w:val="28"/>
        </w:rPr>
        <w:t>＋</w:t>
      </w:r>
      <w:r>
        <w:rPr>
          <w:rFonts w:ascii="Arial" w:hAnsi="Arial" w:eastAsia="仿宋" w:cs="Arial"/>
          <w:color w:val="auto"/>
          <w:sz w:val="28"/>
          <w:szCs w:val="28"/>
        </w:rPr>
        <w:t>30</w:t>
      </w:r>
      <w:r>
        <w:rPr>
          <w:rFonts w:hint="eastAsia" w:ascii="Arial" w:hAnsi="Arial" w:eastAsia="仿宋" w:cs="Arial"/>
          <w:color w:val="auto"/>
          <w:sz w:val="28"/>
          <w:szCs w:val="28"/>
        </w:rPr>
        <w:t>＋</w:t>
      </w:r>
      <w:r>
        <w:rPr>
          <w:rFonts w:ascii="Arial" w:hAnsi="Arial" w:eastAsia="仿宋" w:cs="Arial"/>
          <w:color w:val="auto"/>
          <w:sz w:val="28"/>
          <w:szCs w:val="28"/>
        </w:rPr>
        <w:t>10</w:t>
      </w:r>
      <w:r>
        <w:rPr>
          <w:rFonts w:hint="eastAsia" w:ascii="Arial" w:hAnsi="Arial" w:eastAsia="仿宋" w:cs="Arial"/>
          <w:color w:val="auto"/>
          <w:sz w:val="28"/>
          <w:szCs w:val="28"/>
        </w:rPr>
        <w:t>）－</w:t>
      </w:r>
      <w:r>
        <w:rPr>
          <w:rFonts w:ascii="Arial" w:hAnsi="Arial" w:eastAsia="仿宋" w:cs="Arial"/>
          <w:color w:val="auto"/>
          <w:sz w:val="28"/>
          <w:szCs w:val="28"/>
        </w:rPr>
        <w:t>185）</w:t>
      </w:r>
      <w:r>
        <w:rPr>
          <w:rFonts w:hint="eastAsia" w:ascii="Arial" w:hAnsi="Arial" w:eastAsia="仿宋" w:cs="Arial"/>
          <w:color w:val="auto"/>
          <w:sz w:val="28"/>
          <w:szCs w:val="28"/>
        </w:rPr>
        <w:t>÷</w:t>
      </w:r>
      <w:r>
        <w:rPr>
          <w:rFonts w:ascii="Arial" w:hAnsi="Arial" w:eastAsia="仿宋" w:cs="Arial"/>
          <w:color w:val="auto"/>
          <w:sz w:val="28"/>
          <w:szCs w:val="28"/>
        </w:rPr>
        <w:t>1.5</w:t>
      </w:r>
    </w:p>
    <w:p w14:paraId="61A2119B">
      <w:pPr>
        <w:adjustRightInd/>
        <w:snapToGrid w:val="0"/>
        <w:spacing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＝46.67</w:t>
      </w:r>
      <w:r>
        <w:rPr>
          <w:rFonts w:ascii="Arial" w:hAnsi="Arial" w:eastAsia="仿宋" w:cs="Arial"/>
          <w:color w:val="auto"/>
          <w:sz w:val="28"/>
          <w:szCs w:val="28"/>
        </w:rPr>
        <w:t>（元/平方米）</w:t>
      </w:r>
    </w:p>
    <w:p w14:paraId="38CC8124">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（B）用途修正系数的确定</w:t>
      </w:r>
    </w:p>
    <w:p w14:paraId="18C64C31">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《北京市出让国有建设用地使用权基准地价更新成果》根据《土地利用现状分类》（GB/T21010</w:t>
      </w:r>
      <w:r>
        <w:rPr>
          <w:rFonts w:hint="eastAsia" w:ascii="Arial" w:hAnsi="Arial" w:eastAsia="仿宋" w:cs="Arial"/>
          <w:color w:val="auto"/>
          <w:sz w:val="28"/>
          <w:szCs w:val="28"/>
        </w:rPr>
        <w:t>－</w:t>
      </w:r>
      <w:r>
        <w:rPr>
          <w:rFonts w:ascii="Arial" w:hAnsi="Arial" w:eastAsia="仿宋" w:cs="Arial"/>
          <w:color w:val="auto"/>
          <w:sz w:val="28"/>
          <w:szCs w:val="28"/>
        </w:rPr>
        <w:t>2007），对现有用地按照一级分类进行归类，分为商业、办公、住宅、工业和公共服务五类用途基准地价，并按照二级分类建立了地上用途修正系数。地下部分包括地下商业、地下办公、地下仓储（及其他）、地下车库等用途，并建立了地下空间修正系数。</w:t>
      </w:r>
    </w:p>
    <w:p w14:paraId="2769C653">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地上部分：</w:t>
      </w:r>
    </w:p>
    <w:p w14:paraId="59EA41B3">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估价对象地上用途为住宅——城镇住宅用地（指城镇用于生活居住的各类房屋用地及其附属设施用地,不含配套的商业服务设施等用地），需依据《北京市基准地价土地用途二级分类用地修正系数表》进行用途修正。</w:t>
      </w:r>
    </w:p>
    <w:p w14:paraId="72E698A7">
      <w:pPr>
        <w:adjustRightInd/>
        <w:snapToGrid w:val="0"/>
        <w:spacing w:line="300" w:lineRule="auto"/>
        <w:ind w:firstLine="560" w:firstLineChars="200"/>
        <w:jc w:val="center"/>
        <w:rPr>
          <w:rFonts w:ascii="Arial" w:hAnsi="Arial" w:eastAsia="仿宋" w:cs="Arial"/>
          <w:color w:val="auto"/>
          <w:sz w:val="28"/>
          <w:szCs w:val="28"/>
        </w:rPr>
      </w:pPr>
      <w:r>
        <w:rPr>
          <w:rFonts w:hint="eastAsia" w:ascii="Arial" w:hAnsi="Arial" w:eastAsia="仿宋" w:cs="Arial"/>
          <w:color w:val="auto"/>
          <w:sz w:val="28"/>
          <w:szCs w:val="28"/>
        </w:rPr>
        <w:t>北京市基准地价土地用途二级分类用地修正系数表</w:t>
      </w:r>
    </w:p>
    <w:tbl>
      <w:tblPr>
        <w:tblStyle w:val="34"/>
        <w:tblW w:w="92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994"/>
        <w:gridCol w:w="1842"/>
        <w:gridCol w:w="4536"/>
        <w:gridCol w:w="1134"/>
        <w:gridCol w:w="793"/>
      </w:tblGrid>
      <w:tr w14:paraId="12F8D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blHeader/>
          <w:jc w:val="center"/>
        </w:trPr>
        <w:tc>
          <w:tcPr>
            <w:tcW w:w="994" w:type="dxa"/>
            <w:shd w:val="clear" w:color="auto" w:fill="auto"/>
            <w:vAlign w:val="center"/>
          </w:tcPr>
          <w:p w14:paraId="6D6F446E">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一级类</w:t>
            </w:r>
          </w:p>
        </w:tc>
        <w:tc>
          <w:tcPr>
            <w:tcW w:w="1842" w:type="dxa"/>
            <w:shd w:val="clear" w:color="auto" w:fill="auto"/>
            <w:vAlign w:val="center"/>
          </w:tcPr>
          <w:p w14:paraId="563DC966">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二级类</w:t>
            </w:r>
          </w:p>
        </w:tc>
        <w:tc>
          <w:tcPr>
            <w:tcW w:w="4536" w:type="dxa"/>
            <w:shd w:val="clear" w:color="auto" w:fill="auto"/>
            <w:vAlign w:val="center"/>
          </w:tcPr>
          <w:p w14:paraId="762AD13A">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含义</w:t>
            </w:r>
          </w:p>
        </w:tc>
        <w:tc>
          <w:tcPr>
            <w:tcW w:w="1134" w:type="dxa"/>
            <w:shd w:val="clear" w:color="auto" w:fill="auto"/>
            <w:vAlign w:val="center"/>
          </w:tcPr>
          <w:p w14:paraId="30F3B9A5">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参照基准</w:t>
            </w:r>
          </w:p>
        </w:tc>
        <w:tc>
          <w:tcPr>
            <w:tcW w:w="793" w:type="dxa"/>
            <w:shd w:val="clear" w:color="auto" w:fill="auto"/>
            <w:vAlign w:val="center"/>
          </w:tcPr>
          <w:p w14:paraId="3213712B">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用途修正系数</w:t>
            </w:r>
          </w:p>
        </w:tc>
      </w:tr>
      <w:tr w14:paraId="57FF3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shd w:val="clear" w:color="auto" w:fill="auto"/>
            <w:noWrap/>
            <w:vAlign w:val="center"/>
          </w:tcPr>
          <w:p w14:paraId="2D8A0E91">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住宅</w:t>
            </w:r>
          </w:p>
        </w:tc>
        <w:tc>
          <w:tcPr>
            <w:tcW w:w="1842" w:type="dxa"/>
            <w:shd w:val="clear" w:color="auto" w:fill="auto"/>
            <w:noWrap/>
            <w:vAlign w:val="center"/>
          </w:tcPr>
          <w:p w14:paraId="7F316AA2">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城镇住宅用地</w:t>
            </w:r>
          </w:p>
        </w:tc>
        <w:tc>
          <w:tcPr>
            <w:tcW w:w="4536" w:type="dxa"/>
            <w:shd w:val="clear" w:color="auto" w:fill="auto"/>
            <w:noWrap/>
            <w:vAlign w:val="center"/>
          </w:tcPr>
          <w:p w14:paraId="6E764AA8">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指城镇用于生活居住的各类房屋用地及其附属设施用地,不含配套的商业服务设施等用地。</w:t>
            </w:r>
          </w:p>
        </w:tc>
        <w:tc>
          <w:tcPr>
            <w:tcW w:w="1134" w:type="dxa"/>
            <w:shd w:val="clear" w:color="auto" w:fill="auto"/>
            <w:noWrap/>
            <w:vAlign w:val="center"/>
          </w:tcPr>
          <w:p w14:paraId="45DD16B1">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住宅类</w:t>
            </w:r>
          </w:p>
        </w:tc>
        <w:tc>
          <w:tcPr>
            <w:tcW w:w="793" w:type="dxa"/>
            <w:shd w:val="clear" w:color="auto" w:fill="auto"/>
            <w:noWrap/>
            <w:vAlign w:val="center"/>
          </w:tcPr>
          <w:p w14:paraId="0C5C2726">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1</w:t>
            </w:r>
          </w:p>
        </w:tc>
      </w:tr>
    </w:tbl>
    <w:p w14:paraId="73FBA44A">
      <w:pPr>
        <w:adjustRightInd/>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依据上表，估价对象地上部分用途修正系数为1。</w:t>
      </w:r>
    </w:p>
    <w:p w14:paraId="70F18A6E">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（C）期日修正系数的确定</w:t>
      </w:r>
    </w:p>
    <w:p w14:paraId="0AC121EA">
      <w:pPr>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《北京市出让国有建设用地使用权基准地价更新成果（二〇二一年）》规定，基准地价期日修正系数必须以北京市地价动态监测成果公布的地价增值率为准。</w:t>
      </w:r>
    </w:p>
    <w:p w14:paraId="7F8FFF14">
      <w:pPr>
        <w:snapToGrid w:val="0"/>
        <w:spacing w:line="300" w:lineRule="auto"/>
        <w:ind w:firstLine="560" w:firstLineChars="200"/>
        <w:rPr>
          <w:rFonts w:ascii="Arial" w:hAnsi="Arial" w:eastAsia="仿宋" w:cs="Arial"/>
          <w:bCs/>
          <w:color w:val="auto"/>
          <w:sz w:val="28"/>
          <w:szCs w:val="28"/>
        </w:rPr>
      </w:pPr>
      <w:r>
        <w:rPr>
          <w:rFonts w:ascii="Arial" w:hAnsi="Arial" w:eastAsia="仿宋" w:cs="Arial"/>
          <w:color w:val="auto"/>
          <w:sz w:val="28"/>
          <w:szCs w:val="28"/>
        </w:rPr>
        <w:t>北京市基准地价更新成果的基准日为2021年1月1日，本次评估的估价期日为</w:t>
      </w:r>
      <w:r>
        <w:rPr>
          <w:rFonts w:hint="eastAsia" w:ascii="Arial" w:hAnsi="Arial" w:eastAsia="仿宋" w:cs="Arial"/>
          <w:color w:val="auto"/>
          <w:sz w:val="28"/>
          <w:szCs w:val="28"/>
        </w:rPr>
        <w:t>2026年3月26日</w:t>
      </w:r>
      <w:r>
        <w:rPr>
          <w:rFonts w:ascii="Arial" w:hAnsi="Arial" w:eastAsia="仿宋" w:cs="Arial"/>
          <w:color w:val="auto"/>
          <w:sz w:val="28"/>
          <w:szCs w:val="28"/>
        </w:rPr>
        <w:t>，熟地价期日修正以北京市地价动态监测成果公布的地价增长率为准：</w:t>
      </w:r>
    </w:p>
    <w:p w14:paraId="3C80D700">
      <w:pPr>
        <w:spacing w:line="240" w:lineRule="auto"/>
        <w:jc w:val="center"/>
        <w:rPr>
          <w:rFonts w:ascii="Arial" w:hAnsi="Arial" w:eastAsia="仿宋" w:cs="Arial"/>
          <w:bCs/>
          <w:color w:val="auto"/>
          <w:sz w:val="28"/>
          <w:szCs w:val="28"/>
        </w:rPr>
      </w:pPr>
      <w:r>
        <w:rPr>
          <w:rFonts w:ascii="Arial" w:hAnsi="Arial" w:eastAsia="仿宋" w:cs="Arial"/>
          <w:bCs/>
          <w:color w:val="auto"/>
          <w:sz w:val="28"/>
          <w:szCs w:val="28"/>
        </w:rPr>
        <w:t>北京市地价增长率（住宅类）</w:t>
      </w:r>
    </w:p>
    <w:p w14:paraId="313CF8C8">
      <w:pPr>
        <w:adjustRightInd/>
        <w:spacing w:line="240" w:lineRule="auto"/>
        <w:jc w:val="right"/>
        <w:rPr>
          <w:rFonts w:ascii="Arial" w:hAnsi="Arial" w:eastAsia="华文细黑" w:cs="宋体"/>
          <w:color w:val="auto"/>
          <w:sz w:val="18"/>
          <w:szCs w:val="24"/>
        </w:rPr>
      </w:pPr>
      <w:r>
        <w:rPr>
          <w:rFonts w:hint="eastAsia" w:ascii="Arial" w:hAnsi="Arial" w:eastAsia="华文细黑" w:cs="宋体"/>
          <w:color w:val="auto"/>
          <w:sz w:val="18"/>
          <w:szCs w:val="24"/>
        </w:rPr>
        <w:t xml:space="preserve"> 单位%</w:t>
      </w:r>
    </w:p>
    <w:tbl>
      <w:tblPr>
        <w:tblStyle w:val="34"/>
        <w:tblW w:w="4997"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57" w:type="dxa"/>
          <w:left w:w="57" w:type="dxa"/>
          <w:bottom w:w="57" w:type="dxa"/>
          <w:right w:w="57" w:type="dxa"/>
        </w:tblCellMar>
      </w:tblPr>
      <w:tblGrid>
        <w:gridCol w:w="1890"/>
        <w:gridCol w:w="1893"/>
        <w:gridCol w:w="1893"/>
        <w:gridCol w:w="1893"/>
        <w:gridCol w:w="1893"/>
      </w:tblGrid>
      <w:tr w14:paraId="78BF9BA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999" w:type="pct"/>
            <w:tcBorders>
              <w:tl2br w:val="single" w:color="auto" w:sz="4" w:space="0"/>
            </w:tcBorders>
            <w:shd w:val="clear" w:color="auto" w:fill="auto"/>
            <w:vAlign w:val="center"/>
          </w:tcPr>
          <w:p w14:paraId="0F6FCE4B">
            <w:pPr>
              <w:tabs>
                <w:tab w:val="left" w:pos="2160"/>
              </w:tabs>
              <w:spacing w:line="240" w:lineRule="exact"/>
              <w:ind w:firstLine="945" w:firstLineChars="450"/>
              <w:jc w:val="right"/>
              <w:rPr>
                <w:rFonts w:ascii="Arial" w:hAnsi="Arial" w:eastAsia="仿宋" w:cs="Arial"/>
                <w:color w:val="auto"/>
                <w:sz w:val="21"/>
                <w:szCs w:val="21"/>
              </w:rPr>
            </w:pPr>
            <w:r>
              <w:rPr>
                <w:rFonts w:ascii="Arial" w:hAnsi="Arial" w:eastAsia="仿宋" w:cs="Arial"/>
                <w:color w:val="auto"/>
                <w:sz w:val="21"/>
                <w:szCs w:val="21"/>
              </w:rPr>
              <w:t>季度</w:t>
            </w:r>
          </w:p>
          <w:p w14:paraId="10429C1C">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年度</w:t>
            </w:r>
          </w:p>
        </w:tc>
        <w:tc>
          <w:tcPr>
            <w:tcW w:w="1000" w:type="pct"/>
            <w:shd w:val="clear" w:color="auto" w:fill="auto"/>
            <w:vAlign w:val="center"/>
          </w:tcPr>
          <w:p w14:paraId="38255E5C">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1季度</w:t>
            </w:r>
          </w:p>
        </w:tc>
        <w:tc>
          <w:tcPr>
            <w:tcW w:w="1000" w:type="pct"/>
            <w:shd w:val="clear" w:color="auto" w:fill="auto"/>
            <w:vAlign w:val="center"/>
          </w:tcPr>
          <w:p w14:paraId="6F69BDB8">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2季度</w:t>
            </w:r>
          </w:p>
        </w:tc>
        <w:tc>
          <w:tcPr>
            <w:tcW w:w="1000" w:type="pct"/>
            <w:shd w:val="clear" w:color="auto" w:fill="auto"/>
            <w:vAlign w:val="center"/>
          </w:tcPr>
          <w:p w14:paraId="07C470D9">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3季度</w:t>
            </w:r>
          </w:p>
        </w:tc>
        <w:tc>
          <w:tcPr>
            <w:tcW w:w="1000" w:type="pct"/>
            <w:shd w:val="clear" w:color="auto" w:fill="auto"/>
            <w:vAlign w:val="center"/>
          </w:tcPr>
          <w:p w14:paraId="76ACAD85">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4季度</w:t>
            </w:r>
          </w:p>
        </w:tc>
      </w:tr>
      <w:tr w14:paraId="4098E03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999" w:type="pct"/>
            <w:shd w:val="clear" w:color="auto" w:fill="auto"/>
            <w:vAlign w:val="center"/>
          </w:tcPr>
          <w:p w14:paraId="1FEA7C80">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2021</w:t>
            </w:r>
          </w:p>
        </w:tc>
        <w:tc>
          <w:tcPr>
            <w:tcW w:w="1000" w:type="pct"/>
            <w:shd w:val="clear" w:color="auto" w:fill="auto"/>
            <w:vAlign w:val="center"/>
          </w:tcPr>
          <w:p w14:paraId="35D9E6C6">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0.98</w:t>
            </w:r>
          </w:p>
        </w:tc>
        <w:tc>
          <w:tcPr>
            <w:tcW w:w="1000" w:type="pct"/>
            <w:shd w:val="clear" w:color="auto" w:fill="auto"/>
            <w:vAlign w:val="center"/>
          </w:tcPr>
          <w:p w14:paraId="3EE6DE77">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1.1</w:t>
            </w:r>
            <w:r>
              <w:rPr>
                <w:rFonts w:hint="eastAsia" w:ascii="Arial" w:hAnsi="Arial" w:eastAsia="仿宋" w:cs="Arial"/>
                <w:color w:val="auto"/>
                <w:sz w:val="21"/>
                <w:szCs w:val="21"/>
              </w:rPr>
              <w:t>0</w:t>
            </w:r>
          </w:p>
        </w:tc>
        <w:tc>
          <w:tcPr>
            <w:tcW w:w="1000" w:type="pct"/>
            <w:shd w:val="clear" w:color="auto" w:fill="auto"/>
            <w:vAlign w:val="center"/>
          </w:tcPr>
          <w:p w14:paraId="12EEB5EC">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0.91</w:t>
            </w:r>
          </w:p>
        </w:tc>
        <w:tc>
          <w:tcPr>
            <w:tcW w:w="1000" w:type="pct"/>
            <w:shd w:val="clear" w:color="auto" w:fill="auto"/>
            <w:vAlign w:val="center"/>
          </w:tcPr>
          <w:p w14:paraId="25D52A5A">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0.68</w:t>
            </w:r>
          </w:p>
        </w:tc>
      </w:tr>
      <w:tr w14:paraId="1952E42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999" w:type="pct"/>
            <w:shd w:val="clear" w:color="auto" w:fill="auto"/>
            <w:vAlign w:val="center"/>
          </w:tcPr>
          <w:p w14:paraId="133FD321">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2022</w:t>
            </w:r>
          </w:p>
        </w:tc>
        <w:tc>
          <w:tcPr>
            <w:tcW w:w="1000" w:type="pct"/>
            <w:shd w:val="clear" w:color="auto" w:fill="auto"/>
            <w:vAlign w:val="center"/>
          </w:tcPr>
          <w:p w14:paraId="7DC4A493">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0.53</w:t>
            </w:r>
          </w:p>
        </w:tc>
        <w:tc>
          <w:tcPr>
            <w:tcW w:w="1000" w:type="pct"/>
            <w:shd w:val="clear" w:color="auto" w:fill="auto"/>
            <w:vAlign w:val="center"/>
          </w:tcPr>
          <w:p w14:paraId="4A0D472B">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0.53</w:t>
            </w:r>
          </w:p>
        </w:tc>
        <w:tc>
          <w:tcPr>
            <w:tcW w:w="1000" w:type="pct"/>
            <w:shd w:val="clear" w:color="auto" w:fill="auto"/>
            <w:vAlign w:val="center"/>
          </w:tcPr>
          <w:p w14:paraId="5105849E">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0.83</w:t>
            </w:r>
          </w:p>
        </w:tc>
        <w:tc>
          <w:tcPr>
            <w:tcW w:w="1000" w:type="pct"/>
            <w:shd w:val="clear" w:color="auto" w:fill="auto"/>
            <w:vAlign w:val="center"/>
          </w:tcPr>
          <w:p w14:paraId="57C8D336">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0.38</w:t>
            </w:r>
          </w:p>
        </w:tc>
      </w:tr>
      <w:tr w14:paraId="5117472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999" w:type="pct"/>
            <w:shd w:val="clear" w:color="auto" w:fill="auto"/>
            <w:vAlign w:val="center"/>
          </w:tcPr>
          <w:p w14:paraId="000C9B4A">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2023</w:t>
            </w:r>
          </w:p>
        </w:tc>
        <w:tc>
          <w:tcPr>
            <w:tcW w:w="1000" w:type="pct"/>
            <w:shd w:val="clear" w:color="auto" w:fill="auto"/>
            <w:vAlign w:val="center"/>
          </w:tcPr>
          <w:p w14:paraId="431550FB">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0.64</w:t>
            </w:r>
          </w:p>
        </w:tc>
        <w:tc>
          <w:tcPr>
            <w:tcW w:w="1000" w:type="pct"/>
            <w:shd w:val="clear" w:color="auto" w:fill="auto"/>
            <w:vAlign w:val="center"/>
          </w:tcPr>
          <w:p w14:paraId="5EE7AE79">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0.89</w:t>
            </w:r>
          </w:p>
        </w:tc>
        <w:tc>
          <w:tcPr>
            <w:tcW w:w="1000" w:type="pct"/>
            <w:shd w:val="clear" w:color="auto" w:fill="auto"/>
            <w:vAlign w:val="center"/>
          </w:tcPr>
          <w:p w14:paraId="1DABB719">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0.52</w:t>
            </w:r>
          </w:p>
        </w:tc>
        <w:tc>
          <w:tcPr>
            <w:tcW w:w="1000" w:type="pct"/>
            <w:shd w:val="clear" w:color="auto" w:fill="auto"/>
            <w:vAlign w:val="center"/>
          </w:tcPr>
          <w:p w14:paraId="7536EE74">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0.03</w:t>
            </w:r>
          </w:p>
        </w:tc>
      </w:tr>
      <w:tr w14:paraId="39C8C70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999" w:type="pct"/>
            <w:shd w:val="clear" w:color="auto" w:fill="auto"/>
            <w:vAlign w:val="center"/>
          </w:tcPr>
          <w:p w14:paraId="06DDBAC1">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2024</w:t>
            </w:r>
          </w:p>
        </w:tc>
        <w:tc>
          <w:tcPr>
            <w:tcW w:w="1000" w:type="pct"/>
            <w:shd w:val="clear" w:color="auto" w:fill="auto"/>
            <w:vAlign w:val="center"/>
          </w:tcPr>
          <w:p w14:paraId="28184733">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－0.63</w:t>
            </w:r>
          </w:p>
        </w:tc>
        <w:tc>
          <w:tcPr>
            <w:tcW w:w="1000" w:type="pct"/>
            <w:shd w:val="clear" w:color="auto" w:fill="auto"/>
            <w:vAlign w:val="center"/>
          </w:tcPr>
          <w:p w14:paraId="1C42CCD8">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1.23</w:t>
            </w:r>
          </w:p>
        </w:tc>
        <w:tc>
          <w:tcPr>
            <w:tcW w:w="1000" w:type="pct"/>
            <w:shd w:val="clear" w:color="auto" w:fill="auto"/>
            <w:vAlign w:val="center"/>
          </w:tcPr>
          <w:p w14:paraId="32F9E8CD">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－2.87</w:t>
            </w:r>
          </w:p>
        </w:tc>
        <w:tc>
          <w:tcPr>
            <w:tcW w:w="1000" w:type="pct"/>
            <w:shd w:val="clear" w:color="auto" w:fill="auto"/>
            <w:vAlign w:val="center"/>
          </w:tcPr>
          <w:p w14:paraId="1AEC0F15">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－0.88</w:t>
            </w:r>
          </w:p>
        </w:tc>
      </w:tr>
      <w:tr w14:paraId="00FAD16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999" w:type="pct"/>
            <w:shd w:val="clear" w:color="auto" w:fill="auto"/>
            <w:vAlign w:val="center"/>
          </w:tcPr>
          <w:p w14:paraId="2CDEE337">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2025</w:t>
            </w:r>
          </w:p>
        </w:tc>
        <w:tc>
          <w:tcPr>
            <w:tcW w:w="1000" w:type="pct"/>
            <w:shd w:val="clear" w:color="auto" w:fill="auto"/>
            <w:vAlign w:val="center"/>
          </w:tcPr>
          <w:p w14:paraId="46AD0234">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－0.51</w:t>
            </w:r>
          </w:p>
        </w:tc>
        <w:tc>
          <w:tcPr>
            <w:tcW w:w="1000" w:type="pct"/>
            <w:shd w:val="clear" w:color="auto" w:fill="auto"/>
            <w:vAlign w:val="center"/>
          </w:tcPr>
          <w:p w14:paraId="3DB8EE6C">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0.03</w:t>
            </w:r>
          </w:p>
        </w:tc>
        <w:tc>
          <w:tcPr>
            <w:tcW w:w="1000" w:type="pct"/>
            <w:shd w:val="clear" w:color="auto" w:fill="auto"/>
            <w:vAlign w:val="center"/>
          </w:tcPr>
          <w:p w14:paraId="7231A5CE">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－0.62</w:t>
            </w:r>
          </w:p>
        </w:tc>
        <w:tc>
          <w:tcPr>
            <w:tcW w:w="1000" w:type="pct"/>
            <w:shd w:val="clear" w:color="auto" w:fill="auto"/>
            <w:vAlign w:val="center"/>
          </w:tcPr>
          <w:p w14:paraId="68E8CBA4">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－2.43</w:t>
            </w:r>
          </w:p>
        </w:tc>
      </w:tr>
      <w:tr w14:paraId="0DBF48B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999" w:type="pct"/>
            <w:shd w:val="clear" w:color="auto" w:fill="auto"/>
            <w:vAlign w:val="center"/>
          </w:tcPr>
          <w:p w14:paraId="75B78F2C">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2026</w:t>
            </w:r>
          </w:p>
        </w:tc>
        <w:tc>
          <w:tcPr>
            <w:tcW w:w="1000" w:type="pct"/>
            <w:shd w:val="clear" w:color="auto" w:fill="auto"/>
            <w:vAlign w:val="center"/>
          </w:tcPr>
          <w:p w14:paraId="45E5525A">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－0.77</w:t>
            </w:r>
          </w:p>
        </w:tc>
        <w:tc>
          <w:tcPr>
            <w:tcW w:w="1000" w:type="pct"/>
            <w:shd w:val="clear" w:color="auto" w:fill="auto"/>
            <w:vAlign w:val="center"/>
          </w:tcPr>
          <w:p w14:paraId="10AC2F34">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p>
        </w:tc>
        <w:tc>
          <w:tcPr>
            <w:tcW w:w="1000" w:type="pct"/>
            <w:shd w:val="clear" w:color="auto" w:fill="auto"/>
            <w:vAlign w:val="center"/>
          </w:tcPr>
          <w:p w14:paraId="51334CF2">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p>
        </w:tc>
        <w:tc>
          <w:tcPr>
            <w:tcW w:w="1000" w:type="pct"/>
            <w:shd w:val="clear" w:color="auto" w:fill="auto"/>
            <w:vAlign w:val="center"/>
          </w:tcPr>
          <w:p w14:paraId="4EF612FF">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p>
        </w:tc>
      </w:tr>
    </w:tbl>
    <w:p w14:paraId="67598956">
      <w:pPr>
        <w:adjustRightInd/>
        <w:snapToGrid w:val="0"/>
        <w:spacing w:before="120" w:beforeLines="50"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采用2021年1季度至2026年1季度居住（规划新城）地价增长率的数据，本项目估价期日为 2026年3月26日，属于2026年1季度，计算过程如下：</w:t>
      </w:r>
    </w:p>
    <w:p w14:paraId="5018758C">
      <w:pPr>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期日修正系数</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0.98%）</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1.1</w:t>
      </w:r>
      <w:r>
        <w:rPr>
          <w:rFonts w:hint="eastAsia" w:ascii="Arial" w:hAnsi="Arial" w:eastAsia="仿宋" w:cs="Arial"/>
          <w:color w:val="auto"/>
          <w:sz w:val="28"/>
          <w:szCs w:val="28"/>
        </w:rPr>
        <w:t>0</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0.91%）</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0.68%）</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0.53%）</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0.53%）</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0.83%）</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0.38%）</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0.64%）</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＋0.89</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52</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03</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－0.63</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＋1.2</w:t>
      </w:r>
      <w:r>
        <w:rPr>
          <w:rFonts w:ascii="Arial" w:hAnsi="Arial" w:eastAsia="仿宋" w:cs="Arial"/>
          <w:color w:val="auto"/>
          <w:sz w:val="28"/>
          <w:szCs w:val="28"/>
        </w:rPr>
        <w:t>3%）</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－2.87</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8</w:t>
      </w:r>
      <w:r>
        <w:rPr>
          <w:rFonts w:ascii="Arial" w:hAnsi="Arial" w:eastAsia="仿宋" w:cs="Arial"/>
          <w:color w:val="auto"/>
          <w:sz w:val="28"/>
          <w:szCs w:val="28"/>
        </w:rPr>
        <w:t>8%）</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－0.51</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03</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－0.62</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－2.43</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－0.77</w:t>
      </w:r>
      <w:r>
        <w:rPr>
          <w:rFonts w:ascii="Arial" w:hAnsi="Arial" w:eastAsia="仿宋" w:cs="Arial"/>
          <w:color w:val="auto"/>
          <w:sz w:val="28"/>
          <w:szCs w:val="28"/>
        </w:rPr>
        <w:t>%</w:t>
      </w:r>
      <w:r>
        <w:rPr>
          <w:rFonts w:hint="eastAsia" w:ascii="Arial" w:hAnsi="Arial" w:eastAsia="仿宋" w:cs="Arial"/>
          <w:color w:val="auto"/>
          <w:sz w:val="28"/>
          <w:szCs w:val="28"/>
        </w:rPr>
        <w:t>÷90×85</w:t>
      </w:r>
      <w:r>
        <w:rPr>
          <w:rFonts w:ascii="Arial" w:hAnsi="Arial" w:eastAsia="仿宋" w:cs="Arial"/>
          <w:color w:val="auto"/>
          <w:sz w:val="28"/>
          <w:szCs w:val="28"/>
        </w:rPr>
        <w:t>）</w:t>
      </w:r>
      <w:r>
        <w:rPr>
          <w:rFonts w:hint="eastAsia" w:ascii="Arial" w:hAnsi="Arial" w:eastAsia="仿宋" w:cs="Arial"/>
          <w:color w:val="auto"/>
          <w:sz w:val="28"/>
          <w:szCs w:val="28"/>
        </w:rPr>
        <w:t>＝1.0049</w:t>
      </w:r>
    </w:p>
    <w:p w14:paraId="2BE6CC0B">
      <w:pPr>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（D）年期修正系数的确定</w:t>
      </w:r>
    </w:p>
    <w:p w14:paraId="0F7B51E3">
      <w:pPr>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年期修正系数</w:t>
      </w:r>
      <w:r>
        <w:rPr>
          <w:rFonts w:hint="eastAsia" w:ascii="Arial" w:hAnsi="Arial" w:eastAsia="仿宋" w:cs="Arial"/>
          <w:color w:val="auto"/>
          <w:sz w:val="28"/>
          <w:szCs w:val="28"/>
        </w:rPr>
        <w:t>＝</w:t>
      </w:r>
      <w:r>
        <w:rPr>
          <w:rFonts w:ascii="Arial" w:hAnsi="Arial" w:eastAsia="仿宋" w:cs="Arial"/>
          <w:color w:val="auto"/>
          <w:sz w:val="28"/>
          <w:szCs w:val="28"/>
        </w:rPr>
        <w:t>（1－1</w:t>
      </w:r>
      <w:r>
        <w:rPr>
          <w:rFonts w:hint="eastAsia" w:ascii="Arial" w:hAnsi="Arial" w:eastAsia="仿宋" w:cs="Arial"/>
          <w:color w:val="auto"/>
          <w:sz w:val="28"/>
          <w:szCs w:val="28"/>
        </w:rPr>
        <w:t>÷</w:t>
      </w:r>
      <w:r>
        <w:rPr>
          <w:rFonts w:ascii="Arial" w:hAnsi="Arial" w:eastAsia="仿宋" w:cs="Arial"/>
          <w:color w:val="auto"/>
          <w:sz w:val="28"/>
          <w:szCs w:val="28"/>
        </w:rPr>
        <w:t>（1＋r）</w:t>
      </w:r>
      <w:r>
        <w:rPr>
          <w:rFonts w:ascii="Arial" w:hAnsi="Arial" w:eastAsia="仿宋" w:cs="Arial"/>
          <w:color w:val="auto"/>
          <w:sz w:val="28"/>
          <w:szCs w:val="28"/>
          <w:vertAlign w:val="superscript"/>
        </w:rPr>
        <w:t>n</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（1－1</w:t>
      </w:r>
      <w:r>
        <w:rPr>
          <w:rFonts w:hint="eastAsia" w:ascii="Arial" w:hAnsi="Arial" w:eastAsia="仿宋" w:cs="Arial"/>
          <w:color w:val="auto"/>
          <w:sz w:val="28"/>
          <w:szCs w:val="28"/>
        </w:rPr>
        <w:t>÷</w:t>
      </w:r>
      <w:r>
        <w:rPr>
          <w:rFonts w:ascii="Arial" w:hAnsi="Arial" w:eastAsia="仿宋" w:cs="Arial"/>
          <w:color w:val="auto"/>
          <w:sz w:val="28"/>
          <w:szCs w:val="28"/>
        </w:rPr>
        <w:t>（1＋r）</w:t>
      </w:r>
      <w:r>
        <w:rPr>
          <w:rFonts w:ascii="Arial" w:hAnsi="Arial" w:eastAsia="仿宋" w:cs="Arial"/>
          <w:color w:val="auto"/>
          <w:sz w:val="28"/>
          <w:szCs w:val="28"/>
          <w:vertAlign w:val="superscript"/>
        </w:rPr>
        <w:t>N</w:t>
      </w:r>
      <w:r>
        <w:rPr>
          <w:rFonts w:ascii="Arial" w:hAnsi="Arial" w:eastAsia="仿宋" w:cs="Arial"/>
          <w:color w:val="auto"/>
          <w:sz w:val="28"/>
          <w:szCs w:val="28"/>
        </w:rPr>
        <w:t>）</w:t>
      </w:r>
    </w:p>
    <w:p w14:paraId="577D2227">
      <w:pPr>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其中：r</w:t>
      </w:r>
      <w:r>
        <w:rPr>
          <w:rFonts w:hint="eastAsia" w:ascii="Arial" w:hAnsi="Arial" w:eastAsia="仿宋" w:cs="Arial"/>
          <w:color w:val="auto"/>
          <w:sz w:val="28"/>
          <w:szCs w:val="28"/>
        </w:rPr>
        <w:t>－－－－</w:t>
      </w:r>
      <w:r>
        <w:rPr>
          <w:rFonts w:ascii="Arial" w:hAnsi="Arial" w:eastAsia="仿宋" w:cs="Arial"/>
          <w:color w:val="auto"/>
          <w:sz w:val="28"/>
          <w:szCs w:val="28"/>
        </w:rPr>
        <w:t>土地还原率</w:t>
      </w:r>
    </w:p>
    <w:p w14:paraId="4426C2A2">
      <w:pPr>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n</w:t>
      </w:r>
      <w:r>
        <w:rPr>
          <w:rFonts w:hint="eastAsia" w:ascii="Arial" w:hAnsi="Arial" w:eastAsia="仿宋" w:cs="Arial"/>
          <w:color w:val="auto"/>
          <w:sz w:val="28"/>
          <w:szCs w:val="28"/>
        </w:rPr>
        <w:t>－－－－</w:t>
      </w:r>
      <w:r>
        <w:rPr>
          <w:rFonts w:ascii="Arial" w:hAnsi="Arial" w:eastAsia="仿宋" w:cs="Arial"/>
          <w:color w:val="auto"/>
          <w:sz w:val="28"/>
          <w:szCs w:val="28"/>
        </w:rPr>
        <w:t>宗地剩余土地使用年限</w:t>
      </w:r>
    </w:p>
    <w:p w14:paraId="220B33D0">
      <w:pPr>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N</w:t>
      </w:r>
      <w:r>
        <w:rPr>
          <w:rFonts w:hint="eastAsia" w:ascii="Arial" w:hAnsi="Arial" w:eastAsia="仿宋" w:cs="Arial"/>
          <w:color w:val="auto"/>
          <w:sz w:val="28"/>
          <w:szCs w:val="28"/>
        </w:rPr>
        <w:t>－－－－</w:t>
      </w:r>
      <w:r>
        <w:rPr>
          <w:rFonts w:ascii="Arial" w:hAnsi="Arial" w:eastAsia="仿宋" w:cs="Arial"/>
          <w:color w:val="auto"/>
          <w:sz w:val="28"/>
          <w:szCs w:val="28"/>
        </w:rPr>
        <w:t>基准地价规定的相应用途土地使用年限</w:t>
      </w:r>
    </w:p>
    <w:p w14:paraId="17E2CC38">
      <w:pPr>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商业、办公、居住、工业、公共服务用途的土地还原率原则上按同期中国人民银行公布的一年期贷款利率分别上浮25％、20％、15％、10％、15％确定，且须分别不低于5.5％、5.5％、5％、5％、5％，不高于6.5％、6.5％、6％、6％、6％。估价对象用途为住宅，按照上述利率计算得出的土地还原率低于所要求的的最低值。故土地还原率取住宅用途最低值5%。</w:t>
      </w:r>
    </w:p>
    <w:p w14:paraId="476254AF">
      <w:pPr>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估价对象剩余土地使用年限为70年，住宅用途法定用途最高出让年限为70年，故不做修正。</w:t>
      </w:r>
    </w:p>
    <w:p w14:paraId="58C7302B">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（E）容积率修正系数的确定</w:t>
      </w:r>
    </w:p>
    <w:p w14:paraId="0F1F69CB">
      <w:pPr>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依据《北京市基准地价容积率修正系数表（住宅类）》（详见下表）。</w:t>
      </w:r>
    </w:p>
    <w:p w14:paraId="603AEC13">
      <w:pPr>
        <w:spacing w:line="240" w:lineRule="auto"/>
        <w:jc w:val="center"/>
        <w:rPr>
          <w:rFonts w:ascii="Arial" w:hAnsi="Arial" w:eastAsia="仿宋" w:cs="Arial"/>
          <w:color w:val="auto"/>
          <w:sz w:val="28"/>
          <w:szCs w:val="28"/>
        </w:rPr>
      </w:pPr>
      <w:r>
        <w:rPr>
          <w:rFonts w:ascii="Arial" w:hAnsi="Arial" w:eastAsia="仿宋" w:cs="Arial"/>
          <w:bCs/>
          <w:color w:val="auto"/>
          <w:sz w:val="28"/>
          <w:szCs w:val="28"/>
        </w:rPr>
        <w:t>北京市基准地价容积率修正系数表（住宅）</w:t>
      </w:r>
    </w:p>
    <w:tbl>
      <w:tblPr>
        <w:tblStyle w:val="34"/>
        <w:tblW w:w="4998"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28" w:type="dxa"/>
          <w:left w:w="28" w:type="dxa"/>
          <w:bottom w:w="28" w:type="dxa"/>
          <w:right w:w="28" w:type="dxa"/>
        </w:tblCellMar>
      </w:tblPr>
      <w:tblGrid>
        <w:gridCol w:w="1192"/>
        <w:gridCol w:w="1110"/>
        <w:gridCol w:w="1266"/>
        <w:gridCol w:w="1266"/>
        <w:gridCol w:w="1193"/>
        <w:gridCol w:w="990"/>
        <w:gridCol w:w="1193"/>
        <w:gridCol w:w="1196"/>
      </w:tblGrid>
      <w:tr w14:paraId="2ECB6BF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tblHeader/>
          <w:jc w:val="center"/>
        </w:trPr>
        <w:tc>
          <w:tcPr>
            <w:tcW w:w="634" w:type="pct"/>
            <w:shd w:val="clear" w:color="auto" w:fill="auto"/>
            <w:noWrap/>
            <w:vAlign w:val="center"/>
          </w:tcPr>
          <w:p w14:paraId="429E425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容积率</w:t>
            </w:r>
          </w:p>
        </w:tc>
        <w:tc>
          <w:tcPr>
            <w:tcW w:w="590" w:type="pct"/>
            <w:shd w:val="clear" w:color="auto" w:fill="auto"/>
            <w:noWrap/>
            <w:vAlign w:val="center"/>
          </w:tcPr>
          <w:p w14:paraId="33AD92C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r>
              <w:rPr>
                <w:rFonts w:hint="eastAsia" w:ascii="Arial" w:hAnsi="Arial" w:eastAsia="仿宋" w:cs="Arial"/>
                <w:color w:val="auto"/>
                <w:sz w:val="20"/>
              </w:rPr>
              <w:t>－</w:t>
            </w:r>
            <w:r>
              <w:rPr>
                <w:rFonts w:ascii="Arial" w:hAnsi="Arial" w:eastAsia="仿宋" w:cs="Arial"/>
                <w:color w:val="auto"/>
                <w:sz w:val="20"/>
              </w:rPr>
              <w:t>2级</w:t>
            </w:r>
          </w:p>
        </w:tc>
        <w:tc>
          <w:tcPr>
            <w:tcW w:w="673" w:type="pct"/>
            <w:shd w:val="clear" w:color="auto" w:fill="auto"/>
            <w:vAlign w:val="center"/>
          </w:tcPr>
          <w:p w14:paraId="3692922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3</w:t>
            </w:r>
            <w:r>
              <w:rPr>
                <w:rFonts w:hint="eastAsia" w:ascii="Arial" w:hAnsi="Arial" w:eastAsia="仿宋" w:cs="Arial"/>
                <w:color w:val="auto"/>
                <w:sz w:val="20"/>
              </w:rPr>
              <w:t>－</w:t>
            </w:r>
            <w:r>
              <w:rPr>
                <w:rFonts w:ascii="Arial" w:hAnsi="Arial" w:eastAsia="仿宋" w:cs="Arial"/>
                <w:color w:val="auto"/>
                <w:sz w:val="20"/>
              </w:rPr>
              <w:t>7级</w:t>
            </w:r>
          </w:p>
        </w:tc>
        <w:tc>
          <w:tcPr>
            <w:tcW w:w="673" w:type="pct"/>
            <w:shd w:val="clear" w:color="auto" w:fill="auto"/>
            <w:vAlign w:val="center"/>
          </w:tcPr>
          <w:p w14:paraId="076E2D6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8</w:t>
            </w:r>
            <w:r>
              <w:rPr>
                <w:rFonts w:hint="eastAsia" w:ascii="Arial" w:hAnsi="Arial" w:eastAsia="仿宋" w:cs="Arial"/>
                <w:color w:val="auto"/>
                <w:sz w:val="20"/>
              </w:rPr>
              <w:t>－</w:t>
            </w:r>
            <w:r>
              <w:rPr>
                <w:rFonts w:ascii="Arial" w:hAnsi="Arial" w:eastAsia="仿宋" w:cs="Arial"/>
                <w:color w:val="auto"/>
                <w:sz w:val="20"/>
              </w:rPr>
              <w:t>12级</w:t>
            </w:r>
          </w:p>
        </w:tc>
        <w:tc>
          <w:tcPr>
            <w:tcW w:w="634" w:type="pct"/>
            <w:shd w:val="clear" w:color="auto" w:fill="auto"/>
            <w:noWrap/>
            <w:vAlign w:val="center"/>
          </w:tcPr>
          <w:p w14:paraId="0A922F5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容积率</w:t>
            </w:r>
          </w:p>
        </w:tc>
        <w:tc>
          <w:tcPr>
            <w:tcW w:w="526" w:type="pct"/>
            <w:shd w:val="clear" w:color="auto" w:fill="auto"/>
            <w:noWrap/>
            <w:vAlign w:val="center"/>
          </w:tcPr>
          <w:p w14:paraId="2EB314E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r>
              <w:rPr>
                <w:rFonts w:hint="eastAsia" w:ascii="Arial" w:hAnsi="Arial" w:eastAsia="仿宋" w:cs="Arial"/>
                <w:color w:val="auto"/>
                <w:sz w:val="20"/>
              </w:rPr>
              <w:t>－</w:t>
            </w:r>
            <w:r>
              <w:rPr>
                <w:rFonts w:ascii="Arial" w:hAnsi="Arial" w:eastAsia="仿宋" w:cs="Arial"/>
                <w:color w:val="auto"/>
                <w:sz w:val="20"/>
              </w:rPr>
              <w:t>2级</w:t>
            </w:r>
          </w:p>
        </w:tc>
        <w:tc>
          <w:tcPr>
            <w:tcW w:w="634" w:type="pct"/>
            <w:shd w:val="clear" w:color="auto" w:fill="auto"/>
            <w:vAlign w:val="center"/>
          </w:tcPr>
          <w:p w14:paraId="0EA814C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3</w:t>
            </w:r>
            <w:r>
              <w:rPr>
                <w:rFonts w:hint="eastAsia" w:ascii="Arial" w:hAnsi="Arial" w:eastAsia="仿宋" w:cs="Arial"/>
                <w:color w:val="auto"/>
                <w:sz w:val="20"/>
              </w:rPr>
              <w:t>－</w:t>
            </w:r>
            <w:r>
              <w:rPr>
                <w:rFonts w:ascii="Arial" w:hAnsi="Arial" w:eastAsia="仿宋" w:cs="Arial"/>
                <w:color w:val="auto"/>
                <w:sz w:val="20"/>
              </w:rPr>
              <w:t>7级</w:t>
            </w:r>
          </w:p>
        </w:tc>
        <w:tc>
          <w:tcPr>
            <w:tcW w:w="634" w:type="pct"/>
            <w:shd w:val="clear" w:color="auto" w:fill="auto"/>
            <w:vAlign w:val="center"/>
          </w:tcPr>
          <w:p w14:paraId="77EBF65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8</w:t>
            </w:r>
            <w:r>
              <w:rPr>
                <w:rFonts w:hint="eastAsia" w:ascii="Arial" w:hAnsi="Arial" w:eastAsia="仿宋" w:cs="Arial"/>
                <w:color w:val="auto"/>
                <w:sz w:val="20"/>
              </w:rPr>
              <w:t>－</w:t>
            </w:r>
            <w:r>
              <w:rPr>
                <w:rFonts w:ascii="Arial" w:hAnsi="Arial" w:eastAsia="仿宋" w:cs="Arial"/>
                <w:color w:val="auto"/>
                <w:sz w:val="20"/>
              </w:rPr>
              <w:t>12级</w:t>
            </w:r>
          </w:p>
        </w:tc>
      </w:tr>
      <w:tr w14:paraId="4217433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55D8475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1.0 </w:t>
            </w:r>
          </w:p>
        </w:tc>
        <w:tc>
          <w:tcPr>
            <w:tcW w:w="590" w:type="pct"/>
            <w:shd w:val="clear" w:color="auto" w:fill="auto"/>
            <w:noWrap/>
            <w:vAlign w:val="center"/>
          </w:tcPr>
          <w:p w14:paraId="631EF19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1.1902</w:t>
            </w:r>
          </w:p>
        </w:tc>
        <w:tc>
          <w:tcPr>
            <w:tcW w:w="673" w:type="pct"/>
            <w:shd w:val="clear" w:color="auto" w:fill="auto"/>
            <w:noWrap/>
            <w:vAlign w:val="center"/>
          </w:tcPr>
          <w:p w14:paraId="62D95D6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1.222</w:t>
            </w:r>
          </w:p>
        </w:tc>
        <w:tc>
          <w:tcPr>
            <w:tcW w:w="673" w:type="pct"/>
            <w:shd w:val="clear" w:color="auto" w:fill="auto"/>
            <w:noWrap/>
            <w:vAlign w:val="center"/>
          </w:tcPr>
          <w:p w14:paraId="67A12FE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1.1055</w:t>
            </w:r>
          </w:p>
        </w:tc>
        <w:tc>
          <w:tcPr>
            <w:tcW w:w="634" w:type="pct"/>
            <w:shd w:val="clear" w:color="auto" w:fill="auto"/>
            <w:vAlign w:val="center"/>
          </w:tcPr>
          <w:p w14:paraId="28E8C7A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5.5 </w:t>
            </w:r>
          </w:p>
        </w:tc>
        <w:tc>
          <w:tcPr>
            <w:tcW w:w="526" w:type="pct"/>
            <w:shd w:val="clear" w:color="auto" w:fill="auto"/>
            <w:noWrap/>
            <w:vAlign w:val="center"/>
          </w:tcPr>
          <w:p w14:paraId="0B3F823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0.8981</w:t>
            </w:r>
          </w:p>
        </w:tc>
        <w:tc>
          <w:tcPr>
            <w:tcW w:w="634" w:type="pct"/>
            <w:shd w:val="clear" w:color="auto" w:fill="auto"/>
            <w:noWrap/>
            <w:vAlign w:val="center"/>
          </w:tcPr>
          <w:p w14:paraId="2E12092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0.8772</w:t>
            </w:r>
          </w:p>
        </w:tc>
        <w:tc>
          <w:tcPr>
            <w:tcW w:w="634" w:type="pct"/>
            <w:shd w:val="clear" w:color="auto" w:fill="auto"/>
            <w:noWrap/>
            <w:vAlign w:val="center"/>
          </w:tcPr>
          <w:p w14:paraId="39A0905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0.7201</w:t>
            </w:r>
          </w:p>
        </w:tc>
      </w:tr>
      <w:tr w14:paraId="150F7DF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28E14B0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1.1 </w:t>
            </w:r>
          </w:p>
        </w:tc>
        <w:tc>
          <w:tcPr>
            <w:tcW w:w="590" w:type="pct"/>
            <w:shd w:val="clear" w:color="auto" w:fill="auto"/>
            <w:noWrap/>
            <w:vAlign w:val="center"/>
          </w:tcPr>
          <w:p w14:paraId="098ACAF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1.1715</w:t>
            </w:r>
          </w:p>
        </w:tc>
        <w:tc>
          <w:tcPr>
            <w:tcW w:w="673" w:type="pct"/>
            <w:shd w:val="clear" w:color="auto" w:fill="auto"/>
            <w:noWrap/>
            <w:vAlign w:val="center"/>
          </w:tcPr>
          <w:p w14:paraId="5D5FF18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1.2003</w:t>
            </w:r>
          </w:p>
        </w:tc>
        <w:tc>
          <w:tcPr>
            <w:tcW w:w="673" w:type="pct"/>
            <w:shd w:val="clear" w:color="auto" w:fill="auto"/>
            <w:noWrap/>
            <w:vAlign w:val="center"/>
          </w:tcPr>
          <w:p w14:paraId="1C6519E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1.0819</w:t>
            </w:r>
          </w:p>
        </w:tc>
        <w:tc>
          <w:tcPr>
            <w:tcW w:w="634" w:type="pct"/>
            <w:shd w:val="clear" w:color="auto" w:fill="auto"/>
            <w:vAlign w:val="center"/>
          </w:tcPr>
          <w:p w14:paraId="0F15528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5.6 </w:t>
            </w:r>
          </w:p>
        </w:tc>
        <w:tc>
          <w:tcPr>
            <w:tcW w:w="526" w:type="pct"/>
            <w:shd w:val="clear" w:color="auto" w:fill="auto"/>
            <w:noWrap/>
            <w:vAlign w:val="center"/>
          </w:tcPr>
          <w:p w14:paraId="7474975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0.8962</w:t>
            </w:r>
          </w:p>
        </w:tc>
        <w:tc>
          <w:tcPr>
            <w:tcW w:w="634" w:type="pct"/>
            <w:shd w:val="clear" w:color="auto" w:fill="auto"/>
            <w:noWrap/>
            <w:vAlign w:val="center"/>
          </w:tcPr>
          <w:p w14:paraId="6035DA9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0.8749</w:t>
            </w:r>
          </w:p>
        </w:tc>
        <w:tc>
          <w:tcPr>
            <w:tcW w:w="634" w:type="pct"/>
            <w:shd w:val="clear" w:color="auto" w:fill="auto"/>
            <w:noWrap/>
            <w:vAlign w:val="center"/>
          </w:tcPr>
          <w:p w14:paraId="47784A1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0.7171</w:t>
            </w:r>
          </w:p>
        </w:tc>
      </w:tr>
      <w:tr w14:paraId="1162350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1DF5008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1.2 </w:t>
            </w:r>
          </w:p>
        </w:tc>
        <w:tc>
          <w:tcPr>
            <w:tcW w:w="590" w:type="pct"/>
            <w:shd w:val="clear" w:color="auto" w:fill="auto"/>
            <w:noWrap/>
            <w:vAlign w:val="center"/>
          </w:tcPr>
          <w:p w14:paraId="4B389D5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1.1539</w:t>
            </w:r>
          </w:p>
        </w:tc>
        <w:tc>
          <w:tcPr>
            <w:tcW w:w="673" w:type="pct"/>
            <w:shd w:val="clear" w:color="auto" w:fill="auto"/>
            <w:noWrap/>
            <w:vAlign w:val="center"/>
          </w:tcPr>
          <w:p w14:paraId="215DC6E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1.1798</w:t>
            </w:r>
          </w:p>
        </w:tc>
        <w:tc>
          <w:tcPr>
            <w:tcW w:w="673" w:type="pct"/>
            <w:shd w:val="clear" w:color="auto" w:fill="auto"/>
            <w:noWrap/>
            <w:vAlign w:val="center"/>
          </w:tcPr>
          <w:p w14:paraId="4E61A1A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1.0597</w:t>
            </w:r>
          </w:p>
        </w:tc>
        <w:tc>
          <w:tcPr>
            <w:tcW w:w="634" w:type="pct"/>
            <w:shd w:val="clear" w:color="auto" w:fill="auto"/>
            <w:vAlign w:val="center"/>
          </w:tcPr>
          <w:p w14:paraId="30E420F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5.7 </w:t>
            </w:r>
          </w:p>
        </w:tc>
        <w:tc>
          <w:tcPr>
            <w:tcW w:w="526" w:type="pct"/>
            <w:shd w:val="clear" w:color="auto" w:fill="auto"/>
            <w:noWrap/>
            <w:vAlign w:val="center"/>
          </w:tcPr>
          <w:p w14:paraId="7D004BD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0.8943</w:t>
            </w:r>
          </w:p>
        </w:tc>
        <w:tc>
          <w:tcPr>
            <w:tcW w:w="634" w:type="pct"/>
            <w:shd w:val="clear" w:color="auto" w:fill="auto"/>
            <w:noWrap/>
            <w:vAlign w:val="center"/>
          </w:tcPr>
          <w:p w14:paraId="0A2CACB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0.8726</w:t>
            </w:r>
          </w:p>
        </w:tc>
        <w:tc>
          <w:tcPr>
            <w:tcW w:w="634" w:type="pct"/>
            <w:shd w:val="clear" w:color="auto" w:fill="auto"/>
            <w:noWrap/>
            <w:vAlign w:val="center"/>
          </w:tcPr>
          <w:p w14:paraId="6BAB2B0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0.7142</w:t>
            </w:r>
          </w:p>
        </w:tc>
      </w:tr>
      <w:tr w14:paraId="489F4CD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5DF2F7F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1.3 </w:t>
            </w:r>
          </w:p>
        </w:tc>
        <w:tc>
          <w:tcPr>
            <w:tcW w:w="590" w:type="pct"/>
            <w:shd w:val="clear" w:color="auto" w:fill="auto"/>
            <w:noWrap/>
            <w:vAlign w:val="center"/>
          </w:tcPr>
          <w:p w14:paraId="74170ED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1.1372</w:t>
            </w:r>
          </w:p>
        </w:tc>
        <w:tc>
          <w:tcPr>
            <w:tcW w:w="673" w:type="pct"/>
            <w:shd w:val="clear" w:color="auto" w:fill="auto"/>
            <w:noWrap/>
            <w:vAlign w:val="center"/>
          </w:tcPr>
          <w:p w14:paraId="016926D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1.1605</w:t>
            </w:r>
          </w:p>
        </w:tc>
        <w:tc>
          <w:tcPr>
            <w:tcW w:w="673" w:type="pct"/>
            <w:shd w:val="clear" w:color="auto" w:fill="auto"/>
            <w:noWrap/>
            <w:vAlign w:val="center"/>
          </w:tcPr>
          <w:p w14:paraId="0FC3FFC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1.0386</w:t>
            </w:r>
          </w:p>
        </w:tc>
        <w:tc>
          <w:tcPr>
            <w:tcW w:w="634" w:type="pct"/>
            <w:shd w:val="clear" w:color="auto" w:fill="auto"/>
            <w:vAlign w:val="center"/>
          </w:tcPr>
          <w:p w14:paraId="4004B79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5.8 </w:t>
            </w:r>
          </w:p>
        </w:tc>
        <w:tc>
          <w:tcPr>
            <w:tcW w:w="526" w:type="pct"/>
            <w:shd w:val="clear" w:color="auto" w:fill="auto"/>
            <w:noWrap/>
            <w:vAlign w:val="center"/>
          </w:tcPr>
          <w:p w14:paraId="0A69DCC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0.8925</w:t>
            </w:r>
          </w:p>
        </w:tc>
        <w:tc>
          <w:tcPr>
            <w:tcW w:w="634" w:type="pct"/>
            <w:shd w:val="clear" w:color="auto" w:fill="auto"/>
            <w:noWrap/>
            <w:vAlign w:val="center"/>
          </w:tcPr>
          <w:p w14:paraId="6171479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0.8703</w:t>
            </w:r>
          </w:p>
        </w:tc>
        <w:tc>
          <w:tcPr>
            <w:tcW w:w="634" w:type="pct"/>
            <w:shd w:val="clear" w:color="auto" w:fill="auto"/>
            <w:noWrap/>
            <w:vAlign w:val="center"/>
          </w:tcPr>
          <w:p w14:paraId="2B20187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0.7113</w:t>
            </w:r>
          </w:p>
        </w:tc>
      </w:tr>
      <w:tr w14:paraId="021D378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1BF3B4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1.4 </w:t>
            </w:r>
          </w:p>
        </w:tc>
        <w:tc>
          <w:tcPr>
            <w:tcW w:w="590" w:type="pct"/>
            <w:shd w:val="clear" w:color="auto" w:fill="auto"/>
            <w:noWrap/>
            <w:vAlign w:val="center"/>
          </w:tcPr>
          <w:p w14:paraId="7C2CF34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1.1216</w:t>
            </w:r>
          </w:p>
        </w:tc>
        <w:tc>
          <w:tcPr>
            <w:tcW w:w="673" w:type="pct"/>
            <w:shd w:val="clear" w:color="auto" w:fill="auto"/>
            <w:noWrap/>
            <w:vAlign w:val="center"/>
          </w:tcPr>
          <w:p w14:paraId="37FA6C3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1.1422</w:t>
            </w:r>
          </w:p>
        </w:tc>
        <w:tc>
          <w:tcPr>
            <w:tcW w:w="673" w:type="pct"/>
            <w:shd w:val="clear" w:color="auto" w:fill="auto"/>
            <w:noWrap/>
            <w:vAlign w:val="center"/>
          </w:tcPr>
          <w:p w14:paraId="6FA9497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1.0188</w:t>
            </w:r>
          </w:p>
        </w:tc>
        <w:tc>
          <w:tcPr>
            <w:tcW w:w="634" w:type="pct"/>
            <w:shd w:val="clear" w:color="auto" w:fill="auto"/>
            <w:vAlign w:val="center"/>
          </w:tcPr>
          <w:p w14:paraId="3D988B5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5.9 </w:t>
            </w:r>
          </w:p>
        </w:tc>
        <w:tc>
          <w:tcPr>
            <w:tcW w:w="526" w:type="pct"/>
            <w:shd w:val="clear" w:color="auto" w:fill="auto"/>
            <w:noWrap/>
            <w:vAlign w:val="center"/>
          </w:tcPr>
          <w:p w14:paraId="1C890D1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0.8907</w:t>
            </w:r>
          </w:p>
        </w:tc>
        <w:tc>
          <w:tcPr>
            <w:tcW w:w="634" w:type="pct"/>
            <w:shd w:val="clear" w:color="auto" w:fill="auto"/>
            <w:noWrap/>
            <w:vAlign w:val="center"/>
          </w:tcPr>
          <w:p w14:paraId="5881BC4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0.868</w:t>
            </w:r>
          </w:p>
        </w:tc>
        <w:tc>
          <w:tcPr>
            <w:tcW w:w="634" w:type="pct"/>
            <w:shd w:val="clear" w:color="auto" w:fill="auto"/>
            <w:noWrap/>
            <w:vAlign w:val="center"/>
          </w:tcPr>
          <w:p w14:paraId="30871CB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0.7084</w:t>
            </w:r>
          </w:p>
        </w:tc>
      </w:tr>
      <w:tr w14:paraId="6A70C50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6D95C3C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1.5 </w:t>
            </w:r>
          </w:p>
        </w:tc>
        <w:tc>
          <w:tcPr>
            <w:tcW w:w="590" w:type="pct"/>
            <w:shd w:val="clear" w:color="auto" w:fill="auto"/>
            <w:noWrap/>
            <w:vAlign w:val="center"/>
          </w:tcPr>
          <w:p w14:paraId="25BDCC4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1.1069</w:t>
            </w:r>
          </w:p>
        </w:tc>
        <w:tc>
          <w:tcPr>
            <w:tcW w:w="673" w:type="pct"/>
            <w:shd w:val="clear" w:color="auto" w:fill="auto"/>
            <w:noWrap/>
            <w:vAlign w:val="center"/>
          </w:tcPr>
          <w:p w14:paraId="54BA680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1.125</w:t>
            </w:r>
          </w:p>
        </w:tc>
        <w:tc>
          <w:tcPr>
            <w:tcW w:w="673" w:type="pct"/>
            <w:shd w:val="clear" w:color="auto" w:fill="auto"/>
            <w:noWrap/>
            <w:vAlign w:val="center"/>
          </w:tcPr>
          <w:p w14:paraId="618B090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p>
        </w:tc>
        <w:tc>
          <w:tcPr>
            <w:tcW w:w="634" w:type="pct"/>
            <w:shd w:val="clear" w:color="auto" w:fill="auto"/>
            <w:vAlign w:val="center"/>
          </w:tcPr>
          <w:p w14:paraId="7E0E836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6.0 </w:t>
            </w:r>
          </w:p>
        </w:tc>
        <w:tc>
          <w:tcPr>
            <w:tcW w:w="526" w:type="pct"/>
            <w:shd w:val="clear" w:color="auto" w:fill="auto"/>
            <w:noWrap/>
            <w:vAlign w:val="center"/>
          </w:tcPr>
          <w:p w14:paraId="608167B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0.8889</w:t>
            </w:r>
          </w:p>
        </w:tc>
        <w:tc>
          <w:tcPr>
            <w:tcW w:w="634" w:type="pct"/>
            <w:shd w:val="clear" w:color="auto" w:fill="auto"/>
            <w:noWrap/>
            <w:vAlign w:val="center"/>
          </w:tcPr>
          <w:p w14:paraId="393CF54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0.8658</w:t>
            </w:r>
          </w:p>
        </w:tc>
        <w:tc>
          <w:tcPr>
            <w:tcW w:w="634" w:type="pct"/>
            <w:shd w:val="clear" w:color="auto" w:fill="auto"/>
            <w:noWrap/>
            <w:vAlign w:val="center"/>
          </w:tcPr>
          <w:p w14:paraId="3F8E8AC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0.7055</w:t>
            </w:r>
          </w:p>
        </w:tc>
      </w:tr>
      <w:tr w14:paraId="5604002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F3AE7A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1.6 </w:t>
            </w:r>
          </w:p>
        </w:tc>
        <w:tc>
          <w:tcPr>
            <w:tcW w:w="590" w:type="pct"/>
            <w:shd w:val="clear" w:color="auto" w:fill="auto"/>
            <w:noWrap/>
            <w:vAlign w:val="center"/>
          </w:tcPr>
          <w:p w14:paraId="390452A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1.0929</w:t>
            </w:r>
          </w:p>
        </w:tc>
        <w:tc>
          <w:tcPr>
            <w:tcW w:w="673" w:type="pct"/>
            <w:shd w:val="clear" w:color="auto" w:fill="auto"/>
            <w:noWrap/>
            <w:vAlign w:val="center"/>
          </w:tcPr>
          <w:p w14:paraId="6400FDE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1.1087</w:t>
            </w:r>
          </w:p>
        </w:tc>
        <w:tc>
          <w:tcPr>
            <w:tcW w:w="673" w:type="pct"/>
            <w:shd w:val="clear" w:color="auto" w:fill="auto"/>
            <w:noWrap/>
            <w:vAlign w:val="center"/>
          </w:tcPr>
          <w:p w14:paraId="042D0F5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0.9823</w:t>
            </w:r>
          </w:p>
        </w:tc>
        <w:tc>
          <w:tcPr>
            <w:tcW w:w="634" w:type="pct"/>
            <w:shd w:val="clear" w:color="auto" w:fill="auto"/>
            <w:vAlign w:val="center"/>
          </w:tcPr>
          <w:p w14:paraId="0D15AE7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6.1 </w:t>
            </w:r>
          </w:p>
        </w:tc>
        <w:tc>
          <w:tcPr>
            <w:tcW w:w="526" w:type="pct"/>
            <w:shd w:val="clear" w:color="auto" w:fill="auto"/>
            <w:noWrap/>
            <w:vAlign w:val="center"/>
          </w:tcPr>
          <w:p w14:paraId="52E6443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0.8871</w:t>
            </w:r>
          </w:p>
        </w:tc>
        <w:tc>
          <w:tcPr>
            <w:tcW w:w="634" w:type="pct"/>
            <w:shd w:val="clear" w:color="auto" w:fill="auto"/>
            <w:noWrap/>
            <w:vAlign w:val="center"/>
          </w:tcPr>
          <w:p w14:paraId="4381867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0.8636</w:t>
            </w:r>
          </w:p>
        </w:tc>
        <w:tc>
          <w:tcPr>
            <w:tcW w:w="634" w:type="pct"/>
            <w:shd w:val="clear" w:color="auto" w:fill="auto"/>
            <w:noWrap/>
            <w:vAlign w:val="center"/>
          </w:tcPr>
          <w:p w14:paraId="31A6816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0.7027</w:t>
            </w:r>
          </w:p>
        </w:tc>
      </w:tr>
      <w:tr w14:paraId="3D45D84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trHeight w:val="90" w:hRule="atLeast"/>
          <w:jc w:val="center"/>
        </w:trPr>
        <w:tc>
          <w:tcPr>
            <w:tcW w:w="634" w:type="pct"/>
            <w:shd w:val="clear" w:color="auto" w:fill="auto"/>
            <w:noWrap/>
            <w:vAlign w:val="center"/>
          </w:tcPr>
          <w:p w14:paraId="655FC2A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1.7 </w:t>
            </w:r>
          </w:p>
        </w:tc>
        <w:tc>
          <w:tcPr>
            <w:tcW w:w="590" w:type="pct"/>
            <w:shd w:val="clear" w:color="auto" w:fill="auto"/>
            <w:noWrap/>
            <w:vAlign w:val="center"/>
          </w:tcPr>
          <w:p w14:paraId="16C2294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1.0798</w:t>
            </w:r>
          </w:p>
        </w:tc>
        <w:tc>
          <w:tcPr>
            <w:tcW w:w="673" w:type="pct"/>
            <w:shd w:val="clear" w:color="auto" w:fill="auto"/>
            <w:noWrap/>
            <w:vAlign w:val="center"/>
          </w:tcPr>
          <w:p w14:paraId="4F3585D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1.0934</w:t>
            </w:r>
          </w:p>
        </w:tc>
        <w:tc>
          <w:tcPr>
            <w:tcW w:w="673" w:type="pct"/>
            <w:shd w:val="clear" w:color="auto" w:fill="auto"/>
            <w:noWrap/>
            <w:vAlign w:val="center"/>
          </w:tcPr>
          <w:p w14:paraId="1E94372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0.9656</w:t>
            </w:r>
          </w:p>
        </w:tc>
        <w:tc>
          <w:tcPr>
            <w:tcW w:w="634" w:type="pct"/>
            <w:shd w:val="clear" w:color="auto" w:fill="auto"/>
            <w:vAlign w:val="center"/>
          </w:tcPr>
          <w:p w14:paraId="704249C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6.2 </w:t>
            </w:r>
          </w:p>
        </w:tc>
        <w:tc>
          <w:tcPr>
            <w:tcW w:w="526" w:type="pct"/>
            <w:shd w:val="clear" w:color="auto" w:fill="auto"/>
            <w:noWrap/>
            <w:vAlign w:val="center"/>
          </w:tcPr>
          <w:p w14:paraId="42DEDC0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0.8853</w:t>
            </w:r>
          </w:p>
        </w:tc>
        <w:tc>
          <w:tcPr>
            <w:tcW w:w="634" w:type="pct"/>
            <w:shd w:val="clear" w:color="auto" w:fill="auto"/>
            <w:noWrap/>
            <w:vAlign w:val="center"/>
          </w:tcPr>
          <w:p w14:paraId="6067DE9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0.8614</w:t>
            </w:r>
          </w:p>
        </w:tc>
        <w:tc>
          <w:tcPr>
            <w:tcW w:w="634" w:type="pct"/>
            <w:shd w:val="clear" w:color="auto" w:fill="auto"/>
            <w:noWrap/>
            <w:vAlign w:val="center"/>
          </w:tcPr>
          <w:p w14:paraId="049F854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0.6999</w:t>
            </w:r>
          </w:p>
        </w:tc>
      </w:tr>
      <w:tr w14:paraId="106E8D3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6A8C04B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1.8 </w:t>
            </w:r>
          </w:p>
        </w:tc>
        <w:tc>
          <w:tcPr>
            <w:tcW w:w="590" w:type="pct"/>
            <w:shd w:val="clear" w:color="auto" w:fill="auto"/>
            <w:noWrap/>
            <w:vAlign w:val="center"/>
          </w:tcPr>
          <w:p w14:paraId="250C9B1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1.0675</w:t>
            </w:r>
          </w:p>
        </w:tc>
        <w:tc>
          <w:tcPr>
            <w:tcW w:w="673" w:type="pct"/>
            <w:shd w:val="clear" w:color="auto" w:fill="auto"/>
            <w:noWrap/>
            <w:vAlign w:val="center"/>
          </w:tcPr>
          <w:p w14:paraId="73FCDB8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1.0791</w:t>
            </w:r>
          </w:p>
        </w:tc>
        <w:tc>
          <w:tcPr>
            <w:tcW w:w="673" w:type="pct"/>
            <w:shd w:val="clear" w:color="auto" w:fill="auto"/>
            <w:noWrap/>
            <w:vAlign w:val="center"/>
          </w:tcPr>
          <w:p w14:paraId="64A91A5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0.9499</w:t>
            </w:r>
          </w:p>
        </w:tc>
        <w:tc>
          <w:tcPr>
            <w:tcW w:w="634" w:type="pct"/>
            <w:shd w:val="clear" w:color="auto" w:fill="auto"/>
            <w:vAlign w:val="center"/>
          </w:tcPr>
          <w:p w14:paraId="740BA56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6.3 </w:t>
            </w:r>
          </w:p>
        </w:tc>
        <w:tc>
          <w:tcPr>
            <w:tcW w:w="526" w:type="pct"/>
            <w:shd w:val="clear" w:color="auto" w:fill="auto"/>
            <w:noWrap/>
            <w:vAlign w:val="center"/>
          </w:tcPr>
          <w:p w14:paraId="0F02613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0.8835</w:t>
            </w:r>
          </w:p>
        </w:tc>
        <w:tc>
          <w:tcPr>
            <w:tcW w:w="634" w:type="pct"/>
            <w:shd w:val="clear" w:color="auto" w:fill="auto"/>
            <w:noWrap/>
            <w:vAlign w:val="center"/>
          </w:tcPr>
          <w:p w14:paraId="6A471FF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0.8592</w:t>
            </w:r>
          </w:p>
        </w:tc>
        <w:tc>
          <w:tcPr>
            <w:tcW w:w="634" w:type="pct"/>
            <w:shd w:val="clear" w:color="auto" w:fill="auto"/>
            <w:noWrap/>
            <w:vAlign w:val="center"/>
          </w:tcPr>
          <w:p w14:paraId="1DC696D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0.6971</w:t>
            </w:r>
          </w:p>
        </w:tc>
      </w:tr>
      <w:tr w14:paraId="27D9F9C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6342BE0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1.9 </w:t>
            </w:r>
          </w:p>
        </w:tc>
        <w:tc>
          <w:tcPr>
            <w:tcW w:w="590" w:type="pct"/>
            <w:shd w:val="clear" w:color="auto" w:fill="auto"/>
            <w:noWrap/>
            <w:vAlign w:val="center"/>
          </w:tcPr>
          <w:p w14:paraId="7F1677D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1.0558</w:t>
            </w:r>
          </w:p>
        </w:tc>
        <w:tc>
          <w:tcPr>
            <w:tcW w:w="673" w:type="pct"/>
            <w:shd w:val="clear" w:color="auto" w:fill="auto"/>
            <w:noWrap/>
            <w:vAlign w:val="center"/>
          </w:tcPr>
          <w:p w14:paraId="74BA4EF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1.0655</w:t>
            </w:r>
          </w:p>
        </w:tc>
        <w:tc>
          <w:tcPr>
            <w:tcW w:w="673" w:type="pct"/>
            <w:shd w:val="clear" w:color="auto" w:fill="auto"/>
            <w:noWrap/>
            <w:vAlign w:val="center"/>
          </w:tcPr>
          <w:p w14:paraId="4E34553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0.9352</w:t>
            </w:r>
          </w:p>
        </w:tc>
        <w:tc>
          <w:tcPr>
            <w:tcW w:w="634" w:type="pct"/>
            <w:shd w:val="clear" w:color="auto" w:fill="auto"/>
            <w:vAlign w:val="center"/>
          </w:tcPr>
          <w:p w14:paraId="7CB4DFE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6.4 </w:t>
            </w:r>
          </w:p>
        </w:tc>
        <w:tc>
          <w:tcPr>
            <w:tcW w:w="526" w:type="pct"/>
            <w:shd w:val="clear" w:color="auto" w:fill="auto"/>
            <w:noWrap/>
            <w:vAlign w:val="center"/>
          </w:tcPr>
          <w:p w14:paraId="4F0C108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0.8818</w:t>
            </w:r>
          </w:p>
        </w:tc>
        <w:tc>
          <w:tcPr>
            <w:tcW w:w="634" w:type="pct"/>
            <w:shd w:val="clear" w:color="auto" w:fill="auto"/>
            <w:noWrap/>
            <w:vAlign w:val="center"/>
          </w:tcPr>
          <w:p w14:paraId="5E90788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0.857</w:t>
            </w:r>
          </w:p>
        </w:tc>
        <w:tc>
          <w:tcPr>
            <w:tcW w:w="634" w:type="pct"/>
            <w:shd w:val="clear" w:color="auto" w:fill="auto"/>
            <w:noWrap/>
            <w:vAlign w:val="center"/>
          </w:tcPr>
          <w:p w14:paraId="30CDFB2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0.6943</w:t>
            </w:r>
          </w:p>
        </w:tc>
      </w:tr>
      <w:tr w14:paraId="6A3E5BF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07605D1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2.0 </w:t>
            </w:r>
          </w:p>
        </w:tc>
        <w:tc>
          <w:tcPr>
            <w:tcW w:w="590" w:type="pct"/>
            <w:shd w:val="clear" w:color="auto" w:fill="auto"/>
            <w:noWrap/>
            <w:vAlign w:val="center"/>
          </w:tcPr>
          <w:p w14:paraId="0907E62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1.045</w:t>
            </w:r>
          </w:p>
        </w:tc>
        <w:tc>
          <w:tcPr>
            <w:tcW w:w="673" w:type="pct"/>
            <w:shd w:val="clear" w:color="auto" w:fill="auto"/>
            <w:noWrap/>
            <w:vAlign w:val="center"/>
          </w:tcPr>
          <w:p w14:paraId="27FEEBE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1.0528</w:t>
            </w:r>
          </w:p>
        </w:tc>
        <w:tc>
          <w:tcPr>
            <w:tcW w:w="673" w:type="pct"/>
            <w:shd w:val="clear" w:color="auto" w:fill="auto"/>
            <w:noWrap/>
            <w:vAlign w:val="center"/>
          </w:tcPr>
          <w:p w14:paraId="77F7D17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0.9213</w:t>
            </w:r>
          </w:p>
        </w:tc>
        <w:tc>
          <w:tcPr>
            <w:tcW w:w="634" w:type="pct"/>
            <w:shd w:val="clear" w:color="auto" w:fill="auto"/>
            <w:vAlign w:val="center"/>
          </w:tcPr>
          <w:p w14:paraId="73728C5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6.5 </w:t>
            </w:r>
          </w:p>
        </w:tc>
        <w:tc>
          <w:tcPr>
            <w:tcW w:w="526" w:type="pct"/>
            <w:shd w:val="clear" w:color="auto" w:fill="auto"/>
            <w:noWrap/>
            <w:vAlign w:val="center"/>
          </w:tcPr>
          <w:p w14:paraId="2AFD95F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0.8801</w:t>
            </w:r>
          </w:p>
        </w:tc>
        <w:tc>
          <w:tcPr>
            <w:tcW w:w="634" w:type="pct"/>
            <w:shd w:val="clear" w:color="auto" w:fill="auto"/>
            <w:noWrap/>
            <w:vAlign w:val="center"/>
          </w:tcPr>
          <w:p w14:paraId="4745F70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0.8549</w:t>
            </w:r>
          </w:p>
        </w:tc>
        <w:tc>
          <w:tcPr>
            <w:tcW w:w="634" w:type="pct"/>
            <w:shd w:val="clear" w:color="auto" w:fill="auto"/>
            <w:noWrap/>
            <w:vAlign w:val="center"/>
          </w:tcPr>
          <w:p w14:paraId="72F6827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0.6916</w:t>
            </w:r>
          </w:p>
        </w:tc>
      </w:tr>
      <w:tr w14:paraId="42F24B2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1F6BC16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2.1 </w:t>
            </w:r>
          </w:p>
        </w:tc>
        <w:tc>
          <w:tcPr>
            <w:tcW w:w="590" w:type="pct"/>
            <w:shd w:val="clear" w:color="auto" w:fill="auto"/>
            <w:noWrap/>
            <w:vAlign w:val="center"/>
          </w:tcPr>
          <w:p w14:paraId="6623DE6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1.0348</w:t>
            </w:r>
          </w:p>
        </w:tc>
        <w:tc>
          <w:tcPr>
            <w:tcW w:w="673" w:type="pct"/>
            <w:shd w:val="clear" w:color="auto" w:fill="auto"/>
            <w:noWrap/>
            <w:vAlign w:val="center"/>
          </w:tcPr>
          <w:p w14:paraId="3E4125A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1.0408</w:t>
            </w:r>
          </w:p>
        </w:tc>
        <w:tc>
          <w:tcPr>
            <w:tcW w:w="673" w:type="pct"/>
            <w:shd w:val="clear" w:color="auto" w:fill="auto"/>
            <w:noWrap/>
            <w:vAlign w:val="center"/>
          </w:tcPr>
          <w:p w14:paraId="452DDC9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0.9082</w:t>
            </w:r>
          </w:p>
        </w:tc>
        <w:tc>
          <w:tcPr>
            <w:tcW w:w="634" w:type="pct"/>
            <w:shd w:val="clear" w:color="auto" w:fill="auto"/>
            <w:vAlign w:val="center"/>
          </w:tcPr>
          <w:p w14:paraId="0727BF1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6.6 </w:t>
            </w:r>
          </w:p>
        </w:tc>
        <w:tc>
          <w:tcPr>
            <w:tcW w:w="526" w:type="pct"/>
            <w:shd w:val="clear" w:color="auto" w:fill="auto"/>
            <w:noWrap/>
            <w:vAlign w:val="center"/>
          </w:tcPr>
          <w:p w14:paraId="7D068EB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0.8784</w:t>
            </w:r>
          </w:p>
        </w:tc>
        <w:tc>
          <w:tcPr>
            <w:tcW w:w="634" w:type="pct"/>
            <w:shd w:val="clear" w:color="auto" w:fill="auto"/>
            <w:noWrap/>
            <w:vAlign w:val="center"/>
          </w:tcPr>
          <w:p w14:paraId="7A15176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0.8528</w:t>
            </w:r>
          </w:p>
        </w:tc>
        <w:tc>
          <w:tcPr>
            <w:tcW w:w="634" w:type="pct"/>
            <w:shd w:val="clear" w:color="auto" w:fill="auto"/>
            <w:noWrap/>
            <w:vAlign w:val="center"/>
          </w:tcPr>
          <w:p w14:paraId="35C53E4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0.6889</w:t>
            </w:r>
          </w:p>
        </w:tc>
      </w:tr>
      <w:tr w14:paraId="5D5A7C1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PrEx>
        <w:trPr>
          <w:cantSplit/>
          <w:jc w:val="center"/>
        </w:trPr>
        <w:tc>
          <w:tcPr>
            <w:tcW w:w="634" w:type="pct"/>
            <w:shd w:val="clear" w:color="auto" w:fill="auto"/>
            <w:noWrap/>
            <w:vAlign w:val="center"/>
          </w:tcPr>
          <w:p w14:paraId="04F1BC4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2.2 </w:t>
            </w:r>
          </w:p>
        </w:tc>
        <w:tc>
          <w:tcPr>
            <w:tcW w:w="590" w:type="pct"/>
            <w:shd w:val="clear" w:color="auto" w:fill="auto"/>
            <w:noWrap/>
            <w:vAlign w:val="center"/>
          </w:tcPr>
          <w:p w14:paraId="62ABCDC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1.0252</w:t>
            </w:r>
          </w:p>
        </w:tc>
        <w:tc>
          <w:tcPr>
            <w:tcW w:w="673" w:type="pct"/>
            <w:shd w:val="clear" w:color="auto" w:fill="auto"/>
            <w:noWrap/>
            <w:vAlign w:val="center"/>
          </w:tcPr>
          <w:p w14:paraId="18DAAEB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1.0296</w:t>
            </w:r>
          </w:p>
        </w:tc>
        <w:tc>
          <w:tcPr>
            <w:tcW w:w="673" w:type="pct"/>
            <w:shd w:val="clear" w:color="auto" w:fill="auto"/>
            <w:noWrap/>
            <w:vAlign w:val="center"/>
          </w:tcPr>
          <w:p w14:paraId="6DED0CF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0.8957</w:t>
            </w:r>
          </w:p>
        </w:tc>
        <w:tc>
          <w:tcPr>
            <w:tcW w:w="634" w:type="pct"/>
            <w:shd w:val="clear" w:color="auto" w:fill="auto"/>
            <w:vAlign w:val="center"/>
          </w:tcPr>
          <w:p w14:paraId="3944412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6.7 </w:t>
            </w:r>
          </w:p>
        </w:tc>
        <w:tc>
          <w:tcPr>
            <w:tcW w:w="526" w:type="pct"/>
            <w:shd w:val="clear" w:color="auto" w:fill="auto"/>
            <w:noWrap/>
            <w:vAlign w:val="center"/>
          </w:tcPr>
          <w:p w14:paraId="302E748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0.8767</w:t>
            </w:r>
          </w:p>
        </w:tc>
        <w:tc>
          <w:tcPr>
            <w:tcW w:w="634" w:type="pct"/>
            <w:shd w:val="clear" w:color="auto" w:fill="auto"/>
            <w:noWrap/>
            <w:vAlign w:val="center"/>
          </w:tcPr>
          <w:p w14:paraId="537FBA4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0.8507</w:t>
            </w:r>
          </w:p>
        </w:tc>
        <w:tc>
          <w:tcPr>
            <w:tcW w:w="634" w:type="pct"/>
            <w:shd w:val="clear" w:color="auto" w:fill="auto"/>
            <w:noWrap/>
            <w:vAlign w:val="center"/>
          </w:tcPr>
          <w:p w14:paraId="0AA9F42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0.6862</w:t>
            </w:r>
          </w:p>
        </w:tc>
      </w:tr>
      <w:tr w14:paraId="527F54A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449D8B5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2.3 </w:t>
            </w:r>
          </w:p>
        </w:tc>
        <w:tc>
          <w:tcPr>
            <w:tcW w:w="590" w:type="pct"/>
            <w:shd w:val="clear" w:color="auto" w:fill="auto"/>
            <w:noWrap/>
            <w:vAlign w:val="center"/>
          </w:tcPr>
          <w:p w14:paraId="289B009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1.0162</w:t>
            </w:r>
          </w:p>
        </w:tc>
        <w:tc>
          <w:tcPr>
            <w:tcW w:w="673" w:type="pct"/>
            <w:shd w:val="clear" w:color="auto" w:fill="auto"/>
            <w:noWrap/>
            <w:vAlign w:val="center"/>
          </w:tcPr>
          <w:p w14:paraId="273174E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1.0191</w:t>
            </w:r>
          </w:p>
        </w:tc>
        <w:tc>
          <w:tcPr>
            <w:tcW w:w="673" w:type="pct"/>
            <w:shd w:val="clear" w:color="auto" w:fill="auto"/>
            <w:noWrap/>
            <w:vAlign w:val="center"/>
          </w:tcPr>
          <w:p w14:paraId="6DD58A3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0.8842</w:t>
            </w:r>
          </w:p>
        </w:tc>
        <w:tc>
          <w:tcPr>
            <w:tcW w:w="634" w:type="pct"/>
            <w:shd w:val="clear" w:color="auto" w:fill="auto"/>
            <w:vAlign w:val="center"/>
          </w:tcPr>
          <w:p w14:paraId="7A1F9F9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6.8 </w:t>
            </w:r>
          </w:p>
        </w:tc>
        <w:tc>
          <w:tcPr>
            <w:tcW w:w="526" w:type="pct"/>
            <w:shd w:val="clear" w:color="auto" w:fill="auto"/>
            <w:noWrap/>
            <w:vAlign w:val="center"/>
          </w:tcPr>
          <w:p w14:paraId="5AE0A1D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0.875</w:t>
            </w:r>
          </w:p>
        </w:tc>
        <w:tc>
          <w:tcPr>
            <w:tcW w:w="634" w:type="pct"/>
            <w:shd w:val="clear" w:color="auto" w:fill="auto"/>
            <w:noWrap/>
            <w:vAlign w:val="center"/>
          </w:tcPr>
          <w:p w14:paraId="3554625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0.8486</w:t>
            </w:r>
          </w:p>
        </w:tc>
        <w:tc>
          <w:tcPr>
            <w:tcW w:w="634" w:type="pct"/>
            <w:shd w:val="clear" w:color="auto" w:fill="auto"/>
            <w:noWrap/>
            <w:vAlign w:val="center"/>
          </w:tcPr>
          <w:p w14:paraId="009A740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0.6835</w:t>
            </w:r>
          </w:p>
        </w:tc>
      </w:tr>
      <w:tr w14:paraId="7AA29BF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37083F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2.4 </w:t>
            </w:r>
          </w:p>
        </w:tc>
        <w:tc>
          <w:tcPr>
            <w:tcW w:w="590" w:type="pct"/>
            <w:shd w:val="clear" w:color="auto" w:fill="auto"/>
            <w:noWrap/>
            <w:vAlign w:val="center"/>
          </w:tcPr>
          <w:p w14:paraId="0DF705F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1.0078</w:t>
            </w:r>
          </w:p>
        </w:tc>
        <w:tc>
          <w:tcPr>
            <w:tcW w:w="673" w:type="pct"/>
            <w:shd w:val="clear" w:color="auto" w:fill="auto"/>
            <w:noWrap/>
            <w:vAlign w:val="center"/>
          </w:tcPr>
          <w:p w14:paraId="5F204F6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1.0092</w:t>
            </w:r>
          </w:p>
        </w:tc>
        <w:tc>
          <w:tcPr>
            <w:tcW w:w="673" w:type="pct"/>
            <w:shd w:val="clear" w:color="auto" w:fill="auto"/>
            <w:noWrap/>
            <w:vAlign w:val="center"/>
          </w:tcPr>
          <w:p w14:paraId="3C53785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0.8733</w:t>
            </w:r>
          </w:p>
        </w:tc>
        <w:tc>
          <w:tcPr>
            <w:tcW w:w="634" w:type="pct"/>
            <w:shd w:val="clear" w:color="auto" w:fill="auto"/>
            <w:vAlign w:val="center"/>
          </w:tcPr>
          <w:p w14:paraId="2BAF1E1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6.9 </w:t>
            </w:r>
          </w:p>
        </w:tc>
        <w:tc>
          <w:tcPr>
            <w:tcW w:w="526" w:type="pct"/>
            <w:shd w:val="clear" w:color="auto" w:fill="auto"/>
            <w:noWrap/>
            <w:vAlign w:val="center"/>
          </w:tcPr>
          <w:p w14:paraId="7ADF89F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0.8733</w:t>
            </w:r>
          </w:p>
        </w:tc>
        <w:tc>
          <w:tcPr>
            <w:tcW w:w="634" w:type="pct"/>
            <w:shd w:val="clear" w:color="auto" w:fill="auto"/>
            <w:noWrap/>
            <w:vAlign w:val="center"/>
          </w:tcPr>
          <w:p w14:paraId="0D122FD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0.8465</w:t>
            </w:r>
          </w:p>
        </w:tc>
        <w:tc>
          <w:tcPr>
            <w:tcW w:w="634" w:type="pct"/>
            <w:shd w:val="clear" w:color="auto" w:fill="auto"/>
            <w:noWrap/>
            <w:vAlign w:val="center"/>
          </w:tcPr>
          <w:p w14:paraId="7ED51AA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0.6809</w:t>
            </w:r>
          </w:p>
        </w:tc>
      </w:tr>
      <w:tr w14:paraId="4BFB421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5925068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2.5 </w:t>
            </w:r>
          </w:p>
        </w:tc>
        <w:tc>
          <w:tcPr>
            <w:tcW w:w="590" w:type="pct"/>
            <w:shd w:val="clear" w:color="auto" w:fill="auto"/>
            <w:noWrap/>
            <w:vAlign w:val="center"/>
          </w:tcPr>
          <w:p w14:paraId="2E78F99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p>
        </w:tc>
        <w:tc>
          <w:tcPr>
            <w:tcW w:w="673" w:type="pct"/>
            <w:shd w:val="clear" w:color="auto" w:fill="auto"/>
            <w:noWrap/>
            <w:vAlign w:val="center"/>
          </w:tcPr>
          <w:p w14:paraId="19B26E0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p>
        </w:tc>
        <w:tc>
          <w:tcPr>
            <w:tcW w:w="673" w:type="pct"/>
            <w:shd w:val="clear" w:color="auto" w:fill="auto"/>
            <w:noWrap/>
            <w:vAlign w:val="center"/>
          </w:tcPr>
          <w:p w14:paraId="3300159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0.863</w:t>
            </w:r>
          </w:p>
        </w:tc>
        <w:tc>
          <w:tcPr>
            <w:tcW w:w="634" w:type="pct"/>
            <w:shd w:val="clear" w:color="auto" w:fill="auto"/>
            <w:vAlign w:val="center"/>
          </w:tcPr>
          <w:p w14:paraId="4DD326E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7.0 </w:t>
            </w:r>
          </w:p>
        </w:tc>
        <w:tc>
          <w:tcPr>
            <w:tcW w:w="526" w:type="pct"/>
            <w:shd w:val="clear" w:color="auto" w:fill="auto"/>
            <w:noWrap/>
            <w:vAlign w:val="center"/>
          </w:tcPr>
          <w:p w14:paraId="6AD2427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0.8717</w:t>
            </w:r>
          </w:p>
        </w:tc>
        <w:tc>
          <w:tcPr>
            <w:tcW w:w="634" w:type="pct"/>
            <w:shd w:val="clear" w:color="auto" w:fill="auto"/>
            <w:noWrap/>
            <w:vAlign w:val="center"/>
          </w:tcPr>
          <w:p w14:paraId="4FA9C1C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0.8445</w:t>
            </w:r>
          </w:p>
        </w:tc>
        <w:tc>
          <w:tcPr>
            <w:tcW w:w="634" w:type="pct"/>
            <w:shd w:val="clear" w:color="auto" w:fill="auto"/>
            <w:noWrap/>
            <w:vAlign w:val="center"/>
          </w:tcPr>
          <w:p w14:paraId="7102CB0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0.6783</w:t>
            </w:r>
          </w:p>
        </w:tc>
      </w:tr>
      <w:tr w14:paraId="61C6B97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40E6B68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2.6 </w:t>
            </w:r>
          </w:p>
        </w:tc>
        <w:tc>
          <w:tcPr>
            <w:tcW w:w="590" w:type="pct"/>
            <w:shd w:val="clear" w:color="auto" w:fill="auto"/>
            <w:noWrap/>
            <w:vAlign w:val="center"/>
          </w:tcPr>
          <w:p w14:paraId="40727A6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0.9927</w:t>
            </w:r>
          </w:p>
        </w:tc>
        <w:tc>
          <w:tcPr>
            <w:tcW w:w="673" w:type="pct"/>
            <w:shd w:val="clear" w:color="auto" w:fill="auto"/>
            <w:noWrap/>
            <w:vAlign w:val="center"/>
          </w:tcPr>
          <w:p w14:paraId="39958EB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0.9914</w:t>
            </w:r>
          </w:p>
        </w:tc>
        <w:tc>
          <w:tcPr>
            <w:tcW w:w="673" w:type="pct"/>
            <w:shd w:val="clear" w:color="auto" w:fill="auto"/>
            <w:noWrap/>
            <w:vAlign w:val="center"/>
          </w:tcPr>
          <w:p w14:paraId="1E34AFB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0.8534</w:t>
            </w:r>
          </w:p>
        </w:tc>
        <w:tc>
          <w:tcPr>
            <w:tcW w:w="634" w:type="pct"/>
            <w:shd w:val="clear" w:color="auto" w:fill="auto"/>
            <w:vAlign w:val="center"/>
          </w:tcPr>
          <w:p w14:paraId="6CBF9C3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7.1 </w:t>
            </w:r>
          </w:p>
        </w:tc>
        <w:tc>
          <w:tcPr>
            <w:tcW w:w="526" w:type="pct"/>
            <w:shd w:val="clear" w:color="auto" w:fill="auto"/>
            <w:noWrap/>
            <w:vAlign w:val="center"/>
          </w:tcPr>
          <w:p w14:paraId="31F10F1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0.8701</w:t>
            </w:r>
          </w:p>
        </w:tc>
        <w:tc>
          <w:tcPr>
            <w:tcW w:w="634" w:type="pct"/>
            <w:shd w:val="clear" w:color="auto" w:fill="auto"/>
            <w:noWrap/>
            <w:vAlign w:val="center"/>
          </w:tcPr>
          <w:p w14:paraId="35A5649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0.8425</w:t>
            </w:r>
          </w:p>
        </w:tc>
        <w:tc>
          <w:tcPr>
            <w:tcW w:w="634" w:type="pct"/>
            <w:shd w:val="clear" w:color="auto" w:fill="auto"/>
            <w:noWrap/>
            <w:vAlign w:val="center"/>
          </w:tcPr>
          <w:p w14:paraId="0E1ECA4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0.6757</w:t>
            </w:r>
          </w:p>
        </w:tc>
      </w:tr>
      <w:tr w14:paraId="4801598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55007E8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2.7 </w:t>
            </w:r>
          </w:p>
        </w:tc>
        <w:tc>
          <w:tcPr>
            <w:tcW w:w="590" w:type="pct"/>
            <w:shd w:val="clear" w:color="auto" w:fill="auto"/>
            <w:noWrap/>
            <w:vAlign w:val="center"/>
          </w:tcPr>
          <w:p w14:paraId="45CD405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0.9858</w:t>
            </w:r>
          </w:p>
        </w:tc>
        <w:tc>
          <w:tcPr>
            <w:tcW w:w="673" w:type="pct"/>
            <w:shd w:val="clear" w:color="auto" w:fill="auto"/>
            <w:noWrap/>
            <w:vAlign w:val="center"/>
          </w:tcPr>
          <w:p w14:paraId="1BB8E3C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0.9833</w:t>
            </w:r>
          </w:p>
        </w:tc>
        <w:tc>
          <w:tcPr>
            <w:tcW w:w="673" w:type="pct"/>
            <w:shd w:val="clear" w:color="auto" w:fill="auto"/>
            <w:noWrap/>
            <w:vAlign w:val="center"/>
          </w:tcPr>
          <w:p w14:paraId="71A4A9B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0.8444</w:t>
            </w:r>
          </w:p>
        </w:tc>
        <w:tc>
          <w:tcPr>
            <w:tcW w:w="634" w:type="pct"/>
            <w:shd w:val="clear" w:color="auto" w:fill="auto"/>
            <w:vAlign w:val="center"/>
          </w:tcPr>
          <w:p w14:paraId="4B7B0C5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7.2 </w:t>
            </w:r>
          </w:p>
        </w:tc>
        <w:tc>
          <w:tcPr>
            <w:tcW w:w="526" w:type="pct"/>
            <w:shd w:val="clear" w:color="auto" w:fill="auto"/>
            <w:noWrap/>
            <w:vAlign w:val="center"/>
          </w:tcPr>
          <w:p w14:paraId="2795788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0.8685</w:t>
            </w:r>
          </w:p>
        </w:tc>
        <w:tc>
          <w:tcPr>
            <w:tcW w:w="634" w:type="pct"/>
            <w:shd w:val="clear" w:color="auto" w:fill="auto"/>
            <w:noWrap/>
            <w:vAlign w:val="center"/>
          </w:tcPr>
          <w:p w14:paraId="713E28F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0.8405</w:t>
            </w:r>
          </w:p>
        </w:tc>
        <w:tc>
          <w:tcPr>
            <w:tcW w:w="634" w:type="pct"/>
            <w:shd w:val="clear" w:color="auto" w:fill="auto"/>
            <w:noWrap/>
            <w:vAlign w:val="center"/>
          </w:tcPr>
          <w:p w14:paraId="0465BEE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0.6731</w:t>
            </w:r>
          </w:p>
        </w:tc>
      </w:tr>
      <w:tr w14:paraId="61FA48B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417519E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2.8 </w:t>
            </w:r>
          </w:p>
        </w:tc>
        <w:tc>
          <w:tcPr>
            <w:tcW w:w="590" w:type="pct"/>
            <w:shd w:val="clear" w:color="auto" w:fill="auto"/>
            <w:noWrap/>
            <w:vAlign w:val="center"/>
          </w:tcPr>
          <w:p w14:paraId="28EB2FA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0.9794</w:t>
            </w:r>
          </w:p>
        </w:tc>
        <w:tc>
          <w:tcPr>
            <w:tcW w:w="673" w:type="pct"/>
            <w:shd w:val="clear" w:color="auto" w:fill="auto"/>
            <w:noWrap/>
            <w:vAlign w:val="center"/>
          </w:tcPr>
          <w:p w14:paraId="0F44B53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0.9757</w:t>
            </w:r>
          </w:p>
        </w:tc>
        <w:tc>
          <w:tcPr>
            <w:tcW w:w="673" w:type="pct"/>
            <w:shd w:val="clear" w:color="auto" w:fill="auto"/>
            <w:noWrap/>
            <w:vAlign w:val="center"/>
          </w:tcPr>
          <w:p w14:paraId="690CAD9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0.836</w:t>
            </w:r>
          </w:p>
        </w:tc>
        <w:tc>
          <w:tcPr>
            <w:tcW w:w="634" w:type="pct"/>
            <w:shd w:val="clear" w:color="auto" w:fill="auto"/>
            <w:vAlign w:val="center"/>
          </w:tcPr>
          <w:p w14:paraId="3D05E1C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7.3 </w:t>
            </w:r>
          </w:p>
        </w:tc>
        <w:tc>
          <w:tcPr>
            <w:tcW w:w="526" w:type="pct"/>
            <w:shd w:val="clear" w:color="auto" w:fill="auto"/>
            <w:noWrap/>
            <w:vAlign w:val="center"/>
          </w:tcPr>
          <w:p w14:paraId="5C9A09E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0.8669</w:t>
            </w:r>
          </w:p>
        </w:tc>
        <w:tc>
          <w:tcPr>
            <w:tcW w:w="634" w:type="pct"/>
            <w:shd w:val="clear" w:color="auto" w:fill="auto"/>
            <w:noWrap/>
            <w:vAlign w:val="center"/>
          </w:tcPr>
          <w:p w14:paraId="5C9DE54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0.8385</w:t>
            </w:r>
          </w:p>
        </w:tc>
        <w:tc>
          <w:tcPr>
            <w:tcW w:w="634" w:type="pct"/>
            <w:shd w:val="clear" w:color="auto" w:fill="auto"/>
            <w:noWrap/>
            <w:vAlign w:val="center"/>
          </w:tcPr>
          <w:p w14:paraId="2BA9AF2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0.6706</w:t>
            </w:r>
          </w:p>
        </w:tc>
      </w:tr>
      <w:tr w14:paraId="4D1565D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244BBDB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2.9 </w:t>
            </w:r>
          </w:p>
        </w:tc>
        <w:tc>
          <w:tcPr>
            <w:tcW w:w="590" w:type="pct"/>
            <w:shd w:val="clear" w:color="auto" w:fill="auto"/>
            <w:noWrap/>
            <w:vAlign w:val="center"/>
          </w:tcPr>
          <w:p w14:paraId="461AD51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0.9735</w:t>
            </w:r>
          </w:p>
        </w:tc>
        <w:tc>
          <w:tcPr>
            <w:tcW w:w="673" w:type="pct"/>
            <w:shd w:val="clear" w:color="auto" w:fill="auto"/>
            <w:noWrap/>
            <w:vAlign w:val="center"/>
          </w:tcPr>
          <w:p w14:paraId="6F3CB9D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0.9687</w:t>
            </w:r>
          </w:p>
        </w:tc>
        <w:tc>
          <w:tcPr>
            <w:tcW w:w="673" w:type="pct"/>
            <w:shd w:val="clear" w:color="auto" w:fill="auto"/>
            <w:noWrap/>
            <w:vAlign w:val="center"/>
          </w:tcPr>
          <w:p w14:paraId="22F5A52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0.8282</w:t>
            </w:r>
          </w:p>
        </w:tc>
        <w:tc>
          <w:tcPr>
            <w:tcW w:w="634" w:type="pct"/>
            <w:shd w:val="clear" w:color="auto" w:fill="auto"/>
            <w:vAlign w:val="center"/>
          </w:tcPr>
          <w:p w14:paraId="5D21158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7.4 </w:t>
            </w:r>
          </w:p>
        </w:tc>
        <w:tc>
          <w:tcPr>
            <w:tcW w:w="526" w:type="pct"/>
            <w:shd w:val="clear" w:color="auto" w:fill="auto"/>
            <w:noWrap/>
            <w:vAlign w:val="center"/>
          </w:tcPr>
          <w:p w14:paraId="59D00BE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0.8653</w:t>
            </w:r>
          </w:p>
        </w:tc>
        <w:tc>
          <w:tcPr>
            <w:tcW w:w="634" w:type="pct"/>
            <w:shd w:val="clear" w:color="auto" w:fill="auto"/>
            <w:noWrap/>
            <w:vAlign w:val="center"/>
          </w:tcPr>
          <w:p w14:paraId="6AD5505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0.8365</w:t>
            </w:r>
          </w:p>
        </w:tc>
        <w:tc>
          <w:tcPr>
            <w:tcW w:w="634" w:type="pct"/>
            <w:shd w:val="clear" w:color="auto" w:fill="auto"/>
            <w:noWrap/>
            <w:vAlign w:val="center"/>
          </w:tcPr>
          <w:p w14:paraId="386BB6C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0.6681</w:t>
            </w:r>
          </w:p>
        </w:tc>
      </w:tr>
      <w:tr w14:paraId="7089466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4B025BE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3.0 </w:t>
            </w:r>
          </w:p>
        </w:tc>
        <w:tc>
          <w:tcPr>
            <w:tcW w:w="590" w:type="pct"/>
            <w:shd w:val="clear" w:color="auto" w:fill="auto"/>
            <w:noWrap/>
            <w:vAlign w:val="center"/>
          </w:tcPr>
          <w:p w14:paraId="2241076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0.9679</w:t>
            </w:r>
          </w:p>
        </w:tc>
        <w:tc>
          <w:tcPr>
            <w:tcW w:w="673" w:type="pct"/>
            <w:shd w:val="clear" w:color="auto" w:fill="auto"/>
            <w:noWrap/>
            <w:vAlign w:val="center"/>
          </w:tcPr>
          <w:p w14:paraId="3A6052A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0.9621</w:t>
            </w:r>
          </w:p>
        </w:tc>
        <w:tc>
          <w:tcPr>
            <w:tcW w:w="673" w:type="pct"/>
            <w:shd w:val="clear" w:color="auto" w:fill="auto"/>
            <w:noWrap/>
            <w:vAlign w:val="center"/>
          </w:tcPr>
          <w:p w14:paraId="3A0C24B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0.8208</w:t>
            </w:r>
          </w:p>
        </w:tc>
        <w:tc>
          <w:tcPr>
            <w:tcW w:w="634" w:type="pct"/>
            <w:shd w:val="clear" w:color="auto" w:fill="auto"/>
            <w:vAlign w:val="center"/>
          </w:tcPr>
          <w:p w14:paraId="67330A2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7.5 </w:t>
            </w:r>
          </w:p>
        </w:tc>
        <w:tc>
          <w:tcPr>
            <w:tcW w:w="526" w:type="pct"/>
            <w:shd w:val="clear" w:color="auto" w:fill="auto"/>
            <w:noWrap/>
            <w:vAlign w:val="center"/>
          </w:tcPr>
          <w:p w14:paraId="43A22EE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0.8637</w:t>
            </w:r>
          </w:p>
        </w:tc>
        <w:tc>
          <w:tcPr>
            <w:tcW w:w="634" w:type="pct"/>
            <w:shd w:val="clear" w:color="auto" w:fill="auto"/>
            <w:noWrap/>
            <w:vAlign w:val="center"/>
          </w:tcPr>
          <w:p w14:paraId="6863717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0.8346</w:t>
            </w:r>
          </w:p>
        </w:tc>
        <w:tc>
          <w:tcPr>
            <w:tcW w:w="634" w:type="pct"/>
            <w:shd w:val="clear" w:color="auto" w:fill="auto"/>
            <w:noWrap/>
            <w:vAlign w:val="center"/>
          </w:tcPr>
          <w:p w14:paraId="5AA964D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0.6656</w:t>
            </w:r>
          </w:p>
        </w:tc>
      </w:tr>
      <w:tr w14:paraId="4B49C99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159864A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3.1 </w:t>
            </w:r>
          </w:p>
        </w:tc>
        <w:tc>
          <w:tcPr>
            <w:tcW w:w="590" w:type="pct"/>
            <w:shd w:val="clear" w:color="auto" w:fill="auto"/>
            <w:noWrap/>
            <w:vAlign w:val="center"/>
          </w:tcPr>
          <w:p w14:paraId="5D3B973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0.9627</w:t>
            </w:r>
          </w:p>
        </w:tc>
        <w:tc>
          <w:tcPr>
            <w:tcW w:w="673" w:type="pct"/>
            <w:shd w:val="clear" w:color="auto" w:fill="auto"/>
            <w:noWrap/>
            <w:vAlign w:val="center"/>
          </w:tcPr>
          <w:p w14:paraId="7BA10E0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0.9559</w:t>
            </w:r>
          </w:p>
        </w:tc>
        <w:tc>
          <w:tcPr>
            <w:tcW w:w="673" w:type="pct"/>
            <w:shd w:val="clear" w:color="auto" w:fill="auto"/>
            <w:noWrap/>
            <w:vAlign w:val="center"/>
          </w:tcPr>
          <w:p w14:paraId="09C39C8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0.8139</w:t>
            </w:r>
          </w:p>
        </w:tc>
        <w:tc>
          <w:tcPr>
            <w:tcW w:w="634" w:type="pct"/>
            <w:shd w:val="clear" w:color="auto" w:fill="auto"/>
            <w:vAlign w:val="center"/>
          </w:tcPr>
          <w:p w14:paraId="36FFC7E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7.6</w:t>
            </w:r>
          </w:p>
        </w:tc>
        <w:tc>
          <w:tcPr>
            <w:tcW w:w="526" w:type="pct"/>
            <w:shd w:val="clear" w:color="auto" w:fill="auto"/>
            <w:noWrap/>
            <w:vAlign w:val="center"/>
          </w:tcPr>
          <w:p w14:paraId="43EA76E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0.8622</w:t>
            </w:r>
          </w:p>
        </w:tc>
        <w:tc>
          <w:tcPr>
            <w:tcW w:w="634" w:type="pct"/>
            <w:shd w:val="clear" w:color="auto" w:fill="auto"/>
            <w:noWrap/>
            <w:vAlign w:val="center"/>
          </w:tcPr>
          <w:p w14:paraId="3858D44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0.8327</w:t>
            </w:r>
          </w:p>
        </w:tc>
        <w:tc>
          <w:tcPr>
            <w:tcW w:w="634" w:type="pct"/>
            <w:shd w:val="clear" w:color="auto" w:fill="auto"/>
            <w:noWrap/>
            <w:vAlign w:val="center"/>
          </w:tcPr>
          <w:p w14:paraId="3DD6187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0.6631</w:t>
            </w:r>
          </w:p>
        </w:tc>
      </w:tr>
      <w:tr w14:paraId="64769A7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PrEx>
        <w:trPr>
          <w:cantSplit/>
          <w:jc w:val="center"/>
        </w:trPr>
        <w:tc>
          <w:tcPr>
            <w:tcW w:w="634" w:type="pct"/>
            <w:shd w:val="clear" w:color="auto" w:fill="auto"/>
            <w:noWrap/>
            <w:vAlign w:val="center"/>
          </w:tcPr>
          <w:p w14:paraId="061106E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3.2 </w:t>
            </w:r>
          </w:p>
        </w:tc>
        <w:tc>
          <w:tcPr>
            <w:tcW w:w="590" w:type="pct"/>
            <w:shd w:val="clear" w:color="auto" w:fill="auto"/>
            <w:noWrap/>
            <w:vAlign w:val="center"/>
          </w:tcPr>
          <w:p w14:paraId="782C6CA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0.9579</w:t>
            </w:r>
          </w:p>
        </w:tc>
        <w:tc>
          <w:tcPr>
            <w:tcW w:w="673" w:type="pct"/>
            <w:shd w:val="clear" w:color="auto" w:fill="auto"/>
            <w:noWrap/>
            <w:vAlign w:val="center"/>
          </w:tcPr>
          <w:p w14:paraId="5C24C38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0.9502</w:t>
            </w:r>
          </w:p>
        </w:tc>
        <w:tc>
          <w:tcPr>
            <w:tcW w:w="673" w:type="pct"/>
            <w:shd w:val="clear" w:color="auto" w:fill="auto"/>
            <w:noWrap/>
            <w:vAlign w:val="center"/>
          </w:tcPr>
          <w:p w14:paraId="316814B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0.8075</w:t>
            </w:r>
          </w:p>
        </w:tc>
        <w:tc>
          <w:tcPr>
            <w:tcW w:w="634" w:type="pct"/>
            <w:shd w:val="clear" w:color="auto" w:fill="auto"/>
            <w:vAlign w:val="center"/>
          </w:tcPr>
          <w:p w14:paraId="542EBAD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7.7 </w:t>
            </w:r>
          </w:p>
        </w:tc>
        <w:tc>
          <w:tcPr>
            <w:tcW w:w="526" w:type="pct"/>
            <w:shd w:val="clear" w:color="auto" w:fill="auto"/>
            <w:noWrap/>
            <w:vAlign w:val="center"/>
          </w:tcPr>
          <w:p w14:paraId="3876ACB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0.8607</w:t>
            </w:r>
          </w:p>
        </w:tc>
        <w:tc>
          <w:tcPr>
            <w:tcW w:w="634" w:type="pct"/>
            <w:shd w:val="clear" w:color="auto" w:fill="auto"/>
            <w:noWrap/>
            <w:vAlign w:val="center"/>
          </w:tcPr>
          <w:p w14:paraId="5D4EE9D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0.8308</w:t>
            </w:r>
          </w:p>
        </w:tc>
        <w:tc>
          <w:tcPr>
            <w:tcW w:w="634" w:type="pct"/>
            <w:shd w:val="clear" w:color="auto" w:fill="auto"/>
            <w:noWrap/>
            <w:vAlign w:val="center"/>
          </w:tcPr>
          <w:p w14:paraId="7F6E05D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0.6607</w:t>
            </w:r>
          </w:p>
        </w:tc>
      </w:tr>
      <w:tr w14:paraId="7B43276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63E9CAD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3.3 </w:t>
            </w:r>
          </w:p>
        </w:tc>
        <w:tc>
          <w:tcPr>
            <w:tcW w:w="590" w:type="pct"/>
            <w:shd w:val="clear" w:color="auto" w:fill="auto"/>
            <w:noWrap/>
            <w:vAlign w:val="center"/>
          </w:tcPr>
          <w:p w14:paraId="121E27A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0.9534</w:t>
            </w:r>
          </w:p>
        </w:tc>
        <w:tc>
          <w:tcPr>
            <w:tcW w:w="673" w:type="pct"/>
            <w:shd w:val="clear" w:color="auto" w:fill="auto"/>
            <w:noWrap/>
            <w:vAlign w:val="center"/>
          </w:tcPr>
          <w:p w14:paraId="59149A6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0.9448</w:t>
            </w:r>
          </w:p>
        </w:tc>
        <w:tc>
          <w:tcPr>
            <w:tcW w:w="673" w:type="pct"/>
            <w:shd w:val="clear" w:color="auto" w:fill="auto"/>
            <w:noWrap/>
            <w:vAlign w:val="center"/>
          </w:tcPr>
          <w:p w14:paraId="1F81F74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0.8015</w:t>
            </w:r>
          </w:p>
        </w:tc>
        <w:tc>
          <w:tcPr>
            <w:tcW w:w="634" w:type="pct"/>
            <w:shd w:val="clear" w:color="auto" w:fill="auto"/>
            <w:vAlign w:val="center"/>
          </w:tcPr>
          <w:p w14:paraId="3E286B8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7.8 </w:t>
            </w:r>
          </w:p>
        </w:tc>
        <w:tc>
          <w:tcPr>
            <w:tcW w:w="526" w:type="pct"/>
            <w:shd w:val="clear" w:color="auto" w:fill="auto"/>
            <w:noWrap/>
            <w:vAlign w:val="center"/>
          </w:tcPr>
          <w:p w14:paraId="67CE281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0.8592</w:t>
            </w:r>
          </w:p>
        </w:tc>
        <w:tc>
          <w:tcPr>
            <w:tcW w:w="634" w:type="pct"/>
            <w:shd w:val="clear" w:color="auto" w:fill="auto"/>
            <w:noWrap/>
            <w:vAlign w:val="center"/>
          </w:tcPr>
          <w:p w14:paraId="227BD70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0.8289</w:t>
            </w:r>
          </w:p>
        </w:tc>
        <w:tc>
          <w:tcPr>
            <w:tcW w:w="634" w:type="pct"/>
            <w:shd w:val="clear" w:color="auto" w:fill="auto"/>
            <w:noWrap/>
            <w:vAlign w:val="center"/>
          </w:tcPr>
          <w:p w14:paraId="6FF6D85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0.6583</w:t>
            </w:r>
          </w:p>
        </w:tc>
      </w:tr>
      <w:tr w14:paraId="4FFBC7F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4B7D7E4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3.4 </w:t>
            </w:r>
          </w:p>
        </w:tc>
        <w:tc>
          <w:tcPr>
            <w:tcW w:w="590" w:type="pct"/>
            <w:shd w:val="clear" w:color="auto" w:fill="auto"/>
            <w:noWrap/>
            <w:vAlign w:val="center"/>
          </w:tcPr>
          <w:p w14:paraId="4ECA459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0.9492</w:t>
            </w:r>
          </w:p>
        </w:tc>
        <w:tc>
          <w:tcPr>
            <w:tcW w:w="673" w:type="pct"/>
            <w:shd w:val="clear" w:color="auto" w:fill="auto"/>
            <w:noWrap/>
            <w:vAlign w:val="center"/>
          </w:tcPr>
          <w:p w14:paraId="748CEC3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0.9399</w:t>
            </w:r>
          </w:p>
        </w:tc>
        <w:tc>
          <w:tcPr>
            <w:tcW w:w="673" w:type="pct"/>
            <w:shd w:val="clear" w:color="auto" w:fill="auto"/>
            <w:noWrap/>
            <w:vAlign w:val="center"/>
          </w:tcPr>
          <w:p w14:paraId="6CC6ED0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0.7959</w:t>
            </w:r>
          </w:p>
        </w:tc>
        <w:tc>
          <w:tcPr>
            <w:tcW w:w="634" w:type="pct"/>
            <w:shd w:val="clear" w:color="auto" w:fill="auto"/>
            <w:vAlign w:val="center"/>
          </w:tcPr>
          <w:p w14:paraId="2182006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7.9 </w:t>
            </w:r>
          </w:p>
        </w:tc>
        <w:tc>
          <w:tcPr>
            <w:tcW w:w="526" w:type="pct"/>
            <w:shd w:val="clear" w:color="auto" w:fill="auto"/>
            <w:noWrap/>
            <w:vAlign w:val="center"/>
          </w:tcPr>
          <w:p w14:paraId="40E0D94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0.8577</w:t>
            </w:r>
          </w:p>
        </w:tc>
        <w:tc>
          <w:tcPr>
            <w:tcW w:w="634" w:type="pct"/>
            <w:shd w:val="clear" w:color="auto" w:fill="auto"/>
            <w:noWrap/>
            <w:vAlign w:val="center"/>
          </w:tcPr>
          <w:p w14:paraId="440E978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0.827</w:t>
            </w:r>
          </w:p>
        </w:tc>
        <w:tc>
          <w:tcPr>
            <w:tcW w:w="634" w:type="pct"/>
            <w:shd w:val="clear" w:color="auto" w:fill="auto"/>
            <w:noWrap/>
            <w:vAlign w:val="center"/>
          </w:tcPr>
          <w:p w14:paraId="3591B3D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0.6559</w:t>
            </w:r>
          </w:p>
        </w:tc>
      </w:tr>
      <w:tr w14:paraId="368C4F5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62ACBBD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3.5 </w:t>
            </w:r>
          </w:p>
        </w:tc>
        <w:tc>
          <w:tcPr>
            <w:tcW w:w="590" w:type="pct"/>
            <w:shd w:val="clear" w:color="auto" w:fill="auto"/>
            <w:noWrap/>
            <w:vAlign w:val="center"/>
          </w:tcPr>
          <w:p w14:paraId="6CC111E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0.9454</w:t>
            </w:r>
          </w:p>
        </w:tc>
        <w:tc>
          <w:tcPr>
            <w:tcW w:w="673" w:type="pct"/>
            <w:shd w:val="clear" w:color="auto" w:fill="auto"/>
            <w:noWrap/>
            <w:vAlign w:val="center"/>
          </w:tcPr>
          <w:p w14:paraId="261AA92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0.9352</w:t>
            </w:r>
          </w:p>
        </w:tc>
        <w:tc>
          <w:tcPr>
            <w:tcW w:w="673" w:type="pct"/>
            <w:shd w:val="clear" w:color="auto" w:fill="auto"/>
            <w:noWrap/>
            <w:vAlign w:val="center"/>
          </w:tcPr>
          <w:p w14:paraId="407EA47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0.7906</w:t>
            </w:r>
          </w:p>
        </w:tc>
        <w:tc>
          <w:tcPr>
            <w:tcW w:w="634" w:type="pct"/>
            <w:shd w:val="clear" w:color="auto" w:fill="auto"/>
            <w:vAlign w:val="center"/>
          </w:tcPr>
          <w:p w14:paraId="6A938F0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8.0 </w:t>
            </w:r>
          </w:p>
        </w:tc>
        <w:tc>
          <w:tcPr>
            <w:tcW w:w="526" w:type="pct"/>
            <w:shd w:val="clear" w:color="auto" w:fill="auto"/>
            <w:noWrap/>
            <w:vAlign w:val="center"/>
          </w:tcPr>
          <w:p w14:paraId="2D03E74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0.8562</w:t>
            </w:r>
          </w:p>
        </w:tc>
        <w:tc>
          <w:tcPr>
            <w:tcW w:w="634" w:type="pct"/>
            <w:shd w:val="clear" w:color="auto" w:fill="auto"/>
            <w:noWrap/>
            <w:vAlign w:val="center"/>
          </w:tcPr>
          <w:p w14:paraId="7718F13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0.8251</w:t>
            </w:r>
          </w:p>
        </w:tc>
        <w:tc>
          <w:tcPr>
            <w:tcW w:w="634" w:type="pct"/>
            <w:shd w:val="clear" w:color="auto" w:fill="auto"/>
            <w:noWrap/>
            <w:vAlign w:val="center"/>
          </w:tcPr>
          <w:p w14:paraId="285B7EA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0.6535</w:t>
            </w:r>
          </w:p>
        </w:tc>
      </w:tr>
      <w:tr w14:paraId="7DDD79E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0F5A4E5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3.6 </w:t>
            </w:r>
          </w:p>
        </w:tc>
        <w:tc>
          <w:tcPr>
            <w:tcW w:w="590" w:type="pct"/>
            <w:shd w:val="clear" w:color="auto" w:fill="auto"/>
            <w:noWrap/>
            <w:vAlign w:val="center"/>
          </w:tcPr>
          <w:p w14:paraId="1CE8537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0.9418</w:t>
            </w:r>
          </w:p>
        </w:tc>
        <w:tc>
          <w:tcPr>
            <w:tcW w:w="673" w:type="pct"/>
            <w:shd w:val="clear" w:color="auto" w:fill="auto"/>
            <w:noWrap/>
            <w:vAlign w:val="center"/>
          </w:tcPr>
          <w:p w14:paraId="02CFDBD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0.9309</w:t>
            </w:r>
          </w:p>
        </w:tc>
        <w:tc>
          <w:tcPr>
            <w:tcW w:w="673" w:type="pct"/>
            <w:shd w:val="clear" w:color="auto" w:fill="auto"/>
            <w:noWrap/>
            <w:vAlign w:val="center"/>
          </w:tcPr>
          <w:p w14:paraId="728CC06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0.7857</w:t>
            </w:r>
          </w:p>
        </w:tc>
        <w:tc>
          <w:tcPr>
            <w:tcW w:w="634" w:type="pct"/>
            <w:shd w:val="clear" w:color="auto" w:fill="auto"/>
            <w:vAlign w:val="center"/>
          </w:tcPr>
          <w:p w14:paraId="7E69F77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8.1 </w:t>
            </w:r>
          </w:p>
        </w:tc>
        <w:tc>
          <w:tcPr>
            <w:tcW w:w="526" w:type="pct"/>
            <w:shd w:val="clear" w:color="auto" w:fill="auto"/>
            <w:noWrap/>
            <w:vAlign w:val="center"/>
          </w:tcPr>
          <w:p w14:paraId="65909EB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0.8547</w:t>
            </w:r>
          </w:p>
        </w:tc>
        <w:tc>
          <w:tcPr>
            <w:tcW w:w="634" w:type="pct"/>
            <w:shd w:val="clear" w:color="auto" w:fill="auto"/>
            <w:noWrap/>
            <w:vAlign w:val="center"/>
          </w:tcPr>
          <w:p w14:paraId="6714FDD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0.8233</w:t>
            </w:r>
          </w:p>
        </w:tc>
        <w:tc>
          <w:tcPr>
            <w:tcW w:w="634" w:type="pct"/>
            <w:shd w:val="clear" w:color="auto" w:fill="auto"/>
            <w:noWrap/>
            <w:vAlign w:val="center"/>
          </w:tcPr>
          <w:p w14:paraId="51A3958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0.6512</w:t>
            </w:r>
          </w:p>
        </w:tc>
      </w:tr>
      <w:tr w14:paraId="54295E8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61FE907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3.7 </w:t>
            </w:r>
          </w:p>
        </w:tc>
        <w:tc>
          <w:tcPr>
            <w:tcW w:w="590" w:type="pct"/>
            <w:shd w:val="clear" w:color="auto" w:fill="auto"/>
            <w:noWrap/>
            <w:vAlign w:val="center"/>
          </w:tcPr>
          <w:p w14:paraId="3E7CBA0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0.9384</w:t>
            </w:r>
          </w:p>
        </w:tc>
        <w:tc>
          <w:tcPr>
            <w:tcW w:w="673" w:type="pct"/>
            <w:shd w:val="clear" w:color="auto" w:fill="auto"/>
            <w:noWrap/>
            <w:vAlign w:val="center"/>
          </w:tcPr>
          <w:p w14:paraId="6961080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0.9269</w:t>
            </w:r>
          </w:p>
        </w:tc>
        <w:tc>
          <w:tcPr>
            <w:tcW w:w="673" w:type="pct"/>
            <w:shd w:val="clear" w:color="auto" w:fill="auto"/>
            <w:noWrap/>
            <w:vAlign w:val="center"/>
          </w:tcPr>
          <w:p w14:paraId="60D4029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0.7811</w:t>
            </w:r>
          </w:p>
        </w:tc>
        <w:tc>
          <w:tcPr>
            <w:tcW w:w="634" w:type="pct"/>
            <w:shd w:val="clear" w:color="auto" w:fill="auto"/>
            <w:vAlign w:val="center"/>
          </w:tcPr>
          <w:p w14:paraId="2F0EEFD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8.2 </w:t>
            </w:r>
          </w:p>
        </w:tc>
        <w:tc>
          <w:tcPr>
            <w:tcW w:w="526" w:type="pct"/>
            <w:shd w:val="clear" w:color="auto" w:fill="auto"/>
            <w:noWrap/>
            <w:vAlign w:val="center"/>
          </w:tcPr>
          <w:p w14:paraId="422FBA7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0.8533</w:t>
            </w:r>
          </w:p>
        </w:tc>
        <w:tc>
          <w:tcPr>
            <w:tcW w:w="634" w:type="pct"/>
            <w:shd w:val="clear" w:color="auto" w:fill="auto"/>
            <w:noWrap/>
            <w:vAlign w:val="center"/>
          </w:tcPr>
          <w:p w14:paraId="49CF341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0.8215</w:t>
            </w:r>
          </w:p>
        </w:tc>
        <w:tc>
          <w:tcPr>
            <w:tcW w:w="634" w:type="pct"/>
            <w:shd w:val="clear" w:color="auto" w:fill="auto"/>
            <w:noWrap/>
            <w:vAlign w:val="center"/>
          </w:tcPr>
          <w:p w14:paraId="4464803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0.6489</w:t>
            </w:r>
          </w:p>
        </w:tc>
      </w:tr>
      <w:tr w14:paraId="337C0A4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6573F02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3.8 </w:t>
            </w:r>
          </w:p>
        </w:tc>
        <w:tc>
          <w:tcPr>
            <w:tcW w:w="590" w:type="pct"/>
            <w:shd w:val="clear" w:color="auto" w:fill="auto"/>
            <w:noWrap/>
            <w:vAlign w:val="center"/>
          </w:tcPr>
          <w:p w14:paraId="1F9B3EA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0.9353</w:t>
            </w:r>
          </w:p>
        </w:tc>
        <w:tc>
          <w:tcPr>
            <w:tcW w:w="673" w:type="pct"/>
            <w:shd w:val="clear" w:color="auto" w:fill="auto"/>
            <w:noWrap/>
            <w:vAlign w:val="center"/>
          </w:tcPr>
          <w:p w14:paraId="652FF33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0.9231</w:t>
            </w:r>
          </w:p>
        </w:tc>
        <w:tc>
          <w:tcPr>
            <w:tcW w:w="673" w:type="pct"/>
            <w:shd w:val="clear" w:color="auto" w:fill="auto"/>
            <w:noWrap/>
            <w:vAlign w:val="center"/>
          </w:tcPr>
          <w:p w14:paraId="49F152B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0.7768</w:t>
            </w:r>
          </w:p>
        </w:tc>
        <w:tc>
          <w:tcPr>
            <w:tcW w:w="634" w:type="pct"/>
            <w:shd w:val="clear" w:color="auto" w:fill="auto"/>
            <w:vAlign w:val="center"/>
          </w:tcPr>
          <w:p w14:paraId="222EBC1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8.3 </w:t>
            </w:r>
          </w:p>
        </w:tc>
        <w:tc>
          <w:tcPr>
            <w:tcW w:w="526" w:type="pct"/>
            <w:shd w:val="clear" w:color="auto" w:fill="auto"/>
            <w:noWrap/>
            <w:vAlign w:val="center"/>
          </w:tcPr>
          <w:p w14:paraId="31C3E94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0.8519</w:t>
            </w:r>
          </w:p>
        </w:tc>
        <w:tc>
          <w:tcPr>
            <w:tcW w:w="634" w:type="pct"/>
            <w:shd w:val="clear" w:color="auto" w:fill="auto"/>
            <w:noWrap/>
            <w:vAlign w:val="center"/>
          </w:tcPr>
          <w:p w14:paraId="7AD2C53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0.8197</w:t>
            </w:r>
          </w:p>
        </w:tc>
        <w:tc>
          <w:tcPr>
            <w:tcW w:w="634" w:type="pct"/>
            <w:shd w:val="clear" w:color="auto" w:fill="auto"/>
            <w:noWrap/>
            <w:vAlign w:val="center"/>
          </w:tcPr>
          <w:p w14:paraId="42E5F86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0.6466</w:t>
            </w:r>
          </w:p>
        </w:tc>
      </w:tr>
      <w:tr w14:paraId="37A9972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171CE4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3.9 </w:t>
            </w:r>
          </w:p>
        </w:tc>
        <w:tc>
          <w:tcPr>
            <w:tcW w:w="590" w:type="pct"/>
            <w:shd w:val="clear" w:color="auto" w:fill="auto"/>
            <w:noWrap/>
            <w:vAlign w:val="center"/>
          </w:tcPr>
          <w:p w14:paraId="32D94E1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0.9324</w:t>
            </w:r>
          </w:p>
        </w:tc>
        <w:tc>
          <w:tcPr>
            <w:tcW w:w="673" w:type="pct"/>
            <w:shd w:val="clear" w:color="auto" w:fill="auto"/>
            <w:noWrap/>
            <w:vAlign w:val="center"/>
          </w:tcPr>
          <w:p w14:paraId="5174332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0.9196</w:t>
            </w:r>
          </w:p>
        </w:tc>
        <w:tc>
          <w:tcPr>
            <w:tcW w:w="673" w:type="pct"/>
            <w:shd w:val="clear" w:color="auto" w:fill="auto"/>
            <w:noWrap/>
            <w:vAlign w:val="center"/>
          </w:tcPr>
          <w:p w14:paraId="436BDF8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0.7727</w:t>
            </w:r>
          </w:p>
        </w:tc>
        <w:tc>
          <w:tcPr>
            <w:tcW w:w="634" w:type="pct"/>
            <w:shd w:val="clear" w:color="auto" w:fill="auto"/>
            <w:vAlign w:val="center"/>
          </w:tcPr>
          <w:p w14:paraId="7B32BEC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8.4 </w:t>
            </w:r>
          </w:p>
        </w:tc>
        <w:tc>
          <w:tcPr>
            <w:tcW w:w="526" w:type="pct"/>
            <w:shd w:val="clear" w:color="auto" w:fill="auto"/>
            <w:noWrap/>
            <w:vAlign w:val="center"/>
          </w:tcPr>
          <w:p w14:paraId="610D46C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0.8505</w:t>
            </w:r>
          </w:p>
        </w:tc>
        <w:tc>
          <w:tcPr>
            <w:tcW w:w="634" w:type="pct"/>
            <w:shd w:val="clear" w:color="auto" w:fill="auto"/>
            <w:noWrap/>
            <w:vAlign w:val="center"/>
          </w:tcPr>
          <w:p w14:paraId="26760F9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0.8179</w:t>
            </w:r>
          </w:p>
        </w:tc>
        <w:tc>
          <w:tcPr>
            <w:tcW w:w="634" w:type="pct"/>
            <w:shd w:val="clear" w:color="auto" w:fill="auto"/>
            <w:noWrap/>
            <w:vAlign w:val="center"/>
          </w:tcPr>
          <w:p w14:paraId="282465E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0.6443</w:t>
            </w:r>
          </w:p>
        </w:tc>
      </w:tr>
      <w:tr w14:paraId="390A2EC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74650D2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4.0 </w:t>
            </w:r>
          </w:p>
        </w:tc>
        <w:tc>
          <w:tcPr>
            <w:tcW w:w="590" w:type="pct"/>
            <w:shd w:val="clear" w:color="auto" w:fill="auto"/>
            <w:noWrap/>
            <w:vAlign w:val="center"/>
          </w:tcPr>
          <w:p w14:paraId="60ACBF2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0.9297</w:t>
            </w:r>
          </w:p>
        </w:tc>
        <w:tc>
          <w:tcPr>
            <w:tcW w:w="673" w:type="pct"/>
            <w:shd w:val="clear" w:color="auto" w:fill="auto"/>
            <w:noWrap/>
            <w:vAlign w:val="center"/>
          </w:tcPr>
          <w:p w14:paraId="3812C3F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0.9163</w:t>
            </w:r>
          </w:p>
        </w:tc>
        <w:tc>
          <w:tcPr>
            <w:tcW w:w="673" w:type="pct"/>
            <w:shd w:val="clear" w:color="auto" w:fill="auto"/>
            <w:noWrap/>
            <w:vAlign w:val="center"/>
          </w:tcPr>
          <w:p w14:paraId="1A6D754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0.7688</w:t>
            </w:r>
          </w:p>
        </w:tc>
        <w:tc>
          <w:tcPr>
            <w:tcW w:w="634" w:type="pct"/>
            <w:shd w:val="clear" w:color="auto" w:fill="auto"/>
            <w:vAlign w:val="center"/>
          </w:tcPr>
          <w:p w14:paraId="76DA1B8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8.5 </w:t>
            </w:r>
          </w:p>
        </w:tc>
        <w:tc>
          <w:tcPr>
            <w:tcW w:w="526" w:type="pct"/>
            <w:shd w:val="clear" w:color="auto" w:fill="auto"/>
            <w:noWrap/>
            <w:vAlign w:val="center"/>
          </w:tcPr>
          <w:p w14:paraId="04F06FE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0.8491</w:t>
            </w:r>
          </w:p>
        </w:tc>
        <w:tc>
          <w:tcPr>
            <w:tcW w:w="634" w:type="pct"/>
            <w:shd w:val="clear" w:color="auto" w:fill="auto"/>
            <w:noWrap/>
            <w:vAlign w:val="center"/>
          </w:tcPr>
          <w:p w14:paraId="3D57311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0.8161</w:t>
            </w:r>
          </w:p>
        </w:tc>
        <w:tc>
          <w:tcPr>
            <w:tcW w:w="634" w:type="pct"/>
            <w:shd w:val="clear" w:color="auto" w:fill="auto"/>
            <w:noWrap/>
            <w:vAlign w:val="center"/>
          </w:tcPr>
          <w:p w14:paraId="5D64E94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0.6421</w:t>
            </w:r>
          </w:p>
        </w:tc>
      </w:tr>
      <w:tr w14:paraId="62A4ED0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5A65E2A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4.1 </w:t>
            </w:r>
          </w:p>
        </w:tc>
        <w:tc>
          <w:tcPr>
            <w:tcW w:w="590" w:type="pct"/>
            <w:shd w:val="clear" w:color="auto" w:fill="auto"/>
            <w:noWrap/>
            <w:vAlign w:val="center"/>
          </w:tcPr>
          <w:p w14:paraId="5F1712A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0.9272</w:t>
            </w:r>
          </w:p>
        </w:tc>
        <w:tc>
          <w:tcPr>
            <w:tcW w:w="673" w:type="pct"/>
            <w:shd w:val="clear" w:color="auto" w:fill="auto"/>
            <w:noWrap/>
            <w:vAlign w:val="center"/>
          </w:tcPr>
          <w:p w14:paraId="5E4F307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0.9132</w:t>
            </w:r>
          </w:p>
        </w:tc>
        <w:tc>
          <w:tcPr>
            <w:tcW w:w="673" w:type="pct"/>
            <w:shd w:val="clear" w:color="auto" w:fill="auto"/>
            <w:noWrap/>
            <w:vAlign w:val="center"/>
          </w:tcPr>
          <w:p w14:paraId="48CCB4D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0.7651</w:t>
            </w:r>
          </w:p>
        </w:tc>
        <w:tc>
          <w:tcPr>
            <w:tcW w:w="634" w:type="pct"/>
            <w:shd w:val="clear" w:color="auto" w:fill="auto"/>
            <w:vAlign w:val="center"/>
          </w:tcPr>
          <w:p w14:paraId="348AD7D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8.6 </w:t>
            </w:r>
          </w:p>
        </w:tc>
        <w:tc>
          <w:tcPr>
            <w:tcW w:w="526" w:type="pct"/>
            <w:shd w:val="clear" w:color="auto" w:fill="auto"/>
            <w:noWrap/>
            <w:vAlign w:val="center"/>
          </w:tcPr>
          <w:p w14:paraId="60CED62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0.8477</w:t>
            </w:r>
          </w:p>
        </w:tc>
        <w:tc>
          <w:tcPr>
            <w:tcW w:w="634" w:type="pct"/>
            <w:shd w:val="clear" w:color="auto" w:fill="auto"/>
            <w:noWrap/>
            <w:vAlign w:val="center"/>
          </w:tcPr>
          <w:p w14:paraId="132A32B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0.8144</w:t>
            </w:r>
          </w:p>
        </w:tc>
        <w:tc>
          <w:tcPr>
            <w:tcW w:w="634" w:type="pct"/>
            <w:shd w:val="clear" w:color="auto" w:fill="auto"/>
            <w:noWrap/>
            <w:vAlign w:val="center"/>
          </w:tcPr>
          <w:p w14:paraId="20D7F29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0.6399</w:t>
            </w:r>
          </w:p>
        </w:tc>
      </w:tr>
      <w:tr w14:paraId="7647705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9C6C4C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4.2 </w:t>
            </w:r>
          </w:p>
        </w:tc>
        <w:tc>
          <w:tcPr>
            <w:tcW w:w="590" w:type="pct"/>
            <w:shd w:val="clear" w:color="auto" w:fill="auto"/>
            <w:noWrap/>
            <w:vAlign w:val="center"/>
          </w:tcPr>
          <w:p w14:paraId="585C1D5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0.9248</w:t>
            </w:r>
          </w:p>
        </w:tc>
        <w:tc>
          <w:tcPr>
            <w:tcW w:w="673" w:type="pct"/>
            <w:shd w:val="clear" w:color="auto" w:fill="auto"/>
            <w:noWrap/>
            <w:vAlign w:val="center"/>
          </w:tcPr>
          <w:p w14:paraId="08031DB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0.9102</w:t>
            </w:r>
          </w:p>
        </w:tc>
        <w:tc>
          <w:tcPr>
            <w:tcW w:w="673" w:type="pct"/>
            <w:shd w:val="clear" w:color="auto" w:fill="auto"/>
            <w:noWrap/>
            <w:vAlign w:val="center"/>
          </w:tcPr>
          <w:p w14:paraId="73DDE18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0.7615</w:t>
            </w:r>
          </w:p>
        </w:tc>
        <w:tc>
          <w:tcPr>
            <w:tcW w:w="634" w:type="pct"/>
            <w:shd w:val="clear" w:color="auto" w:fill="auto"/>
            <w:vAlign w:val="center"/>
          </w:tcPr>
          <w:p w14:paraId="7422556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8.7 </w:t>
            </w:r>
          </w:p>
        </w:tc>
        <w:tc>
          <w:tcPr>
            <w:tcW w:w="526" w:type="pct"/>
            <w:shd w:val="clear" w:color="auto" w:fill="auto"/>
            <w:noWrap/>
            <w:vAlign w:val="center"/>
          </w:tcPr>
          <w:p w14:paraId="6146AA2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0.8463</w:t>
            </w:r>
          </w:p>
        </w:tc>
        <w:tc>
          <w:tcPr>
            <w:tcW w:w="634" w:type="pct"/>
            <w:shd w:val="clear" w:color="auto" w:fill="auto"/>
            <w:noWrap/>
            <w:vAlign w:val="center"/>
          </w:tcPr>
          <w:p w14:paraId="29C4E94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0.8127</w:t>
            </w:r>
          </w:p>
        </w:tc>
        <w:tc>
          <w:tcPr>
            <w:tcW w:w="634" w:type="pct"/>
            <w:shd w:val="clear" w:color="auto" w:fill="auto"/>
            <w:noWrap/>
            <w:vAlign w:val="center"/>
          </w:tcPr>
          <w:p w14:paraId="0454B92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0.6377</w:t>
            </w:r>
          </w:p>
        </w:tc>
      </w:tr>
      <w:tr w14:paraId="7FF4D69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4C8D7D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4.3 </w:t>
            </w:r>
          </w:p>
        </w:tc>
        <w:tc>
          <w:tcPr>
            <w:tcW w:w="590" w:type="pct"/>
            <w:shd w:val="clear" w:color="auto" w:fill="auto"/>
            <w:noWrap/>
            <w:vAlign w:val="center"/>
          </w:tcPr>
          <w:p w14:paraId="1A41756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0.9225</w:t>
            </w:r>
          </w:p>
        </w:tc>
        <w:tc>
          <w:tcPr>
            <w:tcW w:w="673" w:type="pct"/>
            <w:shd w:val="clear" w:color="auto" w:fill="auto"/>
            <w:noWrap/>
            <w:vAlign w:val="center"/>
          </w:tcPr>
          <w:p w14:paraId="4E20B69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0.9073</w:t>
            </w:r>
          </w:p>
        </w:tc>
        <w:tc>
          <w:tcPr>
            <w:tcW w:w="673" w:type="pct"/>
            <w:shd w:val="clear" w:color="auto" w:fill="auto"/>
            <w:noWrap/>
            <w:vAlign w:val="center"/>
          </w:tcPr>
          <w:p w14:paraId="60C23C6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0.758</w:t>
            </w:r>
          </w:p>
        </w:tc>
        <w:tc>
          <w:tcPr>
            <w:tcW w:w="634" w:type="pct"/>
            <w:shd w:val="clear" w:color="auto" w:fill="auto"/>
            <w:vAlign w:val="center"/>
          </w:tcPr>
          <w:p w14:paraId="68502F4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8.8 </w:t>
            </w:r>
          </w:p>
        </w:tc>
        <w:tc>
          <w:tcPr>
            <w:tcW w:w="526" w:type="pct"/>
            <w:shd w:val="clear" w:color="auto" w:fill="auto"/>
            <w:noWrap/>
            <w:vAlign w:val="center"/>
          </w:tcPr>
          <w:p w14:paraId="03790D2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0.8449</w:t>
            </w:r>
          </w:p>
        </w:tc>
        <w:tc>
          <w:tcPr>
            <w:tcW w:w="634" w:type="pct"/>
            <w:shd w:val="clear" w:color="auto" w:fill="auto"/>
            <w:noWrap/>
            <w:vAlign w:val="center"/>
          </w:tcPr>
          <w:p w14:paraId="48DE89E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0.811</w:t>
            </w:r>
          </w:p>
        </w:tc>
        <w:tc>
          <w:tcPr>
            <w:tcW w:w="634" w:type="pct"/>
            <w:shd w:val="clear" w:color="auto" w:fill="auto"/>
            <w:noWrap/>
            <w:vAlign w:val="center"/>
          </w:tcPr>
          <w:p w14:paraId="2200123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0.6355</w:t>
            </w:r>
          </w:p>
        </w:tc>
      </w:tr>
      <w:tr w14:paraId="2648D15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0C43F03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4.4 </w:t>
            </w:r>
          </w:p>
        </w:tc>
        <w:tc>
          <w:tcPr>
            <w:tcW w:w="590" w:type="pct"/>
            <w:shd w:val="clear" w:color="auto" w:fill="auto"/>
            <w:noWrap/>
            <w:vAlign w:val="center"/>
          </w:tcPr>
          <w:p w14:paraId="5168A73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0.9203</w:t>
            </w:r>
          </w:p>
        </w:tc>
        <w:tc>
          <w:tcPr>
            <w:tcW w:w="673" w:type="pct"/>
            <w:shd w:val="clear" w:color="auto" w:fill="auto"/>
            <w:noWrap/>
            <w:vAlign w:val="center"/>
          </w:tcPr>
          <w:p w14:paraId="48739FA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0.9045</w:t>
            </w:r>
          </w:p>
        </w:tc>
        <w:tc>
          <w:tcPr>
            <w:tcW w:w="673" w:type="pct"/>
            <w:shd w:val="clear" w:color="auto" w:fill="auto"/>
            <w:noWrap/>
            <w:vAlign w:val="center"/>
          </w:tcPr>
          <w:p w14:paraId="3DA61CB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0.7546</w:t>
            </w:r>
          </w:p>
        </w:tc>
        <w:tc>
          <w:tcPr>
            <w:tcW w:w="634" w:type="pct"/>
            <w:shd w:val="clear" w:color="auto" w:fill="auto"/>
            <w:vAlign w:val="center"/>
          </w:tcPr>
          <w:p w14:paraId="629814A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8.9 </w:t>
            </w:r>
          </w:p>
        </w:tc>
        <w:tc>
          <w:tcPr>
            <w:tcW w:w="526" w:type="pct"/>
            <w:shd w:val="clear" w:color="auto" w:fill="auto"/>
            <w:noWrap/>
            <w:vAlign w:val="center"/>
          </w:tcPr>
          <w:p w14:paraId="38F27D5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0.8436</w:t>
            </w:r>
          </w:p>
        </w:tc>
        <w:tc>
          <w:tcPr>
            <w:tcW w:w="634" w:type="pct"/>
            <w:shd w:val="clear" w:color="auto" w:fill="auto"/>
            <w:noWrap/>
            <w:vAlign w:val="center"/>
          </w:tcPr>
          <w:p w14:paraId="59FE122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0.8093</w:t>
            </w:r>
          </w:p>
        </w:tc>
        <w:tc>
          <w:tcPr>
            <w:tcW w:w="634" w:type="pct"/>
            <w:shd w:val="clear" w:color="auto" w:fill="auto"/>
            <w:noWrap/>
            <w:vAlign w:val="center"/>
          </w:tcPr>
          <w:p w14:paraId="5E9B959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0.6334</w:t>
            </w:r>
          </w:p>
        </w:tc>
      </w:tr>
      <w:tr w14:paraId="78197F4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BF5897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4.5 </w:t>
            </w:r>
          </w:p>
        </w:tc>
        <w:tc>
          <w:tcPr>
            <w:tcW w:w="590" w:type="pct"/>
            <w:shd w:val="clear" w:color="auto" w:fill="auto"/>
            <w:noWrap/>
            <w:vAlign w:val="center"/>
          </w:tcPr>
          <w:p w14:paraId="7E36793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0.9181</w:t>
            </w:r>
          </w:p>
        </w:tc>
        <w:tc>
          <w:tcPr>
            <w:tcW w:w="673" w:type="pct"/>
            <w:shd w:val="clear" w:color="auto" w:fill="auto"/>
            <w:noWrap/>
            <w:vAlign w:val="center"/>
          </w:tcPr>
          <w:p w14:paraId="7A8E84C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0.9018</w:t>
            </w:r>
          </w:p>
        </w:tc>
        <w:tc>
          <w:tcPr>
            <w:tcW w:w="673" w:type="pct"/>
            <w:shd w:val="clear" w:color="auto" w:fill="auto"/>
            <w:noWrap/>
            <w:vAlign w:val="center"/>
          </w:tcPr>
          <w:p w14:paraId="63D9027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0.7513</w:t>
            </w:r>
          </w:p>
        </w:tc>
        <w:tc>
          <w:tcPr>
            <w:tcW w:w="634" w:type="pct"/>
            <w:shd w:val="clear" w:color="auto" w:fill="auto"/>
            <w:vAlign w:val="center"/>
          </w:tcPr>
          <w:p w14:paraId="0FA88C9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9.0 </w:t>
            </w:r>
          </w:p>
        </w:tc>
        <w:tc>
          <w:tcPr>
            <w:tcW w:w="526" w:type="pct"/>
            <w:shd w:val="clear" w:color="auto" w:fill="auto"/>
            <w:noWrap/>
            <w:vAlign w:val="center"/>
          </w:tcPr>
          <w:p w14:paraId="09D67C3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0.8423</w:t>
            </w:r>
          </w:p>
        </w:tc>
        <w:tc>
          <w:tcPr>
            <w:tcW w:w="634" w:type="pct"/>
            <w:shd w:val="clear" w:color="auto" w:fill="auto"/>
            <w:noWrap/>
            <w:vAlign w:val="center"/>
          </w:tcPr>
          <w:p w14:paraId="579A00A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0.8076</w:t>
            </w:r>
          </w:p>
        </w:tc>
        <w:tc>
          <w:tcPr>
            <w:tcW w:w="634" w:type="pct"/>
            <w:shd w:val="clear" w:color="auto" w:fill="auto"/>
            <w:noWrap/>
            <w:vAlign w:val="center"/>
          </w:tcPr>
          <w:p w14:paraId="66164CB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0.6313</w:t>
            </w:r>
          </w:p>
        </w:tc>
      </w:tr>
      <w:tr w14:paraId="19DF9E3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20B5C8A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4.6 </w:t>
            </w:r>
          </w:p>
        </w:tc>
        <w:tc>
          <w:tcPr>
            <w:tcW w:w="590" w:type="pct"/>
            <w:shd w:val="clear" w:color="auto" w:fill="auto"/>
            <w:noWrap/>
            <w:vAlign w:val="center"/>
          </w:tcPr>
          <w:p w14:paraId="728BCB6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0.916</w:t>
            </w:r>
          </w:p>
        </w:tc>
        <w:tc>
          <w:tcPr>
            <w:tcW w:w="673" w:type="pct"/>
            <w:shd w:val="clear" w:color="auto" w:fill="auto"/>
            <w:noWrap/>
            <w:vAlign w:val="center"/>
          </w:tcPr>
          <w:p w14:paraId="02515CB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0.8992</w:t>
            </w:r>
          </w:p>
        </w:tc>
        <w:tc>
          <w:tcPr>
            <w:tcW w:w="673" w:type="pct"/>
            <w:shd w:val="clear" w:color="auto" w:fill="auto"/>
            <w:noWrap/>
            <w:vAlign w:val="center"/>
          </w:tcPr>
          <w:p w14:paraId="583DC65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0.748</w:t>
            </w:r>
          </w:p>
        </w:tc>
        <w:tc>
          <w:tcPr>
            <w:tcW w:w="634" w:type="pct"/>
            <w:shd w:val="clear" w:color="auto" w:fill="auto"/>
            <w:vAlign w:val="center"/>
          </w:tcPr>
          <w:p w14:paraId="2E87FA5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9.1 </w:t>
            </w:r>
          </w:p>
        </w:tc>
        <w:tc>
          <w:tcPr>
            <w:tcW w:w="526" w:type="pct"/>
            <w:shd w:val="clear" w:color="auto" w:fill="auto"/>
            <w:noWrap/>
            <w:vAlign w:val="center"/>
          </w:tcPr>
          <w:p w14:paraId="3A7E55D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0.841</w:t>
            </w:r>
          </w:p>
        </w:tc>
        <w:tc>
          <w:tcPr>
            <w:tcW w:w="634" w:type="pct"/>
            <w:shd w:val="clear" w:color="auto" w:fill="auto"/>
            <w:noWrap/>
            <w:vAlign w:val="center"/>
          </w:tcPr>
          <w:p w14:paraId="488D913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0.806</w:t>
            </w:r>
          </w:p>
        </w:tc>
        <w:tc>
          <w:tcPr>
            <w:tcW w:w="634" w:type="pct"/>
            <w:shd w:val="clear" w:color="auto" w:fill="auto"/>
            <w:noWrap/>
            <w:vAlign w:val="center"/>
          </w:tcPr>
          <w:p w14:paraId="6B24E54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0.6292</w:t>
            </w:r>
          </w:p>
        </w:tc>
      </w:tr>
      <w:tr w14:paraId="563F5AC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A714B8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4.7 </w:t>
            </w:r>
          </w:p>
        </w:tc>
        <w:tc>
          <w:tcPr>
            <w:tcW w:w="590" w:type="pct"/>
            <w:shd w:val="clear" w:color="auto" w:fill="auto"/>
            <w:noWrap/>
            <w:vAlign w:val="center"/>
          </w:tcPr>
          <w:p w14:paraId="1F48E03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0.9139</w:t>
            </w:r>
          </w:p>
        </w:tc>
        <w:tc>
          <w:tcPr>
            <w:tcW w:w="673" w:type="pct"/>
            <w:shd w:val="clear" w:color="auto" w:fill="auto"/>
            <w:noWrap/>
            <w:vAlign w:val="center"/>
          </w:tcPr>
          <w:p w14:paraId="22E65CB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0.8966</w:t>
            </w:r>
          </w:p>
        </w:tc>
        <w:tc>
          <w:tcPr>
            <w:tcW w:w="673" w:type="pct"/>
            <w:shd w:val="clear" w:color="auto" w:fill="auto"/>
            <w:noWrap/>
            <w:vAlign w:val="center"/>
          </w:tcPr>
          <w:p w14:paraId="258CA39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0.7448</w:t>
            </w:r>
          </w:p>
        </w:tc>
        <w:tc>
          <w:tcPr>
            <w:tcW w:w="634" w:type="pct"/>
            <w:shd w:val="clear" w:color="auto" w:fill="auto"/>
            <w:vAlign w:val="center"/>
          </w:tcPr>
          <w:p w14:paraId="4E381D8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9.2 </w:t>
            </w:r>
          </w:p>
        </w:tc>
        <w:tc>
          <w:tcPr>
            <w:tcW w:w="526" w:type="pct"/>
            <w:shd w:val="clear" w:color="auto" w:fill="auto"/>
            <w:noWrap/>
            <w:vAlign w:val="center"/>
          </w:tcPr>
          <w:p w14:paraId="580F139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0.8397</w:t>
            </w:r>
          </w:p>
        </w:tc>
        <w:tc>
          <w:tcPr>
            <w:tcW w:w="634" w:type="pct"/>
            <w:shd w:val="clear" w:color="auto" w:fill="auto"/>
            <w:noWrap/>
            <w:vAlign w:val="center"/>
          </w:tcPr>
          <w:p w14:paraId="44249A1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0.8044</w:t>
            </w:r>
          </w:p>
        </w:tc>
        <w:tc>
          <w:tcPr>
            <w:tcW w:w="634" w:type="pct"/>
            <w:shd w:val="clear" w:color="auto" w:fill="auto"/>
            <w:noWrap/>
            <w:vAlign w:val="center"/>
          </w:tcPr>
          <w:p w14:paraId="0D128D8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0.6271</w:t>
            </w:r>
          </w:p>
        </w:tc>
      </w:tr>
      <w:tr w14:paraId="38E8699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7E2749C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4.8 </w:t>
            </w:r>
          </w:p>
        </w:tc>
        <w:tc>
          <w:tcPr>
            <w:tcW w:w="590" w:type="pct"/>
            <w:shd w:val="clear" w:color="auto" w:fill="auto"/>
            <w:noWrap/>
            <w:vAlign w:val="center"/>
          </w:tcPr>
          <w:p w14:paraId="50D0960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0.9118</w:t>
            </w:r>
          </w:p>
        </w:tc>
        <w:tc>
          <w:tcPr>
            <w:tcW w:w="673" w:type="pct"/>
            <w:shd w:val="clear" w:color="auto" w:fill="auto"/>
            <w:noWrap/>
            <w:vAlign w:val="center"/>
          </w:tcPr>
          <w:p w14:paraId="4672FB5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0.8941</w:t>
            </w:r>
          </w:p>
        </w:tc>
        <w:tc>
          <w:tcPr>
            <w:tcW w:w="673" w:type="pct"/>
            <w:shd w:val="clear" w:color="auto" w:fill="auto"/>
            <w:noWrap/>
            <w:vAlign w:val="center"/>
          </w:tcPr>
          <w:p w14:paraId="5DCBF8A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0.7416</w:t>
            </w:r>
          </w:p>
        </w:tc>
        <w:tc>
          <w:tcPr>
            <w:tcW w:w="634" w:type="pct"/>
            <w:shd w:val="clear" w:color="auto" w:fill="auto"/>
            <w:vAlign w:val="center"/>
          </w:tcPr>
          <w:p w14:paraId="60BEA49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9.3 </w:t>
            </w:r>
          </w:p>
        </w:tc>
        <w:tc>
          <w:tcPr>
            <w:tcW w:w="526" w:type="pct"/>
            <w:shd w:val="clear" w:color="auto" w:fill="auto"/>
            <w:noWrap/>
            <w:vAlign w:val="center"/>
          </w:tcPr>
          <w:p w14:paraId="3DA01A2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0.8384</w:t>
            </w:r>
          </w:p>
        </w:tc>
        <w:tc>
          <w:tcPr>
            <w:tcW w:w="634" w:type="pct"/>
            <w:shd w:val="clear" w:color="auto" w:fill="auto"/>
            <w:noWrap/>
            <w:vAlign w:val="center"/>
          </w:tcPr>
          <w:p w14:paraId="4C174F0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0.8028</w:t>
            </w:r>
          </w:p>
        </w:tc>
        <w:tc>
          <w:tcPr>
            <w:tcW w:w="634" w:type="pct"/>
            <w:shd w:val="clear" w:color="auto" w:fill="auto"/>
            <w:noWrap/>
            <w:vAlign w:val="center"/>
          </w:tcPr>
          <w:p w14:paraId="0E73810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0.6251</w:t>
            </w:r>
          </w:p>
        </w:tc>
      </w:tr>
      <w:tr w14:paraId="27CD119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665150F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4.9 </w:t>
            </w:r>
          </w:p>
        </w:tc>
        <w:tc>
          <w:tcPr>
            <w:tcW w:w="590" w:type="pct"/>
            <w:shd w:val="clear" w:color="auto" w:fill="auto"/>
            <w:noWrap/>
            <w:vAlign w:val="center"/>
          </w:tcPr>
          <w:p w14:paraId="38D6B4C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0.9098</w:t>
            </w:r>
          </w:p>
        </w:tc>
        <w:tc>
          <w:tcPr>
            <w:tcW w:w="673" w:type="pct"/>
            <w:shd w:val="clear" w:color="auto" w:fill="auto"/>
            <w:noWrap/>
            <w:vAlign w:val="center"/>
          </w:tcPr>
          <w:p w14:paraId="7BB6E15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0.8916</w:t>
            </w:r>
          </w:p>
        </w:tc>
        <w:tc>
          <w:tcPr>
            <w:tcW w:w="673" w:type="pct"/>
            <w:shd w:val="clear" w:color="auto" w:fill="auto"/>
            <w:noWrap/>
            <w:vAlign w:val="center"/>
          </w:tcPr>
          <w:p w14:paraId="57CCA22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0.7384</w:t>
            </w:r>
          </w:p>
        </w:tc>
        <w:tc>
          <w:tcPr>
            <w:tcW w:w="634" w:type="pct"/>
            <w:shd w:val="clear" w:color="auto" w:fill="auto"/>
            <w:vAlign w:val="center"/>
          </w:tcPr>
          <w:p w14:paraId="721123C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9.4 </w:t>
            </w:r>
          </w:p>
        </w:tc>
        <w:tc>
          <w:tcPr>
            <w:tcW w:w="526" w:type="pct"/>
            <w:shd w:val="clear" w:color="auto" w:fill="auto"/>
            <w:noWrap/>
            <w:vAlign w:val="center"/>
          </w:tcPr>
          <w:p w14:paraId="5290B53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0.8371</w:t>
            </w:r>
          </w:p>
        </w:tc>
        <w:tc>
          <w:tcPr>
            <w:tcW w:w="634" w:type="pct"/>
            <w:shd w:val="clear" w:color="auto" w:fill="auto"/>
            <w:noWrap/>
            <w:vAlign w:val="center"/>
          </w:tcPr>
          <w:p w14:paraId="3A240FB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0.8012</w:t>
            </w:r>
          </w:p>
        </w:tc>
        <w:tc>
          <w:tcPr>
            <w:tcW w:w="634" w:type="pct"/>
            <w:shd w:val="clear" w:color="auto" w:fill="auto"/>
            <w:noWrap/>
            <w:vAlign w:val="center"/>
          </w:tcPr>
          <w:p w14:paraId="79618CE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0.6231</w:t>
            </w:r>
          </w:p>
        </w:tc>
      </w:tr>
      <w:tr w14:paraId="4A41F8A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7A05604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5.0</w:t>
            </w:r>
          </w:p>
        </w:tc>
        <w:tc>
          <w:tcPr>
            <w:tcW w:w="590" w:type="pct"/>
            <w:shd w:val="clear" w:color="auto" w:fill="auto"/>
            <w:noWrap/>
            <w:vAlign w:val="center"/>
          </w:tcPr>
          <w:p w14:paraId="13FCD0A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0.9078</w:t>
            </w:r>
          </w:p>
        </w:tc>
        <w:tc>
          <w:tcPr>
            <w:tcW w:w="673" w:type="pct"/>
            <w:shd w:val="clear" w:color="auto" w:fill="auto"/>
            <w:noWrap/>
            <w:vAlign w:val="center"/>
          </w:tcPr>
          <w:p w14:paraId="1D32918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0.8891</w:t>
            </w:r>
          </w:p>
        </w:tc>
        <w:tc>
          <w:tcPr>
            <w:tcW w:w="673" w:type="pct"/>
            <w:shd w:val="clear" w:color="auto" w:fill="auto"/>
            <w:noWrap/>
            <w:vAlign w:val="center"/>
          </w:tcPr>
          <w:p w14:paraId="52D5381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0.7353</w:t>
            </w:r>
          </w:p>
        </w:tc>
        <w:tc>
          <w:tcPr>
            <w:tcW w:w="634" w:type="pct"/>
            <w:shd w:val="clear" w:color="auto" w:fill="auto"/>
            <w:vAlign w:val="center"/>
          </w:tcPr>
          <w:p w14:paraId="7659D35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9.5 </w:t>
            </w:r>
          </w:p>
        </w:tc>
        <w:tc>
          <w:tcPr>
            <w:tcW w:w="526" w:type="pct"/>
            <w:shd w:val="clear" w:color="auto" w:fill="auto"/>
            <w:noWrap/>
            <w:vAlign w:val="center"/>
          </w:tcPr>
          <w:p w14:paraId="0C55583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0.8358</w:t>
            </w:r>
          </w:p>
        </w:tc>
        <w:tc>
          <w:tcPr>
            <w:tcW w:w="634" w:type="pct"/>
            <w:shd w:val="clear" w:color="auto" w:fill="auto"/>
            <w:noWrap/>
            <w:vAlign w:val="center"/>
          </w:tcPr>
          <w:p w14:paraId="36714EF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0.7996</w:t>
            </w:r>
          </w:p>
        </w:tc>
        <w:tc>
          <w:tcPr>
            <w:tcW w:w="634" w:type="pct"/>
            <w:shd w:val="clear" w:color="auto" w:fill="auto"/>
            <w:noWrap/>
            <w:vAlign w:val="center"/>
          </w:tcPr>
          <w:p w14:paraId="55B3BBE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0.6211</w:t>
            </w:r>
          </w:p>
        </w:tc>
      </w:tr>
      <w:tr w14:paraId="08C0F74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4E593E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5.1 </w:t>
            </w:r>
          </w:p>
        </w:tc>
        <w:tc>
          <w:tcPr>
            <w:tcW w:w="590" w:type="pct"/>
            <w:shd w:val="clear" w:color="auto" w:fill="auto"/>
            <w:noWrap/>
            <w:vAlign w:val="center"/>
          </w:tcPr>
          <w:p w14:paraId="0152AC8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0.9058</w:t>
            </w:r>
          </w:p>
        </w:tc>
        <w:tc>
          <w:tcPr>
            <w:tcW w:w="673" w:type="pct"/>
            <w:shd w:val="clear" w:color="auto" w:fill="auto"/>
            <w:noWrap/>
            <w:vAlign w:val="center"/>
          </w:tcPr>
          <w:p w14:paraId="184415A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0.8867</w:t>
            </w:r>
          </w:p>
        </w:tc>
        <w:tc>
          <w:tcPr>
            <w:tcW w:w="673" w:type="pct"/>
            <w:shd w:val="clear" w:color="auto" w:fill="auto"/>
            <w:noWrap/>
            <w:vAlign w:val="center"/>
          </w:tcPr>
          <w:p w14:paraId="420FCBE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0.7322</w:t>
            </w:r>
          </w:p>
        </w:tc>
        <w:tc>
          <w:tcPr>
            <w:tcW w:w="634" w:type="pct"/>
            <w:shd w:val="clear" w:color="auto" w:fill="auto"/>
            <w:vAlign w:val="center"/>
          </w:tcPr>
          <w:p w14:paraId="3551F22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9.6 </w:t>
            </w:r>
          </w:p>
        </w:tc>
        <w:tc>
          <w:tcPr>
            <w:tcW w:w="526" w:type="pct"/>
            <w:shd w:val="clear" w:color="auto" w:fill="auto"/>
            <w:noWrap/>
            <w:vAlign w:val="center"/>
          </w:tcPr>
          <w:p w14:paraId="21D3F81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0.8346</w:t>
            </w:r>
          </w:p>
        </w:tc>
        <w:tc>
          <w:tcPr>
            <w:tcW w:w="634" w:type="pct"/>
            <w:shd w:val="clear" w:color="auto" w:fill="auto"/>
            <w:noWrap/>
            <w:vAlign w:val="center"/>
          </w:tcPr>
          <w:p w14:paraId="729822B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0.798</w:t>
            </w:r>
          </w:p>
        </w:tc>
        <w:tc>
          <w:tcPr>
            <w:tcW w:w="634" w:type="pct"/>
            <w:shd w:val="clear" w:color="auto" w:fill="auto"/>
            <w:noWrap/>
            <w:vAlign w:val="center"/>
          </w:tcPr>
          <w:p w14:paraId="363890B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0.6191</w:t>
            </w:r>
          </w:p>
        </w:tc>
      </w:tr>
      <w:tr w14:paraId="461FB8B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19B3DCF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5.2 </w:t>
            </w:r>
          </w:p>
        </w:tc>
        <w:tc>
          <w:tcPr>
            <w:tcW w:w="590" w:type="pct"/>
            <w:shd w:val="clear" w:color="auto" w:fill="auto"/>
            <w:noWrap/>
            <w:vAlign w:val="center"/>
          </w:tcPr>
          <w:p w14:paraId="2C819A3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0.9038</w:t>
            </w:r>
          </w:p>
        </w:tc>
        <w:tc>
          <w:tcPr>
            <w:tcW w:w="673" w:type="pct"/>
            <w:shd w:val="clear" w:color="auto" w:fill="auto"/>
            <w:noWrap/>
            <w:vAlign w:val="center"/>
          </w:tcPr>
          <w:p w14:paraId="6F7A905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0.8843</w:t>
            </w:r>
          </w:p>
        </w:tc>
        <w:tc>
          <w:tcPr>
            <w:tcW w:w="673" w:type="pct"/>
            <w:shd w:val="clear" w:color="auto" w:fill="auto"/>
            <w:noWrap/>
            <w:vAlign w:val="center"/>
          </w:tcPr>
          <w:p w14:paraId="624A5D7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0.7291</w:t>
            </w:r>
          </w:p>
        </w:tc>
        <w:tc>
          <w:tcPr>
            <w:tcW w:w="634" w:type="pct"/>
            <w:shd w:val="clear" w:color="auto" w:fill="auto"/>
            <w:vAlign w:val="center"/>
          </w:tcPr>
          <w:p w14:paraId="155A72F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9.7 </w:t>
            </w:r>
          </w:p>
        </w:tc>
        <w:tc>
          <w:tcPr>
            <w:tcW w:w="526" w:type="pct"/>
            <w:shd w:val="clear" w:color="auto" w:fill="auto"/>
            <w:noWrap/>
            <w:vAlign w:val="center"/>
          </w:tcPr>
          <w:p w14:paraId="5431E25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0.8334</w:t>
            </w:r>
          </w:p>
        </w:tc>
        <w:tc>
          <w:tcPr>
            <w:tcW w:w="634" w:type="pct"/>
            <w:shd w:val="clear" w:color="auto" w:fill="auto"/>
            <w:noWrap/>
            <w:vAlign w:val="center"/>
          </w:tcPr>
          <w:p w14:paraId="594278E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0.7965</w:t>
            </w:r>
          </w:p>
        </w:tc>
        <w:tc>
          <w:tcPr>
            <w:tcW w:w="634" w:type="pct"/>
            <w:shd w:val="clear" w:color="auto" w:fill="auto"/>
            <w:noWrap/>
            <w:vAlign w:val="center"/>
          </w:tcPr>
          <w:p w14:paraId="69525A6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0.6172</w:t>
            </w:r>
          </w:p>
        </w:tc>
      </w:tr>
      <w:tr w14:paraId="5C2D464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0C9E700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5.3 </w:t>
            </w:r>
          </w:p>
        </w:tc>
        <w:tc>
          <w:tcPr>
            <w:tcW w:w="590" w:type="pct"/>
            <w:shd w:val="clear" w:color="auto" w:fill="auto"/>
            <w:noWrap/>
            <w:vAlign w:val="center"/>
          </w:tcPr>
          <w:p w14:paraId="420108E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0.9019</w:t>
            </w:r>
          </w:p>
        </w:tc>
        <w:tc>
          <w:tcPr>
            <w:tcW w:w="673" w:type="pct"/>
            <w:shd w:val="clear" w:color="auto" w:fill="auto"/>
            <w:noWrap/>
            <w:vAlign w:val="center"/>
          </w:tcPr>
          <w:p w14:paraId="28CFD93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0.8819</w:t>
            </w:r>
          </w:p>
        </w:tc>
        <w:tc>
          <w:tcPr>
            <w:tcW w:w="673" w:type="pct"/>
            <w:shd w:val="clear" w:color="auto" w:fill="auto"/>
            <w:noWrap/>
            <w:vAlign w:val="center"/>
          </w:tcPr>
          <w:p w14:paraId="49B588B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0.7261</w:t>
            </w:r>
          </w:p>
        </w:tc>
        <w:tc>
          <w:tcPr>
            <w:tcW w:w="634" w:type="pct"/>
            <w:shd w:val="clear" w:color="auto" w:fill="auto"/>
            <w:vAlign w:val="center"/>
          </w:tcPr>
          <w:p w14:paraId="2FAE6CA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9.8 </w:t>
            </w:r>
          </w:p>
        </w:tc>
        <w:tc>
          <w:tcPr>
            <w:tcW w:w="526" w:type="pct"/>
            <w:shd w:val="clear" w:color="auto" w:fill="auto"/>
            <w:noWrap/>
            <w:vAlign w:val="center"/>
          </w:tcPr>
          <w:p w14:paraId="17D2E73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0.8322</w:t>
            </w:r>
          </w:p>
        </w:tc>
        <w:tc>
          <w:tcPr>
            <w:tcW w:w="634" w:type="pct"/>
            <w:shd w:val="clear" w:color="auto" w:fill="auto"/>
            <w:noWrap/>
            <w:vAlign w:val="center"/>
          </w:tcPr>
          <w:p w14:paraId="785EEC3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0.795</w:t>
            </w:r>
          </w:p>
        </w:tc>
        <w:tc>
          <w:tcPr>
            <w:tcW w:w="634" w:type="pct"/>
            <w:shd w:val="clear" w:color="auto" w:fill="auto"/>
            <w:noWrap/>
            <w:vAlign w:val="center"/>
          </w:tcPr>
          <w:p w14:paraId="41BA316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0.6153</w:t>
            </w:r>
          </w:p>
        </w:tc>
      </w:tr>
      <w:tr w14:paraId="29EC006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vAlign w:val="center"/>
          </w:tcPr>
          <w:p w14:paraId="4888BEB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5.4 </w:t>
            </w:r>
          </w:p>
        </w:tc>
        <w:tc>
          <w:tcPr>
            <w:tcW w:w="590" w:type="pct"/>
            <w:shd w:val="clear" w:color="auto" w:fill="auto"/>
            <w:noWrap/>
            <w:vAlign w:val="center"/>
          </w:tcPr>
          <w:p w14:paraId="400A729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w:t>
            </w:r>
          </w:p>
        </w:tc>
        <w:tc>
          <w:tcPr>
            <w:tcW w:w="673" w:type="pct"/>
            <w:shd w:val="clear" w:color="auto" w:fill="auto"/>
            <w:noWrap/>
            <w:vAlign w:val="center"/>
          </w:tcPr>
          <w:p w14:paraId="2FBA365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0.8795</w:t>
            </w:r>
          </w:p>
        </w:tc>
        <w:tc>
          <w:tcPr>
            <w:tcW w:w="673" w:type="pct"/>
            <w:shd w:val="clear" w:color="auto" w:fill="auto"/>
            <w:noWrap/>
            <w:vAlign w:val="center"/>
          </w:tcPr>
          <w:p w14:paraId="38D593B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0.7231</w:t>
            </w:r>
          </w:p>
        </w:tc>
        <w:tc>
          <w:tcPr>
            <w:tcW w:w="634" w:type="pct"/>
            <w:shd w:val="clear" w:color="auto" w:fill="auto"/>
            <w:vAlign w:val="center"/>
          </w:tcPr>
          <w:p w14:paraId="1643858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9.9</w:t>
            </w:r>
          </w:p>
        </w:tc>
        <w:tc>
          <w:tcPr>
            <w:tcW w:w="526" w:type="pct"/>
            <w:shd w:val="clear" w:color="auto" w:fill="auto"/>
            <w:noWrap/>
            <w:vAlign w:val="center"/>
          </w:tcPr>
          <w:p w14:paraId="3F21577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0.831</w:t>
            </w:r>
          </w:p>
        </w:tc>
        <w:tc>
          <w:tcPr>
            <w:tcW w:w="634" w:type="pct"/>
            <w:shd w:val="clear" w:color="auto" w:fill="auto"/>
            <w:noWrap/>
            <w:vAlign w:val="center"/>
          </w:tcPr>
          <w:p w14:paraId="6F78179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0.7935</w:t>
            </w:r>
          </w:p>
        </w:tc>
        <w:tc>
          <w:tcPr>
            <w:tcW w:w="634" w:type="pct"/>
            <w:shd w:val="clear" w:color="auto" w:fill="auto"/>
            <w:noWrap/>
            <w:vAlign w:val="center"/>
          </w:tcPr>
          <w:p w14:paraId="4F30D8F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0.6134</w:t>
            </w:r>
          </w:p>
        </w:tc>
      </w:tr>
      <w:tr w14:paraId="2C6C5CF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5000" w:type="pct"/>
            <w:gridSpan w:val="8"/>
            <w:shd w:val="clear" w:color="auto" w:fill="auto"/>
            <w:vAlign w:val="center"/>
          </w:tcPr>
          <w:p w14:paraId="204952D9">
            <w:pPr>
              <w:spacing w:line="200" w:lineRule="exact"/>
              <w:rPr>
                <w:rFonts w:ascii="Arial" w:hAnsi="Arial" w:eastAsia="仿宋" w:cs="Arial"/>
                <w:color w:val="auto"/>
                <w:sz w:val="20"/>
              </w:rPr>
            </w:pPr>
            <w:r>
              <w:rPr>
                <w:rFonts w:ascii="Arial" w:hAnsi="Arial" w:eastAsia="仿宋" w:cs="Arial"/>
                <w:color w:val="auto"/>
                <w:sz w:val="20"/>
              </w:rPr>
              <w:t>说明：容积率大于等于10时的容积率修正系数按照以下公式计算：1～2级：X</w:t>
            </w:r>
            <w:r>
              <w:rPr>
                <w:rFonts w:ascii="Arial" w:hAnsi="Arial" w:eastAsia="仿宋" w:cs="Arial"/>
                <w:color w:val="auto"/>
                <w:sz w:val="20"/>
                <w:vertAlign w:val="subscript"/>
              </w:rPr>
              <w:t>R</w:t>
            </w:r>
            <w:r>
              <w:rPr>
                <w:rFonts w:hint="eastAsia" w:ascii="Arial" w:hAnsi="Arial" w:eastAsia="仿宋" w:cs="Arial"/>
                <w:color w:val="auto"/>
                <w:sz w:val="20"/>
              </w:rPr>
              <w:t>＝</w:t>
            </w:r>
            <w:r>
              <w:rPr>
                <w:rFonts w:ascii="Arial" w:hAnsi="Arial" w:eastAsia="仿宋" w:cs="Arial"/>
                <w:color w:val="auto"/>
                <w:sz w:val="20"/>
              </w:rPr>
              <w:t>0.9448－0.0115R；3～7级：X</w:t>
            </w:r>
            <w:r>
              <w:rPr>
                <w:rFonts w:ascii="Arial" w:hAnsi="Arial" w:eastAsia="仿宋" w:cs="Arial"/>
                <w:color w:val="auto"/>
                <w:sz w:val="20"/>
                <w:vertAlign w:val="subscript"/>
              </w:rPr>
              <w:t>R</w:t>
            </w:r>
            <w:r>
              <w:rPr>
                <w:rFonts w:hint="eastAsia" w:ascii="Arial" w:hAnsi="Arial" w:eastAsia="仿宋" w:cs="Arial"/>
                <w:color w:val="auto"/>
                <w:sz w:val="20"/>
              </w:rPr>
              <w:t>＝</w:t>
            </w:r>
            <w:r>
              <w:rPr>
                <w:rFonts w:ascii="Arial" w:hAnsi="Arial" w:eastAsia="仿宋" w:cs="Arial"/>
                <w:color w:val="auto"/>
                <w:sz w:val="20"/>
              </w:rPr>
              <w:t>0.937－0.0145R；8～12级：X</w:t>
            </w:r>
            <w:r>
              <w:rPr>
                <w:rFonts w:ascii="Arial" w:hAnsi="Arial" w:eastAsia="仿宋" w:cs="Arial"/>
                <w:color w:val="auto"/>
                <w:sz w:val="20"/>
                <w:vertAlign w:val="subscript"/>
              </w:rPr>
              <w:t>R</w:t>
            </w:r>
            <w:r>
              <w:rPr>
                <w:rFonts w:hint="eastAsia" w:ascii="Arial" w:hAnsi="Arial" w:eastAsia="仿宋" w:cs="Arial"/>
                <w:color w:val="auto"/>
                <w:sz w:val="20"/>
              </w:rPr>
              <w:t>＝</w:t>
            </w:r>
            <w:r>
              <w:rPr>
                <w:rFonts w:ascii="Arial" w:hAnsi="Arial" w:eastAsia="仿宋" w:cs="Arial"/>
                <w:color w:val="auto"/>
                <w:sz w:val="20"/>
              </w:rPr>
              <w:t>0.7965－0.0185R。</w:t>
            </w:r>
          </w:p>
        </w:tc>
      </w:tr>
    </w:tbl>
    <w:p w14:paraId="05FB0038">
      <w:pPr>
        <w:adjustRightInd/>
        <w:spacing w:before="120" w:beforeLines="50"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估价对象容积率R为1.20，根据上表可知，容积率修正系数为1.0597。</w:t>
      </w:r>
    </w:p>
    <w:p w14:paraId="450A09A5">
      <w:pPr>
        <w:adjustRightInd/>
        <w:spacing w:line="300" w:lineRule="auto"/>
        <w:ind w:firstLine="560" w:firstLineChars="200"/>
        <w:rPr>
          <w:rFonts w:ascii="Arial" w:hAnsi="Arial" w:eastAsia="仿宋" w:cs="Arial"/>
          <w:color w:val="auto"/>
          <w:sz w:val="28"/>
        </w:rPr>
      </w:pPr>
      <w:r>
        <w:rPr>
          <w:rFonts w:ascii="Arial" w:hAnsi="Arial" w:eastAsia="仿宋" w:cs="Arial"/>
          <w:color w:val="auto"/>
          <w:sz w:val="28"/>
        </w:rPr>
        <w:t>（F）因素修正系数的确定</w:t>
      </w:r>
    </w:p>
    <w:p w14:paraId="73512A8B">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因素修正系数是指除容积率（楼层）、期日、年期、用途之外的其它地价影响因素的综合修正系数。参照《北京市基准地价因素修正系数说明表》（详见下表），根据估价对象用途对应的宗地各种因素情况确定每种因素的修正系数，应用以下公式测算宗地因素修正系数：</w:t>
      </w:r>
    </w:p>
    <w:p w14:paraId="525A4EAA">
      <w:pPr>
        <w:adjustRightInd/>
        <w:spacing w:line="300" w:lineRule="auto"/>
        <w:ind w:firstLine="560" w:firstLineChars="200"/>
        <w:rPr>
          <w:rFonts w:ascii="Arial" w:hAnsi="Arial" w:eastAsia="仿宋" w:cs="Arial"/>
          <w:color w:val="auto"/>
          <w:sz w:val="28"/>
        </w:rPr>
      </w:pPr>
      <w:r>
        <w:rPr>
          <w:rFonts w:ascii="Arial" w:hAnsi="Arial" w:eastAsia="仿宋" w:cs="Arial"/>
          <w:color w:val="auto"/>
          <w:sz w:val="28"/>
        </w:rPr>
        <w:t>因素修正系数</w:t>
      </w:r>
      <w:r>
        <w:rPr>
          <w:rFonts w:hint="eastAsia" w:ascii="Arial" w:hAnsi="Arial" w:eastAsia="仿宋" w:cs="Arial"/>
          <w:color w:val="auto"/>
          <w:sz w:val="28"/>
        </w:rPr>
        <w:t>＝</w:t>
      </w:r>
      <w:r>
        <w:rPr>
          <w:rFonts w:ascii="Arial" w:hAnsi="Arial" w:eastAsia="仿宋" w:cs="Arial"/>
          <w:color w:val="auto"/>
          <w:sz w:val="28"/>
        </w:rPr>
        <w:t>1＋</w:t>
      </w:r>
      <w:r>
        <w:rPr>
          <w:rFonts w:ascii="Arial" w:hAnsi="Arial" w:eastAsia="仿宋" w:cs="Arial"/>
          <w:color w:val="auto"/>
          <w:sz w:val="28"/>
        </w:rPr>
        <w:fldChar w:fldCharType="begin"/>
      </w:r>
      <w:r>
        <w:rPr>
          <w:rFonts w:ascii="Arial" w:hAnsi="Arial" w:eastAsia="仿宋" w:cs="Arial"/>
          <w:color w:val="auto"/>
          <w:sz w:val="28"/>
        </w:rPr>
        <w:instrText xml:space="preserve"> QUOTE </w:instrText>
      </w:r>
      <w:r>
        <w:rPr>
          <w:rFonts w:ascii="Arial" w:hAnsi="Arial" w:eastAsia="仿宋" w:cs="Arial"/>
          <w:color w:val="auto"/>
          <w:sz w:val="28"/>
        </w:rPr>
        <w:pict>
          <v:shape id="_x0000_i1025" o:spt="75" type="#_x0000_t75" style="height:18.75pt;width:30.75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bordersDontSurroundHeader/&gt;&lt;w:bordersDontSurroundFooter/&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06111&quot;/&gt;&lt;wsp:rsid wsp:val=&quot;000178EB&quot;/&gt;&lt;wsp:rsid wsp:val=&quot;00032366&quot;/&gt;&lt;wsp:rsid wsp:val=&quot;00032528&quot;/&gt;&lt;wsp:rsid wsp:val=&quot;0005644A&quot;/&gt;&lt;wsp:rsid wsp:val=&quot;000870BF&quot;/&gt;&lt;wsp:rsid wsp:val=&quot;000A2CE2&quot;/&gt;&lt;wsp:rsid wsp:val=&quot;000A35BB&quot;/&gt;&lt;wsp:rsid wsp:val=&quot;000C479B&quot;/&gt;&lt;wsp:rsid wsp:val=&quot;000F7E94&quot;/&gt;&lt;wsp:rsid wsp:val=&quot;00100E36&quot;/&gt;&lt;wsp:rsid wsp:val=&quot;0010754D&quot;/&gt;&lt;wsp:rsid wsp:val=&quot;0011058E&quot;/&gt;&lt;wsp:rsid wsp:val=&quot;00115E7E&quot;/&gt;&lt;wsp:rsid wsp:val=&quot;00115F67&quot;/&gt;&lt;wsp:rsid wsp:val=&quot;00136655&quot;/&gt;&lt;wsp:rsid wsp:val=&quot;001709EB&quot;/&gt;&lt;wsp:rsid wsp:val=&quot;00175821&quot;/&gt;&lt;wsp:rsid wsp:val=&quot;00180DC9&quot;/&gt;&lt;wsp:rsid wsp:val=&quot;001A4628&quot;/&gt;&lt;wsp:rsid wsp:val=&quot;001A66E5&quot;/&gt;&lt;wsp:rsid wsp:val=&quot;001C2E50&quot;/&gt;&lt;wsp:rsid wsp:val=&quot;001D78E4&quot;/&gt;&lt;wsp:rsid wsp:val=&quot;001E3E70&quot;/&gt;&lt;wsp:rsid wsp:val=&quot;001F4C0A&quot;/&gt;&lt;wsp:rsid wsp:val=&quot;00251D66&quot;/&gt;&lt;wsp:rsid wsp:val=&quot;0025382F&quot;/&gt;&lt;wsp:rsid wsp:val=&quot;00263EFC&quot;/&gt;&lt;wsp:rsid wsp:val=&quot;00283C27&quot;/&gt;&lt;wsp:rsid wsp:val=&quot;002A32A6&quot;/&gt;&lt;wsp:rsid wsp:val=&quot;002D1E84&quot;/&gt;&lt;wsp:rsid wsp:val=&quot;002E011B&quot;/&gt;&lt;wsp:rsid wsp:val=&quot;00315E7C&quot;/&gt;&lt;wsp:rsid wsp:val=&quot;003451F1&quot;/&gt;&lt;wsp:rsid wsp:val=&quot;00350A39&quot;/&gt;&lt;wsp:rsid wsp:val=&quot;00366E0F&quot;/&gt;&lt;wsp:rsid wsp:val=&quot;00374477&quot;/&gt;&lt;wsp:rsid wsp:val=&quot;003860EA&quot;/&gt;&lt;wsp:rsid wsp:val=&quot;00386735&quot;/&gt;&lt;wsp:rsid wsp:val=&quot;003972C2&quot;/&gt;&lt;wsp:rsid wsp:val=&quot;003B064A&quot;/&gt;&lt;wsp:rsid wsp:val=&quot;003F0E81&quot;/&gt;&lt;wsp:rsid wsp:val=&quot;003F732B&quot;/&gt;&lt;wsp:rsid wsp:val=&quot;003F7CA6&quot;/&gt;&lt;wsp:rsid wsp:val=&quot;0040135C&quot;/&gt;&lt;wsp:rsid wsp:val=&quot;00402AED&quot;/&gt;&lt;wsp:rsid wsp:val=&quot;00407162&quot;/&gt;&lt;wsp:rsid wsp:val=&quot;00415EB6&quot;/&gt;&lt;wsp:rsid wsp:val=&quot;0043011E&quot;/&gt;&lt;wsp:rsid wsp:val=&quot;004763B8&quot;/&gt;&lt;wsp:rsid wsp:val=&quot;00476BC3&quot;/&gt;&lt;wsp:rsid wsp:val=&quot;00484DC2&quot;/&gt;&lt;wsp:rsid wsp:val=&quot;00494499&quot;/&gt;&lt;wsp:rsid wsp:val=&quot;004B0921&quot;/&gt;&lt;wsp:rsid wsp:val=&quot;004C41B7&quot;/&gt;&lt;wsp:rsid wsp:val=&quot;004D09B2&quot;/&gt;&lt;wsp:rsid wsp:val=&quot;004D62F4&quot;/&gt;&lt;wsp:rsid wsp:val=&quot;004F047C&quot;/&gt;&lt;wsp:rsid wsp:val=&quot;004F7667&quot;/&gt;&lt;wsp:rsid wsp:val=&quot;00520321&quot;/&gt;&lt;wsp:rsid wsp:val=&quot;0052196E&quot;/&gt;&lt;wsp:rsid wsp:val=&quot;00527117&quot;/&gt;&lt;wsp:rsid wsp:val=&quot;00540322&quot;/&gt;&lt;wsp:rsid wsp:val=&quot;0054126B&quot;/&gt;&lt;wsp:rsid wsp:val=&quot;00544B04&quot;/&gt;&lt;wsp:rsid wsp:val=&quot;005461A4&quot;/&gt;&lt;wsp:rsid wsp:val=&quot;005463D8&quot;/&gt;&lt;wsp:rsid wsp:val=&quot;00555428&quot;/&gt;&lt;wsp:rsid wsp:val=&quot;005720BD&quot;/&gt;&lt;wsp:rsid wsp:val=&quot;00573ADF&quot;/&gt;&lt;wsp:rsid wsp:val=&quot;0059084C&quot;/&gt;&lt;wsp:rsid wsp:val=&quot;00595FD5&quot;/&gt;&lt;wsp:rsid wsp:val=&quot;005C4E0A&quot;/&gt;&lt;wsp:rsid wsp:val=&quot;005E4003&quot;/&gt;&lt;wsp:rsid wsp:val=&quot;005E6723&quot;/&gt;&lt;wsp:rsid wsp:val=&quot;005F50F1&quot;/&gt;&lt;wsp:rsid wsp:val=&quot;005F62DB&quot;/&gt;&lt;wsp:rsid wsp:val=&quot;00606EB6&quot;/&gt;&lt;wsp:rsid wsp:val=&quot;0066211E&quot;/&gt;&lt;wsp:rsid wsp:val=&quot;00674429&quot;/&gt;&lt;wsp:rsid wsp:val=&quot;00693C97&quot;/&gt;&lt;wsp:rsid wsp:val=&quot;006A2172&quot;/&gt;&lt;wsp:rsid wsp:val=&quot;006B115C&quot;/&gt;&lt;wsp:rsid wsp:val=&quot;006C10A9&quot;/&gt;&lt;wsp:rsid wsp:val=&quot;006C4B16&quot;/&gt;&lt;wsp:rsid wsp:val=&quot;006C6FD5&quot;/&gt;&lt;wsp:rsid wsp:val=&quot;006D6A01&quot;/&gt;&lt;wsp:rsid wsp:val=&quot;006E085F&quot;/&gt;&lt;wsp:rsid wsp:val=&quot;0070342C&quot;/&gt;&lt;wsp:rsid wsp:val=&quot;007110DA&quot;/&gt;&lt;wsp:rsid wsp:val=&quot;00717B83&quot;/&gt;&lt;wsp:rsid wsp:val=&quot;0072188B&quot;/&gt;&lt;wsp:rsid wsp:val=&quot;00737685&quot;/&gt;&lt;wsp:rsid wsp:val=&quot;00745264&quot;/&gt;&lt;wsp:rsid wsp:val=&quot;0075544E&quot;/&gt;&lt;wsp:rsid wsp:val=&quot;00770CC2&quot;/&gt;&lt;wsp:rsid wsp:val=&quot;007814F0&quot;/&gt;&lt;wsp:rsid wsp:val=&quot;007B0B09&quot;/&gt;&lt;wsp:rsid wsp:val=&quot;007D5727&quot;/&gt;&lt;wsp:rsid wsp:val=&quot;007E4BAE&quot;/&gt;&lt;wsp:rsid wsp:val=&quot;007F20BD&quot;/&gt;&lt;wsp:rsid wsp:val=&quot;007F50E3&quot;/&gt;&lt;wsp:rsid wsp:val=&quot;00801168&quot;/&gt;&lt;wsp:rsid wsp:val=&quot;0080787A&quot;/&gt;&lt;wsp:rsid wsp:val=&quot;0081738E&quot;/&gt;&lt;wsp:rsid wsp:val=&quot;00842756&quot;/&gt;&lt;wsp:rsid wsp:val=&quot;008460C7&quot;/&gt;&lt;wsp:rsid wsp:val=&quot;00853369&quot;/&gt;&lt;wsp:rsid wsp:val=&quot;0086014E&quot;/&gt;&lt;wsp:rsid wsp:val=&quot;008748FA&quot;/&gt;&lt;wsp:rsid wsp:val=&quot;00876DB8&quot;/&gt;&lt;wsp:rsid wsp:val=&quot;00885618&quot;/&gt;&lt;wsp:rsid wsp:val=&quot;008912CE&quot;/&gt;&lt;wsp:rsid wsp:val=&quot;00892CA1&quot;/&gt;&lt;wsp:rsid wsp:val=&quot;008964F9&quot;/&gt;&lt;wsp:rsid wsp:val=&quot;008C05F0&quot;/&gt;&lt;wsp:rsid wsp:val=&quot;008C5FB1&quot;/&gt;&lt;wsp:rsid wsp:val=&quot;00903EA0&quot;/&gt;&lt;wsp:rsid wsp:val=&quot;00904D7B&quot;/&gt;&lt;wsp:rsid wsp:val=&quot;009114BC&quot;/&gt;&lt;wsp:rsid wsp:val=&quot;00925B66&quot;/&gt;&lt;wsp:rsid wsp:val=&quot;00991AA7&quot;/&gt;&lt;wsp:rsid wsp:val=&quot;009B77EB&quot;/&gt;&lt;wsp:rsid wsp:val=&quot;009C0C04&quot;/&gt;&lt;wsp:rsid wsp:val=&quot;009D4318&quot;/&gt;&lt;wsp:rsid wsp:val=&quot;009E40CF&quot;/&gt;&lt;wsp:rsid wsp:val=&quot;009E7A21&quot;/&gt;&lt;wsp:rsid wsp:val=&quot;009F0002&quot;/&gt;&lt;wsp:rsid wsp:val=&quot;009F19B4&quot;/&gt;&lt;wsp:rsid wsp:val=&quot;009F3D1B&quot;/&gt;&lt;wsp:rsid wsp:val=&quot;009F5784&quot;/&gt;&lt;wsp:rsid wsp:val=&quot;00A000A5&quot;/&gt;&lt;wsp:rsid wsp:val=&quot;00A30125&quot;/&gt;&lt;wsp:rsid wsp:val=&quot;00A4446F&quot;/&gt;&lt;wsp:rsid wsp:val=&quot;00A9245E&quot;/&gt;&lt;wsp:rsid wsp:val=&quot;00AB2EB5&quot;/&gt;&lt;wsp:rsid wsp:val=&quot;00AB732E&quot;/&gt;&lt;wsp:rsid wsp:val=&quot;00B37A59&quot;/&gt;&lt;wsp:rsid wsp:val=&quot;00B4144C&quot;/&gt;&lt;wsp:rsid wsp:val=&quot;00B710BE&quot;/&gt;&lt;wsp:rsid wsp:val=&quot;00B71F8D&quot;/&gt;&lt;wsp:rsid wsp:val=&quot;00B77F8C&quot;/&gt;&lt;wsp:rsid wsp:val=&quot;00B80305&quot;/&gt;&lt;wsp:rsid wsp:val=&quot;00BB3E24&quot;/&gt;&lt;wsp:rsid wsp:val=&quot;00BD5A39&quot;/&gt;&lt;wsp:rsid wsp:val=&quot;00BE455C&quot;/&gt;&lt;wsp:rsid wsp:val=&quot;00C00443&quot;/&gt;&lt;wsp:rsid wsp:val=&quot;00C06111&quot;/&gt;&lt;wsp:rsid wsp:val=&quot;00C30BDE&quot;/&gt;&lt;wsp:rsid wsp:val=&quot;00C318EE&quot;/&gt;&lt;wsp:rsid wsp:val=&quot;00C34759&quot;/&gt;&lt;wsp:rsid wsp:val=&quot;00C63F54&quot;/&gt;&lt;wsp:rsid wsp:val=&quot;00C6608D&quot;/&gt;&lt;wsp:rsid wsp:val=&quot;00C67050&quot;/&gt;&lt;wsp:rsid wsp:val=&quot;00C67B4C&quot;/&gt;&lt;wsp:rsid wsp:val=&quot;00CB1FDF&quot;/&gt;&lt;wsp:rsid wsp:val=&quot;00CB2087&quot;/&gt;&lt;wsp:rsid wsp:val=&quot;00CB462D&quot;/&gt;&lt;wsp:rsid wsp:val=&quot;00CC0C2B&quot;/&gt;&lt;wsp:rsid wsp:val=&quot;00CF570A&quot;/&gt;&lt;wsp:rsid wsp:val=&quot;00D0526F&quot;/&gt;&lt;wsp:rsid wsp:val=&quot;00D05315&quot;/&gt;&lt;wsp:rsid wsp:val=&quot;00D12154&quot;/&gt;&lt;wsp:rsid wsp:val=&quot;00D3073A&quot;/&gt;&lt;wsp:rsid wsp:val=&quot;00D55D42&quot;/&gt;&lt;wsp:rsid wsp:val=&quot;00D57F54&quot;/&gt;&lt;wsp:rsid wsp:val=&quot;00D6621D&quot;/&gt;&lt;wsp:rsid wsp:val=&quot;00D67934&quot;/&gt;&lt;wsp:rsid wsp:val=&quot;00D72ABD&quot;/&gt;&lt;wsp:rsid wsp:val=&quot;00D85F94&quot;/&gt;&lt;wsp:rsid wsp:val=&quot;00D87ECA&quot;/&gt;&lt;wsp:rsid wsp:val=&quot;00D93266&quot;/&gt;&lt;wsp:rsid wsp:val=&quot;00DA647C&quot;/&gt;&lt;wsp:rsid wsp:val=&quot;00DC1B1F&quot;/&gt;&lt;wsp:rsid wsp:val=&quot;00DC4EEA&quot;/&gt;&lt;wsp:rsid wsp:val=&quot;00DD4129&quot;/&gt;&lt;wsp:rsid wsp:val=&quot;00E03316&quot;/&gt;&lt;wsp:rsid wsp:val=&quot;00E1325A&quot;/&gt;&lt;wsp:rsid wsp:val=&quot;00E153AD&quot;/&gt;&lt;wsp:rsid wsp:val=&quot;00E23EBA&quot;/&gt;&lt;wsp:rsid wsp:val=&quot;00E3382F&quot;/&gt;&lt;wsp:rsid wsp:val=&quot;00E465CC&quot;/&gt;&lt;wsp:rsid wsp:val=&quot;00E570A0&quot;/&gt;&lt;wsp:rsid wsp:val=&quot;00E673F4&quot;/&gt;&lt;wsp:rsid wsp:val=&quot;00E71617&quot;/&gt;&lt;wsp:rsid wsp:val=&quot;00E75437&quot;/&gt;&lt;wsp:rsid wsp:val=&quot;00E834C5&quot;/&gt;&lt;wsp:rsid wsp:val=&quot;00E84EDF&quot;/&gt;&lt;wsp:rsid wsp:val=&quot;00E851C3&quot;/&gt;&lt;wsp:rsid wsp:val=&quot;00E93297&quot;/&gt;&lt;wsp:rsid wsp:val=&quot;00EB0014&quot;/&gt;&lt;wsp:rsid wsp:val=&quot;00EB48BC&quot;/&gt;&lt;wsp:rsid wsp:val=&quot;00EC022A&quot;/&gt;&lt;wsp:rsid wsp:val=&quot;00EC3E5E&quot;/&gt;&lt;wsp:rsid wsp:val=&quot;00EE0575&quot;/&gt;&lt;wsp:rsid wsp:val=&quot;00EF2DBB&quot;/&gt;&lt;wsp:rsid wsp:val=&quot;00F257B5&quot;/&gt;&lt;wsp:rsid wsp:val=&quot;00F579DB&quot;/&gt;&lt;wsp:rsid wsp:val=&quot;00F710E8&quot;/&gt;&lt;wsp:rsid wsp:val=&quot;00F75CD4&quot;/&gt;&lt;wsp:rsid wsp:val=&quot;00F76DFB&quot;/&gt;&lt;wsp:rsid wsp:val=&quot;00FA00ED&quot;/&gt;&lt;wsp:rsid wsp:val=&quot;00FD146F&quot;/&gt;&lt;wsp:rsid wsp:val=&quot;00FD3BB6&quot;/&gt;&lt;wsp:rsid wsp:val=&quot;00FE695F&quot;/&gt;&lt;/wsp:rsids&gt;&lt;/w:docPr&gt;&lt;w:body&gt;&lt;wx:sect&gt;&lt;w:p wsp:rsidR=&quot;00000000&quot; wsp:rsidRDefault=&quot;00573ADF&quot; wsp:rsidP=&quot;00573ADF&quot;&gt;&lt;m:oMathPara&gt;&lt;m:oMath&gt;&lt;m:nary&gt;&lt;m:naryPr&gt;&lt;m:chr m:val=&quot;∑&quot;/&gt;&lt;m:limLoc m:val=&quot;undO////////////vr&quot;/&gt;&lt;m:ctrlPr&gt;&lt;w:rPr&gt;&lt;w:rFonts w:ascii=&quot;Cambria Math&quot; w:h-ansi=&quot;Cambria Math&quot; w:cs=&quot;仿宋_GB2312&quot;/&gt;&lt;wx:font wx:val=&quot;Cambria Math&quot;/&gt;&lt;w:sz w:val=&quot;21&quot;/&gt;&lt;w:sz-cs w:val=&quot;29&quot;/&gt;&lt;/w:rPr&gt;&lt;/m:ctrlPr&gt;&lt;/m:naryPr&gt;&lt;m:sub&gt;&lt;m:r&gt;&lt;w:rPr&gt;&lt;w:rFonts w:ascii=&quot;CambriO/aO/ O/MO/aO/tO/hO/&quot;O/ O/wO/:O/hO/-ansi=&quot;Cambria Math&quot; w:cs=&quot;仿宋_GB2312&quot;/&gt;&lt;wx:font wx:val=&quot;Cambria Math&quot;/&gt;&lt;w:i/&gt;&lt;w:sz w:val=&quot;21&quot;/&gt;&lt;w:sz-cs w:val=&quot;29&quot;/&gt;&lt;/w:rPr&gt;&lt;m:t&gt;i=1&lt;/m:t&gt;&lt;/m:r&gt;&lt;/m:sub&gt;&lt;m:sup&gt;&lt;m:r&gt;&lt;w:rPr&gt;&lt;w:rFonts w:ascii=&quot;Cambria Math&quot; w:h-ansi=&quot;CambriO/a MO/athO/&quot; wO/:csO/=&quot;?O/滤蝨hO/_GBh&quot;O/231&quot; O/2&quot;/ wO/&gt;&lt;ww:O/x:f:hO/ont wx:val=&quot;Cambria Math&quot;/&gt;&lt;w:i/&gt;&lt;w:sz w:val=&quot;21&quot;/&gt;&lt;w:sz-cs w:val=&quot;29&quot;/&gt;&lt;/w:rPr&gt;&lt;m:t&gt;n&lt;/m:t&gt;&lt;/m:r&gt;&lt;/m:sup&gt;&lt;m:e&gt;&lt;m:r&gt;&lt;w:rPr&gt;&lt;w:rFonts w:ascii=&quot;Cambria Math&quot; w:h-ansi=&quot;Cambria Math&quot; w:cs=&quot;仿iO/宋_GB MO/2312&quot;thO//&gt;&lt;wx wO/:fontcsO/ wx:v&quot;?O/al=&quot;CamO/bria MaO/th&quot;/&gt;&lt;wO/:i/&gt;&lt;w:O/sz w:vaO/l=&quot;21&quot;/O/&gt;&lt;w:sz-cs w:val=&quot;29&quot;/&gt;&lt;/w:rPr&gt;&lt;m:t&gt;ki&lt;/m:t&gt;&lt;/m:r&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65" chromakey="#FFFFFF" o:title=""/>
            <o:lock v:ext="edit" aspectratio="t"/>
            <w10:wrap type="none"/>
            <w10:anchorlock/>
          </v:shape>
        </w:pict>
      </w:r>
      <w:r>
        <w:rPr>
          <w:rFonts w:ascii="Arial" w:hAnsi="Arial" w:eastAsia="仿宋" w:cs="Arial"/>
          <w:color w:val="auto"/>
          <w:sz w:val="28"/>
        </w:rPr>
        <w:instrText xml:space="preserve"> </w:instrText>
      </w:r>
      <w:r>
        <w:rPr>
          <w:rFonts w:ascii="Arial" w:hAnsi="Arial" w:eastAsia="仿宋" w:cs="Arial"/>
          <w:color w:val="auto"/>
          <w:sz w:val="28"/>
        </w:rPr>
        <w:fldChar w:fldCharType="separate"/>
      </w:r>
      <w:r>
        <w:rPr>
          <w:rFonts w:ascii="Arial" w:hAnsi="Arial" w:eastAsia="仿宋" w:cs="Arial"/>
          <w:color w:val="auto"/>
          <w:sz w:val="28"/>
        </w:rPr>
        <w:pict>
          <v:shape id="_x0000_i1026" o:spt="75" type="#_x0000_t75" style="height:18.75pt;width:30.75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bordersDontSurroundHeader/&gt;&lt;w:bordersDontSurroundFooter/&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06111&quot;/&gt;&lt;wsp:rsid wsp:val=&quot;000178EB&quot;/&gt;&lt;wsp:rsid wsp:val=&quot;00032366&quot;/&gt;&lt;wsp:rsid wsp:val=&quot;00032528&quot;/&gt;&lt;wsp:rsid wsp:val=&quot;0005644A&quot;/&gt;&lt;wsp:rsid wsp:val=&quot;000870BF&quot;/&gt;&lt;wsp:rsid wsp:val=&quot;000A2CE2&quot;/&gt;&lt;wsp:rsid wsp:val=&quot;000A35BB&quot;/&gt;&lt;wsp:rsid wsp:val=&quot;000C479B&quot;/&gt;&lt;wsp:rsid wsp:val=&quot;000F7E94&quot;/&gt;&lt;wsp:rsid wsp:val=&quot;00100E36&quot;/&gt;&lt;wsp:rsid wsp:val=&quot;0010754D&quot;/&gt;&lt;wsp:rsid wsp:val=&quot;0011058E&quot;/&gt;&lt;wsp:rsid wsp:val=&quot;00115E7E&quot;/&gt;&lt;wsp:rsid wsp:val=&quot;00115F67&quot;/&gt;&lt;wsp:rsid wsp:val=&quot;00136655&quot;/&gt;&lt;wsp:rsid wsp:val=&quot;001709EB&quot;/&gt;&lt;wsp:rsid wsp:val=&quot;00175821&quot;/&gt;&lt;wsp:rsid wsp:val=&quot;00180DC9&quot;/&gt;&lt;wsp:rsid wsp:val=&quot;001A4628&quot;/&gt;&lt;wsp:rsid wsp:val=&quot;001A66E5&quot;/&gt;&lt;wsp:rsid wsp:val=&quot;001C2E50&quot;/&gt;&lt;wsp:rsid wsp:val=&quot;001D78E4&quot;/&gt;&lt;wsp:rsid wsp:val=&quot;001E3E70&quot;/&gt;&lt;wsp:rsid wsp:val=&quot;001F4C0A&quot;/&gt;&lt;wsp:rsid wsp:val=&quot;00251D66&quot;/&gt;&lt;wsp:rsid wsp:val=&quot;0025382F&quot;/&gt;&lt;wsp:rsid wsp:val=&quot;00263EFC&quot;/&gt;&lt;wsp:rsid wsp:val=&quot;00283C27&quot;/&gt;&lt;wsp:rsid wsp:val=&quot;002A32A6&quot;/&gt;&lt;wsp:rsid wsp:val=&quot;002D1E84&quot;/&gt;&lt;wsp:rsid wsp:val=&quot;002E011B&quot;/&gt;&lt;wsp:rsid wsp:val=&quot;00315E7C&quot;/&gt;&lt;wsp:rsid wsp:val=&quot;003451F1&quot;/&gt;&lt;wsp:rsid wsp:val=&quot;00350A39&quot;/&gt;&lt;wsp:rsid wsp:val=&quot;00366E0F&quot;/&gt;&lt;wsp:rsid wsp:val=&quot;00374477&quot;/&gt;&lt;wsp:rsid wsp:val=&quot;003860EA&quot;/&gt;&lt;wsp:rsid wsp:val=&quot;00386735&quot;/&gt;&lt;wsp:rsid wsp:val=&quot;003972C2&quot;/&gt;&lt;wsp:rsid wsp:val=&quot;003B064A&quot;/&gt;&lt;wsp:rsid wsp:val=&quot;003F0E81&quot;/&gt;&lt;wsp:rsid wsp:val=&quot;003F732B&quot;/&gt;&lt;wsp:rsid wsp:val=&quot;003F7CA6&quot;/&gt;&lt;wsp:rsid wsp:val=&quot;0040135C&quot;/&gt;&lt;wsp:rsid wsp:val=&quot;00402AED&quot;/&gt;&lt;wsp:rsid wsp:val=&quot;00407162&quot;/&gt;&lt;wsp:rsid wsp:val=&quot;00415EB6&quot;/&gt;&lt;wsp:rsid wsp:val=&quot;0043011E&quot;/&gt;&lt;wsp:rsid wsp:val=&quot;004763B8&quot;/&gt;&lt;wsp:rsid wsp:val=&quot;00476BC3&quot;/&gt;&lt;wsp:rsid wsp:val=&quot;00484DC2&quot;/&gt;&lt;wsp:rsid wsp:val=&quot;00494499&quot;/&gt;&lt;wsp:rsid wsp:val=&quot;004B0921&quot;/&gt;&lt;wsp:rsid wsp:val=&quot;004C41B7&quot;/&gt;&lt;wsp:rsid wsp:val=&quot;004D09B2&quot;/&gt;&lt;wsp:rsid wsp:val=&quot;004D62F4&quot;/&gt;&lt;wsp:rsid wsp:val=&quot;004F047C&quot;/&gt;&lt;wsp:rsid wsp:val=&quot;004F7667&quot;/&gt;&lt;wsp:rsid wsp:val=&quot;00520321&quot;/&gt;&lt;wsp:rsid wsp:val=&quot;0052196E&quot;/&gt;&lt;wsp:rsid wsp:val=&quot;00527117&quot;/&gt;&lt;wsp:rsid wsp:val=&quot;00540322&quot;/&gt;&lt;wsp:rsid wsp:val=&quot;0054126B&quot;/&gt;&lt;wsp:rsid wsp:val=&quot;00544B04&quot;/&gt;&lt;wsp:rsid wsp:val=&quot;005461A4&quot;/&gt;&lt;wsp:rsid wsp:val=&quot;005463D8&quot;/&gt;&lt;wsp:rsid wsp:val=&quot;00555428&quot;/&gt;&lt;wsp:rsid wsp:val=&quot;005720BD&quot;/&gt;&lt;wsp:rsid wsp:val=&quot;00573ADF&quot;/&gt;&lt;wsp:rsid wsp:val=&quot;0059084C&quot;/&gt;&lt;wsp:rsid wsp:val=&quot;00595FD5&quot;/&gt;&lt;wsp:rsid wsp:val=&quot;005C4E0A&quot;/&gt;&lt;wsp:rsid wsp:val=&quot;005E4003&quot;/&gt;&lt;wsp:rsid wsp:val=&quot;005E6723&quot;/&gt;&lt;wsp:rsid wsp:val=&quot;005F50F1&quot;/&gt;&lt;wsp:rsid wsp:val=&quot;005F62DB&quot;/&gt;&lt;wsp:rsid wsp:val=&quot;00606EB6&quot;/&gt;&lt;wsp:rsid wsp:val=&quot;0066211E&quot;/&gt;&lt;wsp:rsid wsp:val=&quot;00674429&quot;/&gt;&lt;wsp:rsid wsp:val=&quot;00693C97&quot;/&gt;&lt;wsp:rsid wsp:val=&quot;006A2172&quot;/&gt;&lt;wsp:rsid wsp:val=&quot;006B115C&quot;/&gt;&lt;wsp:rsid wsp:val=&quot;006C10A9&quot;/&gt;&lt;wsp:rsid wsp:val=&quot;006C4B16&quot;/&gt;&lt;wsp:rsid wsp:val=&quot;006C6FD5&quot;/&gt;&lt;wsp:rsid wsp:val=&quot;006D6A01&quot;/&gt;&lt;wsp:rsid wsp:val=&quot;006E085F&quot;/&gt;&lt;wsp:rsid wsp:val=&quot;0070342C&quot;/&gt;&lt;wsp:rsid wsp:val=&quot;007110DA&quot;/&gt;&lt;wsp:rsid wsp:val=&quot;00717B83&quot;/&gt;&lt;wsp:rsid wsp:val=&quot;0072188B&quot;/&gt;&lt;wsp:rsid wsp:val=&quot;00737685&quot;/&gt;&lt;wsp:rsid wsp:val=&quot;00745264&quot;/&gt;&lt;wsp:rsid wsp:val=&quot;0075544E&quot;/&gt;&lt;wsp:rsid wsp:val=&quot;00770CC2&quot;/&gt;&lt;wsp:rsid wsp:val=&quot;007814F0&quot;/&gt;&lt;wsp:rsid wsp:val=&quot;007B0B09&quot;/&gt;&lt;wsp:rsid wsp:val=&quot;007D5727&quot;/&gt;&lt;wsp:rsid wsp:val=&quot;007E4BAE&quot;/&gt;&lt;wsp:rsid wsp:val=&quot;007F20BD&quot;/&gt;&lt;wsp:rsid wsp:val=&quot;007F50E3&quot;/&gt;&lt;wsp:rsid wsp:val=&quot;00801168&quot;/&gt;&lt;wsp:rsid wsp:val=&quot;0080787A&quot;/&gt;&lt;wsp:rsid wsp:val=&quot;0081738E&quot;/&gt;&lt;wsp:rsid wsp:val=&quot;00842756&quot;/&gt;&lt;wsp:rsid wsp:val=&quot;008460C7&quot;/&gt;&lt;wsp:rsid wsp:val=&quot;00853369&quot;/&gt;&lt;wsp:rsid wsp:val=&quot;0086014E&quot;/&gt;&lt;wsp:rsid wsp:val=&quot;008748FA&quot;/&gt;&lt;wsp:rsid wsp:val=&quot;00876DB8&quot;/&gt;&lt;wsp:rsid wsp:val=&quot;00885618&quot;/&gt;&lt;wsp:rsid wsp:val=&quot;008912CE&quot;/&gt;&lt;wsp:rsid wsp:val=&quot;00892CA1&quot;/&gt;&lt;wsp:rsid wsp:val=&quot;008964F9&quot;/&gt;&lt;wsp:rsid wsp:val=&quot;008C05F0&quot;/&gt;&lt;wsp:rsid wsp:val=&quot;008C5FB1&quot;/&gt;&lt;wsp:rsid wsp:val=&quot;00903EA0&quot;/&gt;&lt;wsp:rsid wsp:val=&quot;00904D7B&quot;/&gt;&lt;wsp:rsid wsp:val=&quot;009114BC&quot;/&gt;&lt;wsp:rsid wsp:val=&quot;00925B66&quot;/&gt;&lt;wsp:rsid wsp:val=&quot;00991AA7&quot;/&gt;&lt;wsp:rsid wsp:val=&quot;009B77EB&quot;/&gt;&lt;wsp:rsid wsp:val=&quot;009C0C04&quot;/&gt;&lt;wsp:rsid wsp:val=&quot;009D4318&quot;/&gt;&lt;wsp:rsid wsp:val=&quot;009E40CF&quot;/&gt;&lt;wsp:rsid wsp:val=&quot;009E7A21&quot;/&gt;&lt;wsp:rsid wsp:val=&quot;009F0002&quot;/&gt;&lt;wsp:rsid wsp:val=&quot;009F19B4&quot;/&gt;&lt;wsp:rsid wsp:val=&quot;009F3D1B&quot;/&gt;&lt;wsp:rsid wsp:val=&quot;009F5784&quot;/&gt;&lt;wsp:rsid wsp:val=&quot;00A000A5&quot;/&gt;&lt;wsp:rsid wsp:val=&quot;00A30125&quot;/&gt;&lt;wsp:rsid wsp:val=&quot;00A4446F&quot;/&gt;&lt;wsp:rsid wsp:val=&quot;00A9245E&quot;/&gt;&lt;wsp:rsid wsp:val=&quot;00AB2EB5&quot;/&gt;&lt;wsp:rsid wsp:val=&quot;00AB732E&quot;/&gt;&lt;wsp:rsid wsp:val=&quot;00B37A59&quot;/&gt;&lt;wsp:rsid wsp:val=&quot;00B4144C&quot;/&gt;&lt;wsp:rsid wsp:val=&quot;00B710BE&quot;/&gt;&lt;wsp:rsid wsp:val=&quot;00B71F8D&quot;/&gt;&lt;wsp:rsid wsp:val=&quot;00B77F8C&quot;/&gt;&lt;wsp:rsid wsp:val=&quot;00B80305&quot;/&gt;&lt;wsp:rsid wsp:val=&quot;00BB3E24&quot;/&gt;&lt;wsp:rsid wsp:val=&quot;00BD5A39&quot;/&gt;&lt;wsp:rsid wsp:val=&quot;00BE455C&quot;/&gt;&lt;wsp:rsid wsp:val=&quot;00C00443&quot;/&gt;&lt;wsp:rsid wsp:val=&quot;00C06111&quot;/&gt;&lt;wsp:rsid wsp:val=&quot;00C30BDE&quot;/&gt;&lt;wsp:rsid wsp:val=&quot;00C318EE&quot;/&gt;&lt;wsp:rsid wsp:val=&quot;00C34759&quot;/&gt;&lt;wsp:rsid wsp:val=&quot;00C63F54&quot;/&gt;&lt;wsp:rsid wsp:val=&quot;00C6608D&quot;/&gt;&lt;wsp:rsid wsp:val=&quot;00C67050&quot;/&gt;&lt;wsp:rsid wsp:val=&quot;00C67B4C&quot;/&gt;&lt;wsp:rsid wsp:val=&quot;00CB1FDF&quot;/&gt;&lt;wsp:rsid wsp:val=&quot;00CB2087&quot;/&gt;&lt;wsp:rsid wsp:val=&quot;00CB462D&quot;/&gt;&lt;wsp:rsid wsp:val=&quot;00CC0C2B&quot;/&gt;&lt;wsp:rsid wsp:val=&quot;00CF570A&quot;/&gt;&lt;wsp:rsid wsp:val=&quot;00D0526F&quot;/&gt;&lt;wsp:rsid wsp:val=&quot;00D05315&quot;/&gt;&lt;wsp:rsid wsp:val=&quot;00D12154&quot;/&gt;&lt;wsp:rsid wsp:val=&quot;00D3073A&quot;/&gt;&lt;wsp:rsid wsp:val=&quot;00D55D42&quot;/&gt;&lt;wsp:rsid wsp:val=&quot;00D57F54&quot;/&gt;&lt;wsp:rsid wsp:val=&quot;00D6621D&quot;/&gt;&lt;wsp:rsid wsp:val=&quot;00D67934&quot;/&gt;&lt;wsp:rsid wsp:val=&quot;00D72ABD&quot;/&gt;&lt;wsp:rsid wsp:val=&quot;00D85F94&quot;/&gt;&lt;wsp:rsid wsp:val=&quot;00D87ECA&quot;/&gt;&lt;wsp:rsid wsp:val=&quot;00D93266&quot;/&gt;&lt;wsp:rsid wsp:val=&quot;00DA647C&quot;/&gt;&lt;wsp:rsid wsp:val=&quot;00DC1B1F&quot;/&gt;&lt;wsp:rsid wsp:val=&quot;00DC4EEA&quot;/&gt;&lt;wsp:rsid wsp:val=&quot;00DD4129&quot;/&gt;&lt;wsp:rsid wsp:val=&quot;00E03316&quot;/&gt;&lt;wsp:rsid wsp:val=&quot;00E1325A&quot;/&gt;&lt;wsp:rsid wsp:val=&quot;00E153AD&quot;/&gt;&lt;wsp:rsid wsp:val=&quot;00E23EBA&quot;/&gt;&lt;wsp:rsid wsp:val=&quot;00E3382F&quot;/&gt;&lt;wsp:rsid wsp:val=&quot;00E465CC&quot;/&gt;&lt;wsp:rsid wsp:val=&quot;00E570A0&quot;/&gt;&lt;wsp:rsid wsp:val=&quot;00E673F4&quot;/&gt;&lt;wsp:rsid wsp:val=&quot;00E71617&quot;/&gt;&lt;wsp:rsid wsp:val=&quot;00E75437&quot;/&gt;&lt;wsp:rsid wsp:val=&quot;00E834C5&quot;/&gt;&lt;wsp:rsid wsp:val=&quot;00E84EDF&quot;/&gt;&lt;wsp:rsid wsp:val=&quot;00E851C3&quot;/&gt;&lt;wsp:rsid wsp:val=&quot;00E93297&quot;/&gt;&lt;wsp:rsid wsp:val=&quot;00EB0014&quot;/&gt;&lt;wsp:rsid wsp:val=&quot;00EB48BC&quot;/&gt;&lt;wsp:rsid wsp:val=&quot;00EC022A&quot;/&gt;&lt;wsp:rsid wsp:val=&quot;00EC3E5E&quot;/&gt;&lt;wsp:rsid wsp:val=&quot;00EE0575&quot;/&gt;&lt;wsp:rsid wsp:val=&quot;00EF2DBB&quot;/&gt;&lt;wsp:rsid wsp:val=&quot;00F257B5&quot;/&gt;&lt;wsp:rsid wsp:val=&quot;00F579DB&quot;/&gt;&lt;wsp:rsid wsp:val=&quot;00F710E8&quot;/&gt;&lt;wsp:rsid wsp:val=&quot;00F75CD4&quot;/&gt;&lt;wsp:rsid wsp:val=&quot;00F76DFB&quot;/&gt;&lt;wsp:rsid wsp:val=&quot;00FA00ED&quot;/&gt;&lt;wsp:rsid wsp:val=&quot;00FD146F&quot;/&gt;&lt;wsp:rsid wsp:val=&quot;00FD3BB6&quot;/&gt;&lt;wsp:rsid wsp:val=&quot;00FE695F&quot;/&gt;&lt;/wsp:rsids&gt;&lt;/w:docPr&gt;&lt;w:body&gt;&lt;wx:sect&gt;&lt;w:p wsp:rsidR=&quot;00000000&quot; wsp:rsidRDefault=&quot;00573ADF&quot; wsp:rsidP=&quot;00573ADF&quot;&gt;&lt;m:oMathPara&gt;&lt;m:oMath&gt;&lt;m:nary&gt;&lt;m:naryPr&gt;&lt;m:chr m:val=&quot;∑&quot;/&gt;&lt;m:limLoc m:val=&quot;undO////////////vr&quot;/&gt;&lt;m:ctrlPr&gt;&lt;w:rPr&gt;&lt;w:rFonts w:ascii=&quot;Cambria Math&quot; w:h-ansi=&quot;Cambria Math&quot; w:cs=&quot;仿宋_GB2312&quot;/&gt;&lt;wx:font wx:val=&quot;Cambria Math&quot;/&gt;&lt;w:sz w:val=&quot;21&quot;/&gt;&lt;w:sz-cs w:val=&quot;29&quot;/&gt;&lt;/w:rPr&gt;&lt;/m:ctrlPr&gt;&lt;/m:naryPr&gt;&lt;m:sub&gt;&lt;m:r&gt;&lt;w:rPr&gt;&lt;w:rFonts w:ascii=&quot;CambriO/aO/ O/MO/aO/tO/hO/&quot;O/ O/wO/:O/hO/-ansi=&quot;Cambria Math&quot; w:cs=&quot;仿宋_GB2312&quot;/&gt;&lt;wx:font wx:val=&quot;Cambria Math&quot;/&gt;&lt;w:i/&gt;&lt;w:sz w:val=&quot;21&quot;/&gt;&lt;w:sz-cs w:val=&quot;29&quot;/&gt;&lt;/w:rPr&gt;&lt;m:t&gt;i=1&lt;/m:t&gt;&lt;/m:r&gt;&lt;/m:sub&gt;&lt;m:sup&gt;&lt;m:r&gt;&lt;w:rPr&gt;&lt;w:rFonts w:ascii=&quot;Cambria Math&quot; w:h-ansi=&quot;CambriO/a MO/athO/&quot; wO/:csO/=&quot;?O/滤蝨hO/_GBh&quot;O/231&quot; O/2&quot;/ wO/&gt;&lt;ww:O/x:f:hO/ont wx:val=&quot;Cambria Math&quot;/&gt;&lt;w:i/&gt;&lt;w:sz w:val=&quot;21&quot;/&gt;&lt;w:sz-cs w:val=&quot;29&quot;/&gt;&lt;/w:rPr&gt;&lt;m:t&gt;n&lt;/m:t&gt;&lt;/m:r&gt;&lt;/m:sup&gt;&lt;m:e&gt;&lt;m:r&gt;&lt;w:rPr&gt;&lt;w:rFonts w:ascii=&quot;Cambria Math&quot; w:h-ansi=&quot;Cambria Math&quot; w:cs=&quot;仿iO/宋_GB MO/2312&quot;thO//&gt;&lt;wx wO/:fontcsO/ wx:v&quot;?O/al=&quot;CamO/bria MaO/th&quot;/&gt;&lt;wO/:i/&gt;&lt;w:O/sz w:vaO/l=&quot;21&quot;/O/&gt;&lt;w:sz-cs w:val=&quot;29&quot;/&gt;&lt;/w:rPr&gt;&lt;m:t&gt;ki&lt;/m:t&gt;&lt;/m:r&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65" chromakey="#FFFFFF" o:title=""/>
            <o:lock v:ext="edit" aspectratio="t"/>
            <w10:wrap type="none"/>
            <w10:anchorlock/>
          </v:shape>
        </w:pict>
      </w:r>
      <w:r>
        <w:rPr>
          <w:rFonts w:ascii="Arial" w:hAnsi="Arial" w:eastAsia="仿宋" w:cs="Arial"/>
          <w:color w:val="auto"/>
          <w:sz w:val="28"/>
        </w:rPr>
        <w:fldChar w:fldCharType="end"/>
      </w:r>
    </w:p>
    <w:p w14:paraId="3E029C51">
      <w:pPr>
        <w:adjustRightInd/>
        <w:spacing w:line="300" w:lineRule="auto"/>
        <w:ind w:firstLine="560" w:firstLineChars="200"/>
        <w:rPr>
          <w:rFonts w:ascii="Arial" w:hAnsi="Arial" w:eastAsia="仿宋" w:cs="Arial"/>
          <w:color w:val="auto"/>
          <w:sz w:val="28"/>
        </w:rPr>
      </w:pPr>
      <w:r>
        <w:rPr>
          <w:rFonts w:ascii="Arial" w:hAnsi="Arial" w:eastAsia="仿宋" w:cs="Arial"/>
          <w:color w:val="auto"/>
          <w:sz w:val="28"/>
        </w:rPr>
        <w:t>其中ki：第i种因素的修正系数</w:t>
      </w:r>
    </w:p>
    <w:p w14:paraId="6C750BC0">
      <w:pPr>
        <w:adjustRightInd/>
        <w:spacing w:line="300" w:lineRule="auto"/>
        <w:ind w:firstLine="560" w:firstLineChars="200"/>
        <w:rPr>
          <w:rFonts w:ascii="Arial" w:hAnsi="Arial" w:eastAsia="仿宋" w:cs="Arial"/>
          <w:color w:val="auto"/>
          <w:sz w:val="28"/>
        </w:rPr>
      </w:pPr>
      <w:r>
        <w:rPr>
          <w:rFonts w:ascii="Arial" w:hAnsi="Arial" w:eastAsia="仿宋" w:cs="Arial"/>
          <w:color w:val="auto"/>
          <w:sz w:val="28"/>
        </w:rPr>
        <w:t>各因素的修正系数根据影响地价的因素权重和因素总修正幅度确定。</w:t>
      </w:r>
    </w:p>
    <w:p w14:paraId="3C85E5D9">
      <w:pPr>
        <w:spacing w:line="360" w:lineRule="auto"/>
        <w:jc w:val="center"/>
        <w:rPr>
          <w:rFonts w:ascii="Arial" w:hAnsi="Arial" w:eastAsia="仿宋" w:cs="Arial"/>
          <w:color w:val="auto"/>
          <w:sz w:val="28"/>
          <w:szCs w:val="28"/>
        </w:rPr>
      </w:pPr>
      <w:r>
        <w:rPr>
          <w:rFonts w:ascii="Arial" w:hAnsi="Arial" w:eastAsia="仿宋" w:cs="Arial"/>
          <w:bCs/>
          <w:color w:val="auto"/>
          <w:sz w:val="28"/>
          <w:szCs w:val="28"/>
        </w:rPr>
        <w:t>北京市基准地价因素权重表</w:t>
      </w:r>
    </w:p>
    <w:tbl>
      <w:tblPr>
        <w:tblStyle w:val="34"/>
        <w:tblW w:w="4998" w:type="pct"/>
        <w:jc w:val="center"/>
        <w:tblLayout w:type="autofit"/>
        <w:tblCellMar>
          <w:top w:w="57" w:type="dxa"/>
          <w:left w:w="28" w:type="dxa"/>
          <w:bottom w:w="57" w:type="dxa"/>
          <w:right w:w="28" w:type="dxa"/>
        </w:tblCellMar>
      </w:tblPr>
      <w:tblGrid>
        <w:gridCol w:w="1415"/>
        <w:gridCol w:w="504"/>
        <w:gridCol w:w="1398"/>
        <w:gridCol w:w="502"/>
        <w:gridCol w:w="1378"/>
        <w:gridCol w:w="504"/>
        <w:gridCol w:w="1359"/>
        <w:gridCol w:w="502"/>
        <w:gridCol w:w="1341"/>
        <w:gridCol w:w="503"/>
      </w:tblGrid>
      <w:tr w14:paraId="7CFAA61E">
        <w:tblPrEx>
          <w:tblCellMar>
            <w:top w:w="57" w:type="dxa"/>
            <w:left w:w="28" w:type="dxa"/>
            <w:bottom w:w="57" w:type="dxa"/>
            <w:right w:w="28" w:type="dxa"/>
          </w:tblCellMar>
        </w:tblPrEx>
        <w:trPr>
          <w:cantSplit/>
          <w:jc w:val="center"/>
        </w:trPr>
        <w:tc>
          <w:tcPr>
            <w:tcW w:w="1020" w:type="pct"/>
            <w:gridSpan w:val="2"/>
            <w:tcBorders>
              <w:top w:val="single" w:color="404040" w:sz="8" w:space="0"/>
              <w:left w:val="single" w:color="404040" w:sz="8" w:space="0"/>
              <w:bottom w:val="single" w:color="404040" w:sz="8" w:space="0"/>
              <w:right w:val="single" w:color="404040" w:sz="8" w:space="0"/>
            </w:tcBorders>
            <w:shd w:val="clear" w:color="auto" w:fill="auto"/>
            <w:noWrap/>
            <w:vAlign w:val="center"/>
          </w:tcPr>
          <w:p w14:paraId="7A761BA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商业类</w:t>
            </w:r>
          </w:p>
        </w:tc>
        <w:tc>
          <w:tcPr>
            <w:tcW w:w="1010" w:type="pct"/>
            <w:gridSpan w:val="2"/>
            <w:tcBorders>
              <w:top w:val="single" w:color="404040" w:sz="8" w:space="0"/>
              <w:left w:val="nil"/>
              <w:bottom w:val="single" w:color="404040" w:sz="8" w:space="0"/>
              <w:right w:val="single" w:color="404040" w:sz="8" w:space="0"/>
            </w:tcBorders>
            <w:shd w:val="clear" w:color="auto" w:fill="auto"/>
            <w:noWrap/>
            <w:vAlign w:val="center"/>
          </w:tcPr>
          <w:p w14:paraId="6571155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办公类</w:t>
            </w:r>
          </w:p>
        </w:tc>
        <w:tc>
          <w:tcPr>
            <w:tcW w:w="1000" w:type="pct"/>
            <w:gridSpan w:val="2"/>
            <w:tcBorders>
              <w:top w:val="single" w:color="404040" w:sz="8" w:space="0"/>
              <w:left w:val="nil"/>
              <w:bottom w:val="single" w:color="404040" w:sz="8" w:space="0"/>
              <w:right w:val="single" w:color="404040" w:sz="8" w:space="0"/>
            </w:tcBorders>
            <w:shd w:val="clear" w:color="auto" w:fill="auto"/>
            <w:noWrap/>
            <w:vAlign w:val="center"/>
          </w:tcPr>
          <w:p w14:paraId="7FFE9F5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住宅类</w:t>
            </w:r>
          </w:p>
        </w:tc>
        <w:tc>
          <w:tcPr>
            <w:tcW w:w="989" w:type="pct"/>
            <w:gridSpan w:val="2"/>
            <w:tcBorders>
              <w:top w:val="single" w:color="404040" w:sz="8" w:space="0"/>
              <w:left w:val="nil"/>
              <w:bottom w:val="single" w:color="404040" w:sz="8" w:space="0"/>
              <w:right w:val="single" w:color="404040" w:sz="8" w:space="0"/>
            </w:tcBorders>
            <w:shd w:val="clear" w:color="auto" w:fill="auto"/>
            <w:noWrap/>
            <w:vAlign w:val="center"/>
          </w:tcPr>
          <w:p w14:paraId="7A15F90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工业类</w:t>
            </w:r>
          </w:p>
        </w:tc>
        <w:tc>
          <w:tcPr>
            <w:tcW w:w="979" w:type="pct"/>
            <w:gridSpan w:val="2"/>
            <w:tcBorders>
              <w:top w:val="single" w:color="404040" w:sz="8" w:space="0"/>
              <w:left w:val="nil"/>
              <w:bottom w:val="single" w:color="404040" w:sz="8" w:space="0"/>
              <w:right w:val="single" w:color="404040" w:sz="8" w:space="0"/>
            </w:tcBorders>
            <w:shd w:val="clear" w:color="auto" w:fill="auto"/>
            <w:noWrap/>
            <w:vAlign w:val="center"/>
          </w:tcPr>
          <w:p w14:paraId="56F9B21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公共服务类</w:t>
            </w:r>
          </w:p>
        </w:tc>
      </w:tr>
      <w:tr w14:paraId="185E6ECC">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noWrap/>
            <w:vAlign w:val="center"/>
          </w:tcPr>
          <w:p w14:paraId="45630BB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02C1BDE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743" w:type="pct"/>
            <w:tcBorders>
              <w:top w:val="nil"/>
              <w:left w:val="nil"/>
              <w:bottom w:val="single" w:color="404040" w:sz="8" w:space="0"/>
              <w:right w:val="single" w:color="404040" w:sz="8" w:space="0"/>
            </w:tcBorders>
            <w:shd w:val="clear" w:color="auto" w:fill="auto"/>
            <w:noWrap/>
            <w:vAlign w:val="center"/>
          </w:tcPr>
          <w:p w14:paraId="0D16403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78C221B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732" w:type="pct"/>
            <w:tcBorders>
              <w:top w:val="nil"/>
              <w:left w:val="nil"/>
              <w:bottom w:val="single" w:color="404040" w:sz="8" w:space="0"/>
              <w:right w:val="single" w:color="404040" w:sz="8" w:space="0"/>
            </w:tcBorders>
            <w:shd w:val="clear" w:color="auto" w:fill="auto"/>
            <w:noWrap/>
            <w:vAlign w:val="center"/>
          </w:tcPr>
          <w:p w14:paraId="26603FC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6DBBA2B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722" w:type="pct"/>
            <w:tcBorders>
              <w:top w:val="nil"/>
              <w:left w:val="nil"/>
              <w:bottom w:val="single" w:color="404040" w:sz="8" w:space="0"/>
              <w:right w:val="single" w:color="404040" w:sz="8" w:space="0"/>
            </w:tcBorders>
            <w:shd w:val="clear" w:color="auto" w:fill="auto"/>
            <w:noWrap/>
            <w:vAlign w:val="center"/>
          </w:tcPr>
          <w:p w14:paraId="31DF70C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266" w:type="pct"/>
            <w:tcBorders>
              <w:top w:val="nil"/>
              <w:left w:val="nil"/>
              <w:bottom w:val="single" w:color="404040" w:sz="8" w:space="0"/>
              <w:right w:val="single" w:color="404040" w:sz="8" w:space="0"/>
            </w:tcBorders>
            <w:shd w:val="clear" w:color="auto" w:fill="auto"/>
            <w:noWrap/>
            <w:vAlign w:val="center"/>
          </w:tcPr>
          <w:p w14:paraId="5138837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712" w:type="pct"/>
            <w:tcBorders>
              <w:top w:val="nil"/>
              <w:left w:val="nil"/>
              <w:bottom w:val="single" w:color="404040" w:sz="8" w:space="0"/>
              <w:right w:val="single" w:color="404040" w:sz="8" w:space="0"/>
            </w:tcBorders>
            <w:shd w:val="clear" w:color="auto" w:fill="auto"/>
            <w:noWrap/>
            <w:vAlign w:val="center"/>
          </w:tcPr>
          <w:p w14:paraId="78F0F0E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2AA5519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r>
      <w:tr w14:paraId="554E1141">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531BC96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商业繁华程度</w:t>
            </w:r>
          </w:p>
        </w:tc>
        <w:tc>
          <w:tcPr>
            <w:tcW w:w="267" w:type="pct"/>
            <w:tcBorders>
              <w:top w:val="nil"/>
              <w:left w:val="nil"/>
              <w:bottom w:val="single" w:color="404040" w:sz="8" w:space="0"/>
              <w:right w:val="single" w:color="404040" w:sz="8" w:space="0"/>
            </w:tcBorders>
            <w:shd w:val="clear" w:color="auto" w:fill="auto"/>
            <w:vAlign w:val="center"/>
          </w:tcPr>
          <w:p w14:paraId="5472890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743" w:type="pct"/>
            <w:tcBorders>
              <w:top w:val="nil"/>
              <w:left w:val="nil"/>
              <w:bottom w:val="single" w:color="404040" w:sz="8" w:space="0"/>
              <w:right w:val="single" w:color="404040" w:sz="8" w:space="0"/>
            </w:tcBorders>
            <w:shd w:val="clear" w:color="auto" w:fill="auto"/>
            <w:vAlign w:val="center"/>
          </w:tcPr>
          <w:p w14:paraId="1842F99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办公集聚程度</w:t>
            </w:r>
          </w:p>
        </w:tc>
        <w:tc>
          <w:tcPr>
            <w:tcW w:w="267" w:type="pct"/>
            <w:tcBorders>
              <w:top w:val="nil"/>
              <w:left w:val="nil"/>
              <w:bottom w:val="single" w:color="404040" w:sz="8" w:space="0"/>
              <w:right w:val="single" w:color="404040" w:sz="8" w:space="0"/>
            </w:tcBorders>
            <w:shd w:val="clear" w:color="auto" w:fill="auto"/>
            <w:vAlign w:val="center"/>
          </w:tcPr>
          <w:p w14:paraId="04B0009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732" w:type="pct"/>
            <w:tcBorders>
              <w:top w:val="nil"/>
              <w:left w:val="nil"/>
              <w:bottom w:val="single" w:color="404040" w:sz="8" w:space="0"/>
              <w:right w:val="single" w:color="404040" w:sz="8" w:space="0"/>
            </w:tcBorders>
            <w:shd w:val="clear" w:color="auto" w:fill="auto"/>
            <w:vAlign w:val="center"/>
          </w:tcPr>
          <w:p w14:paraId="545FF35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住宅社区成熟度</w:t>
            </w:r>
          </w:p>
        </w:tc>
        <w:tc>
          <w:tcPr>
            <w:tcW w:w="267" w:type="pct"/>
            <w:tcBorders>
              <w:top w:val="nil"/>
              <w:left w:val="nil"/>
              <w:bottom w:val="single" w:color="404040" w:sz="8" w:space="0"/>
              <w:right w:val="single" w:color="404040" w:sz="8" w:space="0"/>
            </w:tcBorders>
            <w:shd w:val="clear" w:color="auto" w:fill="auto"/>
            <w:vAlign w:val="center"/>
          </w:tcPr>
          <w:p w14:paraId="7D55F84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722" w:type="pct"/>
            <w:tcBorders>
              <w:top w:val="nil"/>
              <w:left w:val="nil"/>
              <w:bottom w:val="single" w:color="404040" w:sz="8" w:space="0"/>
              <w:right w:val="single" w:color="404040" w:sz="8" w:space="0"/>
            </w:tcBorders>
            <w:shd w:val="clear" w:color="auto" w:fill="auto"/>
            <w:vAlign w:val="center"/>
          </w:tcPr>
          <w:p w14:paraId="06BD6EB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产业集聚程度</w:t>
            </w:r>
          </w:p>
        </w:tc>
        <w:tc>
          <w:tcPr>
            <w:tcW w:w="266" w:type="pct"/>
            <w:tcBorders>
              <w:top w:val="nil"/>
              <w:left w:val="nil"/>
              <w:bottom w:val="single" w:color="404040" w:sz="8" w:space="0"/>
              <w:right w:val="single" w:color="404040" w:sz="8" w:space="0"/>
            </w:tcBorders>
            <w:shd w:val="clear" w:color="auto" w:fill="auto"/>
            <w:vAlign w:val="center"/>
          </w:tcPr>
          <w:p w14:paraId="457731E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c>
          <w:tcPr>
            <w:tcW w:w="712" w:type="pct"/>
            <w:tcBorders>
              <w:top w:val="nil"/>
              <w:left w:val="nil"/>
              <w:bottom w:val="single" w:color="404040" w:sz="8" w:space="0"/>
              <w:right w:val="single" w:color="404040" w:sz="8" w:space="0"/>
            </w:tcBorders>
            <w:shd w:val="clear" w:color="auto" w:fill="auto"/>
            <w:vAlign w:val="center"/>
          </w:tcPr>
          <w:p w14:paraId="3832F0A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物业集聚程度</w:t>
            </w:r>
          </w:p>
        </w:tc>
        <w:tc>
          <w:tcPr>
            <w:tcW w:w="267" w:type="pct"/>
            <w:tcBorders>
              <w:top w:val="nil"/>
              <w:left w:val="nil"/>
              <w:bottom w:val="single" w:color="404040" w:sz="8" w:space="0"/>
              <w:right w:val="single" w:color="404040" w:sz="8" w:space="0"/>
            </w:tcBorders>
            <w:shd w:val="clear" w:color="auto" w:fill="auto"/>
            <w:vAlign w:val="center"/>
          </w:tcPr>
          <w:p w14:paraId="527B6B3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r>
      <w:tr w14:paraId="5E61D15E">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50FCB35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267" w:type="pct"/>
            <w:tcBorders>
              <w:top w:val="nil"/>
              <w:left w:val="nil"/>
              <w:bottom w:val="single" w:color="404040" w:sz="8" w:space="0"/>
              <w:right w:val="single" w:color="404040" w:sz="8" w:space="0"/>
            </w:tcBorders>
            <w:shd w:val="clear" w:color="auto" w:fill="auto"/>
            <w:vAlign w:val="center"/>
          </w:tcPr>
          <w:p w14:paraId="62338B8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22%</w:t>
            </w:r>
          </w:p>
        </w:tc>
        <w:tc>
          <w:tcPr>
            <w:tcW w:w="743" w:type="pct"/>
            <w:tcBorders>
              <w:top w:val="nil"/>
              <w:left w:val="nil"/>
              <w:bottom w:val="single" w:color="404040" w:sz="8" w:space="0"/>
              <w:right w:val="single" w:color="404040" w:sz="8" w:space="0"/>
            </w:tcBorders>
            <w:shd w:val="clear" w:color="auto" w:fill="auto"/>
            <w:vAlign w:val="center"/>
          </w:tcPr>
          <w:p w14:paraId="2B87953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267" w:type="pct"/>
            <w:tcBorders>
              <w:top w:val="nil"/>
              <w:left w:val="nil"/>
              <w:bottom w:val="single" w:color="404040" w:sz="8" w:space="0"/>
              <w:right w:val="single" w:color="404040" w:sz="8" w:space="0"/>
            </w:tcBorders>
            <w:shd w:val="clear" w:color="auto" w:fill="auto"/>
            <w:vAlign w:val="center"/>
          </w:tcPr>
          <w:p w14:paraId="74D19B4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c>
          <w:tcPr>
            <w:tcW w:w="732" w:type="pct"/>
            <w:tcBorders>
              <w:top w:val="nil"/>
              <w:left w:val="nil"/>
              <w:bottom w:val="single" w:color="404040" w:sz="8" w:space="0"/>
              <w:right w:val="single" w:color="404040" w:sz="8" w:space="0"/>
            </w:tcBorders>
            <w:shd w:val="clear" w:color="auto" w:fill="auto"/>
            <w:vAlign w:val="center"/>
          </w:tcPr>
          <w:p w14:paraId="502793D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267" w:type="pct"/>
            <w:tcBorders>
              <w:top w:val="nil"/>
              <w:left w:val="nil"/>
              <w:bottom w:val="single" w:color="404040" w:sz="8" w:space="0"/>
              <w:right w:val="single" w:color="404040" w:sz="8" w:space="0"/>
            </w:tcBorders>
            <w:shd w:val="clear" w:color="auto" w:fill="auto"/>
            <w:vAlign w:val="center"/>
          </w:tcPr>
          <w:p w14:paraId="181CCCB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c>
          <w:tcPr>
            <w:tcW w:w="722" w:type="pct"/>
            <w:tcBorders>
              <w:top w:val="nil"/>
              <w:left w:val="nil"/>
              <w:bottom w:val="single" w:color="404040" w:sz="8" w:space="0"/>
              <w:right w:val="single" w:color="404040" w:sz="8" w:space="0"/>
            </w:tcBorders>
            <w:shd w:val="clear" w:color="auto" w:fill="auto"/>
            <w:vAlign w:val="center"/>
          </w:tcPr>
          <w:p w14:paraId="6B34198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266" w:type="pct"/>
            <w:tcBorders>
              <w:top w:val="nil"/>
              <w:left w:val="nil"/>
              <w:bottom w:val="single" w:color="404040" w:sz="8" w:space="0"/>
              <w:right w:val="single" w:color="404040" w:sz="8" w:space="0"/>
            </w:tcBorders>
            <w:shd w:val="clear" w:color="auto" w:fill="auto"/>
            <w:vAlign w:val="center"/>
          </w:tcPr>
          <w:p w14:paraId="0618F10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712" w:type="pct"/>
            <w:tcBorders>
              <w:top w:val="nil"/>
              <w:left w:val="nil"/>
              <w:bottom w:val="single" w:color="404040" w:sz="8" w:space="0"/>
              <w:right w:val="single" w:color="404040" w:sz="8" w:space="0"/>
            </w:tcBorders>
            <w:shd w:val="clear" w:color="auto" w:fill="auto"/>
            <w:vAlign w:val="center"/>
          </w:tcPr>
          <w:p w14:paraId="51644C5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267" w:type="pct"/>
            <w:tcBorders>
              <w:top w:val="nil"/>
              <w:left w:val="nil"/>
              <w:bottom w:val="single" w:color="404040" w:sz="8" w:space="0"/>
              <w:right w:val="single" w:color="404040" w:sz="8" w:space="0"/>
            </w:tcBorders>
            <w:shd w:val="clear" w:color="auto" w:fill="auto"/>
            <w:vAlign w:val="center"/>
          </w:tcPr>
          <w:p w14:paraId="78585E6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r>
      <w:tr w14:paraId="43B21E70">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2165625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72E4513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12%</w:t>
            </w:r>
          </w:p>
        </w:tc>
        <w:tc>
          <w:tcPr>
            <w:tcW w:w="743" w:type="pct"/>
            <w:tcBorders>
              <w:top w:val="nil"/>
              <w:left w:val="nil"/>
              <w:bottom w:val="single" w:color="404040" w:sz="8" w:space="0"/>
              <w:right w:val="single" w:color="404040" w:sz="8" w:space="0"/>
            </w:tcBorders>
            <w:shd w:val="clear" w:color="auto" w:fill="auto"/>
            <w:vAlign w:val="center"/>
          </w:tcPr>
          <w:p w14:paraId="2ECCA93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793DCBF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w:t>
            </w:r>
          </w:p>
        </w:tc>
        <w:tc>
          <w:tcPr>
            <w:tcW w:w="732" w:type="pct"/>
            <w:tcBorders>
              <w:top w:val="nil"/>
              <w:left w:val="nil"/>
              <w:bottom w:val="single" w:color="404040" w:sz="8" w:space="0"/>
              <w:right w:val="single" w:color="404040" w:sz="8" w:space="0"/>
            </w:tcBorders>
            <w:shd w:val="clear" w:color="auto" w:fill="auto"/>
            <w:vAlign w:val="center"/>
          </w:tcPr>
          <w:p w14:paraId="1D398C7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32FD52C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722" w:type="pct"/>
            <w:tcBorders>
              <w:top w:val="nil"/>
              <w:left w:val="nil"/>
              <w:bottom w:val="single" w:color="404040" w:sz="8" w:space="0"/>
              <w:right w:val="single" w:color="404040" w:sz="8" w:space="0"/>
            </w:tcBorders>
            <w:shd w:val="clear" w:color="auto" w:fill="auto"/>
            <w:vAlign w:val="center"/>
          </w:tcPr>
          <w:p w14:paraId="6A6D94F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266" w:type="pct"/>
            <w:tcBorders>
              <w:top w:val="nil"/>
              <w:left w:val="nil"/>
              <w:bottom w:val="single" w:color="404040" w:sz="8" w:space="0"/>
              <w:right w:val="single" w:color="404040" w:sz="8" w:space="0"/>
            </w:tcBorders>
            <w:shd w:val="clear" w:color="auto" w:fill="auto"/>
            <w:vAlign w:val="center"/>
          </w:tcPr>
          <w:p w14:paraId="6898E06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712" w:type="pct"/>
            <w:tcBorders>
              <w:top w:val="nil"/>
              <w:left w:val="nil"/>
              <w:bottom w:val="single" w:color="404040" w:sz="8" w:space="0"/>
              <w:right w:val="single" w:color="404040" w:sz="8" w:space="0"/>
            </w:tcBorders>
            <w:shd w:val="clear" w:color="auto" w:fill="auto"/>
            <w:vAlign w:val="center"/>
          </w:tcPr>
          <w:p w14:paraId="54D779E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75B3609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w:t>
            </w:r>
          </w:p>
        </w:tc>
      </w:tr>
      <w:tr w14:paraId="33B8D706">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29B7349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临街宽度和深度</w:t>
            </w:r>
          </w:p>
        </w:tc>
        <w:tc>
          <w:tcPr>
            <w:tcW w:w="267" w:type="pct"/>
            <w:tcBorders>
              <w:top w:val="nil"/>
              <w:left w:val="nil"/>
              <w:bottom w:val="single" w:color="404040" w:sz="8" w:space="0"/>
              <w:right w:val="single" w:color="404040" w:sz="8" w:space="0"/>
            </w:tcBorders>
            <w:shd w:val="clear" w:color="auto" w:fill="auto"/>
            <w:vAlign w:val="center"/>
          </w:tcPr>
          <w:p w14:paraId="11E389C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43" w:type="pct"/>
            <w:tcBorders>
              <w:top w:val="nil"/>
              <w:left w:val="nil"/>
              <w:bottom w:val="single" w:color="404040" w:sz="8" w:space="0"/>
              <w:right w:val="single" w:color="404040" w:sz="8" w:space="0"/>
            </w:tcBorders>
            <w:shd w:val="clear" w:color="auto" w:fill="auto"/>
            <w:vAlign w:val="center"/>
          </w:tcPr>
          <w:p w14:paraId="6401764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临街宽度和深度</w:t>
            </w:r>
          </w:p>
        </w:tc>
        <w:tc>
          <w:tcPr>
            <w:tcW w:w="267" w:type="pct"/>
            <w:tcBorders>
              <w:top w:val="nil"/>
              <w:left w:val="nil"/>
              <w:bottom w:val="single" w:color="404040" w:sz="8" w:space="0"/>
              <w:right w:val="single" w:color="404040" w:sz="8" w:space="0"/>
            </w:tcBorders>
            <w:shd w:val="clear" w:color="auto" w:fill="auto"/>
            <w:vAlign w:val="center"/>
          </w:tcPr>
          <w:p w14:paraId="69D69D8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32" w:type="pct"/>
            <w:tcBorders>
              <w:top w:val="nil"/>
              <w:left w:val="nil"/>
              <w:bottom w:val="single" w:color="404040" w:sz="8" w:space="0"/>
              <w:right w:val="single" w:color="404040" w:sz="8" w:space="0"/>
            </w:tcBorders>
            <w:shd w:val="clear" w:color="auto" w:fill="auto"/>
            <w:vAlign w:val="center"/>
          </w:tcPr>
          <w:p w14:paraId="77E28AB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临路状况</w:t>
            </w:r>
          </w:p>
        </w:tc>
        <w:tc>
          <w:tcPr>
            <w:tcW w:w="267" w:type="pct"/>
            <w:tcBorders>
              <w:top w:val="nil"/>
              <w:left w:val="nil"/>
              <w:bottom w:val="single" w:color="404040" w:sz="8" w:space="0"/>
              <w:right w:val="single" w:color="404040" w:sz="8" w:space="0"/>
            </w:tcBorders>
            <w:shd w:val="clear" w:color="auto" w:fill="auto"/>
            <w:vAlign w:val="center"/>
          </w:tcPr>
          <w:p w14:paraId="2A59D47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22" w:type="pct"/>
            <w:tcBorders>
              <w:top w:val="nil"/>
              <w:left w:val="nil"/>
              <w:bottom w:val="single" w:color="404040" w:sz="8" w:space="0"/>
              <w:right w:val="single" w:color="404040" w:sz="8" w:space="0"/>
            </w:tcBorders>
            <w:shd w:val="clear" w:color="auto" w:fill="auto"/>
            <w:vAlign w:val="center"/>
          </w:tcPr>
          <w:p w14:paraId="70F9BAB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临路状况</w:t>
            </w:r>
          </w:p>
        </w:tc>
        <w:tc>
          <w:tcPr>
            <w:tcW w:w="266" w:type="pct"/>
            <w:tcBorders>
              <w:top w:val="nil"/>
              <w:left w:val="nil"/>
              <w:bottom w:val="single" w:color="404040" w:sz="8" w:space="0"/>
              <w:right w:val="single" w:color="404040" w:sz="8" w:space="0"/>
            </w:tcBorders>
            <w:shd w:val="clear" w:color="auto" w:fill="auto"/>
            <w:vAlign w:val="center"/>
          </w:tcPr>
          <w:p w14:paraId="3C5C4A7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12" w:type="pct"/>
            <w:tcBorders>
              <w:top w:val="nil"/>
              <w:left w:val="nil"/>
              <w:bottom w:val="single" w:color="404040" w:sz="8" w:space="0"/>
              <w:right w:val="single" w:color="404040" w:sz="8" w:space="0"/>
            </w:tcBorders>
            <w:shd w:val="clear" w:color="auto" w:fill="auto"/>
            <w:vAlign w:val="center"/>
          </w:tcPr>
          <w:p w14:paraId="0CA6BD8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临街宽度和深度</w:t>
            </w:r>
          </w:p>
        </w:tc>
        <w:tc>
          <w:tcPr>
            <w:tcW w:w="267" w:type="pct"/>
            <w:tcBorders>
              <w:top w:val="nil"/>
              <w:left w:val="nil"/>
              <w:bottom w:val="single" w:color="404040" w:sz="8" w:space="0"/>
              <w:right w:val="single" w:color="404040" w:sz="8" w:space="0"/>
            </w:tcBorders>
            <w:shd w:val="clear" w:color="auto" w:fill="auto"/>
            <w:vAlign w:val="center"/>
          </w:tcPr>
          <w:p w14:paraId="5DD94EB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r>
      <w:tr w14:paraId="76DB148E">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2DBEC88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临街道路状况</w:t>
            </w:r>
          </w:p>
        </w:tc>
        <w:tc>
          <w:tcPr>
            <w:tcW w:w="267" w:type="pct"/>
            <w:tcBorders>
              <w:top w:val="nil"/>
              <w:left w:val="nil"/>
              <w:bottom w:val="single" w:color="404040" w:sz="8" w:space="0"/>
              <w:right w:val="single" w:color="404040" w:sz="8" w:space="0"/>
            </w:tcBorders>
            <w:shd w:val="clear" w:color="auto" w:fill="auto"/>
            <w:vAlign w:val="center"/>
          </w:tcPr>
          <w:p w14:paraId="0E57E3D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w:t>
            </w:r>
          </w:p>
        </w:tc>
        <w:tc>
          <w:tcPr>
            <w:tcW w:w="743" w:type="pct"/>
            <w:tcBorders>
              <w:top w:val="nil"/>
              <w:left w:val="nil"/>
              <w:bottom w:val="single" w:color="404040" w:sz="8" w:space="0"/>
              <w:right w:val="single" w:color="404040" w:sz="8" w:space="0"/>
            </w:tcBorders>
            <w:shd w:val="clear" w:color="auto" w:fill="auto"/>
            <w:vAlign w:val="center"/>
          </w:tcPr>
          <w:p w14:paraId="72F4CE1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临街道路状况</w:t>
            </w:r>
          </w:p>
        </w:tc>
        <w:tc>
          <w:tcPr>
            <w:tcW w:w="267" w:type="pct"/>
            <w:tcBorders>
              <w:top w:val="nil"/>
              <w:left w:val="nil"/>
              <w:bottom w:val="single" w:color="404040" w:sz="8" w:space="0"/>
              <w:right w:val="single" w:color="404040" w:sz="8" w:space="0"/>
            </w:tcBorders>
            <w:shd w:val="clear" w:color="auto" w:fill="auto"/>
            <w:vAlign w:val="center"/>
          </w:tcPr>
          <w:p w14:paraId="516067F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32" w:type="pct"/>
            <w:tcBorders>
              <w:top w:val="nil"/>
              <w:left w:val="nil"/>
              <w:bottom w:val="single" w:color="404040" w:sz="8" w:space="0"/>
              <w:right w:val="single" w:color="404040" w:sz="8" w:space="0"/>
            </w:tcBorders>
            <w:shd w:val="clear" w:color="auto" w:fill="auto"/>
            <w:vAlign w:val="center"/>
          </w:tcPr>
          <w:p w14:paraId="6A8954E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2799E1A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w:t>
            </w:r>
          </w:p>
        </w:tc>
        <w:tc>
          <w:tcPr>
            <w:tcW w:w="722" w:type="pct"/>
            <w:tcBorders>
              <w:top w:val="nil"/>
              <w:left w:val="nil"/>
              <w:bottom w:val="single" w:color="404040" w:sz="8" w:space="0"/>
              <w:right w:val="single" w:color="404040" w:sz="8" w:space="0"/>
            </w:tcBorders>
            <w:shd w:val="clear" w:color="auto" w:fill="auto"/>
            <w:vAlign w:val="center"/>
          </w:tcPr>
          <w:p w14:paraId="3B957C1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66" w:type="pct"/>
            <w:tcBorders>
              <w:top w:val="nil"/>
              <w:left w:val="nil"/>
              <w:bottom w:val="single" w:color="404040" w:sz="8" w:space="0"/>
              <w:right w:val="single" w:color="404040" w:sz="8" w:space="0"/>
            </w:tcBorders>
            <w:shd w:val="clear" w:color="auto" w:fill="auto"/>
            <w:vAlign w:val="center"/>
          </w:tcPr>
          <w:p w14:paraId="0FB9C77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712" w:type="pct"/>
            <w:tcBorders>
              <w:top w:val="nil"/>
              <w:left w:val="nil"/>
              <w:bottom w:val="single" w:color="404040" w:sz="8" w:space="0"/>
              <w:right w:val="single" w:color="404040" w:sz="8" w:space="0"/>
            </w:tcBorders>
            <w:shd w:val="clear" w:color="auto" w:fill="auto"/>
            <w:vAlign w:val="center"/>
          </w:tcPr>
          <w:p w14:paraId="5509628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临街道路状况</w:t>
            </w:r>
          </w:p>
        </w:tc>
        <w:tc>
          <w:tcPr>
            <w:tcW w:w="267" w:type="pct"/>
            <w:tcBorders>
              <w:top w:val="nil"/>
              <w:left w:val="nil"/>
              <w:bottom w:val="single" w:color="404040" w:sz="8" w:space="0"/>
              <w:right w:val="single" w:color="404040" w:sz="8" w:space="0"/>
            </w:tcBorders>
            <w:shd w:val="clear" w:color="auto" w:fill="auto"/>
            <w:vAlign w:val="center"/>
          </w:tcPr>
          <w:p w14:paraId="28B5D10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r>
      <w:tr w14:paraId="1E3121EC">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27029DD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37F0EAA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43" w:type="pct"/>
            <w:tcBorders>
              <w:top w:val="nil"/>
              <w:left w:val="nil"/>
              <w:bottom w:val="single" w:color="404040" w:sz="8" w:space="0"/>
              <w:right w:val="single" w:color="404040" w:sz="8" w:space="0"/>
            </w:tcBorders>
            <w:shd w:val="clear" w:color="auto" w:fill="auto"/>
            <w:vAlign w:val="center"/>
          </w:tcPr>
          <w:p w14:paraId="6DA8CBA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3293403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732" w:type="pct"/>
            <w:tcBorders>
              <w:top w:val="nil"/>
              <w:left w:val="nil"/>
              <w:bottom w:val="single" w:color="404040" w:sz="8" w:space="0"/>
              <w:right w:val="single" w:color="404040" w:sz="8" w:space="0"/>
            </w:tcBorders>
            <w:shd w:val="clear" w:color="auto" w:fill="auto"/>
            <w:vAlign w:val="center"/>
          </w:tcPr>
          <w:p w14:paraId="58F8A28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7B9498F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22" w:type="pct"/>
            <w:tcBorders>
              <w:top w:val="nil"/>
              <w:left w:val="nil"/>
              <w:bottom w:val="single" w:color="404040" w:sz="8" w:space="0"/>
              <w:right w:val="single" w:color="404040" w:sz="8" w:space="0"/>
            </w:tcBorders>
            <w:shd w:val="clear" w:color="auto" w:fill="auto"/>
            <w:vAlign w:val="center"/>
          </w:tcPr>
          <w:p w14:paraId="36F4FE6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66" w:type="pct"/>
            <w:tcBorders>
              <w:top w:val="nil"/>
              <w:left w:val="nil"/>
              <w:bottom w:val="single" w:color="404040" w:sz="8" w:space="0"/>
              <w:right w:val="single" w:color="404040" w:sz="8" w:space="0"/>
            </w:tcBorders>
            <w:shd w:val="clear" w:color="auto" w:fill="auto"/>
            <w:vAlign w:val="center"/>
          </w:tcPr>
          <w:p w14:paraId="75A3FA4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712" w:type="pct"/>
            <w:tcBorders>
              <w:top w:val="nil"/>
              <w:left w:val="nil"/>
              <w:bottom w:val="single" w:color="404040" w:sz="8" w:space="0"/>
              <w:right w:val="single" w:color="404040" w:sz="8" w:space="0"/>
            </w:tcBorders>
            <w:shd w:val="clear" w:color="auto" w:fill="auto"/>
            <w:vAlign w:val="center"/>
          </w:tcPr>
          <w:p w14:paraId="2A4BB43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0FB3DE0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r>
      <w:tr w14:paraId="5A0C0EBC">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41FB11D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1D42332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43" w:type="pct"/>
            <w:tcBorders>
              <w:top w:val="nil"/>
              <w:left w:val="nil"/>
              <w:bottom w:val="single" w:color="404040" w:sz="8" w:space="0"/>
              <w:right w:val="single" w:color="404040" w:sz="8" w:space="0"/>
            </w:tcBorders>
            <w:shd w:val="clear" w:color="auto" w:fill="auto"/>
            <w:vAlign w:val="center"/>
          </w:tcPr>
          <w:p w14:paraId="0D54821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09C77AA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732" w:type="pct"/>
            <w:tcBorders>
              <w:top w:val="nil"/>
              <w:left w:val="nil"/>
              <w:bottom w:val="single" w:color="404040" w:sz="8" w:space="0"/>
              <w:right w:val="single" w:color="404040" w:sz="8" w:space="0"/>
            </w:tcBorders>
            <w:shd w:val="clear" w:color="auto" w:fill="auto"/>
            <w:vAlign w:val="center"/>
          </w:tcPr>
          <w:p w14:paraId="7DF3464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2E048ED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9%</w:t>
            </w:r>
          </w:p>
        </w:tc>
        <w:tc>
          <w:tcPr>
            <w:tcW w:w="722" w:type="pct"/>
            <w:tcBorders>
              <w:top w:val="nil"/>
              <w:left w:val="nil"/>
              <w:bottom w:val="single" w:color="404040" w:sz="8" w:space="0"/>
              <w:right w:val="single" w:color="404040" w:sz="8" w:space="0"/>
            </w:tcBorders>
            <w:shd w:val="clear" w:color="auto" w:fill="auto"/>
            <w:vAlign w:val="center"/>
          </w:tcPr>
          <w:p w14:paraId="278C409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66" w:type="pct"/>
            <w:tcBorders>
              <w:top w:val="nil"/>
              <w:left w:val="nil"/>
              <w:bottom w:val="single" w:color="404040" w:sz="8" w:space="0"/>
              <w:right w:val="single" w:color="404040" w:sz="8" w:space="0"/>
            </w:tcBorders>
            <w:shd w:val="clear" w:color="auto" w:fill="auto"/>
            <w:vAlign w:val="center"/>
          </w:tcPr>
          <w:p w14:paraId="240E368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12%</w:t>
            </w:r>
          </w:p>
        </w:tc>
        <w:tc>
          <w:tcPr>
            <w:tcW w:w="712" w:type="pct"/>
            <w:tcBorders>
              <w:top w:val="nil"/>
              <w:left w:val="nil"/>
              <w:bottom w:val="single" w:color="404040" w:sz="8" w:space="0"/>
              <w:right w:val="single" w:color="404040" w:sz="8" w:space="0"/>
            </w:tcBorders>
            <w:shd w:val="clear" w:color="auto" w:fill="auto"/>
            <w:vAlign w:val="center"/>
          </w:tcPr>
          <w:p w14:paraId="5DADC57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28C1663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r>
      <w:tr w14:paraId="6A5C117B">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396F364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77441A4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w:t>
            </w:r>
          </w:p>
        </w:tc>
        <w:tc>
          <w:tcPr>
            <w:tcW w:w="743" w:type="pct"/>
            <w:tcBorders>
              <w:top w:val="nil"/>
              <w:left w:val="nil"/>
              <w:bottom w:val="single" w:color="404040" w:sz="8" w:space="0"/>
              <w:right w:val="single" w:color="404040" w:sz="8" w:space="0"/>
            </w:tcBorders>
            <w:shd w:val="clear" w:color="auto" w:fill="auto"/>
            <w:vAlign w:val="center"/>
          </w:tcPr>
          <w:p w14:paraId="5E1F837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0D78984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9%</w:t>
            </w:r>
          </w:p>
        </w:tc>
        <w:tc>
          <w:tcPr>
            <w:tcW w:w="732" w:type="pct"/>
            <w:tcBorders>
              <w:top w:val="nil"/>
              <w:left w:val="nil"/>
              <w:bottom w:val="single" w:color="404040" w:sz="8" w:space="0"/>
              <w:right w:val="single" w:color="404040" w:sz="8" w:space="0"/>
            </w:tcBorders>
            <w:shd w:val="clear" w:color="auto" w:fill="auto"/>
            <w:vAlign w:val="center"/>
          </w:tcPr>
          <w:p w14:paraId="09E0A0E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7B7209F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12%</w:t>
            </w:r>
          </w:p>
        </w:tc>
        <w:tc>
          <w:tcPr>
            <w:tcW w:w="722" w:type="pct"/>
            <w:tcBorders>
              <w:top w:val="nil"/>
              <w:left w:val="nil"/>
              <w:bottom w:val="single" w:color="404040" w:sz="8" w:space="0"/>
              <w:right w:val="single" w:color="404040" w:sz="8" w:space="0"/>
            </w:tcBorders>
            <w:shd w:val="clear" w:color="auto" w:fill="auto"/>
            <w:vAlign w:val="center"/>
          </w:tcPr>
          <w:p w14:paraId="065D83A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环境状况</w:t>
            </w:r>
          </w:p>
        </w:tc>
        <w:tc>
          <w:tcPr>
            <w:tcW w:w="266" w:type="pct"/>
            <w:tcBorders>
              <w:top w:val="nil"/>
              <w:left w:val="nil"/>
              <w:bottom w:val="single" w:color="404040" w:sz="8" w:space="0"/>
              <w:right w:val="single" w:color="404040" w:sz="8" w:space="0"/>
            </w:tcBorders>
            <w:shd w:val="clear" w:color="auto" w:fill="auto"/>
            <w:vAlign w:val="center"/>
          </w:tcPr>
          <w:p w14:paraId="52293B4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12" w:type="pct"/>
            <w:tcBorders>
              <w:top w:val="nil"/>
              <w:left w:val="nil"/>
              <w:bottom w:val="single" w:color="404040" w:sz="8" w:space="0"/>
              <w:right w:val="single" w:color="404040" w:sz="8" w:space="0"/>
            </w:tcBorders>
            <w:shd w:val="clear" w:color="auto" w:fill="auto"/>
            <w:vAlign w:val="center"/>
          </w:tcPr>
          <w:p w14:paraId="7A812C3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0772C22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9%</w:t>
            </w:r>
          </w:p>
        </w:tc>
      </w:tr>
      <w:tr w14:paraId="375E12DD">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1834782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7E49410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43" w:type="pct"/>
            <w:tcBorders>
              <w:top w:val="nil"/>
              <w:left w:val="nil"/>
              <w:bottom w:val="single" w:color="404040" w:sz="8" w:space="0"/>
              <w:right w:val="single" w:color="404040" w:sz="8" w:space="0"/>
            </w:tcBorders>
            <w:shd w:val="clear" w:color="auto" w:fill="auto"/>
            <w:vAlign w:val="center"/>
          </w:tcPr>
          <w:p w14:paraId="79F2CCE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1E9C289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w:t>
            </w:r>
          </w:p>
        </w:tc>
        <w:tc>
          <w:tcPr>
            <w:tcW w:w="732" w:type="pct"/>
            <w:tcBorders>
              <w:top w:val="nil"/>
              <w:left w:val="nil"/>
              <w:bottom w:val="single" w:color="404040" w:sz="8" w:space="0"/>
              <w:right w:val="single" w:color="404040" w:sz="8" w:space="0"/>
            </w:tcBorders>
            <w:shd w:val="clear" w:color="auto" w:fill="auto"/>
            <w:vAlign w:val="center"/>
          </w:tcPr>
          <w:p w14:paraId="1A2F9E8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与区域中心的接近程度</w:t>
            </w:r>
          </w:p>
        </w:tc>
        <w:tc>
          <w:tcPr>
            <w:tcW w:w="267" w:type="pct"/>
            <w:tcBorders>
              <w:top w:val="nil"/>
              <w:left w:val="nil"/>
              <w:bottom w:val="single" w:color="404040" w:sz="8" w:space="0"/>
              <w:right w:val="single" w:color="404040" w:sz="8" w:space="0"/>
            </w:tcBorders>
            <w:shd w:val="clear" w:color="auto" w:fill="auto"/>
            <w:vAlign w:val="center"/>
          </w:tcPr>
          <w:p w14:paraId="1DEAEFC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22" w:type="pct"/>
            <w:tcBorders>
              <w:top w:val="nil"/>
              <w:left w:val="nil"/>
              <w:bottom w:val="single" w:color="404040" w:sz="8" w:space="0"/>
              <w:right w:val="single" w:color="404040" w:sz="8" w:space="0"/>
            </w:tcBorders>
            <w:shd w:val="clear" w:color="auto" w:fill="auto"/>
            <w:vAlign w:val="center"/>
          </w:tcPr>
          <w:p w14:paraId="45BB1A6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266" w:type="pct"/>
            <w:tcBorders>
              <w:top w:val="nil"/>
              <w:left w:val="nil"/>
              <w:bottom w:val="single" w:color="404040" w:sz="8" w:space="0"/>
              <w:right w:val="single" w:color="404040" w:sz="8" w:space="0"/>
            </w:tcBorders>
            <w:shd w:val="clear" w:color="auto" w:fill="auto"/>
            <w:vAlign w:val="center"/>
          </w:tcPr>
          <w:p w14:paraId="36FE9E0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712" w:type="pct"/>
            <w:tcBorders>
              <w:top w:val="nil"/>
              <w:left w:val="nil"/>
              <w:bottom w:val="single" w:color="404040" w:sz="8" w:space="0"/>
              <w:right w:val="single" w:color="404040" w:sz="8" w:space="0"/>
            </w:tcBorders>
            <w:shd w:val="clear" w:color="auto" w:fill="auto"/>
            <w:vAlign w:val="center"/>
          </w:tcPr>
          <w:p w14:paraId="2688566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09080E8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w:t>
            </w:r>
          </w:p>
        </w:tc>
      </w:tr>
    </w:tbl>
    <w:p w14:paraId="061EBA2A">
      <w:pPr>
        <w:spacing w:before="240" w:beforeLines="100"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估价对象位于住宅类</w:t>
      </w:r>
      <w:r>
        <w:rPr>
          <w:rFonts w:hint="eastAsia" w:ascii="Arial" w:hAnsi="Arial" w:eastAsia="仿宋" w:cs="Arial"/>
          <w:color w:val="auto"/>
          <w:sz w:val="28"/>
          <w:szCs w:val="28"/>
        </w:rPr>
        <w:t>九</w:t>
      </w:r>
      <w:r>
        <w:rPr>
          <w:rFonts w:ascii="Arial" w:hAnsi="Arial" w:eastAsia="仿宋" w:cs="Arial"/>
          <w:color w:val="auto"/>
          <w:sz w:val="28"/>
          <w:szCs w:val="28"/>
        </w:rPr>
        <w:t>级地价区，该级别《区片基准地价因素总修正幅度表》如下：</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5"/>
        <w:gridCol w:w="2021"/>
        <w:gridCol w:w="1290"/>
        <w:gridCol w:w="1290"/>
        <w:gridCol w:w="1290"/>
        <w:gridCol w:w="1139"/>
        <w:gridCol w:w="1439"/>
      </w:tblGrid>
      <w:tr w14:paraId="38BEA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tblHeader/>
          <w:jc w:val="center"/>
        </w:trPr>
        <w:tc>
          <w:tcPr>
            <w:tcW w:w="572" w:type="pct"/>
            <w:shd w:val="clear" w:color="auto" w:fill="auto"/>
            <w:vAlign w:val="center"/>
          </w:tcPr>
          <w:p w14:paraId="64F5C4F8">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级别</w:t>
            </w:r>
          </w:p>
        </w:tc>
        <w:tc>
          <w:tcPr>
            <w:tcW w:w="1056" w:type="pct"/>
            <w:shd w:val="clear" w:color="auto" w:fill="auto"/>
            <w:vAlign w:val="center"/>
          </w:tcPr>
          <w:p w14:paraId="669BF1CC">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区片编号</w:t>
            </w:r>
          </w:p>
        </w:tc>
        <w:tc>
          <w:tcPr>
            <w:tcW w:w="674" w:type="pct"/>
            <w:shd w:val="clear" w:color="auto" w:fill="auto"/>
            <w:vAlign w:val="center"/>
          </w:tcPr>
          <w:p w14:paraId="75975CEF">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商业类</w:t>
            </w:r>
          </w:p>
        </w:tc>
        <w:tc>
          <w:tcPr>
            <w:tcW w:w="674" w:type="pct"/>
            <w:shd w:val="clear" w:color="auto" w:fill="auto"/>
            <w:vAlign w:val="center"/>
          </w:tcPr>
          <w:p w14:paraId="6B793189">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办公类</w:t>
            </w:r>
          </w:p>
        </w:tc>
        <w:tc>
          <w:tcPr>
            <w:tcW w:w="674" w:type="pct"/>
            <w:shd w:val="clear" w:color="auto" w:fill="auto"/>
            <w:vAlign w:val="center"/>
          </w:tcPr>
          <w:p w14:paraId="7408C006">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住宅类</w:t>
            </w:r>
          </w:p>
        </w:tc>
        <w:tc>
          <w:tcPr>
            <w:tcW w:w="595" w:type="pct"/>
            <w:shd w:val="clear" w:color="auto" w:fill="auto"/>
            <w:vAlign w:val="center"/>
          </w:tcPr>
          <w:p w14:paraId="76A640D4">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工业类</w:t>
            </w:r>
          </w:p>
        </w:tc>
        <w:tc>
          <w:tcPr>
            <w:tcW w:w="752" w:type="pct"/>
            <w:shd w:val="clear" w:color="auto" w:fill="auto"/>
            <w:vAlign w:val="center"/>
          </w:tcPr>
          <w:p w14:paraId="34C47FD1">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公共服务类</w:t>
            </w:r>
          </w:p>
        </w:tc>
      </w:tr>
      <w:tr w14:paraId="7DAA2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restart"/>
            <w:shd w:val="clear" w:color="auto" w:fill="auto"/>
            <w:vAlign w:val="center"/>
          </w:tcPr>
          <w:p w14:paraId="53B1BE9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九级</w:t>
            </w:r>
          </w:p>
        </w:tc>
        <w:tc>
          <w:tcPr>
            <w:tcW w:w="1056" w:type="pct"/>
            <w:shd w:val="clear" w:color="auto" w:fill="auto"/>
            <w:vAlign w:val="center"/>
          </w:tcPr>
          <w:p w14:paraId="4271871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Ⅸ－01</w:t>
            </w:r>
          </w:p>
        </w:tc>
        <w:tc>
          <w:tcPr>
            <w:tcW w:w="674" w:type="pct"/>
            <w:shd w:val="clear" w:color="auto" w:fill="auto"/>
            <w:vAlign w:val="center"/>
          </w:tcPr>
          <w:p w14:paraId="169BEBF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171E05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9C1030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3A955DD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7E228DB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6250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628A3F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2677A8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Ⅸ－02</w:t>
            </w:r>
          </w:p>
        </w:tc>
        <w:tc>
          <w:tcPr>
            <w:tcW w:w="674" w:type="pct"/>
            <w:shd w:val="clear" w:color="auto" w:fill="auto"/>
            <w:vAlign w:val="center"/>
          </w:tcPr>
          <w:p w14:paraId="7786EFC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3EF553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6BDF87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86A968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73F4AF3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47F03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CC814A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A931D6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Ⅸ－门1</w:t>
            </w:r>
          </w:p>
        </w:tc>
        <w:tc>
          <w:tcPr>
            <w:tcW w:w="674" w:type="pct"/>
            <w:shd w:val="clear" w:color="auto" w:fill="auto"/>
            <w:vAlign w:val="center"/>
          </w:tcPr>
          <w:p w14:paraId="348C94C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A4998F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70F0D9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EC3EE4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6592A62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60A0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087788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CD4AD2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Ⅸ－门2</w:t>
            </w:r>
          </w:p>
        </w:tc>
        <w:tc>
          <w:tcPr>
            <w:tcW w:w="674" w:type="pct"/>
            <w:shd w:val="clear" w:color="auto" w:fill="auto"/>
            <w:vAlign w:val="center"/>
          </w:tcPr>
          <w:p w14:paraId="4A45611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5E2B6D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45A5FA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2EC56D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12E0557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453DA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4B83EF6">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6D24E0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Ⅸ－门潭</w:t>
            </w:r>
          </w:p>
        </w:tc>
        <w:tc>
          <w:tcPr>
            <w:tcW w:w="674" w:type="pct"/>
            <w:shd w:val="clear" w:color="auto" w:fill="auto"/>
            <w:vAlign w:val="center"/>
          </w:tcPr>
          <w:p w14:paraId="6A626B8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FE555B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E808A5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41827A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457B495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31C5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40393F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8EB5EB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Ⅸ－房1</w:t>
            </w:r>
          </w:p>
        </w:tc>
        <w:tc>
          <w:tcPr>
            <w:tcW w:w="674" w:type="pct"/>
            <w:shd w:val="clear" w:color="auto" w:fill="auto"/>
            <w:vAlign w:val="center"/>
          </w:tcPr>
          <w:p w14:paraId="76A4F79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F00369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93895C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561DCC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454440E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9BEA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61A9AC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A34541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Ⅸ－房2</w:t>
            </w:r>
          </w:p>
        </w:tc>
        <w:tc>
          <w:tcPr>
            <w:tcW w:w="674" w:type="pct"/>
            <w:shd w:val="clear" w:color="auto" w:fill="auto"/>
            <w:vAlign w:val="center"/>
          </w:tcPr>
          <w:p w14:paraId="6B70227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26610E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9E005F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8D64EA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7F5790E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47FD7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59617D1">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48A77B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Ⅸ－房3</w:t>
            </w:r>
          </w:p>
        </w:tc>
        <w:tc>
          <w:tcPr>
            <w:tcW w:w="674" w:type="pct"/>
            <w:shd w:val="clear" w:color="auto" w:fill="auto"/>
            <w:vAlign w:val="center"/>
          </w:tcPr>
          <w:p w14:paraId="7274980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06DF32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8F5A4A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0ADE93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7CAFD54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69162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F43F412">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AC12C1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Ⅸ－房4</w:t>
            </w:r>
          </w:p>
        </w:tc>
        <w:tc>
          <w:tcPr>
            <w:tcW w:w="674" w:type="pct"/>
            <w:shd w:val="clear" w:color="auto" w:fill="auto"/>
            <w:vAlign w:val="center"/>
          </w:tcPr>
          <w:p w14:paraId="452EAC4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3875C4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1A7B29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658CCFC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1959AE4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408D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BACDEB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2DE408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Ⅸ－房5</w:t>
            </w:r>
          </w:p>
        </w:tc>
        <w:tc>
          <w:tcPr>
            <w:tcW w:w="674" w:type="pct"/>
            <w:shd w:val="clear" w:color="auto" w:fill="auto"/>
            <w:vAlign w:val="center"/>
          </w:tcPr>
          <w:p w14:paraId="32E36AA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674" w:type="pct"/>
            <w:shd w:val="clear" w:color="auto" w:fill="auto"/>
            <w:vAlign w:val="center"/>
          </w:tcPr>
          <w:p w14:paraId="04815EC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674" w:type="pct"/>
            <w:shd w:val="clear" w:color="auto" w:fill="auto"/>
            <w:vAlign w:val="center"/>
          </w:tcPr>
          <w:p w14:paraId="11968A3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4059F0F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752" w:type="pct"/>
            <w:shd w:val="clear" w:color="auto" w:fill="auto"/>
            <w:vAlign w:val="center"/>
          </w:tcPr>
          <w:p w14:paraId="507705E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r>
      <w:tr w14:paraId="1E443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0855BB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3EDA8B3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Ⅸ－通1</w:t>
            </w:r>
          </w:p>
        </w:tc>
        <w:tc>
          <w:tcPr>
            <w:tcW w:w="674" w:type="pct"/>
            <w:shd w:val="clear" w:color="auto" w:fill="auto"/>
            <w:vAlign w:val="center"/>
          </w:tcPr>
          <w:p w14:paraId="0AB99F3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11.00%</w:t>
            </w:r>
          </w:p>
        </w:tc>
        <w:tc>
          <w:tcPr>
            <w:tcW w:w="674" w:type="pct"/>
            <w:shd w:val="clear" w:color="auto" w:fill="auto"/>
            <w:vAlign w:val="center"/>
          </w:tcPr>
          <w:p w14:paraId="4A238A3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11.10%</w:t>
            </w:r>
          </w:p>
        </w:tc>
        <w:tc>
          <w:tcPr>
            <w:tcW w:w="674" w:type="pct"/>
            <w:shd w:val="clear" w:color="auto" w:fill="auto"/>
            <w:vAlign w:val="center"/>
          </w:tcPr>
          <w:p w14:paraId="5338DF6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595" w:type="pct"/>
            <w:shd w:val="clear" w:color="auto" w:fill="auto"/>
            <w:vAlign w:val="center"/>
          </w:tcPr>
          <w:p w14:paraId="14516C3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11.00%</w:t>
            </w:r>
          </w:p>
        </w:tc>
        <w:tc>
          <w:tcPr>
            <w:tcW w:w="752" w:type="pct"/>
            <w:shd w:val="clear" w:color="auto" w:fill="auto"/>
            <w:vAlign w:val="center"/>
          </w:tcPr>
          <w:p w14:paraId="0DA02CB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12.00%</w:t>
            </w:r>
          </w:p>
        </w:tc>
      </w:tr>
      <w:tr w14:paraId="04B01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1974F1E">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DE319F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Ⅸ－通2</w:t>
            </w:r>
          </w:p>
        </w:tc>
        <w:tc>
          <w:tcPr>
            <w:tcW w:w="674" w:type="pct"/>
            <w:shd w:val="clear" w:color="auto" w:fill="auto"/>
            <w:vAlign w:val="center"/>
          </w:tcPr>
          <w:p w14:paraId="1BA0843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674" w:type="pct"/>
            <w:shd w:val="clear" w:color="auto" w:fill="auto"/>
            <w:vAlign w:val="center"/>
          </w:tcPr>
          <w:p w14:paraId="7B5D0DA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14.30%</w:t>
            </w:r>
          </w:p>
        </w:tc>
        <w:tc>
          <w:tcPr>
            <w:tcW w:w="674" w:type="pct"/>
            <w:shd w:val="clear" w:color="auto" w:fill="auto"/>
            <w:vAlign w:val="center"/>
          </w:tcPr>
          <w:p w14:paraId="0B604A9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A65C02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00E3013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r>
      <w:tr w14:paraId="32D17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89DBA89">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3DE9BBF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Ⅸ－顺1</w:t>
            </w:r>
          </w:p>
        </w:tc>
        <w:tc>
          <w:tcPr>
            <w:tcW w:w="674" w:type="pct"/>
            <w:shd w:val="clear" w:color="auto" w:fill="auto"/>
            <w:vAlign w:val="center"/>
          </w:tcPr>
          <w:p w14:paraId="0D4CC76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14.30%</w:t>
            </w:r>
          </w:p>
        </w:tc>
        <w:tc>
          <w:tcPr>
            <w:tcW w:w="674" w:type="pct"/>
            <w:shd w:val="clear" w:color="auto" w:fill="auto"/>
            <w:vAlign w:val="center"/>
          </w:tcPr>
          <w:p w14:paraId="534AED7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14.30%</w:t>
            </w:r>
          </w:p>
        </w:tc>
        <w:tc>
          <w:tcPr>
            <w:tcW w:w="674" w:type="pct"/>
            <w:shd w:val="clear" w:color="auto" w:fill="auto"/>
            <w:vAlign w:val="center"/>
          </w:tcPr>
          <w:p w14:paraId="4AE77D4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14.80%</w:t>
            </w:r>
          </w:p>
        </w:tc>
        <w:tc>
          <w:tcPr>
            <w:tcW w:w="595" w:type="pct"/>
            <w:shd w:val="clear" w:color="auto" w:fill="auto"/>
            <w:vAlign w:val="center"/>
          </w:tcPr>
          <w:p w14:paraId="2FF2518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4A1F7E4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r>
      <w:tr w14:paraId="6D525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383B99E">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B5B765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Ⅸ－顺2</w:t>
            </w:r>
          </w:p>
        </w:tc>
        <w:tc>
          <w:tcPr>
            <w:tcW w:w="674" w:type="pct"/>
            <w:shd w:val="clear" w:color="auto" w:fill="auto"/>
            <w:vAlign w:val="center"/>
          </w:tcPr>
          <w:p w14:paraId="37A37B6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14.80%</w:t>
            </w:r>
          </w:p>
        </w:tc>
        <w:tc>
          <w:tcPr>
            <w:tcW w:w="674" w:type="pct"/>
            <w:shd w:val="clear" w:color="auto" w:fill="auto"/>
            <w:vAlign w:val="center"/>
          </w:tcPr>
          <w:p w14:paraId="741AA86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674" w:type="pct"/>
            <w:shd w:val="clear" w:color="auto" w:fill="auto"/>
            <w:vAlign w:val="center"/>
          </w:tcPr>
          <w:p w14:paraId="5B32617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A51E3C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12.70%</w:t>
            </w:r>
          </w:p>
        </w:tc>
        <w:tc>
          <w:tcPr>
            <w:tcW w:w="752" w:type="pct"/>
            <w:shd w:val="clear" w:color="auto" w:fill="auto"/>
            <w:vAlign w:val="center"/>
          </w:tcPr>
          <w:p w14:paraId="3043644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2FC6E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9216F5C">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1E0E13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Ⅸ－顺3</w:t>
            </w:r>
          </w:p>
        </w:tc>
        <w:tc>
          <w:tcPr>
            <w:tcW w:w="674" w:type="pct"/>
            <w:shd w:val="clear" w:color="auto" w:fill="auto"/>
            <w:vAlign w:val="center"/>
          </w:tcPr>
          <w:p w14:paraId="6B96926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9DB661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B26D13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49C0A95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752" w:type="pct"/>
            <w:shd w:val="clear" w:color="auto" w:fill="auto"/>
            <w:vAlign w:val="center"/>
          </w:tcPr>
          <w:p w14:paraId="5B7B4D2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58A9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5DD2AF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445D41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Ⅸ－顺4</w:t>
            </w:r>
          </w:p>
        </w:tc>
        <w:tc>
          <w:tcPr>
            <w:tcW w:w="674" w:type="pct"/>
            <w:shd w:val="clear" w:color="auto" w:fill="auto"/>
            <w:vAlign w:val="center"/>
          </w:tcPr>
          <w:p w14:paraId="25A35EA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2D35B1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0ADB67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9488FF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7D2872D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DB7F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5ED5802">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3738829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Ⅸ－顺5</w:t>
            </w:r>
          </w:p>
        </w:tc>
        <w:tc>
          <w:tcPr>
            <w:tcW w:w="674" w:type="pct"/>
            <w:shd w:val="clear" w:color="auto" w:fill="auto"/>
            <w:vAlign w:val="center"/>
          </w:tcPr>
          <w:p w14:paraId="64CEEF0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B3F7B6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62F562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6D774AA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63A8F84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6016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660B58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98E874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Ⅸ－昌1</w:t>
            </w:r>
          </w:p>
        </w:tc>
        <w:tc>
          <w:tcPr>
            <w:tcW w:w="674" w:type="pct"/>
            <w:shd w:val="clear" w:color="auto" w:fill="auto"/>
            <w:vAlign w:val="center"/>
          </w:tcPr>
          <w:p w14:paraId="437BC8A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1F36CB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6AF21F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30C69B1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752" w:type="pct"/>
            <w:shd w:val="clear" w:color="auto" w:fill="auto"/>
            <w:vAlign w:val="center"/>
          </w:tcPr>
          <w:p w14:paraId="2C49927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C99A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71EAF36">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546A6C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Ⅸ－昌2</w:t>
            </w:r>
          </w:p>
        </w:tc>
        <w:tc>
          <w:tcPr>
            <w:tcW w:w="674" w:type="pct"/>
            <w:shd w:val="clear" w:color="auto" w:fill="auto"/>
            <w:vAlign w:val="center"/>
          </w:tcPr>
          <w:p w14:paraId="28D411B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3054FF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D2309A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2D313A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14.80%</w:t>
            </w:r>
          </w:p>
        </w:tc>
        <w:tc>
          <w:tcPr>
            <w:tcW w:w="752" w:type="pct"/>
            <w:shd w:val="clear" w:color="auto" w:fill="auto"/>
            <w:vAlign w:val="center"/>
          </w:tcPr>
          <w:p w14:paraId="2BDD129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DBE0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358D65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551253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Ⅸ－昌3</w:t>
            </w:r>
          </w:p>
        </w:tc>
        <w:tc>
          <w:tcPr>
            <w:tcW w:w="674" w:type="pct"/>
            <w:shd w:val="clear" w:color="auto" w:fill="auto"/>
            <w:vAlign w:val="center"/>
          </w:tcPr>
          <w:p w14:paraId="6AA1362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0577F3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DF9E3A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A2BAC8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29058E5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86B3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AA4DE1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2EDFFC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Ⅸ－昌4</w:t>
            </w:r>
          </w:p>
        </w:tc>
        <w:tc>
          <w:tcPr>
            <w:tcW w:w="674" w:type="pct"/>
            <w:shd w:val="clear" w:color="auto" w:fill="auto"/>
            <w:vAlign w:val="center"/>
          </w:tcPr>
          <w:p w14:paraId="3B62435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C0EAB9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317B61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0014DF5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3D7664A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6EA1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5D6498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E5F677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Ⅸ－昌5</w:t>
            </w:r>
          </w:p>
        </w:tc>
        <w:tc>
          <w:tcPr>
            <w:tcW w:w="674" w:type="pct"/>
            <w:shd w:val="clear" w:color="auto" w:fill="auto"/>
            <w:vAlign w:val="center"/>
          </w:tcPr>
          <w:p w14:paraId="56C4656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9B3FB4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4F4B03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A89037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7E5A4B7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9C8E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9B9E997">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F7052C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Ⅸ－兴1</w:t>
            </w:r>
          </w:p>
        </w:tc>
        <w:tc>
          <w:tcPr>
            <w:tcW w:w="674" w:type="pct"/>
            <w:shd w:val="clear" w:color="auto" w:fill="auto"/>
            <w:vAlign w:val="center"/>
          </w:tcPr>
          <w:p w14:paraId="0CC95AD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6D3654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DB3006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5D12EA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51D241D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2F64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6B963A3">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2D40AD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Ⅸ－兴2</w:t>
            </w:r>
          </w:p>
        </w:tc>
        <w:tc>
          <w:tcPr>
            <w:tcW w:w="674" w:type="pct"/>
            <w:shd w:val="clear" w:color="auto" w:fill="auto"/>
            <w:vAlign w:val="center"/>
          </w:tcPr>
          <w:p w14:paraId="57A93C6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F2B65B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4DEABD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41C9C0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14.60%</w:t>
            </w:r>
          </w:p>
        </w:tc>
        <w:tc>
          <w:tcPr>
            <w:tcW w:w="752" w:type="pct"/>
            <w:shd w:val="clear" w:color="auto" w:fill="auto"/>
            <w:vAlign w:val="center"/>
          </w:tcPr>
          <w:p w14:paraId="4065F36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33C1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E915AC2">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73DE0F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Ⅸ－兴3</w:t>
            </w:r>
          </w:p>
        </w:tc>
        <w:tc>
          <w:tcPr>
            <w:tcW w:w="674" w:type="pct"/>
            <w:shd w:val="clear" w:color="auto" w:fill="auto"/>
            <w:vAlign w:val="center"/>
          </w:tcPr>
          <w:p w14:paraId="6330C6E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12.60%</w:t>
            </w:r>
          </w:p>
        </w:tc>
        <w:tc>
          <w:tcPr>
            <w:tcW w:w="674" w:type="pct"/>
            <w:shd w:val="clear" w:color="auto" w:fill="auto"/>
            <w:vAlign w:val="center"/>
          </w:tcPr>
          <w:p w14:paraId="309B412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12.40%</w:t>
            </w:r>
          </w:p>
        </w:tc>
        <w:tc>
          <w:tcPr>
            <w:tcW w:w="674" w:type="pct"/>
            <w:shd w:val="clear" w:color="auto" w:fill="auto"/>
            <w:vAlign w:val="center"/>
          </w:tcPr>
          <w:p w14:paraId="4505222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595" w:type="pct"/>
            <w:shd w:val="clear" w:color="auto" w:fill="auto"/>
            <w:vAlign w:val="center"/>
          </w:tcPr>
          <w:p w14:paraId="7C4197F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25EC659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13.00%</w:t>
            </w:r>
          </w:p>
        </w:tc>
      </w:tr>
      <w:tr w14:paraId="643B6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7A78D76">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ABC022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Ⅸ－怀1</w:t>
            </w:r>
          </w:p>
        </w:tc>
        <w:tc>
          <w:tcPr>
            <w:tcW w:w="674" w:type="pct"/>
            <w:shd w:val="clear" w:color="auto" w:fill="auto"/>
            <w:vAlign w:val="center"/>
          </w:tcPr>
          <w:p w14:paraId="2DB0653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1096F7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C57025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0E19B5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14.70%</w:t>
            </w:r>
          </w:p>
        </w:tc>
        <w:tc>
          <w:tcPr>
            <w:tcW w:w="752" w:type="pct"/>
            <w:shd w:val="clear" w:color="auto" w:fill="auto"/>
            <w:vAlign w:val="center"/>
          </w:tcPr>
          <w:p w14:paraId="3FDEB58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40AB0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D35A445">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48F389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Ⅸ－怀2</w:t>
            </w:r>
          </w:p>
        </w:tc>
        <w:tc>
          <w:tcPr>
            <w:tcW w:w="674" w:type="pct"/>
            <w:shd w:val="clear" w:color="auto" w:fill="auto"/>
            <w:vAlign w:val="center"/>
          </w:tcPr>
          <w:p w14:paraId="1D11EB9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86A914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872653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386EEF4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23851DE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0BF2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32CF9E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12AB40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Ⅸ－怀3</w:t>
            </w:r>
          </w:p>
        </w:tc>
        <w:tc>
          <w:tcPr>
            <w:tcW w:w="674" w:type="pct"/>
            <w:shd w:val="clear" w:color="auto" w:fill="auto"/>
            <w:vAlign w:val="center"/>
          </w:tcPr>
          <w:p w14:paraId="7B3AED0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4CEEAE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8081CC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C5B3A4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783097E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7818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B22FE2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07B7D4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Ⅸ－怀4</w:t>
            </w:r>
          </w:p>
        </w:tc>
        <w:tc>
          <w:tcPr>
            <w:tcW w:w="674" w:type="pct"/>
            <w:shd w:val="clear" w:color="auto" w:fill="auto"/>
            <w:vAlign w:val="center"/>
          </w:tcPr>
          <w:p w14:paraId="0541DF6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110E5D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683B25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4CFC8BB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11.10%</w:t>
            </w:r>
          </w:p>
        </w:tc>
        <w:tc>
          <w:tcPr>
            <w:tcW w:w="752" w:type="pct"/>
            <w:shd w:val="clear" w:color="auto" w:fill="auto"/>
            <w:vAlign w:val="center"/>
          </w:tcPr>
          <w:p w14:paraId="74F4AE5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11C8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3B22F0D">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9FA527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Ⅸ－平1</w:t>
            </w:r>
          </w:p>
        </w:tc>
        <w:tc>
          <w:tcPr>
            <w:tcW w:w="674" w:type="pct"/>
            <w:shd w:val="clear" w:color="auto" w:fill="auto"/>
            <w:vAlign w:val="center"/>
          </w:tcPr>
          <w:p w14:paraId="045C74E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BA3606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990BCD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031E90B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12.60%</w:t>
            </w:r>
          </w:p>
        </w:tc>
        <w:tc>
          <w:tcPr>
            <w:tcW w:w="752" w:type="pct"/>
            <w:shd w:val="clear" w:color="auto" w:fill="auto"/>
            <w:vAlign w:val="center"/>
          </w:tcPr>
          <w:p w14:paraId="0431A15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0889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8DD282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6D8975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Ⅸ－平2</w:t>
            </w:r>
          </w:p>
        </w:tc>
        <w:tc>
          <w:tcPr>
            <w:tcW w:w="674" w:type="pct"/>
            <w:shd w:val="clear" w:color="auto" w:fill="auto"/>
            <w:vAlign w:val="center"/>
          </w:tcPr>
          <w:p w14:paraId="331657D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E5D996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ECB5FC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04C962A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12.00%</w:t>
            </w:r>
          </w:p>
        </w:tc>
        <w:tc>
          <w:tcPr>
            <w:tcW w:w="752" w:type="pct"/>
            <w:shd w:val="clear" w:color="auto" w:fill="auto"/>
            <w:vAlign w:val="center"/>
          </w:tcPr>
          <w:p w14:paraId="5612BE8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688AF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F80D17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C4B21D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Ⅸ－密1</w:t>
            </w:r>
          </w:p>
        </w:tc>
        <w:tc>
          <w:tcPr>
            <w:tcW w:w="674" w:type="pct"/>
            <w:shd w:val="clear" w:color="auto" w:fill="auto"/>
            <w:vAlign w:val="center"/>
          </w:tcPr>
          <w:p w14:paraId="72F379E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0C6B1C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72A386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3111D0B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13.00%</w:t>
            </w:r>
          </w:p>
        </w:tc>
        <w:tc>
          <w:tcPr>
            <w:tcW w:w="752" w:type="pct"/>
            <w:shd w:val="clear" w:color="auto" w:fill="auto"/>
            <w:vAlign w:val="center"/>
          </w:tcPr>
          <w:p w14:paraId="2FA6E8D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6085D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F659E39">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6F8CD2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Ⅸ－延1</w:t>
            </w:r>
          </w:p>
        </w:tc>
        <w:tc>
          <w:tcPr>
            <w:tcW w:w="674" w:type="pct"/>
            <w:shd w:val="clear" w:color="auto" w:fill="auto"/>
            <w:vAlign w:val="center"/>
          </w:tcPr>
          <w:p w14:paraId="39E7BCE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5775D1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2047FD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40C617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752" w:type="pct"/>
            <w:shd w:val="clear" w:color="auto" w:fill="auto"/>
            <w:vAlign w:val="center"/>
          </w:tcPr>
          <w:p w14:paraId="6CB6F33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78CF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61F39F1">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77DD9B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Ⅸ－延2</w:t>
            </w:r>
          </w:p>
        </w:tc>
        <w:tc>
          <w:tcPr>
            <w:tcW w:w="674" w:type="pct"/>
            <w:shd w:val="clear" w:color="auto" w:fill="auto"/>
            <w:vAlign w:val="center"/>
          </w:tcPr>
          <w:p w14:paraId="558CE4E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9E537B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002E2D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1074D8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4A30FAE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1FE2A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A79286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CE57C9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Ⅸ－亦1</w:t>
            </w:r>
          </w:p>
        </w:tc>
        <w:tc>
          <w:tcPr>
            <w:tcW w:w="674" w:type="pct"/>
            <w:shd w:val="clear" w:color="auto" w:fill="auto"/>
            <w:vAlign w:val="center"/>
          </w:tcPr>
          <w:p w14:paraId="6CDF1D4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13.20%</w:t>
            </w:r>
          </w:p>
        </w:tc>
        <w:tc>
          <w:tcPr>
            <w:tcW w:w="674" w:type="pct"/>
            <w:shd w:val="clear" w:color="auto" w:fill="auto"/>
            <w:vAlign w:val="center"/>
          </w:tcPr>
          <w:p w14:paraId="51C4C51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13.30%</w:t>
            </w:r>
          </w:p>
        </w:tc>
        <w:tc>
          <w:tcPr>
            <w:tcW w:w="674" w:type="pct"/>
            <w:shd w:val="clear" w:color="auto" w:fill="auto"/>
            <w:vAlign w:val="center"/>
          </w:tcPr>
          <w:p w14:paraId="54A3E9B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595" w:type="pct"/>
            <w:shd w:val="clear" w:color="auto" w:fill="auto"/>
            <w:vAlign w:val="center"/>
          </w:tcPr>
          <w:p w14:paraId="4FFE178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0FD4956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14.00%</w:t>
            </w:r>
          </w:p>
        </w:tc>
      </w:tr>
      <w:tr w14:paraId="16141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01AA3E7">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06D464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Ⅸ－亦2</w:t>
            </w:r>
          </w:p>
        </w:tc>
        <w:tc>
          <w:tcPr>
            <w:tcW w:w="674" w:type="pct"/>
            <w:shd w:val="clear" w:color="auto" w:fill="auto"/>
            <w:vAlign w:val="center"/>
          </w:tcPr>
          <w:p w14:paraId="1181477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13.80%</w:t>
            </w:r>
          </w:p>
        </w:tc>
        <w:tc>
          <w:tcPr>
            <w:tcW w:w="674" w:type="pct"/>
            <w:shd w:val="clear" w:color="auto" w:fill="auto"/>
            <w:vAlign w:val="center"/>
          </w:tcPr>
          <w:p w14:paraId="1B1E92E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14.00%</w:t>
            </w:r>
          </w:p>
        </w:tc>
        <w:tc>
          <w:tcPr>
            <w:tcW w:w="674" w:type="pct"/>
            <w:shd w:val="clear" w:color="auto" w:fill="auto"/>
            <w:vAlign w:val="center"/>
          </w:tcPr>
          <w:p w14:paraId="41C5641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14.60%</w:t>
            </w:r>
          </w:p>
        </w:tc>
        <w:tc>
          <w:tcPr>
            <w:tcW w:w="595" w:type="pct"/>
            <w:shd w:val="clear" w:color="auto" w:fill="auto"/>
            <w:vAlign w:val="center"/>
          </w:tcPr>
          <w:p w14:paraId="531AB8A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752" w:type="pct"/>
            <w:shd w:val="clear" w:color="auto" w:fill="auto"/>
            <w:vAlign w:val="center"/>
          </w:tcPr>
          <w:p w14:paraId="36C5468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r>
      <w:tr w14:paraId="41F14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DC1F1F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3314978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Ⅸ－亦3</w:t>
            </w:r>
          </w:p>
        </w:tc>
        <w:tc>
          <w:tcPr>
            <w:tcW w:w="674" w:type="pct"/>
            <w:shd w:val="clear" w:color="auto" w:fill="auto"/>
            <w:vAlign w:val="center"/>
          </w:tcPr>
          <w:p w14:paraId="5F47F6D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12.50%</w:t>
            </w:r>
          </w:p>
        </w:tc>
        <w:tc>
          <w:tcPr>
            <w:tcW w:w="674" w:type="pct"/>
            <w:shd w:val="clear" w:color="auto" w:fill="auto"/>
            <w:vAlign w:val="center"/>
          </w:tcPr>
          <w:p w14:paraId="3F685A7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12.70%</w:t>
            </w:r>
          </w:p>
        </w:tc>
        <w:tc>
          <w:tcPr>
            <w:tcW w:w="674" w:type="pct"/>
            <w:shd w:val="clear" w:color="auto" w:fill="auto"/>
            <w:vAlign w:val="center"/>
          </w:tcPr>
          <w:p w14:paraId="6096B71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595" w:type="pct"/>
            <w:shd w:val="clear" w:color="auto" w:fill="auto"/>
            <w:vAlign w:val="center"/>
          </w:tcPr>
          <w:p w14:paraId="79A7C50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11.50%</w:t>
            </w:r>
          </w:p>
        </w:tc>
        <w:tc>
          <w:tcPr>
            <w:tcW w:w="752" w:type="pct"/>
            <w:shd w:val="clear" w:color="auto" w:fill="auto"/>
            <w:vAlign w:val="center"/>
          </w:tcPr>
          <w:p w14:paraId="2456EE2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13.60%</w:t>
            </w:r>
          </w:p>
        </w:tc>
      </w:tr>
      <w:tr w14:paraId="3E412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D1184B6">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2D366C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Ⅸ－房山工业园西</w:t>
            </w:r>
          </w:p>
        </w:tc>
        <w:tc>
          <w:tcPr>
            <w:tcW w:w="674" w:type="pct"/>
            <w:shd w:val="clear" w:color="auto" w:fill="auto"/>
            <w:vAlign w:val="center"/>
          </w:tcPr>
          <w:p w14:paraId="4F59C13B">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12DD16D9">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25012F31">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595" w:type="pct"/>
            <w:shd w:val="clear" w:color="auto" w:fill="auto"/>
            <w:vAlign w:val="center"/>
          </w:tcPr>
          <w:p w14:paraId="1585008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321121C3">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18901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378DD3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928035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Ⅸ－房山工业园东</w:t>
            </w:r>
          </w:p>
        </w:tc>
        <w:tc>
          <w:tcPr>
            <w:tcW w:w="674" w:type="pct"/>
            <w:shd w:val="clear" w:color="auto" w:fill="auto"/>
            <w:vAlign w:val="center"/>
          </w:tcPr>
          <w:p w14:paraId="1C7C1134">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00A6FEE8">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3D0948D4">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595" w:type="pct"/>
            <w:shd w:val="clear" w:color="auto" w:fill="auto"/>
            <w:vAlign w:val="center"/>
          </w:tcPr>
          <w:p w14:paraId="1410B7E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7B005234">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13C8F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168620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D54363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Ⅸ－永乐开发区</w:t>
            </w:r>
          </w:p>
        </w:tc>
        <w:tc>
          <w:tcPr>
            <w:tcW w:w="674" w:type="pct"/>
            <w:shd w:val="clear" w:color="auto" w:fill="auto"/>
            <w:noWrap/>
            <w:vAlign w:val="center"/>
          </w:tcPr>
          <w:p w14:paraId="43BEC04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5C62863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019737C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58B9E86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5E7D2D46">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73549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199F3A5">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246CC7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Ⅸ－采育开发区</w:t>
            </w:r>
          </w:p>
        </w:tc>
        <w:tc>
          <w:tcPr>
            <w:tcW w:w="674" w:type="pct"/>
            <w:shd w:val="clear" w:color="auto" w:fill="auto"/>
            <w:noWrap/>
            <w:vAlign w:val="center"/>
          </w:tcPr>
          <w:p w14:paraId="27EDE29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1550A55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2C2ABCF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62C5B7E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5F37D7A7">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51C5D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29B97A2">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34CDAEF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Ⅸ－雁栖开发区A</w:t>
            </w:r>
          </w:p>
        </w:tc>
        <w:tc>
          <w:tcPr>
            <w:tcW w:w="674" w:type="pct"/>
            <w:shd w:val="clear" w:color="auto" w:fill="auto"/>
            <w:noWrap/>
            <w:vAlign w:val="center"/>
          </w:tcPr>
          <w:p w14:paraId="39148AA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31C7F1F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4C63D73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2D58FC6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19803FA4">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050D2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5696B06">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9CF0ED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Ⅸ－雁栖开发区B</w:t>
            </w:r>
          </w:p>
        </w:tc>
        <w:tc>
          <w:tcPr>
            <w:tcW w:w="674" w:type="pct"/>
            <w:shd w:val="clear" w:color="auto" w:fill="auto"/>
            <w:noWrap/>
            <w:vAlign w:val="center"/>
          </w:tcPr>
          <w:p w14:paraId="4F0628D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5458FBA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4E72935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2BE5E84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21D06D01">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364E1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17D9E71">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93E5F0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Ⅸ－雁栖开发区C</w:t>
            </w:r>
          </w:p>
        </w:tc>
        <w:tc>
          <w:tcPr>
            <w:tcW w:w="674" w:type="pct"/>
            <w:shd w:val="clear" w:color="auto" w:fill="auto"/>
            <w:noWrap/>
            <w:vAlign w:val="center"/>
          </w:tcPr>
          <w:p w14:paraId="025CADE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16B8F4A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3EA9AA7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4FDFF79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5BA6E2D3">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5F993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28C38C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6456F5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Ⅸ－兴谷开发区A</w:t>
            </w:r>
          </w:p>
        </w:tc>
        <w:tc>
          <w:tcPr>
            <w:tcW w:w="674" w:type="pct"/>
            <w:shd w:val="clear" w:color="auto" w:fill="auto"/>
            <w:noWrap/>
            <w:vAlign w:val="center"/>
          </w:tcPr>
          <w:p w14:paraId="4EB719C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486969C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274FEE8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6FD2E0C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2879EC92">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61C3E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9E39E25">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FE9296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Ⅸ－兴谷开发区B</w:t>
            </w:r>
          </w:p>
        </w:tc>
        <w:tc>
          <w:tcPr>
            <w:tcW w:w="674" w:type="pct"/>
            <w:shd w:val="clear" w:color="auto" w:fill="auto"/>
            <w:noWrap/>
            <w:vAlign w:val="center"/>
          </w:tcPr>
          <w:p w14:paraId="191CA70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3C259E1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70FD06D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4E9BBDB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6E3F0490">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780CE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4AD134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600F4D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Ⅸ－马坊工业园</w:t>
            </w:r>
          </w:p>
        </w:tc>
        <w:tc>
          <w:tcPr>
            <w:tcW w:w="674" w:type="pct"/>
            <w:shd w:val="clear" w:color="auto" w:fill="auto"/>
            <w:noWrap/>
            <w:vAlign w:val="center"/>
          </w:tcPr>
          <w:p w14:paraId="0F619AD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1D19FE2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7D883FE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2DCA417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2ADA1BE8">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34BC2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78142D7">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E5471C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Ⅸ－密云开发区</w:t>
            </w:r>
          </w:p>
        </w:tc>
        <w:tc>
          <w:tcPr>
            <w:tcW w:w="674" w:type="pct"/>
            <w:shd w:val="clear" w:color="auto" w:fill="auto"/>
            <w:noWrap/>
            <w:vAlign w:val="center"/>
          </w:tcPr>
          <w:p w14:paraId="4AE03B1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7C715FF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52A488A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740E583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45E9DEBE">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11259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709A4A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E035E5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Ⅸ－延庆开发区</w:t>
            </w:r>
          </w:p>
        </w:tc>
        <w:tc>
          <w:tcPr>
            <w:tcW w:w="674" w:type="pct"/>
            <w:shd w:val="clear" w:color="auto" w:fill="auto"/>
            <w:noWrap/>
            <w:vAlign w:val="center"/>
          </w:tcPr>
          <w:p w14:paraId="4C7029F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4CB9C77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5F3BABF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582DA23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681D648A">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291A8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2" w:type="pct"/>
            <w:vMerge w:val="continue"/>
            <w:shd w:val="clear" w:color="auto" w:fill="auto"/>
            <w:vAlign w:val="center"/>
          </w:tcPr>
          <w:p w14:paraId="197E4D67">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8A40E5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Ⅸ－八达岭开发区</w:t>
            </w:r>
          </w:p>
        </w:tc>
        <w:tc>
          <w:tcPr>
            <w:tcW w:w="674" w:type="pct"/>
            <w:shd w:val="clear" w:color="auto" w:fill="auto"/>
            <w:noWrap/>
            <w:vAlign w:val="center"/>
          </w:tcPr>
          <w:p w14:paraId="3C4C81B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3C51559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2997585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2F5933A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4C492BF9">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bl>
    <w:p w14:paraId="65D3CADC">
      <w:pPr>
        <w:spacing w:before="240" w:beforeLines="100"/>
        <w:jc w:val="center"/>
        <w:rPr>
          <w:rFonts w:ascii="仿宋" w:hAnsi="仿宋" w:eastAsia="仿宋" w:cs="宋体"/>
          <w:bCs/>
          <w:color w:val="auto"/>
          <w:sz w:val="28"/>
          <w:szCs w:val="28"/>
        </w:rPr>
      </w:pPr>
      <w:r>
        <w:rPr>
          <w:rFonts w:hint="eastAsia" w:ascii="仿宋" w:hAnsi="仿宋" w:eastAsia="仿宋" w:cs="宋体"/>
          <w:bCs/>
          <w:color w:val="auto"/>
          <w:sz w:val="28"/>
          <w:szCs w:val="28"/>
        </w:rPr>
        <w:t>因素等级说明表</w:t>
      </w:r>
    </w:p>
    <w:tbl>
      <w:tblPr>
        <w:tblStyle w:val="34"/>
        <w:tblW w:w="9299"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1966"/>
        <w:gridCol w:w="1426"/>
        <w:gridCol w:w="1454"/>
        <w:gridCol w:w="1617"/>
        <w:gridCol w:w="1418"/>
        <w:gridCol w:w="1418"/>
      </w:tblGrid>
      <w:tr w14:paraId="6434EAF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403" w:hRule="atLeast"/>
          <w:jc w:val="center"/>
        </w:trPr>
        <w:tc>
          <w:tcPr>
            <w:tcW w:w="1966" w:type="dxa"/>
            <w:tcBorders>
              <w:tl2br w:val="single" w:color="auto" w:sz="4" w:space="0"/>
            </w:tcBorders>
            <w:shd w:val="clear" w:color="auto" w:fill="auto"/>
            <w:vAlign w:val="center"/>
          </w:tcPr>
          <w:p w14:paraId="18509486">
            <w:pPr>
              <w:widowControl/>
              <w:adjustRightInd/>
              <w:spacing w:line="240" w:lineRule="exact"/>
              <w:ind w:firstLine="1365" w:firstLineChars="650"/>
              <w:jc w:val="right"/>
              <w:textAlignment w:val="auto"/>
              <w:rPr>
                <w:rFonts w:ascii="Arial" w:hAnsi="Arial" w:eastAsia="仿宋" w:cs="Arial"/>
                <w:color w:val="auto"/>
                <w:sz w:val="21"/>
                <w:szCs w:val="21"/>
              </w:rPr>
            </w:pPr>
            <w:r>
              <w:rPr>
                <w:rFonts w:ascii="Arial" w:hAnsi="Arial" w:eastAsia="仿宋" w:cs="Arial"/>
                <w:color w:val="auto"/>
                <w:sz w:val="21"/>
                <w:szCs w:val="21"/>
              </w:rPr>
              <w:t>等级</w:t>
            </w:r>
          </w:p>
          <w:p w14:paraId="1269DC8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1426" w:type="dxa"/>
            <w:shd w:val="clear" w:color="auto" w:fill="auto"/>
            <w:vAlign w:val="center"/>
          </w:tcPr>
          <w:p w14:paraId="5AFB394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好</w:t>
            </w:r>
          </w:p>
        </w:tc>
        <w:tc>
          <w:tcPr>
            <w:tcW w:w="1454" w:type="dxa"/>
            <w:shd w:val="clear" w:color="auto" w:fill="auto"/>
            <w:vAlign w:val="center"/>
          </w:tcPr>
          <w:p w14:paraId="493856F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较好</w:t>
            </w:r>
          </w:p>
        </w:tc>
        <w:tc>
          <w:tcPr>
            <w:tcW w:w="1617" w:type="dxa"/>
            <w:shd w:val="clear" w:color="auto" w:fill="auto"/>
            <w:vAlign w:val="center"/>
          </w:tcPr>
          <w:p w14:paraId="5B33680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一般</w:t>
            </w:r>
          </w:p>
        </w:tc>
        <w:tc>
          <w:tcPr>
            <w:tcW w:w="1418" w:type="dxa"/>
            <w:shd w:val="clear" w:color="auto" w:fill="auto"/>
            <w:vAlign w:val="center"/>
          </w:tcPr>
          <w:p w14:paraId="32F5639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较差</w:t>
            </w:r>
          </w:p>
        </w:tc>
        <w:tc>
          <w:tcPr>
            <w:tcW w:w="1418" w:type="dxa"/>
            <w:shd w:val="clear" w:color="auto" w:fill="auto"/>
            <w:vAlign w:val="center"/>
          </w:tcPr>
          <w:p w14:paraId="49FD6C0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差</w:t>
            </w:r>
          </w:p>
        </w:tc>
      </w:tr>
      <w:tr w14:paraId="2F735A6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485" w:hRule="atLeast"/>
          <w:jc w:val="center"/>
        </w:trPr>
        <w:tc>
          <w:tcPr>
            <w:tcW w:w="1966" w:type="dxa"/>
            <w:shd w:val="clear" w:color="auto" w:fill="auto"/>
            <w:vAlign w:val="center"/>
          </w:tcPr>
          <w:p w14:paraId="163AEDB8">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居住社区成熟度</w:t>
            </w:r>
          </w:p>
        </w:tc>
        <w:tc>
          <w:tcPr>
            <w:tcW w:w="1426" w:type="dxa"/>
            <w:shd w:val="clear" w:color="auto" w:fill="auto"/>
            <w:vAlign w:val="center"/>
          </w:tcPr>
          <w:p w14:paraId="7ACF6372">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周围住宅项目密集</w:t>
            </w:r>
          </w:p>
        </w:tc>
        <w:tc>
          <w:tcPr>
            <w:tcW w:w="1454" w:type="dxa"/>
            <w:shd w:val="clear" w:color="auto" w:fill="auto"/>
            <w:vAlign w:val="center"/>
          </w:tcPr>
          <w:p w14:paraId="397A014A">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周围住宅项目比较密集</w:t>
            </w:r>
          </w:p>
        </w:tc>
        <w:tc>
          <w:tcPr>
            <w:tcW w:w="1617" w:type="dxa"/>
            <w:shd w:val="clear" w:color="auto" w:fill="auto"/>
            <w:vAlign w:val="center"/>
          </w:tcPr>
          <w:p w14:paraId="5E2A1EDE">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周围有一定数目的住宅项目</w:t>
            </w:r>
          </w:p>
        </w:tc>
        <w:tc>
          <w:tcPr>
            <w:tcW w:w="1418" w:type="dxa"/>
            <w:shd w:val="clear" w:color="auto" w:fill="auto"/>
            <w:vAlign w:val="center"/>
          </w:tcPr>
          <w:p w14:paraId="2CDEB24D">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周围住宅项目少</w:t>
            </w:r>
          </w:p>
        </w:tc>
        <w:tc>
          <w:tcPr>
            <w:tcW w:w="1418" w:type="dxa"/>
            <w:shd w:val="clear" w:color="auto" w:fill="auto"/>
            <w:vAlign w:val="center"/>
          </w:tcPr>
          <w:p w14:paraId="27CA1690">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周围住宅项目基本无</w:t>
            </w:r>
          </w:p>
        </w:tc>
      </w:tr>
      <w:tr w14:paraId="3AF4734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589" w:hRule="atLeast"/>
          <w:jc w:val="center"/>
        </w:trPr>
        <w:tc>
          <w:tcPr>
            <w:tcW w:w="1966" w:type="dxa"/>
            <w:shd w:val="clear" w:color="auto" w:fill="auto"/>
            <w:vAlign w:val="center"/>
          </w:tcPr>
          <w:p w14:paraId="25CFB6CB">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交通便捷度</w:t>
            </w:r>
          </w:p>
        </w:tc>
        <w:tc>
          <w:tcPr>
            <w:tcW w:w="1426" w:type="dxa"/>
            <w:shd w:val="clear" w:color="auto" w:fill="auto"/>
            <w:vAlign w:val="center"/>
          </w:tcPr>
          <w:p w14:paraId="46EA4CF7">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周边有2条以上地铁（或临近火车或2条以上高速公路）线路，20条以上公交线路</w:t>
            </w:r>
          </w:p>
        </w:tc>
        <w:tc>
          <w:tcPr>
            <w:tcW w:w="1454" w:type="dxa"/>
            <w:shd w:val="clear" w:color="auto" w:fill="auto"/>
            <w:vAlign w:val="center"/>
          </w:tcPr>
          <w:p w14:paraId="006379A2">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周边有1条地铁（或临近火车或2条以上高速公路）线路，10条以上公交线路</w:t>
            </w:r>
          </w:p>
        </w:tc>
        <w:tc>
          <w:tcPr>
            <w:tcW w:w="1617" w:type="dxa"/>
            <w:shd w:val="clear" w:color="auto" w:fill="auto"/>
            <w:vAlign w:val="center"/>
          </w:tcPr>
          <w:p w14:paraId="0A46C0DB">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周边有无地铁（或临近火车或2条以上高速公路）线路，10条以上公交线路</w:t>
            </w:r>
          </w:p>
        </w:tc>
        <w:tc>
          <w:tcPr>
            <w:tcW w:w="1418" w:type="dxa"/>
            <w:shd w:val="clear" w:color="auto" w:fill="auto"/>
            <w:vAlign w:val="center"/>
          </w:tcPr>
          <w:p w14:paraId="7FA86BFC">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周边无地铁（或临近火车或2条以上高速公路）线路，5</w:t>
            </w:r>
            <w:r>
              <w:rPr>
                <w:rFonts w:hint="eastAsia" w:ascii="Arial" w:hAnsi="Arial" w:eastAsia="仿宋" w:cs="Arial"/>
                <w:color w:val="auto"/>
                <w:sz w:val="21"/>
                <w:szCs w:val="21"/>
              </w:rPr>
              <w:t>－</w:t>
            </w:r>
            <w:r>
              <w:rPr>
                <w:rFonts w:ascii="Arial" w:hAnsi="Arial" w:eastAsia="仿宋" w:cs="Arial"/>
                <w:color w:val="auto"/>
                <w:sz w:val="21"/>
                <w:szCs w:val="21"/>
              </w:rPr>
              <w:t>10公交线路</w:t>
            </w:r>
          </w:p>
        </w:tc>
        <w:tc>
          <w:tcPr>
            <w:tcW w:w="1418" w:type="dxa"/>
            <w:shd w:val="clear" w:color="auto" w:fill="auto"/>
            <w:vAlign w:val="center"/>
          </w:tcPr>
          <w:p w14:paraId="741F4209">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周边无地铁（或临近火车或2条以上高速公路）线路，5条以下公交线路</w:t>
            </w:r>
          </w:p>
        </w:tc>
      </w:tr>
      <w:tr w14:paraId="3BB6D3A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966" w:type="dxa"/>
            <w:shd w:val="clear" w:color="auto" w:fill="auto"/>
            <w:vAlign w:val="center"/>
          </w:tcPr>
          <w:p w14:paraId="14C766EF">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城市规划及区域土地利用方向</w:t>
            </w:r>
          </w:p>
        </w:tc>
        <w:tc>
          <w:tcPr>
            <w:tcW w:w="1426" w:type="dxa"/>
            <w:shd w:val="clear" w:color="auto" w:fill="auto"/>
            <w:vAlign w:val="center"/>
          </w:tcPr>
          <w:p w14:paraId="64174AF0">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周边土地利用方向一致</w:t>
            </w:r>
          </w:p>
        </w:tc>
        <w:tc>
          <w:tcPr>
            <w:tcW w:w="1454" w:type="dxa"/>
            <w:shd w:val="clear" w:color="auto" w:fill="auto"/>
            <w:vAlign w:val="center"/>
          </w:tcPr>
          <w:p w14:paraId="57DC5ECA">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有部分有其他用地，基本不影响本宗地</w:t>
            </w:r>
          </w:p>
        </w:tc>
        <w:tc>
          <w:tcPr>
            <w:tcW w:w="1617" w:type="dxa"/>
            <w:shd w:val="clear" w:color="auto" w:fill="auto"/>
            <w:vAlign w:val="center"/>
          </w:tcPr>
          <w:p w14:paraId="24866BA5">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有部分有其他用地，对本宗地略有影响</w:t>
            </w:r>
          </w:p>
        </w:tc>
        <w:tc>
          <w:tcPr>
            <w:tcW w:w="1418" w:type="dxa"/>
            <w:shd w:val="clear" w:color="auto" w:fill="auto"/>
            <w:vAlign w:val="center"/>
          </w:tcPr>
          <w:p w14:paraId="555F2EC6">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其他用地较多，对本宗地影响较大</w:t>
            </w:r>
          </w:p>
        </w:tc>
        <w:tc>
          <w:tcPr>
            <w:tcW w:w="1418" w:type="dxa"/>
            <w:shd w:val="clear" w:color="auto" w:fill="auto"/>
            <w:vAlign w:val="center"/>
          </w:tcPr>
          <w:p w14:paraId="3B3E7EE2">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全部为其他用地，对本宗地有大的影响</w:t>
            </w:r>
          </w:p>
        </w:tc>
      </w:tr>
      <w:tr w14:paraId="0178D64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966" w:type="dxa"/>
            <w:shd w:val="clear" w:color="auto" w:fill="auto"/>
            <w:vAlign w:val="center"/>
          </w:tcPr>
          <w:p w14:paraId="72FA234C">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临路状况</w:t>
            </w:r>
          </w:p>
        </w:tc>
        <w:tc>
          <w:tcPr>
            <w:tcW w:w="1426" w:type="dxa"/>
            <w:shd w:val="clear" w:color="auto" w:fill="auto"/>
            <w:vAlign w:val="center"/>
          </w:tcPr>
          <w:p w14:paraId="1C1AD62E">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临城市快速路或高速公路</w:t>
            </w:r>
          </w:p>
        </w:tc>
        <w:tc>
          <w:tcPr>
            <w:tcW w:w="1454" w:type="dxa"/>
            <w:shd w:val="clear" w:color="auto" w:fill="auto"/>
            <w:vAlign w:val="center"/>
          </w:tcPr>
          <w:p w14:paraId="64B5A0F8">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临城市主干道</w:t>
            </w:r>
          </w:p>
        </w:tc>
        <w:tc>
          <w:tcPr>
            <w:tcW w:w="1617" w:type="dxa"/>
            <w:shd w:val="clear" w:color="auto" w:fill="auto"/>
            <w:vAlign w:val="center"/>
          </w:tcPr>
          <w:p w14:paraId="03D9234E">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临城市次干道</w:t>
            </w:r>
          </w:p>
        </w:tc>
        <w:tc>
          <w:tcPr>
            <w:tcW w:w="1418" w:type="dxa"/>
            <w:shd w:val="clear" w:color="auto" w:fill="auto"/>
            <w:vAlign w:val="center"/>
          </w:tcPr>
          <w:p w14:paraId="7D62BF65">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临城市支路</w:t>
            </w:r>
          </w:p>
        </w:tc>
        <w:tc>
          <w:tcPr>
            <w:tcW w:w="1418" w:type="dxa"/>
            <w:shd w:val="clear" w:color="auto" w:fill="auto"/>
            <w:vAlign w:val="center"/>
          </w:tcPr>
          <w:p w14:paraId="2D1EC449">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临街坊路</w:t>
            </w:r>
          </w:p>
        </w:tc>
      </w:tr>
      <w:tr w14:paraId="7FAAEC8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696" w:hRule="atLeast"/>
          <w:jc w:val="center"/>
        </w:trPr>
        <w:tc>
          <w:tcPr>
            <w:tcW w:w="1966" w:type="dxa"/>
            <w:shd w:val="clear" w:color="auto" w:fill="auto"/>
            <w:vAlign w:val="center"/>
          </w:tcPr>
          <w:p w14:paraId="059C212E">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公共服务设施状况</w:t>
            </w:r>
          </w:p>
        </w:tc>
        <w:tc>
          <w:tcPr>
            <w:tcW w:w="1426" w:type="dxa"/>
            <w:shd w:val="clear" w:color="auto" w:fill="auto"/>
            <w:vAlign w:val="center"/>
          </w:tcPr>
          <w:p w14:paraId="374C8747">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公共服务设施配套完善</w:t>
            </w:r>
          </w:p>
        </w:tc>
        <w:tc>
          <w:tcPr>
            <w:tcW w:w="1454" w:type="dxa"/>
            <w:shd w:val="clear" w:color="auto" w:fill="auto"/>
            <w:vAlign w:val="center"/>
          </w:tcPr>
          <w:p w14:paraId="61F5EE3D">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公共服务设施配套较完善</w:t>
            </w:r>
          </w:p>
        </w:tc>
        <w:tc>
          <w:tcPr>
            <w:tcW w:w="1617" w:type="dxa"/>
            <w:shd w:val="clear" w:color="auto" w:fill="auto"/>
            <w:vAlign w:val="center"/>
          </w:tcPr>
          <w:p w14:paraId="0F7070FF">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有一定数量的公共服务设施配套</w:t>
            </w:r>
          </w:p>
        </w:tc>
        <w:tc>
          <w:tcPr>
            <w:tcW w:w="1418" w:type="dxa"/>
            <w:shd w:val="clear" w:color="auto" w:fill="auto"/>
            <w:vAlign w:val="center"/>
          </w:tcPr>
          <w:p w14:paraId="23366EB7">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公共服务设施配套较不齐全</w:t>
            </w:r>
          </w:p>
        </w:tc>
        <w:tc>
          <w:tcPr>
            <w:tcW w:w="1418" w:type="dxa"/>
            <w:shd w:val="clear" w:color="auto" w:fill="auto"/>
            <w:vAlign w:val="center"/>
          </w:tcPr>
          <w:p w14:paraId="5DC40A8B">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公共服务设施配套不完善</w:t>
            </w:r>
          </w:p>
        </w:tc>
      </w:tr>
      <w:tr w14:paraId="7B9D664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36" w:hRule="atLeast"/>
          <w:jc w:val="center"/>
        </w:trPr>
        <w:tc>
          <w:tcPr>
            <w:tcW w:w="1966" w:type="dxa"/>
            <w:shd w:val="clear" w:color="auto" w:fill="auto"/>
            <w:vAlign w:val="center"/>
          </w:tcPr>
          <w:p w14:paraId="5BF6D196">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基础设施完备状况</w:t>
            </w:r>
          </w:p>
        </w:tc>
        <w:tc>
          <w:tcPr>
            <w:tcW w:w="1426" w:type="dxa"/>
            <w:shd w:val="clear" w:color="auto" w:fill="auto"/>
            <w:vAlign w:val="center"/>
          </w:tcPr>
          <w:p w14:paraId="22F7307E">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估价对象所在区域基础设施水平达到</w:t>
            </w:r>
            <w:r>
              <w:rPr>
                <w:rFonts w:hint="eastAsia" w:ascii="Arial" w:hAnsi="Arial" w:eastAsia="仿宋" w:cs="Arial"/>
                <w:color w:val="auto"/>
                <w:sz w:val="21"/>
                <w:szCs w:val="21"/>
              </w:rPr>
              <w:t>“七通”</w:t>
            </w:r>
          </w:p>
        </w:tc>
        <w:tc>
          <w:tcPr>
            <w:tcW w:w="1454" w:type="dxa"/>
            <w:shd w:val="clear" w:color="auto" w:fill="auto"/>
            <w:vAlign w:val="center"/>
          </w:tcPr>
          <w:p w14:paraId="53F786C5">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估价对象所在区域基础设施水平达到</w:t>
            </w:r>
            <w:r>
              <w:rPr>
                <w:rFonts w:hint="eastAsia" w:ascii="Arial" w:hAnsi="Arial" w:eastAsia="仿宋" w:cs="Arial"/>
                <w:color w:val="auto"/>
                <w:sz w:val="21"/>
                <w:szCs w:val="21"/>
              </w:rPr>
              <w:t>“七通”</w:t>
            </w:r>
          </w:p>
        </w:tc>
        <w:tc>
          <w:tcPr>
            <w:tcW w:w="1617" w:type="dxa"/>
            <w:shd w:val="clear" w:color="auto" w:fill="auto"/>
            <w:vAlign w:val="center"/>
          </w:tcPr>
          <w:p w14:paraId="3288E985">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估价对象所在区域基础设施水平达到</w:t>
            </w:r>
            <w:r>
              <w:rPr>
                <w:rFonts w:hint="eastAsia" w:ascii="Arial" w:hAnsi="Arial" w:eastAsia="仿宋" w:cs="Arial"/>
                <w:color w:val="auto"/>
                <w:sz w:val="21"/>
                <w:szCs w:val="21"/>
              </w:rPr>
              <w:t>“</w:t>
            </w:r>
            <w:r>
              <w:rPr>
                <w:rFonts w:ascii="Arial" w:hAnsi="Arial" w:eastAsia="仿宋" w:cs="Arial"/>
                <w:color w:val="auto"/>
                <w:sz w:val="21"/>
                <w:szCs w:val="21"/>
              </w:rPr>
              <w:t>五通</w:t>
            </w:r>
            <w:r>
              <w:rPr>
                <w:rFonts w:hint="eastAsia" w:ascii="Arial" w:hAnsi="Arial" w:eastAsia="仿宋" w:cs="Arial"/>
                <w:color w:val="auto"/>
                <w:sz w:val="21"/>
                <w:szCs w:val="21"/>
              </w:rPr>
              <w:t>”</w:t>
            </w:r>
          </w:p>
        </w:tc>
        <w:tc>
          <w:tcPr>
            <w:tcW w:w="1418" w:type="dxa"/>
            <w:shd w:val="clear" w:color="auto" w:fill="auto"/>
            <w:vAlign w:val="center"/>
          </w:tcPr>
          <w:p w14:paraId="710009D5">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估价对象所在区域基础设施水平达到</w:t>
            </w:r>
            <w:r>
              <w:rPr>
                <w:rFonts w:hint="eastAsia" w:ascii="Arial" w:hAnsi="Arial" w:eastAsia="仿宋" w:cs="Arial"/>
                <w:color w:val="auto"/>
                <w:sz w:val="21"/>
                <w:szCs w:val="21"/>
              </w:rPr>
              <w:t>“</w:t>
            </w:r>
            <w:r>
              <w:rPr>
                <w:rFonts w:ascii="Arial" w:hAnsi="Arial" w:eastAsia="仿宋" w:cs="Arial"/>
                <w:color w:val="auto"/>
                <w:sz w:val="21"/>
                <w:szCs w:val="21"/>
              </w:rPr>
              <w:t>四通</w:t>
            </w:r>
            <w:r>
              <w:rPr>
                <w:rFonts w:hint="eastAsia" w:ascii="Arial" w:hAnsi="Arial" w:eastAsia="仿宋" w:cs="Arial"/>
                <w:color w:val="auto"/>
                <w:sz w:val="21"/>
                <w:szCs w:val="21"/>
              </w:rPr>
              <w:t>”</w:t>
            </w:r>
          </w:p>
        </w:tc>
        <w:tc>
          <w:tcPr>
            <w:tcW w:w="1418" w:type="dxa"/>
            <w:shd w:val="clear" w:color="auto" w:fill="auto"/>
            <w:vAlign w:val="center"/>
          </w:tcPr>
          <w:p w14:paraId="3DF06CEF">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估价对象所在区域基础设施水平达到</w:t>
            </w:r>
            <w:r>
              <w:rPr>
                <w:rFonts w:hint="eastAsia" w:ascii="Arial" w:hAnsi="Arial" w:eastAsia="仿宋" w:cs="Arial"/>
                <w:color w:val="auto"/>
                <w:sz w:val="21"/>
                <w:szCs w:val="21"/>
              </w:rPr>
              <w:t>“</w:t>
            </w:r>
            <w:r>
              <w:rPr>
                <w:rFonts w:ascii="Arial" w:hAnsi="Arial" w:eastAsia="仿宋" w:cs="Arial"/>
                <w:color w:val="auto"/>
                <w:sz w:val="21"/>
                <w:szCs w:val="21"/>
              </w:rPr>
              <w:t>三通</w:t>
            </w:r>
            <w:r>
              <w:rPr>
                <w:rFonts w:hint="eastAsia" w:ascii="Arial" w:hAnsi="Arial" w:eastAsia="仿宋" w:cs="Arial"/>
                <w:color w:val="auto"/>
                <w:sz w:val="21"/>
                <w:szCs w:val="21"/>
              </w:rPr>
              <w:t>”</w:t>
            </w:r>
          </w:p>
        </w:tc>
      </w:tr>
      <w:tr w14:paraId="00CAEA6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966" w:type="dxa"/>
            <w:shd w:val="clear" w:color="auto" w:fill="auto"/>
            <w:vAlign w:val="center"/>
          </w:tcPr>
          <w:p w14:paraId="1383C31D">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宗地形状及可利用程度</w:t>
            </w:r>
          </w:p>
        </w:tc>
        <w:tc>
          <w:tcPr>
            <w:tcW w:w="1426" w:type="dxa"/>
            <w:shd w:val="clear" w:color="auto" w:fill="auto"/>
            <w:vAlign w:val="center"/>
          </w:tcPr>
          <w:p w14:paraId="7F52204A">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宗地形状较规则，对宗地利用无影响</w:t>
            </w:r>
          </w:p>
        </w:tc>
        <w:tc>
          <w:tcPr>
            <w:tcW w:w="1454" w:type="dxa"/>
            <w:shd w:val="clear" w:color="auto" w:fill="auto"/>
            <w:vAlign w:val="center"/>
          </w:tcPr>
          <w:p w14:paraId="51CC7D95">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宗地形状较规则，但对宗地利用基本无影响</w:t>
            </w:r>
          </w:p>
        </w:tc>
        <w:tc>
          <w:tcPr>
            <w:tcW w:w="1617" w:type="dxa"/>
            <w:shd w:val="clear" w:color="auto" w:fill="auto"/>
            <w:vAlign w:val="center"/>
          </w:tcPr>
          <w:p w14:paraId="48DE9E70">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宗地形状不规则，但对宗地利用影响较小</w:t>
            </w:r>
          </w:p>
        </w:tc>
        <w:tc>
          <w:tcPr>
            <w:tcW w:w="1418" w:type="dxa"/>
            <w:shd w:val="clear" w:color="auto" w:fill="auto"/>
            <w:vAlign w:val="center"/>
          </w:tcPr>
          <w:p w14:paraId="0482AD81">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宗地形状不规则，对宗地利用有影响</w:t>
            </w:r>
          </w:p>
        </w:tc>
        <w:tc>
          <w:tcPr>
            <w:tcW w:w="1418" w:type="dxa"/>
            <w:shd w:val="clear" w:color="auto" w:fill="auto"/>
            <w:vAlign w:val="center"/>
          </w:tcPr>
          <w:p w14:paraId="6DAA2E25">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宗地形状极其不规则，对宗地利用影响很大</w:t>
            </w:r>
          </w:p>
        </w:tc>
      </w:tr>
      <w:tr w14:paraId="507D26E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966" w:type="dxa"/>
            <w:shd w:val="clear" w:color="auto" w:fill="auto"/>
            <w:vAlign w:val="center"/>
          </w:tcPr>
          <w:p w14:paraId="1CCB32C4">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自然和人文环境状况</w:t>
            </w:r>
          </w:p>
        </w:tc>
        <w:tc>
          <w:tcPr>
            <w:tcW w:w="1426" w:type="dxa"/>
            <w:shd w:val="clear" w:color="auto" w:fill="auto"/>
            <w:vAlign w:val="center"/>
          </w:tcPr>
          <w:p w14:paraId="1ADFF279">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周边1000米内有自然及人文景观</w:t>
            </w:r>
          </w:p>
        </w:tc>
        <w:tc>
          <w:tcPr>
            <w:tcW w:w="1454" w:type="dxa"/>
            <w:shd w:val="clear" w:color="auto" w:fill="auto"/>
            <w:vAlign w:val="center"/>
          </w:tcPr>
          <w:p w14:paraId="7BC802E6">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周边3000米内有自然或人文景观</w:t>
            </w:r>
          </w:p>
        </w:tc>
        <w:tc>
          <w:tcPr>
            <w:tcW w:w="1617" w:type="dxa"/>
            <w:shd w:val="clear" w:color="auto" w:fill="auto"/>
            <w:vAlign w:val="center"/>
          </w:tcPr>
          <w:p w14:paraId="1D55FAB0">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周边5000米内无自然及人文景观且环境状况一般</w:t>
            </w:r>
          </w:p>
        </w:tc>
        <w:tc>
          <w:tcPr>
            <w:tcW w:w="1418" w:type="dxa"/>
            <w:shd w:val="clear" w:color="auto" w:fill="auto"/>
            <w:vAlign w:val="center"/>
          </w:tcPr>
          <w:p w14:paraId="17A109CC">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周边5000米内无自然及人文景观且环境状况较差</w:t>
            </w:r>
          </w:p>
        </w:tc>
        <w:tc>
          <w:tcPr>
            <w:tcW w:w="1418" w:type="dxa"/>
            <w:shd w:val="clear" w:color="auto" w:fill="auto"/>
            <w:vAlign w:val="center"/>
          </w:tcPr>
          <w:p w14:paraId="1E730C87">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周边5000米内无自然及人文景观且临近污染源</w:t>
            </w:r>
          </w:p>
        </w:tc>
      </w:tr>
      <w:tr w14:paraId="185BCAD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966" w:type="dxa"/>
            <w:shd w:val="clear" w:color="auto" w:fill="auto"/>
            <w:vAlign w:val="center"/>
          </w:tcPr>
          <w:p w14:paraId="69685FFD">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与中心的接近程度</w:t>
            </w:r>
          </w:p>
        </w:tc>
        <w:tc>
          <w:tcPr>
            <w:tcW w:w="1426" w:type="dxa"/>
            <w:shd w:val="clear" w:color="auto" w:fill="auto"/>
            <w:vAlign w:val="center"/>
          </w:tcPr>
          <w:p w14:paraId="30BF2DBC">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距</w:t>
            </w:r>
            <w:r>
              <w:rPr>
                <w:rFonts w:ascii="Arial" w:hAnsi="Arial" w:eastAsia="仿宋" w:cs="Arial"/>
                <w:color w:val="auto"/>
                <w:sz w:val="21"/>
                <w:szCs w:val="21"/>
                <w:lang w:bidi="ar"/>
              </w:rPr>
              <w:t>区域</w:t>
            </w:r>
            <w:r>
              <w:rPr>
                <w:rFonts w:ascii="Arial" w:hAnsi="Arial" w:eastAsia="仿宋" w:cs="Arial"/>
                <w:color w:val="auto"/>
                <w:sz w:val="21"/>
                <w:szCs w:val="21"/>
              </w:rPr>
              <w:t>中心500米内，邻近程度好</w:t>
            </w:r>
          </w:p>
        </w:tc>
        <w:tc>
          <w:tcPr>
            <w:tcW w:w="1454" w:type="dxa"/>
            <w:shd w:val="clear" w:color="auto" w:fill="auto"/>
            <w:vAlign w:val="center"/>
          </w:tcPr>
          <w:p w14:paraId="240128E0">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距</w:t>
            </w:r>
            <w:r>
              <w:rPr>
                <w:rFonts w:ascii="Arial" w:hAnsi="Arial" w:eastAsia="仿宋" w:cs="Arial"/>
                <w:color w:val="auto"/>
                <w:sz w:val="21"/>
                <w:szCs w:val="21"/>
                <w:lang w:bidi="ar"/>
              </w:rPr>
              <w:t>区域</w:t>
            </w:r>
            <w:r>
              <w:rPr>
                <w:rFonts w:ascii="Arial" w:hAnsi="Arial" w:eastAsia="仿宋" w:cs="Arial"/>
                <w:color w:val="auto"/>
                <w:sz w:val="21"/>
                <w:szCs w:val="21"/>
              </w:rPr>
              <w:t>中心约1000米，邻近程度较好</w:t>
            </w:r>
          </w:p>
        </w:tc>
        <w:tc>
          <w:tcPr>
            <w:tcW w:w="1617" w:type="dxa"/>
            <w:shd w:val="clear" w:color="auto" w:fill="auto"/>
            <w:vAlign w:val="center"/>
          </w:tcPr>
          <w:p w14:paraId="3FED56E7">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距</w:t>
            </w:r>
            <w:r>
              <w:rPr>
                <w:rFonts w:ascii="Arial" w:hAnsi="Arial" w:eastAsia="仿宋" w:cs="Arial"/>
                <w:color w:val="auto"/>
                <w:sz w:val="21"/>
                <w:szCs w:val="21"/>
                <w:lang w:bidi="ar"/>
              </w:rPr>
              <w:t>区域</w:t>
            </w:r>
            <w:r>
              <w:rPr>
                <w:rFonts w:ascii="Arial" w:hAnsi="Arial" w:eastAsia="仿宋" w:cs="Arial"/>
                <w:color w:val="auto"/>
                <w:sz w:val="21"/>
                <w:szCs w:val="21"/>
              </w:rPr>
              <w:t>中心约1000</w:t>
            </w:r>
            <w:r>
              <w:rPr>
                <w:rFonts w:hint="eastAsia" w:ascii="Arial" w:hAnsi="Arial" w:eastAsia="仿宋" w:cs="Arial"/>
                <w:color w:val="auto"/>
                <w:sz w:val="21"/>
                <w:szCs w:val="21"/>
              </w:rPr>
              <w:t>－</w:t>
            </w:r>
            <w:r>
              <w:rPr>
                <w:rFonts w:ascii="Arial" w:hAnsi="Arial" w:eastAsia="仿宋" w:cs="Arial"/>
                <w:color w:val="auto"/>
                <w:sz w:val="21"/>
                <w:szCs w:val="21"/>
              </w:rPr>
              <w:t>1500米，邻近程度一般</w:t>
            </w:r>
          </w:p>
        </w:tc>
        <w:tc>
          <w:tcPr>
            <w:tcW w:w="1418" w:type="dxa"/>
            <w:shd w:val="clear" w:color="auto" w:fill="auto"/>
            <w:vAlign w:val="center"/>
          </w:tcPr>
          <w:p w14:paraId="19E943D8">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距</w:t>
            </w:r>
            <w:r>
              <w:rPr>
                <w:rFonts w:ascii="Arial" w:hAnsi="Arial" w:eastAsia="仿宋" w:cs="Arial"/>
                <w:color w:val="auto"/>
                <w:sz w:val="21"/>
                <w:szCs w:val="21"/>
                <w:lang w:bidi="ar"/>
              </w:rPr>
              <w:t>区域</w:t>
            </w:r>
            <w:r>
              <w:rPr>
                <w:rFonts w:ascii="Arial" w:hAnsi="Arial" w:eastAsia="仿宋" w:cs="Arial"/>
                <w:color w:val="auto"/>
                <w:sz w:val="21"/>
                <w:szCs w:val="21"/>
              </w:rPr>
              <w:t>中心约1500</w:t>
            </w:r>
            <w:r>
              <w:rPr>
                <w:rFonts w:hint="eastAsia" w:ascii="Arial" w:hAnsi="Arial" w:eastAsia="仿宋" w:cs="Arial"/>
                <w:color w:val="auto"/>
                <w:sz w:val="21"/>
                <w:szCs w:val="21"/>
              </w:rPr>
              <w:t>－</w:t>
            </w:r>
            <w:r>
              <w:rPr>
                <w:rFonts w:ascii="Arial" w:hAnsi="Arial" w:eastAsia="仿宋" w:cs="Arial"/>
                <w:color w:val="auto"/>
                <w:sz w:val="21"/>
                <w:szCs w:val="21"/>
              </w:rPr>
              <w:t>2000米，邻近程度较差</w:t>
            </w:r>
          </w:p>
        </w:tc>
        <w:tc>
          <w:tcPr>
            <w:tcW w:w="1418" w:type="dxa"/>
            <w:shd w:val="clear" w:color="auto" w:fill="auto"/>
            <w:vAlign w:val="center"/>
          </w:tcPr>
          <w:p w14:paraId="78B7EFE1">
            <w:pPr>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距</w:t>
            </w:r>
            <w:r>
              <w:rPr>
                <w:rFonts w:ascii="Arial" w:hAnsi="Arial" w:eastAsia="仿宋" w:cs="Arial"/>
                <w:color w:val="auto"/>
                <w:sz w:val="21"/>
                <w:szCs w:val="21"/>
                <w:lang w:bidi="ar"/>
              </w:rPr>
              <w:t>区域</w:t>
            </w:r>
            <w:r>
              <w:rPr>
                <w:rFonts w:ascii="Arial" w:hAnsi="Arial" w:eastAsia="仿宋" w:cs="Arial"/>
                <w:color w:val="auto"/>
                <w:sz w:val="21"/>
                <w:szCs w:val="21"/>
              </w:rPr>
              <w:t>中心2000米以上，邻近程度差</w:t>
            </w:r>
          </w:p>
        </w:tc>
      </w:tr>
    </w:tbl>
    <w:p w14:paraId="76643927">
      <w:pPr>
        <w:autoSpaceDE w:val="0"/>
        <w:autoSpaceDN w:val="0"/>
        <w:spacing w:line="240" w:lineRule="exact"/>
        <w:rPr>
          <w:rFonts w:ascii="Arial" w:hAnsi="Arial" w:eastAsia="华文细黑" w:cs="宋体"/>
          <w:color w:val="auto"/>
          <w:sz w:val="18"/>
          <w:szCs w:val="24"/>
        </w:rPr>
      </w:pPr>
    </w:p>
    <w:p w14:paraId="05FA5471">
      <w:pPr>
        <w:adjustRightInd/>
        <w:snapToGrid w:val="0"/>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估价对象地处住宅类</w:t>
      </w:r>
      <w:r>
        <w:rPr>
          <w:rFonts w:hint="eastAsia" w:ascii="Arial" w:hAnsi="Arial" w:eastAsia="仿宋_GB2312" w:cs="Arial"/>
          <w:color w:val="auto"/>
          <w:sz w:val="28"/>
        </w:rPr>
        <w:t>九级</w:t>
      </w:r>
      <w:r>
        <w:rPr>
          <w:rFonts w:ascii="Arial" w:hAnsi="Arial" w:eastAsia="仿宋_GB2312" w:cs="Arial"/>
          <w:color w:val="auto"/>
          <w:sz w:val="28"/>
        </w:rPr>
        <w:t>IX</w:t>
      </w:r>
      <w:r>
        <w:rPr>
          <w:rFonts w:hint="eastAsia" w:ascii="Arial" w:hAnsi="Arial" w:eastAsia="仿宋_GB2312" w:cs="Arial"/>
          <w:color w:val="auto"/>
          <w:sz w:val="28"/>
        </w:rPr>
        <w:t>－顺5</w:t>
      </w:r>
      <w:r>
        <w:rPr>
          <w:rFonts w:ascii="Arial" w:hAnsi="Arial" w:eastAsia="仿宋" w:cs="Arial"/>
          <w:color w:val="auto"/>
          <w:sz w:val="28"/>
        </w:rPr>
        <w:t>区片，依据前述《区片基准地价因素总修正幅度表》、《北京市基准地价因素权重表》及《因素等级说明表》，整理出《等级系数表》如下：</w:t>
      </w:r>
    </w:p>
    <w:p w14:paraId="23017079">
      <w:pPr>
        <w:spacing w:line="240" w:lineRule="auto"/>
        <w:jc w:val="center"/>
        <w:rPr>
          <w:rFonts w:ascii="仿宋" w:hAnsi="仿宋" w:eastAsia="仿宋"/>
          <w:color w:val="auto"/>
          <w:sz w:val="28"/>
          <w:szCs w:val="28"/>
        </w:rPr>
      </w:pPr>
      <w:r>
        <w:rPr>
          <w:rFonts w:hint="eastAsia" w:ascii="仿宋" w:hAnsi="仿宋" w:eastAsia="仿宋"/>
          <w:color w:val="auto"/>
          <w:sz w:val="28"/>
          <w:szCs w:val="28"/>
        </w:rPr>
        <w:t>等级系数表</w:t>
      </w:r>
    </w:p>
    <w:tbl>
      <w:tblPr>
        <w:tblStyle w:val="34"/>
        <w:tblW w:w="9299"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57" w:type="dxa"/>
          <w:bottom w:w="57" w:type="dxa"/>
          <w:right w:w="57" w:type="dxa"/>
        </w:tblCellMar>
      </w:tblPr>
      <w:tblGrid>
        <w:gridCol w:w="2265"/>
        <w:gridCol w:w="1406"/>
        <w:gridCol w:w="1407"/>
        <w:gridCol w:w="1407"/>
        <w:gridCol w:w="1407"/>
        <w:gridCol w:w="1407"/>
      </w:tblGrid>
      <w:tr w14:paraId="3B02DFF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tblHeader/>
          <w:jc w:val="center"/>
        </w:trPr>
        <w:tc>
          <w:tcPr>
            <w:tcW w:w="2265" w:type="dxa"/>
            <w:tcBorders>
              <w:tl2br w:val="single" w:color="auto" w:sz="4" w:space="0"/>
            </w:tcBorders>
            <w:shd w:val="clear" w:color="auto" w:fill="auto"/>
            <w:vAlign w:val="center"/>
          </w:tcPr>
          <w:p w14:paraId="3A78F27F">
            <w:pPr>
              <w:widowControl/>
              <w:adjustRightInd/>
              <w:spacing w:line="240" w:lineRule="atLeast"/>
              <w:ind w:firstLine="1470" w:firstLineChars="700"/>
              <w:textAlignment w:val="auto"/>
              <w:rPr>
                <w:rFonts w:ascii="Arial" w:hAnsi="Arial" w:eastAsia="仿宋" w:cs="Arial"/>
                <w:color w:val="auto"/>
                <w:sz w:val="21"/>
                <w:szCs w:val="21"/>
              </w:rPr>
            </w:pPr>
            <w:r>
              <w:rPr>
                <w:rFonts w:ascii="Arial" w:hAnsi="Arial" w:eastAsia="仿宋" w:cs="Arial"/>
                <w:color w:val="auto"/>
                <w:sz w:val="21"/>
                <w:szCs w:val="21"/>
              </w:rPr>
              <w:t>等级</w:t>
            </w:r>
          </w:p>
          <w:p w14:paraId="7346320B">
            <w:pPr>
              <w:widowControl/>
              <w:adjustRightInd/>
              <w:spacing w:line="240" w:lineRule="atLeas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1406" w:type="dxa"/>
            <w:shd w:val="clear" w:color="auto" w:fill="auto"/>
            <w:vAlign w:val="center"/>
          </w:tcPr>
          <w:p w14:paraId="14336122">
            <w:pPr>
              <w:widowControl/>
              <w:adjustRightInd/>
              <w:spacing w:line="240" w:lineRule="atLeast"/>
              <w:textAlignment w:val="auto"/>
              <w:rPr>
                <w:rFonts w:ascii="Arial" w:hAnsi="Arial" w:eastAsia="仿宋" w:cs="Arial"/>
                <w:color w:val="auto"/>
                <w:sz w:val="21"/>
                <w:szCs w:val="21"/>
              </w:rPr>
            </w:pPr>
            <w:r>
              <w:rPr>
                <w:rFonts w:ascii="Arial" w:hAnsi="Arial" w:eastAsia="仿宋" w:cs="Arial"/>
                <w:color w:val="auto"/>
                <w:sz w:val="21"/>
                <w:szCs w:val="21"/>
              </w:rPr>
              <w:t>好</w:t>
            </w:r>
          </w:p>
        </w:tc>
        <w:tc>
          <w:tcPr>
            <w:tcW w:w="1407" w:type="dxa"/>
            <w:shd w:val="clear" w:color="auto" w:fill="auto"/>
            <w:vAlign w:val="center"/>
          </w:tcPr>
          <w:p w14:paraId="2E4F926B">
            <w:pPr>
              <w:widowControl/>
              <w:adjustRightInd/>
              <w:spacing w:line="240" w:lineRule="atLeast"/>
              <w:textAlignment w:val="auto"/>
              <w:rPr>
                <w:rFonts w:ascii="Arial" w:hAnsi="Arial" w:eastAsia="仿宋" w:cs="Arial"/>
                <w:color w:val="auto"/>
                <w:sz w:val="21"/>
                <w:szCs w:val="21"/>
              </w:rPr>
            </w:pPr>
            <w:r>
              <w:rPr>
                <w:rFonts w:ascii="Arial" w:hAnsi="Arial" w:eastAsia="仿宋" w:cs="Arial"/>
                <w:color w:val="auto"/>
                <w:sz w:val="21"/>
                <w:szCs w:val="21"/>
              </w:rPr>
              <w:t>较好</w:t>
            </w:r>
          </w:p>
        </w:tc>
        <w:tc>
          <w:tcPr>
            <w:tcW w:w="1407" w:type="dxa"/>
            <w:shd w:val="clear" w:color="auto" w:fill="auto"/>
            <w:vAlign w:val="center"/>
          </w:tcPr>
          <w:p w14:paraId="58F2140F">
            <w:pPr>
              <w:widowControl/>
              <w:adjustRightInd/>
              <w:spacing w:line="240" w:lineRule="atLeast"/>
              <w:textAlignment w:val="auto"/>
              <w:rPr>
                <w:rFonts w:ascii="Arial" w:hAnsi="Arial" w:eastAsia="仿宋" w:cs="Arial"/>
                <w:color w:val="auto"/>
                <w:sz w:val="21"/>
                <w:szCs w:val="21"/>
              </w:rPr>
            </w:pPr>
            <w:r>
              <w:rPr>
                <w:rFonts w:ascii="Arial" w:hAnsi="Arial" w:eastAsia="仿宋" w:cs="Arial"/>
                <w:color w:val="auto"/>
                <w:sz w:val="21"/>
                <w:szCs w:val="21"/>
              </w:rPr>
              <w:t>一般</w:t>
            </w:r>
          </w:p>
        </w:tc>
        <w:tc>
          <w:tcPr>
            <w:tcW w:w="1407" w:type="dxa"/>
            <w:shd w:val="clear" w:color="auto" w:fill="auto"/>
            <w:vAlign w:val="center"/>
          </w:tcPr>
          <w:p w14:paraId="4CAA7097">
            <w:pPr>
              <w:widowControl/>
              <w:adjustRightInd/>
              <w:spacing w:line="240" w:lineRule="atLeast"/>
              <w:textAlignment w:val="auto"/>
              <w:rPr>
                <w:rFonts w:ascii="Arial" w:hAnsi="Arial" w:eastAsia="仿宋" w:cs="Arial"/>
                <w:color w:val="auto"/>
                <w:sz w:val="21"/>
                <w:szCs w:val="21"/>
              </w:rPr>
            </w:pPr>
            <w:r>
              <w:rPr>
                <w:rFonts w:ascii="Arial" w:hAnsi="Arial" w:eastAsia="仿宋" w:cs="Arial"/>
                <w:color w:val="auto"/>
                <w:sz w:val="21"/>
                <w:szCs w:val="21"/>
              </w:rPr>
              <w:t>较差</w:t>
            </w:r>
          </w:p>
        </w:tc>
        <w:tc>
          <w:tcPr>
            <w:tcW w:w="1407" w:type="dxa"/>
            <w:shd w:val="clear" w:color="auto" w:fill="auto"/>
            <w:vAlign w:val="center"/>
          </w:tcPr>
          <w:p w14:paraId="3200392A">
            <w:pPr>
              <w:widowControl/>
              <w:adjustRightInd/>
              <w:spacing w:line="240" w:lineRule="atLeast"/>
              <w:textAlignment w:val="auto"/>
              <w:rPr>
                <w:rFonts w:ascii="Arial" w:hAnsi="Arial" w:eastAsia="仿宋" w:cs="Arial"/>
                <w:color w:val="auto"/>
                <w:sz w:val="21"/>
                <w:szCs w:val="21"/>
              </w:rPr>
            </w:pPr>
            <w:r>
              <w:rPr>
                <w:rFonts w:ascii="Arial" w:hAnsi="Arial" w:eastAsia="仿宋" w:cs="Arial"/>
                <w:color w:val="auto"/>
                <w:sz w:val="21"/>
                <w:szCs w:val="21"/>
              </w:rPr>
              <w:t>差</w:t>
            </w:r>
          </w:p>
        </w:tc>
      </w:tr>
      <w:tr w14:paraId="6090B6F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31741A0A">
            <w:pPr>
              <w:widowControl/>
              <w:adjustRightInd/>
              <w:spacing w:line="240" w:lineRule="atLeast"/>
              <w:textAlignment w:val="center"/>
              <w:rPr>
                <w:rFonts w:ascii="Arial" w:hAnsi="Arial" w:eastAsia="仿宋" w:cs="Arial"/>
                <w:color w:val="auto"/>
                <w:sz w:val="21"/>
                <w:szCs w:val="21"/>
              </w:rPr>
            </w:pPr>
            <w:r>
              <w:rPr>
                <w:rFonts w:ascii="Arial" w:hAnsi="Arial" w:eastAsia="仿宋" w:cs="Arial"/>
                <w:color w:val="auto"/>
                <w:sz w:val="21"/>
                <w:szCs w:val="21"/>
                <w:lang w:bidi="ar"/>
              </w:rPr>
              <w:t>居住社区成熟度</w:t>
            </w:r>
          </w:p>
        </w:tc>
        <w:tc>
          <w:tcPr>
            <w:tcW w:w="1406" w:type="dxa"/>
            <w:shd w:val="clear" w:color="auto" w:fill="auto"/>
            <w:vAlign w:val="center"/>
          </w:tcPr>
          <w:p w14:paraId="61BE4071">
            <w:pPr>
              <w:widowControl/>
              <w:adjustRightInd/>
              <w:spacing w:line="240" w:lineRule="atLeast"/>
              <w:textAlignment w:val="auto"/>
              <w:rPr>
                <w:rFonts w:ascii="Arial" w:hAnsi="Arial" w:cs="Arial"/>
                <w:color w:val="auto"/>
                <w:sz w:val="22"/>
                <w:szCs w:val="22"/>
              </w:rPr>
            </w:pPr>
            <w:r>
              <w:rPr>
                <w:rFonts w:ascii="Arial" w:hAnsi="Arial" w:cs="Arial"/>
                <w:color w:val="auto"/>
                <w:sz w:val="22"/>
                <w:szCs w:val="22"/>
              </w:rPr>
              <w:t>3.00</w:t>
            </w:r>
          </w:p>
        </w:tc>
        <w:tc>
          <w:tcPr>
            <w:tcW w:w="1407" w:type="dxa"/>
            <w:shd w:val="clear" w:color="auto" w:fill="auto"/>
            <w:vAlign w:val="center"/>
          </w:tcPr>
          <w:p w14:paraId="27609B5C">
            <w:pPr>
              <w:spacing w:line="240" w:lineRule="atLeast"/>
              <w:rPr>
                <w:rFonts w:ascii="Arial" w:hAnsi="Arial" w:cs="Arial"/>
                <w:color w:val="auto"/>
                <w:sz w:val="22"/>
                <w:szCs w:val="22"/>
              </w:rPr>
            </w:pPr>
            <w:r>
              <w:rPr>
                <w:rFonts w:ascii="Arial" w:hAnsi="Arial" w:cs="Arial"/>
                <w:color w:val="auto"/>
                <w:sz w:val="22"/>
                <w:szCs w:val="22"/>
              </w:rPr>
              <w:t>1.50</w:t>
            </w:r>
          </w:p>
        </w:tc>
        <w:tc>
          <w:tcPr>
            <w:tcW w:w="1407" w:type="dxa"/>
            <w:shd w:val="clear" w:color="auto" w:fill="auto"/>
            <w:vAlign w:val="center"/>
          </w:tcPr>
          <w:p w14:paraId="7339B592">
            <w:pPr>
              <w:spacing w:line="240" w:lineRule="atLeast"/>
              <w:rPr>
                <w:rFonts w:ascii="Arial" w:hAnsi="Arial" w:cs="Arial"/>
                <w:color w:val="auto"/>
                <w:sz w:val="22"/>
                <w:szCs w:val="22"/>
              </w:rPr>
            </w:pPr>
            <w:r>
              <w:rPr>
                <w:rFonts w:ascii="Arial" w:hAnsi="Arial" w:cs="Arial"/>
                <w:color w:val="auto"/>
                <w:sz w:val="22"/>
                <w:szCs w:val="22"/>
              </w:rPr>
              <w:t>0.00</w:t>
            </w:r>
          </w:p>
        </w:tc>
        <w:tc>
          <w:tcPr>
            <w:tcW w:w="1407" w:type="dxa"/>
            <w:shd w:val="clear" w:color="auto" w:fill="auto"/>
            <w:vAlign w:val="center"/>
          </w:tcPr>
          <w:p w14:paraId="226BBC33">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1.50</w:t>
            </w:r>
          </w:p>
        </w:tc>
        <w:tc>
          <w:tcPr>
            <w:tcW w:w="1407" w:type="dxa"/>
            <w:shd w:val="clear" w:color="auto" w:fill="auto"/>
            <w:vAlign w:val="center"/>
          </w:tcPr>
          <w:p w14:paraId="724EADE4">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3.00</w:t>
            </w:r>
          </w:p>
        </w:tc>
      </w:tr>
      <w:tr w14:paraId="42E2473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34772AB0">
            <w:pPr>
              <w:widowControl/>
              <w:adjustRightInd/>
              <w:spacing w:line="240" w:lineRule="atLeast"/>
              <w:textAlignment w:val="center"/>
              <w:rPr>
                <w:rFonts w:ascii="Arial" w:hAnsi="Arial" w:eastAsia="仿宋" w:cs="Arial"/>
                <w:color w:val="auto"/>
                <w:sz w:val="21"/>
                <w:szCs w:val="21"/>
              </w:rPr>
            </w:pPr>
            <w:r>
              <w:rPr>
                <w:rFonts w:ascii="Arial" w:hAnsi="Arial" w:eastAsia="仿宋" w:cs="Arial"/>
                <w:color w:val="auto"/>
                <w:sz w:val="21"/>
                <w:szCs w:val="21"/>
                <w:lang w:bidi="ar"/>
              </w:rPr>
              <w:t>交通便捷度</w:t>
            </w:r>
          </w:p>
        </w:tc>
        <w:tc>
          <w:tcPr>
            <w:tcW w:w="1406" w:type="dxa"/>
            <w:shd w:val="clear" w:color="auto" w:fill="auto"/>
            <w:vAlign w:val="center"/>
          </w:tcPr>
          <w:p w14:paraId="7A7E3411">
            <w:pPr>
              <w:spacing w:line="240" w:lineRule="atLeast"/>
              <w:rPr>
                <w:rFonts w:ascii="Arial" w:hAnsi="Arial" w:cs="Arial"/>
                <w:color w:val="auto"/>
                <w:sz w:val="22"/>
                <w:szCs w:val="22"/>
              </w:rPr>
            </w:pPr>
            <w:r>
              <w:rPr>
                <w:rFonts w:ascii="Arial" w:hAnsi="Arial" w:cs="Arial"/>
                <w:color w:val="auto"/>
                <w:sz w:val="22"/>
                <w:szCs w:val="22"/>
              </w:rPr>
              <w:t>3.90</w:t>
            </w:r>
          </w:p>
        </w:tc>
        <w:tc>
          <w:tcPr>
            <w:tcW w:w="1407" w:type="dxa"/>
            <w:shd w:val="clear" w:color="auto" w:fill="auto"/>
            <w:vAlign w:val="center"/>
          </w:tcPr>
          <w:p w14:paraId="3A6C2DAD">
            <w:pPr>
              <w:spacing w:line="240" w:lineRule="atLeast"/>
              <w:rPr>
                <w:rFonts w:ascii="Arial" w:hAnsi="Arial" w:cs="Arial"/>
                <w:color w:val="auto"/>
                <w:sz w:val="22"/>
                <w:szCs w:val="22"/>
              </w:rPr>
            </w:pPr>
            <w:r>
              <w:rPr>
                <w:rFonts w:ascii="Arial" w:hAnsi="Arial" w:cs="Arial"/>
                <w:color w:val="auto"/>
                <w:sz w:val="22"/>
                <w:szCs w:val="22"/>
              </w:rPr>
              <w:t>1.95</w:t>
            </w:r>
          </w:p>
        </w:tc>
        <w:tc>
          <w:tcPr>
            <w:tcW w:w="1407" w:type="dxa"/>
            <w:shd w:val="clear" w:color="auto" w:fill="auto"/>
            <w:vAlign w:val="center"/>
          </w:tcPr>
          <w:p w14:paraId="4455A516">
            <w:pPr>
              <w:spacing w:line="240" w:lineRule="atLeast"/>
              <w:rPr>
                <w:rFonts w:ascii="Arial" w:hAnsi="Arial" w:cs="Arial"/>
                <w:color w:val="auto"/>
                <w:sz w:val="22"/>
                <w:szCs w:val="22"/>
              </w:rPr>
            </w:pPr>
            <w:r>
              <w:rPr>
                <w:rFonts w:ascii="Arial" w:hAnsi="Arial" w:cs="Arial"/>
                <w:color w:val="auto"/>
                <w:sz w:val="22"/>
                <w:szCs w:val="22"/>
              </w:rPr>
              <w:t>0.00</w:t>
            </w:r>
          </w:p>
        </w:tc>
        <w:tc>
          <w:tcPr>
            <w:tcW w:w="1407" w:type="dxa"/>
            <w:shd w:val="clear" w:color="auto" w:fill="auto"/>
            <w:vAlign w:val="center"/>
          </w:tcPr>
          <w:p w14:paraId="0317A502">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1.95</w:t>
            </w:r>
          </w:p>
        </w:tc>
        <w:tc>
          <w:tcPr>
            <w:tcW w:w="1407" w:type="dxa"/>
            <w:shd w:val="clear" w:color="auto" w:fill="auto"/>
            <w:vAlign w:val="center"/>
          </w:tcPr>
          <w:p w14:paraId="33C63BFE">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3.90</w:t>
            </w:r>
          </w:p>
        </w:tc>
      </w:tr>
      <w:tr w14:paraId="0B17941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6546F10F">
            <w:pPr>
              <w:widowControl/>
              <w:adjustRightInd/>
              <w:spacing w:line="240" w:lineRule="atLeast"/>
              <w:textAlignment w:val="center"/>
              <w:rPr>
                <w:rFonts w:ascii="Arial" w:hAnsi="Arial" w:eastAsia="仿宋" w:cs="Arial"/>
                <w:color w:val="auto"/>
                <w:sz w:val="21"/>
                <w:szCs w:val="21"/>
              </w:rPr>
            </w:pPr>
            <w:r>
              <w:rPr>
                <w:rFonts w:ascii="Arial" w:hAnsi="Arial" w:eastAsia="仿宋" w:cs="Arial"/>
                <w:color w:val="auto"/>
                <w:sz w:val="21"/>
                <w:szCs w:val="21"/>
                <w:lang w:bidi="ar"/>
              </w:rPr>
              <w:t>城市规划及区域土地利用方向</w:t>
            </w:r>
          </w:p>
        </w:tc>
        <w:tc>
          <w:tcPr>
            <w:tcW w:w="1406" w:type="dxa"/>
            <w:shd w:val="clear" w:color="auto" w:fill="auto"/>
            <w:vAlign w:val="center"/>
          </w:tcPr>
          <w:p w14:paraId="347504A2">
            <w:pPr>
              <w:spacing w:line="240" w:lineRule="atLeast"/>
              <w:rPr>
                <w:rFonts w:ascii="Arial" w:hAnsi="Arial" w:cs="Arial"/>
                <w:color w:val="auto"/>
                <w:sz w:val="22"/>
                <w:szCs w:val="22"/>
              </w:rPr>
            </w:pPr>
            <w:r>
              <w:rPr>
                <w:rFonts w:ascii="Arial" w:hAnsi="Arial" w:cs="Arial"/>
                <w:color w:val="auto"/>
                <w:sz w:val="22"/>
                <w:szCs w:val="22"/>
              </w:rPr>
              <w:t>1.50</w:t>
            </w:r>
          </w:p>
        </w:tc>
        <w:tc>
          <w:tcPr>
            <w:tcW w:w="1407" w:type="dxa"/>
            <w:shd w:val="clear" w:color="auto" w:fill="auto"/>
            <w:vAlign w:val="center"/>
          </w:tcPr>
          <w:p w14:paraId="214B5D75">
            <w:pPr>
              <w:spacing w:line="240" w:lineRule="atLeast"/>
              <w:rPr>
                <w:rFonts w:ascii="Arial" w:hAnsi="Arial" w:cs="Arial"/>
                <w:color w:val="auto"/>
                <w:sz w:val="22"/>
                <w:szCs w:val="22"/>
              </w:rPr>
            </w:pPr>
            <w:r>
              <w:rPr>
                <w:rFonts w:ascii="Arial" w:hAnsi="Arial" w:cs="Arial"/>
                <w:color w:val="auto"/>
                <w:sz w:val="22"/>
                <w:szCs w:val="22"/>
              </w:rPr>
              <w:t>0.75</w:t>
            </w:r>
          </w:p>
        </w:tc>
        <w:tc>
          <w:tcPr>
            <w:tcW w:w="1407" w:type="dxa"/>
            <w:shd w:val="clear" w:color="auto" w:fill="auto"/>
            <w:vAlign w:val="center"/>
          </w:tcPr>
          <w:p w14:paraId="303F066C">
            <w:pPr>
              <w:spacing w:line="240" w:lineRule="atLeast"/>
              <w:rPr>
                <w:rFonts w:ascii="Arial" w:hAnsi="Arial" w:cs="Arial"/>
                <w:color w:val="auto"/>
                <w:sz w:val="22"/>
                <w:szCs w:val="22"/>
              </w:rPr>
            </w:pPr>
            <w:r>
              <w:rPr>
                <w:rFonts w:ascii="Arial" w:hAnsi="Arial" w:cs="Arial"/>
                <w:color w:val="auto"/>
                <w:sz w:val="22"/>
                <w:szCs w:val="22"/>
              </w:rPr>
              <w:t>0.00</w:t>
            </w:r>
          </w:p>
        </w:tc>
        <w:tc>
          <w:tcPr>
            <w:tcW w:w="1407" w:type="dxa"/>
            <w:shd w:val="clear" w:color="auto" w:fill="auto"/>
            <w:vAlign w:val="center"/>
          </w:tcPr>
          <w:p w14:paraId="0D9029BA">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0.75</w:t>
            </w:r>
          </w:p>
        </w:tc>
        <w:tc>
          <w:tcPr>
            <w:tcW w:w="1407" w:type="dxa"/>
            <w:shd w:val="clear" w:color="auto" w:fill="auto"/>
            <w:vAlign w:val="center"/>
          </w:tcPr>
          <w:p w14:paraId="4F5390AF">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1.50</w:t>
            </w:r>
          </w:p>
        </w:tc>
      </w:tr>
      <w:tr w14:paraId="78F4036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0183578F">
            <w:pPr>
              <w:widowControl/>
              <w:adjustRightInd/>
              <w:spacing w:line="240" w:lineRule="atLeast"/>
              <w:textAlignment w:val="center"/>
              <w:rPr>
                <w:rFonts w:ascii="Arial" w:hAnsi="Arial" w:eastAsia="仿宋" w:cs="Arial"/>
                <w:color w:val="auto"/>
                <w:sz w:val="21"/>
                <w:szCs w:val="21"/>
              </w:rPr>
            </w:pPr>
            <w:r>
              <w:rPr>
                <w:rFonts w:ascii="Arial" w:hAnsi="Arial" w:eastAsia="仿宋" w:cs="Arial"/>
                <w:color w:val="auto"/>
                <w:sz w:val="21"/>
                <w:szCs w:val="21"/>
                <w:lang w:bidi="ar"/>
              </w:rPr>
              <w:t>临路状况</w:t>
            </w:r>
          </w:p>
        </w:tc>
        <w:tc>
          <w:tcPr>
            <w:tcW w:w="1406" w:type="dxa"/>
            <w:shd w:val="clear" w:color="auto" w:fill="auto"/>
            <w:vAlign w:val="center"/>
          </w:tcPr>
          <w:p w14:paraId="2BE15DEF">
            <w:pPr>
              <w:spacing w:line="240" w:lineRule="atLeast"/>
              <w:rPr>
                <w:rFonts w:ascii="Arial" w:hAnsi="Arial" w:cs="Arial"/>
                <w:color w:val="auto"/>
                <w:sz w:val="22"/>
                <w:szCs w:val="22"/>
              </w:rPr>
            </w:pPr>
            <w:r>
              <w:rPr>
                <w:rFonts w:ascii="Arial" w:hAnsi="Arial" w:cs="Arial"/>
                <w:color w:val="auto"/>
                <w:sz w:val="22"/>
                <w:szCs w:val="22"/>
              </w:rPr>
              <w:t>0.74</w:t>
            </w:r>
          </w:p>
        </w:tc>
        <w:tc>
          <w:tcPr>
            <w:tcW w:w="1407" w:type="dxa"/>
            <w:shd w:val="clear" w:color="auto" w:fill="auto"/>
            <w:vAlign w:val="center"/>
          </w:tcPr>
          <w:p w14:paraId="2C8763DA">
            <w:pPr>
              <w:spacing w:line="240" w:lineRule="atLeast"/>
              <w:rPr>
                <w:rFonts w:ascii="Arial" w:hAnsi="Arial" w:cs="Arial"/>
                <w:color w:val="auto"/>
                <w:sz w:val="22"/>
                <w:szCs w:val="22"/>
              </w:rPr>
            </w:pPr>
            <w:r>
              <w:rPr>
                <w:rFonts w:ascii="Arial" w:hAnsi="Arial" w:cs="Arial"/>
                <w:color w:val="auto"/>
                <w:sz w:val="22"/>
                <w:szCs w:val="22"/>
              </w:rPr>
              <w:t>0.37</w:t>
            </w:r>
          </w:p>
        </w:tc>
        <w:tc>
          <w:tcPr>
            <w:tcW w:w="1407" w:type="dxa"/>
            <w:shd w:val="clear" w:color="auto" w:fill="auto"/>
            <w:vAlign w:val="center"/>
          </w:tcPr>
          <w:p w14:paraId="4EA12452">
            <w:pPr>
              <w:spacing w:line="240" w:lineRule="atLeast"/>
              <w:rPr>
                <w:rFonts w:ascii="Arial" w:hAnsi="Arial" w:cs="Arial"/>
                <w:color w:val="auto"/>
                <w:sz w:val="22"/>
                <w:szCs w:val="22"/>
              </w:rPr>
            </w:pPr>
            <w:r>
              <w:rPr>
                <w:rFonts w:ascii="Arial" w:hAnsi="Arial" w:cs="Arial"/>
                <w:color w:val="auto"/>
                <w:sz w:val="22"/>
                <w:szCs w:val="22"/>
              </w:rPr>
              <w:t>0.00</w:t>
            </w:r>
          </w:p>
        </w:tc>
        <w:tc>
          <w:tcPr>
            <w:tcW w:w="1407" w:type="dxa"/>
            <w:shd w:val="clear" w:color="auto" w:fill="auto"/>
            <w:vAlign w:val="center"/>
          </w:tcPr>
          <w:p w14:paraId="4DA187F2">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0.37</w:t>
            </w:r>
          </w:p>
        </w:tc>
        <w:tc>
          <w:tcPr>
            <w:tcW w:w="1407" w:type="dxa"/>
            <w:shd w:val="clear" w:color="auto" w:fill="auto"/>
            <w:vAlign w:val="center"/>
          </w:tcPr>
          <w:p w14:paraId="2730236E">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0.74</w:t>
            </w:r>
          </w:p>
        </w:tc>
      </w:tr>
      <w:tr w14:paraId="5CE39A0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140A2412">
            <w:pPr>
              <w:widowControl/>
              <w:adjustRightInd/>
              <w:spacing w:line="240" w:lineRule="atLeast"/>
              <w:textAlignment w:val="center"/>
              <w:rPr>
                <w:rFonts w:ascii="Arial" w:hAnsi="Arial" w:eastAsia="仿宋" w:cs="Arial"/>
                <w:color w:val="auto"/>
                <w:sz w:val="21"/>
                <w:szCs w:val="21"/>
              </w:rPr>
            </w:pPr>
            <w:r>
              <w:rPr>
                <w:rFonts w:ascii="Arial" w:hAnsi="Arial" w:eastAsia="仿宋" w:cs="Arial"/>
                <w:color w:val="auto"/>
                <w:sz w:val="21"/>
                <w:szCs w:val="21"/>
                <w:lang w:bidi="ar"/>
              </w:rPr>
              <w:t>公共服务设施状况</w:t>
            </w:r>
          </w:p>
        </w:tc>
        <w:tc>
          <w:tcPr>
            <w:tcW w:w="1406" w:type="dxa"/>
            <w:shd w:val="clear" w:color="auto" w:fill="auto"/>
            <w:vAlign w:val="center"/>
          </w:tcPr>
          <w:p w14:paraId="32172BC8">
            <w:pPr>
              <w:spacing w:line="240" w:lineRule="atLeast"/>
              <w:rPr>
                <w:rFonts w:ascii="Arial" w:hAnsi="Arial" w:cs="Arial"/>
                <w:color w:val="auto"/>
                <w:sz w:val="22"/>
                <w:szCs w:val="22"/>
              </w:rPr>
            </w:pPr>
            <w:r>
              <w:rPr>
                <w:rFonts w:ascii="Arial" w:hAnsi="Arial" w:cs="Arial"/>
                <w:color w:val="auto"/>
                <w:sz w:val="22"/>
                <w:szCs w:val="22"/>
              </w:rPr>
              <w:t>1.20</w:t>
            </w:r>
          </w:p>
        </w:tc>
        <w:tc>
          <w:tcPr>
            <w:tcW w:w="1407" w:type="dxa"/>
            <w:shd w:val="clear" w:color="auto" w:fill="auto"/>
            <w:vAlign w:val="center"/>
          </w:tcPr>
          <w:p w14:paraId="66DD6FDA">
            <w:pPr>
              <w:spacing w:line="240" w:lineRule="atLeast"/>
              <w:rPr>
                <w:rFonts w:ascii="Arial" w:hAnsi="Arial" w:cs="Arial"/>
                <w:color w:val="auto"/>
                <w:sz w:val="22"/>
                <w:szCs w:val="22"/>
              </w:rPr>
            </w:pPr>
            <w:r>
              <w:rPr>
                <w:rFonts w:ascii="Arial" w:hAnsi="Arial" w:cs="Arial"/>
                <w:color w:val="auto"/>
                <w:sz w:val="22"/>
                <w:szCs w:val="22"/>
              </w:rPr>
              <w:t>0.60</w:t>
            </w:r>
          </w:p>
        </w:tc>
        <w:tc>
          <w:tcPr>
            <w:tcW w:w="1407" w:type="dxa"/>
            <w:shd w:val="clear" w:color="auto" w:fill="auto"/>
            <w:vAlign w:val="center"/>
          </w:tcPr>
          <w:p w14:paraId="58B1C5D9">
            <w:pPr>
              <w:spacing w:line="240" w:lineRule="atLeast"/>
              <w:rPr>
                <w:rFonts w:ascii="Arial" w:hAnsi="Arial" w:cs="Arial"/>
                <w:color w:val="auto"/>
                <w:sz w:val="22"/>
                <w:szCs w:val="22"/>
              </w:rPr>
            </w:pPr>
            <w:r>
              <w:rPr>
                <w:rFonts w:ascii="Arial" w:hAnsi="Arial" w:cs="Arial"/>
                <w:color w:val="auto"/>
                <w:sz w:val="22"/>
                <w:szCs w:val="22"/>
              </w:rPr>
              <w:t>0.00</w:t>
            </w:r>
          </w:p>
        </w:tc>
        <w:tc>
          <w:tcPr>
            <w:tcW w:w="1407" w:type="dxa"/>
            <w:shd w:val="clear" w:color="auto" w:fill="auto"/>
            <w:vAlign w:val="center"/>
          </w:tcPr>
          <w:p w14:paraId="13437BFE">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0.60</w:t>
            </w:r>
          </w:p>
        </w:tc>
        <w:tc>
          <w:tcPr>
            <w:tcW w:w="1407" w:type="dxa"/>
            <w:shd w:val="clear" w:color="auto" w:fill="auto"/>
            <w:vAlign w:val="center"/>
          </w:tcPr>
          <w:p w14:paraId="0152F435">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1.20</w:t>
            </w:r>
          </w:p>
        </w:tc>
      </w:tr>
      <w:tr w14:paraId="2A36634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6F1AD50C">
            <w:pPr>
              <w:widowControl/>
              <w:adjustRightInd/>
              <w:spacing w:line="240" w:lineRule="atLeast"/>
              <w:textAlignment w:val="center"/>
              <w:rPr>
                <w:rFonts w:ascii="Arial" w:hAnsi="Arial" w:eastAsia="仿宋" w:cs="Arial"/>
                <w:color w:val="auto"/>
                <w:sz w:val="21"/>
                <w:szCs w:val="21"/>
              </w:rPr>
            </w:pPr>
            <w:r>
              <w:rPr>
                <w:rFonts w:ascii="Arial" w:hAnsi="Arial" w:eastAsia="仿宋" w:cs="Arial"/>
                <w:color w:val="auto"/>
                <w:sz w:val="21"/>
                <w:szCs w:val="21"/>
                <w:lang w:bidi="ar"/>
              </w:rPr>
              <w:t>基础设施完备状况</w:t>
            </w:r>
          </w:p>
        </w:tc>
        <w:tc>
          <w:tcPr>
            <w:tcW w:w="1406" w:type="dxa"/>
            <w:shd w:val="clear" w:color="auto" w:fill="auto"/>
            <w:vAlign w:val="center"/>
          </w:tcPr>
          <w:p w14:paraId="2EE24BCF">
            <w:pPr>
              <w:spacing w:line="240" w:lineRule="atLeast"/>
              <w:rPr>
                <w:rFonts w:ascii="Arial" w:hAnsi="Arial" w:cs="Arial"/>
                <w:color w:val="auto"/>
                <w:sz w:val="22"/>
                <w:szCs w:val="22"/>
              </w:rPr>
            </w:pPr>
            <w:r>
              <w:rPr>
                <w:rFonts w:ascii="Arial" w:hAnsi="Arial" w:cs="Arial"/>
                <w:color w:val="auto"/>
                <w:sz w:val="22"/>
                <w:szCs w:val="22"/>
              </w:rPr>
              <w:t>1.34</w:t>
            </w:r>
          </w:p>
        </w:tc>
        <w:tc>
          <w:tcPr>
            <w:tcW w:w="1407" w:type="dxa"/>
            <w:shd w:val="clear" w:color="auto" w:fill="auto"/>
            <w:vAlign w:val="center"/>
          </w:tcPr>
          <w:p w14:paraId="65482CFD">
            <w:pPr>
              <w:spacing w:line="240" w:lineRule="atLeast"/>
              <w:rPr>
                <w:rFonts w:ascii="Arial" w:hAnsi="Arial" w:cs="Arial"/>
                <w:color w:val="auto"/>
                <w:sz w:val="22"/>
                <w:szCs w:val="22"/>
              </w:rPr>
            </w:pPr>
            <w:r>
              <w:rPr>
                <w:rFonts w:ascii="Arial" w:hAnsi="Arial" w:cs="Arial"/>
                <w:color w:val="auto"/>
                <w:sz w:val="22"/>
                <w:szCs w:val="22"/>
              </w:rPr>
              <w:t>0.67</w:t>
            </w:r>
          </w:p>
        </w:tc>
        <w:tc>
          <w:tcPr>
            <w:tcW w:w="1407" w:type="dxa"/>
            <w:shd w:val="clear" w:color="auto" w:fill="auto"/>
            <w:vAlign w:val="center"/>
          </w:tcPr>
          <w:p w14:paraId="63BE912E">
            <w:pPr>
              <w:spacing w:line="240" w:lineRule="atLeast"/>
              <w:rPr>
                <w:rFonts w:ascii="Arial" w:hAnsi="Arial" w:cs="Arial"/>
                <w:color w:val="auto"/>
                <w:sz w:val="22"/>
                <w:szCs w:val="22"/>
              </w:rPr>
            </w:pPr>
            <w:r>
              <w:rPr>
                <w:rFonts w:ascii="Arial" w:hAnsi="Arial" w:cs="Arial"/>
                <w:color w:val="auto"/>
                <w:sz w:val="22"/>
                <w:szCs w:val="22"/>
              </w:rPr>
              <w:t>0.00</w:t>
            </w:r>
          </w:p>
        </w:tc>
        <w:tc>
          <w:tcPr>
            <w:tcW w:w="1407" w:type="dxa"/>
            <w:shd w:val="clear" w:color="auto" w:fill="auto"/>
            <w:vAlign w:val="center"/>
          </w:tcPr>
          <w:p w14:paraId="51A9CBD9">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0.67</w:t>
            </w:r>
          </w:p>
        </w:tc>
        <w:tc>
          <w:tcPr>
            <w:tcW w:w="1407" w:type="dxa"/>
            <w:shd w:val="clear" w:color="auto" w:fill="auto"/>
            <w:vAlign w:val="center"/>
          </w:tcPr>
          <w:p w14:paraId="4647E134">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1.34</w:t>
            </w:r>
          </w:p>
        </w:tc>
      </w:tr>
      <w:tr w14:paraId="4523E4D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662E9EEC">
            <w:pPr>
              <w:widowControl/>
              <w:adjustRightInd/>
              <w:spacing w:line="240" w:lineRule="atLeast"/>
              <w:textAlignment w:val="center"/>
              <w:rPr>
                <w:rFonts w:ascii="Arial" w:hAnsi="Arial" w:eastAsia="仿宋" w:cs="Arial"/>
                <w:color w:val="auto"/>
                <w:sz w:val="21"/>
                <w:szCs w:val="21"/>
              </w:rPr>
            </w:pPr>
            <w:r>
              <w:rPr>
                <w:rFonts w:ascii="Arial" w:hAnsi="Arial" w:eastAsia="仿宋" w:cs="Arial"/>
                <w:color w:val="auto"/>
                <w:sz w:val="21"/>
                <w:szCs w:val="21"/>
                <w:lang w:bidi="ar"/>
              </w:rPr>
              <w:t>宗地形状及可利用程度</w:t>
            </w:r>
          </w:p>
        </w:tc>
        <w:tc>
          <w:tcPr>
            <w:tcW w:w="1406" w:type="dxa"/>
            <w:shd w:val="clear" w:color="auto" w:fill="auto"/>
            <w:vAlign w:val="center"/>
          </w:tcPr>
          <w:p w14:paraId="3799722E">
            <w:pPr>
              <w:spacing w:line="240" w:lineRule="atLeast"/>
              <w:rPr>
                <w:rFonts w:ascii="Arial" w:hAnsi="Arial" w:cs="Arial"/>
                <w:color w:val="auto"/>
                <w:sz w:val="22"/>
                <w:szCs w:val="22"/>
              </w:rPr>
            </w:pPr>
            <w:r>
              <w:rPr>
                <w:rFonts w:ascii="Arial" w:hAnsi="Arial" w:cs="Arial"/>
                <w:color w:val="auto"/>
                <w:sz w:val="22"/>
                <w:szCs w:val="22"/>
              </w:rPr>
              <w:t>0.74</w:t>
            </w:r>
          </w:p>
        </w:tc>
        <w:tc>
          <w:tcPr>
            <w:tcW w:w="1407" w:type="dxa"/>
            <w:shd w:val="clear" w:color="auto" w:fill="auto"/>
            <w:vAlign w:val="center"/>
          </w:tcPr>
          <w:p w14:paraId="3D306DFC">
            <w:pPr>
              <w:spacing w:line="240" w:lineRule="atLeast"/>
              <w:rPr>
                <w:rFonts w:ascii="Arial" w:hAnsi="Arial" w:cs="Arial"/>
                <w:color w:val="auto"/>
                <w:sz w:val="22"/>
                <w:szCs w:val="22"/>
              </w:rPr>
            </w:pPr>
            <w:r>
              <w:rPr>
                <w:rFonts w:ascii="Arial" w:hAnsi="Arial" w:cs="Arial"/>
                <w:color w:val="auto"/>
                <w:sz w:val="22"/>
                <w:szCs w:val="22"/>
              </w:rPr>
              <w:t>0.37</w:t>
            </w:r>
          </w:p>
        </w:tc>
        <w:tc>
          <w:tcPr>
            <w:tcW w:w="1407" w:type="dxa"/>
            <w:shd w:val="clear" w:color="auto" w:fill="auto"/>
            <w:vAlign w:val="center"/>
          </w:tcPr>
          <w:p w14:paraId="4D096744">
            <w:pPr>
              <w:spacing w:line="240" w:lineRule="atLeast"/>
              <w:rPr>
                <w:rFonts w:ascii="Arial" w:hAnsi="Arial" w:cs="Arial"/>
                <w:color w:val="auto"/>
                <w:sz w:val="22"/>
                <w:szCs w:val="22"/>
              </w:rPr>
            </w:pPr>
            <w:r>
              <w:rPr>
                <w:rFonts w:ascii="Arial" w:hAnsi="Arial" w:cs="Arial"/>
                <w:color w:val="auto"/>
                <w:sz w:val="22"/>
                <w:szCs w:val="22"/>
              </w:rPr>
              <w:t>0.00</w:t>
            </w:r>
          </w:p>
        </w:tc>
        <w:tc>
          <w:tcPr>
            <w:tcW w:w="1407" w:type="dxa"/>
            <w:shd w:val="clear" w:color="auto" w:fill="auto"/>
            <w:vAlign w:val="center"/>
          </w:tcPr>
          <w:p w14:paraId="23DFC320">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0.37</w:t>
            </w:r>
          </w:p>
        </w:tc>
        <w:tc>
          <w:tcPr>
            <w:tcW w:w="1407" w:type="dxa"/>
            <w:shd w:val="clear" w:color="auto" w:fill="auto"/>
            <w:vAlign w:val="center"/>
          </w:tcPr>
          <w:p w14:paraId="26191D13">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0.74</w:t>
            </w:r>
          </w:p>
        </w:tc>
      </w:tr>
      <w:tr w14:paraId="6335E23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12AF19FA">
            <w:pPr>
              <w:widowControl/>
              <w:adjustRightInd/>
              <w:spacing w:line="240" w:lineRule="atLeast"/>
              <w:textAlignment w:val="center"/>
              <w:rPr>
                <w:rFonts w:ascii="Arial" w:hAnsi="Arial" w:eastAsia="仿宋" w:cs="Arial"/>
                <w:color w:val="auto"/>
                <w:sz w:val="21"/>
                <w:szCs w:val="21"/>
              </w:rPr>
            </w:pPr>
            <w:r>
              <w:rPr>
                <w:rFonts w:ascii="Arial" w:hAnsi="Arial" w:eastAsia="仿宋" w:cs="Arial"/>
                <w:color w:val="auto"/>
                <w:sz w:val="21"/>
                <w:szCs w:val="21"/>
                <w:lang w:bidi="ar"/>
              </w:rPr>
              <w:t>自然和人文环境状况</w:t>
            </w:r>
          </w:p>
        </w:tc>
        <w:tc>
          <w:tcPr>
            <w:tcW w:w="1406" w:type="dxa"/>
            <w:shd w:val="clear" w:color="auto" w:fill="auto"/>
            <w:vAlign w:val="center"/>
          </w:tcPr>
          <w:p w14:paraId="38802263">
            <w:pPr>
              <w:spacing w:line="240" w:lineRule="atLeast"/>
              <w:rPr>
                <w:rFonts w:ascii="Arial" w:hAnsi="Arial" w:cs="Arial"/>
                <w:color w:val="auto"/>
                <w:sz w:val="22"/>
                <w:szCs w:val="22"/>
              </w:rPr>
            </w:pPr>
            <w:r>
              <w:rPr>
                <w:rFonts w:ascii="Arial" w:hAnsi="Arial" w:cs="Arial"/>
                <w:color w:val="auto"/>
                <w:sz w:val="22"/>
                <w:szCs w:val="22"/>
              </w:rPr>
              <w:t>1.80</w:t>
            </w:r>
          </w:p>
        </w:tc>
        <w:tc>
          <w:tcPr>
            <w:tcW w:w="1407" w:type="dxa"/>
            <w:shd w:val="clear" w:color="auto" w:fill="auto"/>
            <w:vAlign w:val="center"/>
          </w:tcPr>
          <w:p w14:paraId="1756482D">
            <w:pPr>
              <w:spacing w:line="240" w:lineRule="atLeast"/>
              <w:rPr>
                <w:rFonts w:ascii="Arial" w:hAnsi="Arial" w:cs="Arial"/>
                <w:color w:val="auto"/>
                <w:sz w:val="22"/>
                <w:szCs w:val="22"/>
              </w:rPr>
            </w:pPr>
            <w:r>
              <w:rPr>
                <w:rFonts w:ascii="Arial" w:hAnsi="Arial" w:cs="Arial"/>
                <w:color w:val="auto"/>
                <w:sz w:val="22"/>
                <w:szCs w:val="22"/>
              </w:rPr>
              <w:t>0.90</w:t>
            </w:r>
          </w:p>
        </w:tc>
        <w:tc>
          <w:tcPr>
            <w:tcW w:w="1407" w:type="dxa"/>
            <w:shd w:val="clear" w:color="auto" w:fill="auto"/>
            <w:vAlign w:val="center"/>
          </w:tcPr>
          <w:p w14:paraId="0D4B05F9">
            <w:pPr>
              <w:spacing w:line="240" w:lineRule="atLeast"/>
              <w:rPr>
                <w:rFonts w:ascii="Arial" w:hAnsi="Arial" w:cs="Arial"/>
                <w:color w:val="auto"/>
                <w:sz w:val="22"/>
                <w:szCs w:val="22"/>
              </w:rPr>
            </w:pPr>
            <w:r>
              <w:rPr>
                <w:rFonts w:ascii="Arial" w:hAnsi="Arial" w:cs="Arial"/>
                <w:color w:val="auto"/>
                <w:sz w:val="22"/>
                <w:szCs w:val="22"/>
              </w:rPr>
              <w:t>0.00</w:t>
            </w:r>
          </w:p>
        </w:tc>
        <w:tc>
          <w:tcPr>
            <w:tcW w:w="1407" w:type="dxa"/>
            <w:shd w:val="clear" w:color="auto" w:fill="auto"/>
            <w:vAlign w:val="center"/>
          </w:tcPr>
          <w:p w14:paraId="7D1ED848">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0.90</w:t>
            </w:r>
          </w:p>
        </w:tc>
        <w:tc>
          <w:tcPr>
            <w:tcW w:w="1407" w:type="dxa"/>
            <w:shd w:val="clear" w:color="auto" w:fill="auto"/>
            <w:vAlign w:val="center"/>
          </w:tcPr>
          <w:p w14:paraId="1745C3A6">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1.80</w:t>
            </w:r>
          </w:p>
        </w:tc>
      </w:tr>
      <w:tr w14:paraId="5696ABD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1EFC3C9C">
            <w:pPr>
              <w:widowControl/>
              <w:adjustRightInd/>
              <w:spacing w:line="240" w:lineRule="atLeast"/>
              <w:textAlignment w:val="center"/>
              <w:rPr>
                <w:rFonts w:ascii="Arial" w:hAnsi="Arial" w:eastAsia="仿宋" w:cs="Arial"/>
                <w:color w:val="auto"/>
                <w:sz w:val="21"/>
                <w:szCs w:val="21"/>
              </w:rPr>
            </w:pPr>
            <w:r>
              <w:rPr>
                <w:rFonts w:ascii="Arial" w:hAnsi="Arial" w:eastAsia="仿宋" w:cs="Arial"/>
                <w:color w:val="auto"/>
                <w:sz w:val="21"/>
                <w:szCs w:val="21"/>
                <w:lang w:bidi="ar"/>
              </w:rPr>
              <w:t>与中心的接近程度</w:t>
            </w:r>
          </w:p>
        </w:tc>
        <w:tc>
          <w:tcPr>
            <w:tcW w:w="1406" w:type="dxa"/>
            <w:shd w:val="clear" w:color="auto" w:fill="auto"/>
            <w:vAlign w:val="center"/>
          </w:tcPr>
          <w:p w14:paraId="64656E5D">
            <w:pPr>
              <w:spacing w:line="240" w:lineRule="atLeast"/>
              <w:rPr>
                <w:rFonts w:ascii="Arial" w:hAnsi="Arial" w:cs="Arial"/>
                <w:color w:val="auto"/>
                <w:sz w:val="22"/>
                <w:szCs w:val="22"/>
              </w:rPr>
            </w:pPr>
            <w:r>
              <w:rPr>
                <w:rFonts w:ascii="Arial" w:hAnsi="Arial" w:cs="Arial"/>
                <w:color w:val="auto"/>
                <w:sz w:val="22"/>
                <w:szCs w:val="22"/>
              </w:rPr>
              <w:t>0.74</w:t>
            </w:r>
          </w:p>
        </w:tc>
        <w:tc>
          <w:tcPr>
            <w:tcW w:w="1407" w:type="dxa"/>
            <w:shd w:val="clear" w:color="auto" w:fill="auto"/>
            <w:vAlign w:val="center"/>
          </w:tcPr>
          <w:p w14:paraId="051D0390">
            <w:pPr>
              <w:spacing w:line="240" w:lineRule="atLeast"/>
              <w:rPr>
                <w:rFonts w:ascii="Arial" w:hAnsi="Arial" w:cs="Arial"/>
                <w:color w:val="auto"/>
                <w:sz w:val="22"/>
                <w:szCs w:val="22"/>
              </w:rPr>
            </w:pPr>
            <w:r>
              <w:rPr>
                <w:rFonts w:ascii="Arial" w:hAnsi="Arial" w:cs="Arial"/>
                <w:color w:val="auto"/>
                <w:sz w:val="22"/>
                <w:szCs w:val="22"/>
              </w:rPr>
              <w:t>0.37</w:t>
            </w:r>
          </w:p>
        </w:tc>
        <w:tc>
          <w:tcPr>
            <w:tcW w:w="1407" w:type="dxa"/>
            <w:shd w:val="clear" w:color="auto" w:fill="auto"/>
            <w:vAlign w:val="center"/>
          </w:tcPr>
          <w:p w14:paraId="3668B7AF">
            <w:pPr>
              <w:spacing w:line="240" w:lineRule="atLeast"/>
              <w:rPr>
                <w:rFonts w:ascii="Arial" w:hAnsi="Arial" w:cs="Arial"/>
                <w:color w:val="auto"/>
                <w:sz w:val="22"/>
                <w:szCs w:val="22"/>
              </w:rPr>
            </w:pPr>
            <w:r>
              <w:rPr>
                <w:rFonts w:ascii="Arial" w:hAnsi="Arial" w:cs="Arial"/>
                <w:color w:val="auto"/>
                <w:sz w:val="22"/>
                <w:szCs w:val="22"/>
              </w:rPr>
              <w:t>0.00</w:t>
            </w:r>
          </w:p>
        </w:tc>
        <w:tc>
          <w:tcPr>
            <w:tcW w:w="1407" w:type="dxa"/>
            <w:shd w:val="clear" w:color="auto" w:fill="auto"/>
            <w:vAlign w:val="center"/>
          </w:tcPr>
          <w:p w14:paraId="241A090A">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0.37</w:t>
            </w:r>
          </w:p>
        </w:tc>
        <w:tc>
          <w:tcPr>
            <w:tcW w:w="1407" w:type="dxa"/>
            <w:shd w:val="clear" w:color="auto" w:fill="auto"/>
            <w:vAlign w:val="center"/>
          </w:tcPr>
          <w:p w14:paraId="2658D39A">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0.74</w:t>
            </w:r>
          </w:p>
        </w:tc>
      </w:tr>
    </w:tbl>
    <w:p w14:paraId="7BE441B1">
      <w:pPr>
        <w:autoSpaceDE w:val="0"/>
        <w:autoSpaceDN w:val="0"/>
        <w:spacing w:line="240" w:lineRule="exact"/>
        <w:rPr>
          <w:rFonts w:ascii="Arial" w:hAnsi="Arial" w:eastAsia="华文细黑" w:cs="宋体"/>
          <w:color w:val="auto"/>
          <w:sz w:val="18"/>
          <w:szCs w:val="24"/>
        </w:rPr>
      </w:pPr>
      <w:r>
        <w:rPr>
          <w:rFonts w:hint="eastAsia" w:ascii="Arial" w:hAnsi="Arial" w:eastAsia="华文细黑" w:cs="宋体"/>
          <w:color w:val="auto"/>
          <w:sz w:val="18"/>
          <w:szCs w:val="24"/>
        </w:rPr>
        <w:t>单位：%</w:t>
      </w:r>
    </w:p>
    <w:p w14:paraId="49D3419B">
      <w:pPr>
        <w:spacing w:line="240" w:lineRule="auto"/>
        <w:jc w:val="center"/>
        <w:rPr>
          <w:rFonts w:ascii="仿宋" w:hAnsi="仿宋" w:eastAsia="仿宋"/>
          <w:color w:val="auto"/>
          <w:sz w:val="28"/>
          <w:szCs w:val="28"/>
        </w:rPr>
      </w:pPr>
      <w:r>
        <w:rPr>
          <w:rFonts w:hint="eastAsia" w:ascii="仿宋" w:hAnsi="仿宋" w:eastAsia="仿宋"/>
          <w:color w:val="auto"/>
          <w:sz w:val="28"/>
          <w:szCs w:val="28"/>
        </w:rPr>
        <w:t>估价对象因素修正系数表</w:t>
      </w:r>
    </w:p>
    <w:tbl>
      <w:tblPr>
        <w:tblStyle w:val="34"/>
        <w:tblW w:w="9299"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57" w:type="dxa"/>
          <w:bottom w:w="57" w:type="dxa"/>
          <w:right w:w="57" w:type="dxa"/>
        </w:tblCellMar>
      </w:tblPr>
      <w:tblGrid>
        <w:gridCol w:w="420"/>
        <w:gridCol w:w="1702"/>
        <w:gridCol w:w="5388"/>
        <w:gridCol w:w="710"/>
        <w:gridCol w:w="1079"/>
      </w:tblGrid>
      <w:tr w14:paraId="7BD9E15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6F54F18C">
            <w:pPr>
              <w:spacing w:line="240" w:lineRule="exact"/>
              <w:rPr>
                <w:rFonts w:ascii="Arial" w:hAnsi="Arial" w:eastAsia="仿宋" w:cs="Arial"/>
                <w:color w:val="auto"/>
                <w:sz w:val="21"/>
                <w:szCs w:val="21"/>
              </w:rPr>
            </w:pPr>
            <w:r>
              <w:rPr>
                <w:rFonts w:ascii="Arial" w:hAnsi="Arial" w:eastAsia="仿宋" w:cs="Arial"/>
                <w:color w:val="auto"/>
                <w:sz w:val="21"/>
                <w:szCs w:val="21"/>
              </w:rPr>
              <w:t>序号</w:t>
            </w:r>
          </w:p>
        </w:tc>
        <w:tc>
          <w:tcPr>
            <w:tcW w:w="915" w:type="pct"/>
            <w:vAlign w:val="center"/>
          </w:tcPr>
          <w:p w14:paraId="73ABEE7D">
            <w:pPr>
              <w:spacing w:line="240" w:lineRule="exact"/>
              <w:rPr>
                <w:rFonts w:ascii="Arial" w:hAnsi="Arial" w:eastAsia="仿宋" w:cs="Arial"/>
                <w:color w:val="auto"/>
                <w:sz w:val="21"/>
                <w:szCs w:val="21"/>
              </w:rPr>
            </w:pPr>
            <w:r>
              <w:rPr>
                <w:rFonts w:ascii="Arial" w:hAnsi="Arial" w:eastAsia="仿宋" w:cs="Arial"/>
                <w:color w:val="auto"/>
                <w:sz w:val="21"/>
                <w:szCs w:val="21"/>
              </w:rPr>
              <w:t>影响因素</w:t>
            </w:r>
          </w:p>
        </w:tc>
        <w:tc>
          <w:tcPr>
            <w:tcW w:w="2896" w:type="pct"/>
            <w:vAlign w:val="center"/>
          </w:tcPr>
          <w:p w14:paraId="43038181">
            <w:pPr>
              <w:spacing w:line="240" w:lineRule="exact"/>
              <w:rPr>
                <w:rFonts w:ascii="Arial" w:hAnsi="Arial" w:eastAsia="仿宋" w:cs="Arial"/>
                <w:color w:val="auto"/>
                <w:sz w:val="21"/>
                <w:szCs w:val="21"/>
              </w:rPr>
            </w:pPr>
            <w:r>
              <w:rPr>
                <w:rFonts w:ascii="Arial" w:hAnsi="Arial" w:eastAsia="仿宋" w:cs="Arial"/>
                <w:color w:val="auto"/>
                <w:sz w:val="21"/>
                <w:szCs w:val="21"/>
              </w:rPr>
              <w:t>估价对象情况</w:t>
            </w:r>
          </w:p>
        </w:tc>
        <w:tc>
          <w:tcPr>
            <w:tcW w:w="381" w:type="pct"/>
            <w:vAlign w:val="center"/>
          </w:tcPr>
          <w:p w14:paraId="1211AB06">
            <w:pPr>
              <w:spacing w:line="240" w:lineRule="exact"/>
              <w:rPr>
                <w:rFonts w:ascii="Arial" w:hAnsi="Arial" w:eastAsia="仿宋" w:cs="Arial"/>
                <w:color w:val="auto"/>
                <w:sz w:val="21"/>
                <w:szCs w:val="21"/>
              </w:rPr>
            </w:pPr>
            <w:r>
              <w:rPr>
                <w:rFonts w:ascii="Arial" w:hAnsi="Arial" w:eastAsia="仿宋" w:cs="Arial"/>
                <w:color w:val="auto"/>
                <w:sz w:val="21"/>
                <w:szCs w:val="21"/>
              </w:rPr>
              <w:t>等级</w:t>
            </w:r>
          </w:p>
        </w:tc>
        <w:tc>
          <w:tcPr>
            <w:tcW w:w="580" w:type="pct"/>
            <w:vAlign w:val="center"/>
          </w:tcPr>
          <w:p w14:paraId="144548CC">
            <w:pPr>
              <w:spacing w:line="240" w:lineRule="exact"/>
              <w:rPr>
                <w:rFonts w:ascii="Arial" w:hAnsi="Arial" w:eastAsia="仿宋" w:cs="Arial"/>
                <w:color w:val="auto"/>
                <w:sz w:val="21"/>
                <w:szCs w:val="21"/>
              </w:rPr>
            </w:pPr>
            <w:r>
              <w:rPr>
                <w:rFonts w:ascii="Arial" w:hAnsi="Arial" w:eastAsia="仿宋" w:cs="Arial"/>
                <w:color w:val="auto"/>
                <w:sz w:val="21"/>
                <w:szCs w:val="21"/>
              </w:rPr>
              <w:t>修正系数</w:t>
            </w:r>
          </w:p>
        </w:tc>
      </w:tr>
      <w:tr w14:paraId="4579F26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50D5376B">
            <w:pPr>
              <w:spacing w:line="240" w:lineRule="exact"/>
              <w:rPr>
                <w:rFonts w:ascii="Arial" w:hAnsi="Arial" w:eastAsia="仿宋" w:cs="Arial"/>
                <w:color w:val="auto"/>
                <w:sz w:val="21"/>
                <w:szCs w:val="21"/>
              </w:rPr>
            </w:pPr>
            <w:r>
              <w:rPr>
                <w:rFonts w:ascii="Arial" w:hAnsi="Arial" w:eastAsia="仿宋" w:cs="Arial"/>
                <w:color w:val="auto"/>
                <w:sz w:val="21"/>
                <w:szCs w:val="21"/>
              </w:rPr>
              <w:t>a</w:t>
            </w:r>
          </w:p>
        </w:tc>
        <w:tc>
          <w:tcPr>
            <w:tcW w:w="915" w:type="pct"/>
            <w:vAlign w:val="center"/>
          </w:tcPr>
          <w:p w14:paraId="0969F7F9">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居住社区成熟度</w:t>
            </w:r>
          </w:p>
        </w:tc>
        <w:tc>
          <w:tcPr>
            <w:tcW w:w="2896" w:type="pct"/>
            <w:vAlign w:val="center"/>
          </w:tcPr>
          <w:p w14:paraId="02D56798">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估价对象位于北京市顺义区高丽营镇夏县营村，周边2公里范围内有丽喜花园、东君府、moma万万树、壹号东临院等社区，居住小区规模和社区发展完善程度较完善，综合评价居住社区成熟度一般。</w:t>
            </w:r>
          </w:p>
        </w:tc>
        <w:tc>
          <w:tcPr>
            <w:tcW w:w="381" w:type="pct"/>
            <w:vAlign w:val="center"/>
          </w:tcPr>
          <w:p w14:paraId="69B09AB8">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一般</w:t>
            </w:r>
          </w:p>
        </w:tc>
        <w:tc>
          <w:tcPr>
            <w:tcW w:w="580" w:type="pct"/>
            <w:vAlign w:val="center"/>
          </w:tcPr>
          <w:p w14:paraId="045022DB">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0.00%</w:t>
            </w:r>
          </w:p>
        </w:tc>
      </w:tr>
      <w:tr w14:paraId="436120A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775E59B2">
            <w:pPr>
              <w:spacing w:line="240" w:lineRule="exact"/>
              <w:rPr>
                <w:rFonts w:ascii="Arial" w:hAnsi="Arial" w:eastAsia="仿宋" w:cs="Arial"/>
                <w:color w:val="auto"/>
                <w:sz w:val="21"/>
                <w:szCs w:val="21"/>
              </w:rPr>
            </w:pPr>
            <w:r>
              <w:rPr>
                <w:rFonts w:ascii="Arial" w:hAnsi="Arial" w:eastAsia="仿宋" w:cs="Arial"/>
                <w:color w:val="auto"/>
                <w:sz w:val="21"/>
                <w:szCs w:val="21"/>
              </w:rPr>
              <w:t>b</w:t>
            </w:r>
          </w:p>
        </w:tc>
        <w:tc>
          <w:tcPr>
            <w:tcW w:w="915" w:type="pct"/>
            <w:vAlign w:val="center"/>
          </w:tcPr>
          <w:p w14:paraId="3047A430">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交通便捷度</w:t>
            </w:r>
          </w:p>
        </w:tc>
        <w:tc>
          <w:tcPr>
            <w:tcW w:w="2896" w:type="pct"/>
            <w:vAlign w:val="center"/>
          </w:tcPr>
          <w:p w14:paraId="66B89D53">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估价对象属于北京市顺义区高丽营镇夏县营村，估价对象紧临城市主干道——火寺路、周边1公里范围内有顺25路、顺42路、顺49路、顺69路等公交线路，区域内交通一般，区域间通达性较差，综合评价交通便捷度较差。</w:t>
            </w:r>
          </w:p>
        </w:tc>
        <w:tc>
          <w:tcPr>
            <w:tcW w:w="381" w:type="pct"/>
            <w:vAlign w:val="center"/>
          </w:tcPr>
          <w:p w14:paraId="120882F7">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较差</w:t>
            </w:r>
          </w:p>
        </w:tc>
        <w:tc>
          <w:tcPr>
            <w:tcW w:w="580" w:type="pct"/>
            <w:vAlign w:val="center"/>
          </w:tcPr>
          <w:p w14:paraId="3B134FBD">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w:t>
            </w:r>
            <w:r>
              <w:rPr>
                <w:rFonts w:ascii="Arial" w:hAnsi="Arial" w:eastAsia="仿宋" w:cs="Arial"/>
                <w:color w:val="auto"/>
                <w:sz w:val="21"/>
                <w:szCs w:val="21"/>
                <w:lang w:bidi="ar"/>
              </w:rPr>
              <w:t>1.95%</w:t>
            </w:r>
          </w:p>
        </w:tc>
      </w:tr>
      <w:tr w14:paraId="575022D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41442F95">
            <w:pPr>
              <w:spacing w:line="240" w:lineRule="exact"/>
              <w:rPr>
                <w:rFonts w:ascii="Arial" w:hAnsi="Arial" w:eastAsia="仿宋" w:cs="Arial"/>
                <w:color w:val="auto"/>
                <w:sz w:val="21"/>
                <w:szCs w:val="21"/>
              </w:rPr>
            </w:pPr>
            <w:r>
              <w:rPr>
                <w:rFonts w:ascii="Arial" w:hAnsi="Arial" w:eastAsia="仿宋" w:cs="Arial"/>
                <w:color w:val="auto"/>
                <w:sz w:val="21"/>
                <w:szCs w:val="21"/>
              </w:rPr>
              <w:t>c</w:t>
            </w:r>
          </w:p>
        </w:tc>
        <w:tc>
          <w:tcPr>
            <w:tcW w:w="915" w:type="pct"/>
            <w:vAlign w:val="center"/>
          </w:tcPr>
          <w:p w14:paraId="667F5631">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城市规划及区域土地利用方向</w:t>
            </w:r>
          </w:p>
        </w:tc>
        <w:tc>
          <w:tcPr>
            <w:tcW w:w="2896" w:type="pct"/>
            <w:vAlign w:val="center"/>
          </w:tcPr>
          <w:p w14:paraId="58B69D16">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估价对象周边有部分其他用途用地，基本不影响本宗地。</w:t>
            </w:r>
          </w:p>
        </w:tc>
        <w:tc>
          <w:tcPr>
            <w:tcW w:w="381" w:type="pct"/>
            <w:vAlign w:val="center"/>
          </w:tcPr>
          <w:p w14:paraId="4A38E606">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较好</w:t>
            </w:r>
          </w:p>
        </w:tc>
        <w:tc>
          <w:tcPr>
            <w:tcW w:w="580" w:type="pct"/>
            <w:vAlign w:val="center"/>
          </w:tcPr>
          <w:p w14:paraId="21252444">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0.75%</w:t>
            </w:r>
          </w:p>
        </w:tc>
      </w:tr>
      <w:tr w14:paraId="5D8641D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0F26EE02">
            <w:pPr>
              <w:spacing w:line="240" w:lineRule="exact"/>
              <w:rPr>
                <w:rFonts w:ascii="Arial" w:hAnsi="Arial" w:eastAsia="仿宋" w:cs="Arial"/>
                <w:color w:val="auto"/>
                <w:sz w:val="21"/>
                <w:szCs w:val="21"/>
              </w:rPr>
            </w:pPr>
            <w:r>
              <w:rPr>
                <w:rFonts w:ascii="Arial" w:hAnsi="Arial" w:eastAsia="仿宋" w:cs="Arial"/>
                <w:color w:val="auto"/>
                <w:sz w:val="21"/>
                <w:szCs w:val="21"/>
              </w:rPr>
              <w:t>d</w:t>
            </w:r>
          </w:p>
        </w:tc>
        <w:tc>
          <w:tcPr>
            <w:tcW w:w="915" w:type="pct"/>
            <w:vAlign w:val="center"/>
          </w:tcPr>
          <w:p w14:paraId="4AA28712">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临路状况</w:t>
            </w:r>
          </w:p>
        </w:tc>
        <w:tc>
          <w:tcPr>
            <w:tcW w:w="2896" w:type="pct"/>
            <w:vAlign w:val="center"/>
          </w:tcPr>
          <w:p w14:paraId="0BC7B7DA">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估价对象毗邻</w:t>
            </w:r>
            <w:r>
              <w:rPr>
                <w:rFonts w:hint="eastAsia" w:ascii="Arial" w:hAnsi="Arial" w:eastAsia="仿宋" w:cs="Arial"/>
                <w:color w:val="auto"/>
                <w:sz w:val="21"/>
                <w:szCs w:val="21"/>
                <w:lang w:bidi="ar"/>
              </w:rPr>
              <w:t>城市主干道——火寺路</w:t>
            </w:r>
          </w:p>
        </w:tc>
        <w:tc>
          <w:tcPr>
            <w:tcW w:w="381" w:type="pct"/>
            <w:vAlign w:val="center"/>
          </w:tcPr>
          <w:p w14:paraId="19514721">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较好</w:t>
            </w:r>
          </w:p>
        </w:tc>
        <w:tc>
          <w:tcPr>
            <w:tcW w:w="580" w:type="pct"/>
            <w:vAlign w:val="center"/>
          </w:tcPr>
          <w:p w14:paraId="3F23547B">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0.37%</w:t>
            </w:r>
          </w:p>
        </w:tc>
      </w:tr>
      <w:tr w14:paraId="53F0C06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2E2D5957">
            <w:pPr>
              <w:spacing w:line="240" w:lineRule="exact"/>
              <w:rPr>
                <w:rFonts w:ascii="Arial" w:hAnsi="Arial" w:eastAsia="仿宋" w:cs="Arial"/>
                <w:color w:val="auto"/>
                <w:sz w:val="21"/>
                <w:szCs w:val="21"/>
              </w:rPr>
            </w:pPr>
            <w:r>
              <w:rPr>
                <w:rFonts w:ascii="Arial" w:hAnsi="Arial" w:eastAsia="仿宋" w:cs="Arial"/>
                <w:color w:val="auto"/>
                <w:sz w:val="21"/>
                <w:szCs w:val="21"/>
              </w:rPr>
              <w:t>e</w:t>
            </w:r>
          </w:p>
        </w:tc>
        <w:tc>
          <w:tcPr>
            <w:tcW w:w="915" w:type="pct"/>
            <w:vAlign w:val="center"/>
          </w:tcPr>
          <w:p w14:paraId="0962EAA9">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公共服务设施状况</w:t>
            </w:r>
          </w:p>
        </w:tc>
        <w:tc>
          <w:tcPr>
            <w:tcW w:w="2896" w:type="pct"/>
            <w:vAlign w:val="center"/>
          </w:tcPr>
          <w:p w14:paraId="71CE8BFF">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rPr>
              <w:t>估价对象周边2公里范围内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公共配套设施齐备情况一般。</w:t>
            </w:r>
          </w:p>
        </w:tc>
        <w:tc>
          <w:tcPr>
            <w:tcW w:w="381" w:type="pct"/>
            <w:vAlign w:val="center"/>
          </w:tcPr>
          <w:p w14:paraId="23CDCADE">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一般</w:t>
            </w:r>
          </w:p>
        </w:tc>
        <w:tc>
          <w:tcPr>
            <w:tcW w:w="580" w:type="pct"/>
            <w:vAlign w:val="center"/>
          </w:tcPr>
          <w:p w14:paraId="78DEA598">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0.00%</w:t>
            </w:r>
          </w:p>
        </w:tc>
      </w:tr>
      <w:tr w14:paraId="7137A9C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4877CF20">
            <w:pPr>
              <w:spacing w:line="240" w:lineRule="exact"/>
              <w:rPr>
                <w:rFonts w:ascii="Arial" w:hAnsi="Arial" w:eastAsia="仿宋" w:cs="Arial"/>
                <w:color w:val="auto"/>
                <w:sz w:val="21"/>
                <w:szCs w:val="21"/>
              </w:rPr>
            </w:pPr>
            <w:r>
              <w:rPr>
                <w:rFonts w:ascii="Arial" w:hAnsi="Arial" w:eastAsia="仿宋" w:cs="Arial"/>
                <w:color w:val="auto"/>
                <w:sz w:val="21"/>
                <w:szCs w:val="21"/>
              </w:rPr>
              <w:t>f</w:t>
            </w:r>
          </w:p>
        </w:tc>
        <w:tc>
          <w:tcPr>
            <w:tcW w:w="915" w:type="pct"/>
            <w:vAlign w:val="center"/>
          </w:tcPr>
          <w:p w14:paraId="320227A8">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基础设施完备状况</w:t>
            </w:r>
          </w:p>
        </w:tc>
        <w:tc>
          <w:tcPr>
            <w:tcW w:w="2896" w:type="pct"/>
            <w:vAlign w:val="center"/>
          </w:tcPr>
          <w:p w14:paraId="3F45840E">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估价对象所在区域基础设施水平达到</w:t>
            </w:r>
            <w:r>
              <w:rPr>
                <w:rFonts w:hint="eastAsia" w:ascii="Arial" w:hAnsi="Arial" w:eastAsia="仿宋" w:cs="Arial"/>
                <w:color w:val="auto"/>
                <w:sz w:val="21"/>
                <w:szCs w:val="21"/>
                <w:lang w:bidi="ar"/>
              </w:rPr>
              <w:t>“七通”</w:t>
            </w:r>
          </w:p>
        </w:tc>
        <w:tc>
          <w:tcPr>
            <w:tcW w:w="381" w:type="pct"/>
            <w:vAlign w:val="center"/>
          </w:tcPr>
          <w:p w14:paraId="7156B3EC">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好</w:t>
            </w:r>
          </w:p>
        </w:tc>
        <w:tc>
          <w:tcPr>
            <w:tcW w:w="580" w:type="pct"/>
            <w:vAlign w:val="center"/>
          </w:tcPr>
          <w:p w14:paraId="2A72B48E">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1.34%</w:t>
            </w:r>
          </w:p>
        </w:tc>
      </w:tr>
      <w:tr w14:paraId="4199E32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16208DE6">
            <w:pPr>
              <w:spacing w:line="240" w:lineRule="exact"/>
              <w:rPr>
                <w:rFonts w:ascii="Arial" w:hAnsi="Arial" w:eastAsia="仿宋" w:cs="Arial"/>
                <w:color w:val="auto"/>
                <w:sz w:val="21"/>
                <w:szCs w:val="21"/>
              </w:rPr>
            </w:pPr>
            <w:r>
              <w:rPr>
                <w:rFonts w:ascii="Arial" w:hAnsi="Arial" w:eastAsia="仿宋" w:cs="Arial"/>
                <w:color w:val="auto"/>
                <w:sz w:val="21"/>
                <w:szCs w:val="21"/>
              </w:rPr>
              <w:t>g</w:t>
            </w:r>
          </w:p>
        </w:tc>
        <w:tc>
          <w:tcPr>
            <w:tcW w:w="915" w:type="pct"/>
            <w:vAlign w:val="center"/>
          </w:tcPr>
          <w:p w14:paraId="1D20D3FD">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宗地形状及可利用程度</w:t>
            </w:r>
          </w:p>
        </w:tc>
        <w:tc>
          <w:tcPr>
            <w:tcW w:w="2896" w:type="pct"/>
            <w:vAlign w:val="center"/>
          </w:tcPr>
          <w:p w14:paraId="7AF9D3EC">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rPr>
              <w:t>宗地形状</w:t>
            </w:r>
            <w:r>
              <w:rPr>
                <w:rFonts w:hint="eastAsia" w:ascii="Arial" w:hAnsi="Arial" w:eastAsia="仿宋" w:cs="Arial"/>
                <w:color w:val="auto"/>
                <w:sz w:val="21"/>
                <w:szCs w:val="21"/>
              </w:rPr>
              <w:t>较</w:t>
            </w:r>
            <w:r>
              <w:rPr>
                <w:rFonts w:ascii="Arial" w:hAnsi="Arial" w:eastAsia="仿宋" w:cs="Arial"/>
                <w:color w:val="auto"/>
                <w:sz w:val="21"/>
                <w:szCs w:val="21"/>
              </w:rPr>
              <w:t>规则，对宗地利用</w:t>
            </w:r>
            <w:r>
              <w:rPr>
                <w:rFonts w:hint="eastAsia" w:ascii="Arial" w:hAnsi="Arial" w:eastAsia="仿宋" w:cs="Arial"/>
                <w:color w:val="auto"/>
                <w:sz w:val="21"/>
                <w:szCs w:val="21"/>
              </w:rPr>
              <w:t>基本</w:t>
            </w:r>
            <w:r>
              <w:rPr>
                <w:rFonts w:ascii="Arial" w:hAnsi="Arial" w:eastAsia="仿宋" w:cs="Arial"/>
                <w:color w:val="auto"/>
                <w:sz w:val="21"/>
                <w:szCs w:val="21"/>
              </w:rPr>
              <w:t>无影响</w:t>
            </w:r>
          </w:p>
        </w:tc>
        <w:tc>
          <w:tcPr>
            <w:tcW w:w="381" w:type="pct"/>
            <w:vAlign w:val="center"/>
          </w:tcPr>
          <w:p w14:paraId="753B0C9A">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较好</w:t>
            </w:r>
          </w:p>
        </w:tc>
        <w:tc>
          <w:tcPr>
            <w:tcW w:w="580" w:type="pct"/>
            <w:vAlign w:val="center"/>
          </w:tcPr>
          <w:p w14:paraId="11679794">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0.</w:t>
            </w:r>
            <w:r>
              <w:rPr>
                <w:rFonts w:hint="eastAsia" w:ascii="Arial" w:hAnsi="Arial" w:eastAsia="仿宋" w:cs="Arial"/>
                <w:color w:val="auto"/>
                <w:sz w:val="21"/>
                <w:szCs w:val="21"/>
                <w:lang w:bidi="ar"/>
              </w:rPr>
              <w:t>37</w:t>
            </w:r>
            <w:r>
              <w:rPr>
                <w:rFonts w:ascii="Arial" w:hAnsi="Arial" w:eastAsia="仿宋" w:cs="Arial"/>
                <w:color w:val="auto"/>
                <w:sz w:val="21"/>
                <w:szCs w:val="21"/>
                <w:lang w:bidi="ar"/>
              </w:rPr>
              <w:t>%</w:t>
            </w:r>
          </w:p>
        </w:tc>
      </w:tr>
      <w:tr w14:paraId="0D03374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61D141F6">
            <w:pPr>
              <w:spacing w:line="240" w:lineRule="exact"/>
              <w:rPr>
                <w:rFonts w:ascii="Arial" w:hAnsi="Arial" w:eastAsia="仿宋" w:cs="Arial"/>
                <w:color w:val="auto"/>
                <w:sz w:val="21"/>
                <w:szCs w:val="21"/>
              </w:rPr>
            </w:pPr>
            <w:r>
              <w:rPr>
                <w:rFonts w:ascii="Arial" w:hAnsi="Arial" w:eastAsia="仿宋" w:cs="Arial"/>
                <w:color w:val="auto"/>
                <w:sz w:val="21"/>
                <w:szCs w:val="21"/>
              </w:rPr>
              <w:t>h</w:t>
            </w:r>
          </w:p>
        </w:tc>
        <w:tc>
          <w:tcPr>
            <w:tcW w:w="915" w:type="pct"/>
            <w:vAlign w:val="center"/>
          </w:tcPr>
          <w:p w14:paraId="21A237C9">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自然和人文环境状况</w:t>
            </w:r>
          </w:p>
        </w:tc>
        <w:tc>
          <w:tcPr>
            <w:tcW w:w="2896" w:type="pct"/>
            <w:vAlign w:val="center"/>
          </w:tcPr>
          <w:p w14:paraId="0A2C4A1A">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rPr>
              <w:t>估价对位于北京市顺义区高丽营镇夏县营村，周边2公里南郎中休闲公园、口袋公园、方氏渠等自然环境；无人文环境；综合评价环境状况一般。</w:t>
            </w:r>
          </w:p>
        </w:tc>
        <w:tc>
          <w:tcPr>
            <w:tcW w:w="381" w:type="pct"/>
            <w:vAlign w:val="center"/>
          </w:tcPr>
          <w:p w14:paraId="7672BA20">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一般</w:t>
            </w:r>
          </w:p>
        </w:tc>
        <w:tc>
          <w:tcPr>
            <w:tcW w:w="580" w:type="pct"/>
            <w:vAlign w:val="center"/>
          </w:tcPr>
          <w:p w14:paraId="19359B11">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0.00%</w:t>
            </w:r>
          </w:p>
        </w:tc>
      </w:tr>
      <w:tr w14:paraId="25A3053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7AF5F975">
            <w:pPr>
              <w:spacing w:line="240" w:lineRule="exact"/>
              <w:rPr>
                <w:rFonts w:ascii="Arial" w:hAnsi="Arial" w:eastAsia="仿宋" w:cs="Arial"/>
                <w:color w:val="auto"/>
                <w:sz w:val="21"/>
                <w:szCs w:val="21"/>
              </w:rPr>
            </w:pPr>
            <w:r>
              <w:rPr>
                <w:rFonts w:ascii="Arial" w:hAnsi="Arial" w:eastAsia="仿宋" w:cs="Arial"/>
                <w:color w:val="auto"/>
                <w:sz w:val="21"/>
                <w:szCs w:val="21"/>
              </w:rPr>
              <w:t>i</w:t>
            </w:r>
          </w:p>
        </w:tc>
        <w:tc>
          <w:tcPr>
            <w:tcW w:w="915" w:type="pct"/>
            <w:vAlign w:val="center"/>
          </w:tcPr>
          <w:p w14:paraId="1B0CBB0A">
            <w:pPr>
              <w:widowControl/>
              <w:adjustRightInd/>
              <w:spacing w:line="240" w:lineRule="exact"/>
              <w:textAlignment w:val="center"/>
              <w:rPr>
                <w:rFonts w:ascii="Arial" w:hAnsi="Arial" w:eastAsia="仿宋" w:cs="Arial"/>
                <w:color w:val="auto"/>
                <w:sz w:val="21"/>
                <w:szCs w:val="21"/>
              </w:rPr>
            </w:pPr>
            <w:r>
              <w:rPr>
                <w:rFonts w:ascii="Arial" w:hAnsi="Arial" w:eastAsia="仿宋" w:cs="Arial"/>
                <w:color w:val="auto"/>
                <w:sz w:val="21"/>
                <w:szCs w:val="21"/>
                <w:lang w:bidi="ar"/>
              </w:rPr>
              <w:t>与区域中心的接近程度</w:t>
            </w:r>
          </w:p>
        </w:tc>
        <w:tc>
          <w:tcPr>
            <w:tcW w:w="2896" w:type="pct"/>
            <w:vAlign w:val="center"/>
          </w:tcPr>
          <w:p w14:paraId="4868A097">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lang w:bidi="ar"/>
              </w:rPr>
              <w:t>距区域中心约1.6公里，与区域中心的接近程度</w:t>
            </w:r>
            <w:r>
              <w:rPr>
                <w:rFonts w:hint="eastAsia" w:ascii="Arial" w:hAnsi="Arial" w:eastAsia="仿宋" w:cs="Arial"/>
                <w:color w:val="auto"/>
                <w:sz w:val="21"/>
                <w:szCs w:val="21"/>
                <w:lang w:bidi="ar"/>
              </w:rPr>
              <w:t>较差</w:t>
            </w:r>
          </w:p>
        </w:tc>
        <w:tc>
          <w:tcPr>
            <w:tcW w:w="381" w:type="pct"/>
            <w:vAlign w:val="center"/>
          </w:tcPr>
          <w:p w14:paraId="1C252DC7">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较差</w:t>
            </w:r>
          </w:p>
        </w:tc>
        <w:tc>
          <w:tcPr>
            <w:tcW w:w="580" w:type="pct"/>
            <w:vAlign w:val="center"/>
          </w:tcPr>
          <w:p w14:paraId="32B432A3">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w:t>
            </w:r>
            <w:r>
              <w:rPr>
                <w:rFonts w:ascii="Arial" w:hAnsi="Arial" w:eastAsia="仿宋" w:cs="Arial"/>
                <w:color w:val="auto"/>
                <w:sz w:val="21"/>
                <w:szCs w:val="21"/>
                <w:lang w:bidi="ar"/>
              </w:rPr>
              <w:t>0.37 %</w:t>
            </w:r>
          </w:p>
        </w:tc>
      </w:tr>
      <w:tr w14:paraId="7D8F64D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4419" w:type="pct"/>
            <w:gridSpan w:val="4"/>
            <w:vAlign w:val="center"/>
          </w:tcPr>
          <w:p w14:paraId="3486C7C4">
            <w:pPr>
              <w:spacing w:line="240" w:lineRule="exact"/>
              <w:rPr>
                <w:rFonts w:ascii="Arial" w:hAnsi="Arial" w:eastAsia="仿宋" w:cs="Arial"/>
                <w:color w:val="auto"/>
                <w:sz w:val="21"/>
                <w:szCs w:val="21"/>
              </w:rPr>
            </w:pPr>
            <w:r>
              <w:rPr>
                <w:rFonts w:ascii="Arial" w:hAnsi="Arial" w:eastAsia="仿宋" w:cs="Arial"/>
                <w:color w:val="auto"/>
                <w:sz w:val="21"/>
                <w:szCs w:val="21"/>
              </w:rPr>
              <w:t>合计（∑K</w:t>
            </w:r>
            <w:r>
              <w:rPr>
                <w:rFonts w:ascii="Arial" w:hAnsi="Arial" w:eastAsia="仿宋" w:cs="Arial"/>
                <w:color w:val="auto"/>
                <w:sz w:val="21"/>
                <w:szCs w:val="21"/>
                <w:vertAlign w:val="subscript"/>
              </w:rPr>
              <w:t>i</w:t>
            </w:r>
            <w:r>
              <w:rPr>
                <w:rFonts w:ascii="Arial" w:hAnsi="Arial" w:eastAsia="仿宋" w:cs="Arial"/>
                <w:color w:val="auto"/>
                <w:sz w:val="21"/>
                <w:szCs w:val="21"/>
              </w:rPr>
              <w:t>）</w:t>
            </w:r>
          </w:p>
        </w:tc>
        <w:tc>
          <w:tcPr>
            <w:tcW w:w="580" w:type="pct"/>
          </w:tcPr>
          <w:p w14:paraId="5C5ACB46">
            <w:pPr>
              <w:spacing w:line="240" w:lineRule="exact"/>
              <w:rPr>
                <w:rFonts w:ascii="Arial" w:hAnsi="Arial" w:eastAsia="仿宋" w:cs="Arial"/>
                <w:color w:val="auto"/>
                <w:sz w:val="21"/>
                <w:szCs w:val="21"/>
              </w:rPr>
            </w:pPr>
            <w:r>
              <w:rPr>
                <w:rFonts w:ascii="Arial" w:hAnsi="Arial" w:eastAsia="仿宋" w:cs="Arial"/>
                <w:color w:val="auto"/>
                <w:sz w:val="21"/>
                <w:szCs w:val="21"/>
              </w:rPr>
              <w:t>0.</w:t>
            </w:r>
            <w:r>
              <w:rPr>
                <w:rFonts w:hint="eastAsia" w:ascii="Arial" w:hAnsi="Arial" w:eastAsia="仿宋" w:cs="Arial"/>
                <w:color w:val="auto"/>
                <w:sz w:val="21"/>
                <w:szCs w:val="21"/>
              </w:rPr>
              <w:t>51</w:t>
            </w:r>
            <w:r>
              <w:rPr>
                <w:rFonts w:ascii="Arial" w:hAnsi="Arial" w:eastAsia="仿宋" w:cs="Arial"/>
                <w:color w:val="auto"/>
                <w:sz w:val="21"/>
                <w:szCs w:val="21"/>
              </w:rPr>
              <w:t>%</w:t>
            </w:r>
          </w:p>
        </w:tc>
      </w:tr>
      <w:tr w14:paraId="44BABEB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4419" w:type="pct"/>
            <w:gridSpan w:val="4"/>
            <w:vAlign w:val="center"/>
          </w:tcPr>
          <w:p w14:paraId="59C8C850">
            <w:pPr>
              <w:spacing w:line="240" w:lineRule="exact"/>
              <w:rPr>
                <w:rFonts w:ascii="Arial" w:hAnsi="Arial" w:eastAsia="仿宋" w:cs="Arial"/>
                <w:color w:val="auto"/>
                <w:sz w:val="21"/>
                <w:szCs w:val="21"/>
              </w:rPr>
            </w:pPr>
            <w:r>
              <w:rPr>
                <w:rFonts w:ascii="Arial" w:hAnsi="Arial" w:eastAsia="仿宋" w:cs="Arial"/>
                <w:color w:val="auto"/>
                <w:sz w:val="21"/>
                <w:szCs w:val="21"/>
              </w:rPr>
              <w:t>因素修正系数（1</w:t>
            </w:r>
            <w:r>
              <w:rPr>
                <w:rFonts w:hint="eastAsia" w:ascii="Arial" w:hAnsi="Arial" w:eastAsia="仿宋" w:cs="Arial"/>
                <w:color w:val="auto"/>
                <w:sz w:val="21"/>
                <w:szCs w:val="21"/>
              </w:rPr>
              <w:t>＋</w:t>
            </w:r>
            <w:r>
              <w:rPr>
                <w:rFonts w:ascii="Arial" w:hAnsi="Arial" w:eastAsia="仿宋" w:cs="Arial"/>
                <w:color w:val="auto"/>
                <w:sz w:val="21"/>
                <w:szCs w:val="21"/>
              </w:rPr>
              <w:t>∑K</w:t>
            </w:r>
            <w:r>
              <w:rPr>
                <w:rFonts w:ascii="Arial" w:hAnsi="Arial" w:eastAsia="仿宋" w:cs="Arial"/>
                <w:color w:val="auto"/>
                <w:sz w:val="21"/>
                <w:szCs w:val="21"/>
                <w:vertAlign w:val="subscript"/>
              </w:rPr>
              <w:t>i</w:t>
            </w:r>
            <w:r>
              <w:rPr>
                <w:rFonts w:ascii="Arial" w:hAnsi="Arial" w:eastAsia="仿宋" w:cs="Arial"/>
                <w:color w:val="auto"/>
                <w:sz w:val="21"/>
                <w:szCs w:val="21"/>
              </w:rPr>
              <w:t>）</w:t>
            </w:r>
          </w:p>
        </w:tc>
        <w:tc>
          <w:tcPr>
            <w:tcW w:w="580" w:type="pct"/>
          </w:tcPr>
          <w:p w14:paraId="3D39DE29">
            <w:pPr>
              <w:spacing w:line="240" w:lineRule="exact"/>
              <w:rPr>
                <w:rFonts w:ascii="Arial" w:hAnsi="Arial" w:eastAsia="仿宋" w:cs="Arial"/>
                <w:color w:val="auto"/>
                <w:sz w:val="21"/>
                <w:szCs w:val="21"/>
              </w:rPr>
            </w:pPr>
            <w:r>
              <w:rPr>
                <w:rFonts w:hint="eastAsia" w:ascii="Arial" w:hAnsi="Arial" w:eastAsia="仿宋" w:cs="Arial"/>
                <w:color w:val="auto"/>
                <w:sz w:val="21"/>
                <w:szCs w:val="21"/>
              </w:rPr>
              <w:t>1</w:t>
            </w:r>
            <w:r>
              <w:rPr>
                <w:rFonts w:ascii="Arial" w:hAnsi="Arial" w:eastAsia="仿宋" w:cs="Arial"/>
                <w:color w:val="auto"/>
                <w:sz w:val="21"/>
                <w:szCs w:val="21"/>
              </w:rPr>
              <w:t>.00</w:t>
            </w:r>
            <w:r>
              <w:rPr>
                <w:rFonts w:hint="eastAsia" w:ascii="Arial" w:hAnsi="Arial" w:eastAsia="仿宋" w:cs="Arial"/>
                <w:color w:val="auto"/>
                <w:sz w:val="21"/>
                <w:szCs w:val="21"/>
              </w:rPr>
              <w:t>51</w:t>
            </w:r>
          </w:p>
        </w:tc>
      </w:tr>
    </w:tbl>
    <w:p w14:paraId="1361CA4C">
      <w:pPr>
        <w:spacing w:before="240" w:beforeLines="100"/>
        <w:rPr>
          <w:rFonts w:ascii="Arial" w:hAnsi="Arial" w:eastAsia="仿宋" w:cs="Arial"/>
          <w:color w:val="auto"/>
          <w:sz w:val="28"/>
        </w:rPr>
      </w:pPr>
      <w:r>
        <w:rPr>
          <w:rFonts w:ascii="Arial" w:hAnsi="Arial" w:eastAsia="仿宋" w:cs="Arial"/>
          <w:color w:val="auto"/>
          <w:sz w:val="28"/>
        </w:rPr>
        <w:t>（G）估价对象</w:t>
      </w:r>
      <w:r>
        <w:rPr>
          <w:rFonts w:hint="eastAsia" w:ascii="Arial" w:hAnsi="Arial" w:eastAsia="仿宋" w:cs="Arial"/>
          <w:color w:val="auto"/>
          <w:sz w:val="28"/>
        </w:rPr>
        <w:t>楼面地价</w:t>
      </w:r>
    </w:p>
    <w:p w14:paraId="07C7DC97">
      <w:pPr>
        <w:adjustRightInd/>
        <w:snapToGrid w:val="0"/>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住宅用途</w:t>
      </w:r>
      <w:r>
        <w:rPr>
          <w:rFonts w:hint="eastAsia" w:ascii="Arial" w:hAnsi="Arial" w:eastAsia="仿宋" w:cs="Arial"/>
          <w:color w:val="auto"/>
          <w:sz w:val="28"/>
        </w:rPr>
        <w:t>楼面地价</w:t>
      </w:r>
    </w:p>
    <w:p w14:paraId="298A447F">
      <w:pPr>
        <w:adjustRightInd/>
        <w:snapToGrid w:val="0"/>
        <w:spacing w:line="300" w:lineRule="auto"/>
        <w:ind w:firstLine="560" w:firstLineChars="200"/>
        <w:rPr>
          <w:rFonts w:ascii="Arial" w:hAnsi="Arial" w:eastAsia="仿宋" w:cs="Arial"/>
          <w:color w:val="auto"/>
          <w:sz w:val="28"/>
        </w:rPr>
      </w:pPr>
      <w:r>
        <w:rPr>
          <w:rFonts w:hint="eastAsia" w:ascii="Arial" w:hAnsi="Arial" w:eastAsia="仿宋" w:cs="Arial"/>
          <w:color w:val="auto"/>
          <w:sz w:val="28"/>
        </w:rPr>
        <w:t>＝</w:t>
      </w:r>
      <w:r>
        <w:rPr>
          <w:rFonts w:ascii="Arial" w:hAnsi="Arial" w:eastAsia="仿宋" w:cs="Arial"/>
          <w:color w:val="auto"/>
          <w:sz w:val="28"/>
        </w:rPr>
        <w:t>适用的基准地价</w:t>
      </w:r>
      <w:r>
        <w:rPr>
          <w:rFonts w:hint="eastAsia" w:ascii="Arial" w:hAnsi="Arial" w:eastAsia="仿宋" w:cs="Arial"/>
          <w:color w:val="auto"/>
          <w:sz w:val="28"/>
        </w:rPr>
        <w:t>×特殊</w:t>
      </w:r>
      <w:r>
        <w:rPr>
          <w:rFonts w:ascii="Arial" w:hAnsi="Arial" w:eastAsia="仿宋" w:cs="Arial"/>
          <w:color w:val="auto"/>
          <w:sz w:val="28"/>
        </w:rPr>
        <w:t>情况修正系数</w:t>
      </w:r>
      <w:r>
        <w:rPr>
          <w:rFonts w:hint="eastAsia" w:ascii="Arial" w:hAnsi="Arial" w:eastAsia="仿宋" w:cs="Arial"/>
          <w:color w:val="auto"/>
          <w:sz w:val="28"/>
          <w:szCs w:val="28"/>
        </w:rPr>
        <w:t>×</w:t>
      </w:r>
      <w:r>
        <w:rPr>
          <w:rFonts w:ascii="Arial" w:hAnsi="Arial" w:eastAsia="仿宋" w:cs="Arial"/>
          <w:color w:val="auto"/>
          <w:sz w:val="28"/>
        </w:rPr>
        <w:t>用途修正系数</w:t>
      </w:r>
      <w:r>
        <w:rPr>
          <w:rFonts w:hint="eastAsia" w:ascii="Arial" w:hAnsi="Arial" w:eastAsia="仿宋" w:cs="Arial"/>
          <w:color w:val="auto"/>
          <w:sz w:val="28"/>
        </w:rPr>
        <w:t>×</w:t>
      </w:r>
      <w:r>
        <w:rPr>
          <w:rFonts w:ascii="Arial" w:hAnsi="Arial" w:eastAsia="仿宋" w:cs="Arial"/>
          <w:color w:val="auto"/>
          <w:sz w:val="28"/>
        </w:rPr>
        <w:t>期日修正系数</w:t>
      </w:r>
      <w:r>
        <w:rPr>
          <w:rFonts w:hint="eastAsia" w:ascii="Arial" w:hAnsi="Arial" w:eastAsia="仿宋" w:cs="Arial"/>
          <w:color w:val="auto"/>
          <w:sz w:val="28"/>
        </w:rPr>
        <w:t>×</w:t>
      </w:r>
      <w:r>
        <w:rPr>
          <w:rFonts w:ascii="Arial" w:hAnsi="Arial" w:eastAsia="仿宋" w:cs="Arial"/>
          <w:color w:val="auto"/>
          <w:sz w:val="28"/>
        </w:rPr>
        <w:t>年期修正系数</w:t>
      </w:r>
      <w:r>
        <w:rPr>
          <w:rFonts w:hint="eastAsia" w:ascii="Arial" w:hAnsi="Arial" w:eastAsia="仿宋" w:cs="Arial"/>
          <w:color w:val="auto"/>
          <w:sz w:val="28"/>
        </w:rPr>
        <w:t>×</w:t>
      </w:r>
      <w:r>
        <w:rPr>
          <w:rFonts w:ascii="Arial" w:hAnsi="Arial" w:eastAsia="仿宋" w:cs="Arial"/>
          <w:color w:val="auto"/>
          <w:sz w:val="28"/>
        </w:rPr>
        <w:t>容积率修正系数</w:t>
      </w:r>
      <w:r>
        <w:rPr>
          <w:rFonts w:hint="eastAsia" w:ascii="Arial" w:hAnsi="Arial" w:eastAsia="仿宋" w:cs="Arial"/>
          <w:color w:val="auto"/>
          <w:sz w:val="28"/>
        </w:rPr>
        <w:t>×</w:t>
      </w:r>
      <w:r>
        <w:rPr>
          <w:rFonts w:ascii="Arial" w:hAnsi="Arial" w:eastAsia="仿宋" w:cs="Arial"/>
          <w:color w:val="auto"/>
          <w:sz w:val="28"/>
        </w:rPr>
        <w:t>因素修正系数</w:t>
      </w:r>
    </w:p>
    <w:p w14:paraId="44700A98">
      <w:pPr>
        <w:adjustRightInd/>
        <w:snapToGrid w:val="0"/>
        <w:spacing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w:t>
      </w:r>
      <w:r>
        <w:rPr>
          <w:rFonts w:ascii="Arial" w:hAnsi="Arial" w:eastAsia="仿宋" w:cs="Arial"/>
          <w:color w:val="auto"/>
          <w:sz w:val="28"/>
          <w:szCs w:val="28"/>
        </w:rPr>
        <w:t>（6160</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1.05</w:t>
      </w:r>
      <w:r>
        <w:rPr>
          <w:rFonts w:hint="eastAsia" w:ascii="Arial" w:hAnsi="Arial" w:eastAsia="仿宋" w:cs="Arial"/>
          <w:color w:val="auto"/>
          <w:sz w:val="28"/>
          <w:szCs w:val="28"/>
        </w:rPr>
        <w:t>＋</w:t>
      </w:r>
      <w:r>
        <w:rPr>
          <w:rFonts w:ascii="Arial" w:hAnsi="Arial" w:eastAsia="仿宋" w:cs="Arial"/>
          <w:color w:val="auto"/>
          <w:sz w:val="28"/>
          <w:szCs w:val="28"/>
        </w:rPr>
        <w:t>4</w:t>
      </w:r>
      <w:r>
        <w:rPr>
          <w:rFonts w:hint="eastAsia" w:ascii="Arial" w:hAnsi="Arial" w:eastAsia="仿宋" w:cs="Arial"/>
          <w:color w:val="auto"/>
          <w:sz w:val="28"/>
          <w:szCs w:val="28"/>
        </w:rPr>
        <w:t>6.67</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×1.0049×</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1.0597</w:t>
      </w:r>
      <w:r>
        <w:rPr>
          <w:rFonts w:hint="eastAsia" w:ascii="Arial" w:hAnsi="Arial" w:eastAsia="仿宋" w:cs="Arial"/>
          <w:color w:val="auto"/>
          <w:sz w:val="28"/>
          <w:szCs w:val="28"/>
        </w:rPr>
        <w:t>×</w:t>
      </w:r>
      <w:r>
        <w:rPr>
          <w:rFonts w:ascii="Arial" w:hAnsi="Arial" w:eastAsia="仿宋" w:cs="Arial"/>
          <w:color w:val="auto"/>
          <w:sz w:val="28"/>
          <w:szCs w:val="28"/>
        </w:rPr>
        <w:t>1.00</w:t>
      </w:r>
      <w:r>
        <w:rPr>
          <w:rFonts w:hint="eastAsia" w:ascii="Arial" w:hAnsi="Arial" w:eastAsia="仿宋" w:cs="Arial"/>
          <w:color w:val="auto"/>
          <w:sz w:val="28"/>
          <w:szCs w:val="28"/>
        </w:rPr>
        <w:t>51</w:t>
      </w:r>
    </w:p>
    <w:p w14:paraId="585ED2C2">
      <w:pPr>
        <w:spacing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＝6973</w:t>
      </w:r>
      <w:r>
        <w:rPr>
          <w:rFonts w:ascii="Arial" w:hAnsi="Arial" w:eastAsia="仿宋" w:cs="Arial"/>
          <w:color w:val="auto"/>
          <w:sz w:val="28"/>
          <w:szCs w:val="28"/>
        </w:rPr>
        <w:t>（元/平方米）</w:t>
      </w:r>
    </w:p>
    <w:p w14:paraId="0F027B3C">
      <w:pPr>
        <w:adjustRightInd/>
        <w:snapToGrid w:val="0"/>
        <w:spacing w:line="300" w:lineRule="auto"/>
        <w:ind w:firstLine="562" w:firstLineChars="200"/>
        <w:jc w:val="both"/>
        <w:rPr>
          <w:rFonts w:ascii="Arial" w:hAnsi="Arial" w:eastAsia="仿宋" w:cs="Arial"/>
          <w:b/>
          <w:bCs/>
          <w:color w:val="auto"/>
          <w:sz w:val="28"/>
          <w:szCs w:val="28"/>
        </w:rPr>
      </w:pPr>
      <w:r>
        <w:rPr>
          <w:rFonts w:hint="eastAsia" w:ascii="Arial" w:hAnsi="Arial" w:eastAsia="仿宋" w:cs="Arial"/>
          <w:b/>
          <w:bCs/>
          <w:color w:val="auto"/>
          <w:sz w:val="28"/>
        </w:rPr>
        <w:t>根据《北京市国有建设用地使用权出让地价评估技术导则）（2026年2月10日实施）8.2.2.4）需土地招拍挂竞得人代建不出让非营利性设施的，应考虑代建成本的影响；在采用基准地价系数修正法评估时，评估过程因无法考虑代建非营利性设施的影响，在最终结果确定时，对此事项进行论证分析，确定基准地价系数修正法结果的调整系数或差异数值，得到基准地价系数修正法估价结果的调整值。</w:t>
      </w:r>
    </w:p>
    <w:p w14:paraId="24743533">
      <w:pPr>
        <w:rPr>
          <w:rFonts w:ascii="Arial" w:hAnsi="Arial" w:eastAsia="仿宋" w:cs="Arial"/>
          <w:color w:val="auto"/>
          <w:sz w:val="28"/>
          <w:szCs w:val="28"/>
        </w:rPr>
      </w:pPr>
      <w:r>
        <w:rPr>
          <w:rFonts w:ascii="Arial" w:hAnsi="Arial" w:eastAsia="仿宋" w:cs="Arial"/>
          <w:color w:val="auto"/>
          <w:sz w:val="28"/>
          <w:szCs w:val="28"/>
        </w:rPr>
        <w:br w:type="page"/>
      </w:r>
    </w:p>
    <w:p w14:paraId="1C537F0D">
      <w:pPr>
        <w:overflowPunct w:val="0"/>
        <w:adjustRightInd/>
        <w:snapToGrid w:val="0"/>
        <w:spacing w:line="300" w:lineRule="auto"/>
        <w:ind w:firstLine="562" w:firstLineChars="200"/>
        <w:jc w:val="both"/>
        <w:textAlignment w:val="auto"/>
        <w:rPr>
          <w:rFonts w:ascii="Arial" w:hAnsi="Arial" w:eastAsia="仿宋" w:cs="Arial"/>
          <w:b/>
          <w:bCs/>
          <w:color w:val="auto"/>
          <w:sz w:val="28"/>
          <w:szCs w:val="28"/>
        </w:rPr>
      </w:pPr>
      <w:r>
        <w:rPr>
          <w:rFonts w:ascii="Arial" w:hAnsi="Arial" w:eastAsia="仿宋" w:cs="Arial"/>
          <w:b/>
          <w:bCs/>
          <w:color w:val="auto"/>
          <w:sz w:val="28"/>
          <w:szCs w:val="28"/>
        </w:rPr>
        <w:t>2）</w:t>
      </w:r>
      <w:r>
        <w:rPr>
          <w:rFonts w:hint="eastAsia" w:ascii="Arial" w:hAnsi="Arial" w:eastAsia="仿宋" w:cs="Arial"/>
          <w:b/>
          <w:bCs/>
          <w:color w:val="auto"/>
          <w:sz w:val="28"/>
          <w:szCs w:val="28"/>
        </w:rPr>
        <w:t>其他商业服务业用地</w:t>
      </w:r>
      <w:r>
        <w:rPr>
          <w:rFonts w:ascii="Arial" w:hAnsi="Arial" w:eastAsia="仿宋" w:cs="Arial"/>
          <w:b/>
          <w:bCs/>
          <w:color w:val="auto"/>
          <w:sz w:val="28"/>
          <w:szCs w:val="28"/>
        </w:rPr>
        <w:t>基准地价系数修正法测算过程</w:t>
      </w:r>
    </w:p>
    <w:p w14:paraId="0EBB53CC">
      <w:pPr>
        <w:snapToGrid w:val="0"/>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A.宗地适用基准地价水平的确定</w:t>
      </w:r>
    </w:p>
    <w:p w14:paraId="62C935BA">
      <w:pPr>
        <w:snapToGrid w:val="0"/>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（A）根据《北京市基准地价更新成果》，估价对象商业相应用途基准地价参照《北京市区片基准地价表》确定。估价对象位于</w:t>
      </w:r>
      <w:r>
        <w:rPr>
          <w:rFonts w:ascii="Arial" w:hAnsi="Arial" w:eastAsia="仿宋" w:cs="Arial"/>
          <w:color w:val="auto"/>
          <w:sz w:val="28"/>
          <w:szCs w:val="28"/>
        </w:rPr>
        <w:t>北京市顺义区</w:t>
      </w:r>
      <w:r>
        <w:rPr>
          <w:rFonts w:hint="eastAsia" w:ascii="Arial" w:hAnsi="Arial" w:eastAsia="仿宋" w:cs="Arial"/>
          <w:color w:val="auto"/>
          <w:sz w:val="28"/>
          <w:szCs w:val="28"/>
        </w:rPr>
        <w:t>高丽营镇</w:t>
      </w:r>
      <w:r>
        <w:rPr>
          <w:rFonts w:ascii="Arial" w:hAnsi="Arial" w:eastAsia="仿宋" w:cs="Arial"/>
          <w:color w:val="auto"/>
          <w:sz w:val="28"/>
          <w:szCs w:val="28"/>
        </w:rPr>
        <w:t>夏县营</w:t>
      </w:r>
      <w:r>
        <w:rPr>
          <w:rFonts w:hint="eastAsia" w:ascii="Arial" w:hAnsi="Arial" w:eastAsia="仿宋" w:cs="Arial"/>
          <w:color w:val="auto"/>
          <w:sz w:val="28"/>
          <w:szCs w:val="28"/>
        </w:rPr>
        <w:t>村</w:t>
      </w:r>
      <w:r>
        <w:rPr>
          <w:rFonts w:ascii="Arial" w:hAnsi="Arial" w:eastAsia="仿宋" w:cs="Arial"/>
          <w:color w:val="auto"/>
          <w:sz w:val="28"/>
        </w:rPr>
        <w:t>，土地级别为商业类</w:t>
      </w:r>
      <w:r>
        <w:rPr>
          <w:rFonts w:hint="eastAsia" w:ascii="Arial" w:hAnsi="Arial" w:eastAsia="仿宋" w:cs="Arial"/>
          <w:color w:val="auto"/>
          <w:sz w:val="28"/>
        </w:rPr>
        <w:t>九</w:t>
      </w:r>
      <w:r>
        <w:rPr>
          <w:rFonts w:ascii="Arial" w:hAnsi="Arial" w:eastAsia="仿宋" w:cs="Arial"/>
          <w:color w:val="auto"/>
          <w:sz w:val="28"/>
        </w:rPr>
        <w:t>级地价区，属商业用途</w:t>
      </w:r>
      <w:r>
        <w:rPr>
          <w:rFonts w:ascii="Arial" w:hAnsi="Arial" w:eastAsia="仿宋_GB2312" w:cs="Arial"/>
          <w:color w:val="auto"/>
          <w:sz w:val="28"/>
        </w:rPr>
        <w:t>IX</w:t>
      </w:r>
      <w:r>
        <w:rPr>
          <w:rFonts w:hint="eastAsia" w:ascii="Arial" w:hAnsi="Arial" w:eastAsia="仿宋_GB2312" w:cs="Arial"/>
          <w:color w:val="auto"/>
          <w:sz w:val="28"/>
        </w:rPr>
        <w:t>－顺5</w:t>
      </w:r>
      <w:r>
        <w:rPr>
          <w:rFonts w:ascii="Arial" w:hAnsi="Arial" w:eastAsia="仿宋" w:cs="Arial"/>
          <w:color w:val="auto"/>
          <w:sz w:val="28"/>
        </w:rPr>
        <w:t>区片。北京市各用途</w:t>
      </w:r>
      <w:r>
        <w:rPr>
          <w:rFonts w:hint="eastAsia" w:ascii="Arial" w:hAnsi="Arial" w:eastAsia="仿宋" w:cs="Arial"/>
          <w:color w:val="auto"/>
          <w:sz w:val="28"/>
        </w:rPr>
        <w:t>九</w:t>
      </w:r>
      <w:r>
        <w:rPr>
          <w:rFonts w:ascii="Arial" w:hAnsi="Arial" w:eastAsia="仿宋" w:cs="Arial"/>
          <w:color w:val="auto"/>
          <w:sz w:val="28"/>
        </w:rPr>
        <w:t>级区片基准地价详见前述，即，估价对象所在商业用途</w:t>
      </w:r>
      <w:r>
        <w:rPr>
          <w:rFonts w:hint="eastAsia" w:ascii="Arial" w:hAnsi="Arial" w:eastAsia="仿宋" w:cs="Arial"/>
          <w:color w:val="auto"/>
          <w:sz w:val="28"/>
        </w:rPr>
        <w:t>九</w:t>
      </w:r>
      <w:r>
        <w:rPr>
          <w:rFonts w:ascii="Arial" w:hAnsi="Arial" w:eastAsia="仿宋" w:cs="Arial"/>
          <w:color w:val="auto"/>
          <w:sz w:val="28"/>
        </w:rPr>
        <w:t>级</w:t>
      </w:r>
      <w:r>
        <w:rPr>
          <w:rFonts w:ascii="Arial" w:hAnsi="Arial" w:eastAsia="仿宋_GB2312" w:cs="Arial"/>
          <w:color w:val="auto"/>
          <w:sz w:val="28"/>
        </w:rPr>
        <w:t>IX</w:t>
      </w:r>
      <w:r>
        <w:rPr>
          <w:rFonts w:hint="eastAsia" w:ascii="Arial" w:hAnsi="Arial" w:eastAsia="仿宋_GB2312" w:cs="Arial"/>
          <w:color w:val="auto"/>
          <w:sz w:val="28"/>
        </w:rPr>
        <w:t>－顺5</w:t>
      </w:r>
      <w:r>
        <w:rPr>
          <w:rFonts w:ascii="Arial" w:hAnsi="Arial" w:eastAsia="仿宋" w:cs="Arial"/>
          <w:color w:val="auto"/>
          <w:sz w:val="28"/>
        </w:rPr>
        <w:t>区片的区片基准地价为5320元/平方米。</w:t>
      </w:r>
    </w:p>
    <w:p w14:paraId="77EB0B76">
      <w:pPr>
        <w:adjustRightInd/>
        <w:snapToGrid w:val="0"/>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（B）商业路线价修正</w:t>
      </w:r>
    </w:p>
    <w:p w14:paraId="445A433F">
      <w:pPr>
        <w:adjustRightInd/>
        <w:snapToGrid w:val="0"/>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估价对象位于</w:t>
      </w:r>
      <w:r>
        <w:rPr>
          <w:rFonts w:ascii="Arial" w:hAnsi="Arial" w:eastAsia="仿宋" w:cs="Arial"/>
          <w:color w:val="auto"/>
          <w:sz w:val="28"/>
          <w:szCs w:val="28"/>
        </w:rPr>
        <w:t>北京市顺义区</w:t>
      </w:r>
      <w:r>
        <w:rPr>
          <w:rFonts w:hint="eastAsia" w:ascii="Arial" w:hAnsi="Arial" w:eastAsia="仿宋" w:cs="Arial"/>
          <w:color w:val="auto"/>
          <w:sz w:val="28"/>
          <w:szCs w:val="28"/>
        </w:rPr>
        <w:t>高丽营镇</w:t>
      </w:r>
      <w:r>
        <w:rPr>
          <w:rFonts w:ascii="Arial" w:hAnsi="Arial" w:eastAsia="仿宋" w:cs="Arial"/>
          <w:color w:val="auto"/>
          <w:sz w:val="28"/>
          <w:szCs w:val="28"/>
        </w:rPr>
        <w:t>夏县营</w:t>
      </w:r>
      <w:r>
        <w:rPr>
          <w:rFonts w:hint="eastAsia" w:ascii="Arial" w:hAnsi="Arial" w:eastAsia="仿宋" w:cs="Arial"/>
          <w:color w:val="auto"/>
          <w:sz w:val="28"/>
          <w:szCs w:val="28"/>
        </w:rPr>
        <w:t>村</w:t>
      </w:r>
      <w:r>
        <w:rPr>
          <w:rFonts w:ascii="Arial" w:hAnsi="Arial" w:eastAsia="仿宋" w:cs="Arial"/>
          <w:color w:val="auto"/>
          <w:sz w:val="28"/>
        </w:rPr>
        <w:t>，不临《北京市基准地价更新成果》中所列65条商业街。故不需进行商业路线价修正。</w:t>
      </w:r>
    </w:p>
    <w:p w14:paraId="6C54241D">
      <w:pPr>
        <w:adjustRightInd/>
        <w:snapToGrid w:val="0"/>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（C）土地开发程度修正</w:t>
      </w:r>
    </w:p>
    <w:p w14:paraId="6AE6AC28">
      <w:pPr>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估价对象设定宗地土地开发程度为</w:t>
      </w:r>
      <w:r>
        <w:rPr>
          <w:rFonts w:hint="eastAsia" w:ascii="Arial" w:hAnsi="Arial" w:eastAsia="仿宋" w:cs="Arial"/>
          <w:color w:val="auto"/>
          <w:sz w:val="28"/>
          <w:szCs w:val="28"/>
        </w:rPr>
        <w:t>“七通”（通路、通上水（自来水、中水）、通下水（雨水、污水）、通电、通讯、通燃气、通热力）</w:t>
      </w:r>
      <w:r>
        <w:rPr>
          <w:rFonts w:ascii="Arial" w:hAnsi="Arial" w:eastAsia="仿宋" w:cs="Arial"/>
          <w:color w:val="auto"/>
          <w:sz w:val="28"/>
          <w:szCs w:val="28"/>
        </w:rPr>
        <w:t>，估价对象所在区域为</w:t>
      </w:r>
      <w:r>
        <w:rPr>
          <w:rFonts w:hint="eastAsia" w:ascii="Arial" w:hAnsi="Arial" w:eastAsia="仿宋" w:cs="Arial"/>
          <w:color w:val="auto"/>
          <w:sz w:val="28"/>
          <w:szCs w:val="28"/>
        </w:rPr>
        <w:t>九</w:t>
      </w:r>
      <w:r>
        <w:rPr>
          <w:rFonts w:ascii="Arial" w:hAnsi="Arial" w:eastAsia="仿宋" w:cs="Arial"/>
          <w:color w:val="auto"/>
          <w:sz w:val="28"/>
          <w:szCs w:val="28"/>
        </w:rPr>
        <w:t>级地价区，级别基准地价土地开发程度为</w:t>
      </w:r>
      <w:r>
        <w:rPr>
          <w:rFonts w:hint="eastAsia" w:ascii="Arial" w:hAnsi="Arial" w:eastAsia="仿宋" w:cs="Arial"/>
          <w:color w:val="auto"/>
          <w:sz w:val="28"/>
          <w:szCs w:val="28"/>
        </w:rPr>
        <w:t>“</w:t>
      </w:r>
      <w:r>
        <w:rPr>
          <w:rFonts w:ascii="Arial" w:hAnsi="Arial" w:eastAsia="仿宋" w:cs="Arial"/>
          <w:color w:val="auto"/>
          <w:sz w:val="28"/>
          <w:szCs w:val="28"/>
        </w:rPr>
        <w:t>五通一平</w:t>
      </w:r>
      <w:r>
        <w:rPr>
          <w:rFonts w:hint="eastAsia" w:ascii="Arial" w:hAnsi="Arial" w:eastAsia="仿宋" w:cs="Arial"/>
          <w:color w:val="auto"/>
          <w:sz w:val="28"/>
          <w:szCs w:val="28"/>
        </w:rPr>
        <w:t>”</w:t>
      </w:r>
      <w:r>
        <w:rPr>
          <w:rFonts w:ascii="Arial" w:hAnsi="Arial" w:eastAsia="仿宋" w:cs="Arial"/>
          <w:color w:val="auto"/>
          <w:sz w:val="28"/>
          <w:szCs w:val="28"/>
        </w:rPr>
        <w:t>（即通路、通电、通上水、通下水、通</w:t>
      </w:r>
      <w:r>
        <w:rPr>
          <w:rFonts w:hint="eastAsia" w:ascii="Arial" w:hAnsi="Arial" w:eastAsia="仿宋" w:cs="Arial"/>
          <w:color w:val="auto"/>
          <w:sz w:val="28"/>
          <w:szCs w:val="28"/>
        </w:rPr>
        <w:t>讯</w:t>
      </w:r>
      <w:r>
        <w:rPr>
          <w:rFonts w:ascii="Arial" w:hAnsi="Arial" w:eastAsia="仿宋" w:cs="Arial"/>
          <w:color w:val="auto"/>
          <w:sz w:val="28"/>
          <w:szCs w:val="28"/>
        </w:rPr>
        <w:t>），相应用途级别平均容积率为2。估价对象设定状况与级别开发程度不一致，需进行修正。修正表如下：</w:t>
      </w:r>
    </w:p>
    <w:p w14:paraId="4EF0CC05">
      <w:pPr>
        <w:spacing w:line="240" w:lineRule="auto"/>
        <w:jc w:val="center"/>
        <w:rPr>
          <w:rFonts w:ascii="仿宋" w:hAnsi="仿宋" w:eastAsia="仿宋" w:cs="宋体"/>
          <w:bCs/>
          <w:color w:val="auto"/>
          <w:sz w:val="28"/>
          <w:szCs w:val="28"/>
        </w:rPr>
      </w:pPr>
      <w:r>
        <w:rPr>
          <w:rFonts w:hint="eastAsia" w:ascii="仿宋" w:hAnsi="仿宋" w:eastAsia="仿宋" w:cs="宋体"/>
          <w:bCs/>
          <w:color w:val="auto"/>
          <w:sz w:val="28"/>
          <w:szCs w:val="28"/>
        </w:rPr>
        <w:t>基础设施建设费（土地开发费）</w:t>
      </w:r>
    </w:p>
    <w:p w14:paraId="41A2EADE">
      <w:pPr>
        <w:adjustRightInd/>
        <w:spacing w:line="240" w:lineRule="auto"/>
        <w:jc w:val="right"/>
        <w:rPr>
          <w:rFonts w:ascii="Arial" w:hAnsi="Arial"/>
          <w:color w:val="auto"/>
          <w:sz w:val="21"/>
        </w:rPr>
      </w:pPr>
      <w:r>
        <w:rPr>
          <w:rFonts w:hint="eastAsia" w:ascii="Arial" w:hAnsi="Arial" w:eastAsia="华文细黑" w:cs="宋体"/>
          <w:color w:val="auto"/>
          <w:sz w:val="18"/>
          <w:szCs w:val="24"/>
        </w:rPr>
        <w:t>单位：元/土地平方米</w:t>
      </w:r>
    </w:p>
    <w:tbl>
      <w:tblPr>
        <w:tblStyle w:val="34"/>
        <w:tblW w:w="9299" w:type="dxa"/>
        <w:jc w:val="center"/>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Layout w:type="fixed"/>
        <w:tblCellMar>
          <w:top w:w="57" w:type="dxa"/>
          <w:left w:w="57" w:type="dxa"/>
          <w:bottom w:w="57" w:type="dxa"/>
          <w:right w:w="57" w:type="dxa"/>
        </w:tblCellMar>
      </w:tblPr>
      <w:tblGrid>
        <w:gridCol w:w="1602"/>
        <w:gridCol w:w="856"/>
        <w:gridCol w:w="856"/>
        <w:gridCol w:w="855"/>
        <w:gridCol w:w="855"/>
        <w:gridCol w:w="855"/>
        <w:gridCol w:w="855"/>
        <w:gridCol w:w="855"/>
        <w:gridCol w:w="855"/>
        <w:gridCol w:w="855"/>
      </w:tblGrid>
      <w:tr w14:paraId="1D79905E">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l2br w:val="single" w:color="auto" w:sz="4" w:space="0"/>
            </w:tcBorders>
            <w:shd w:val="clear" w:color="auto" w:fill="auto"/>
            <w:noWrap/>
            <w:vAlign w:val="center"/>
          </w:tcPr>
          <w:p w14:paraId="262BB065">
            <w:pPr>
              <w:widowControl/>
              <w:adjustRightInd/>
              <w:spacing w:line="240" w:lineRule="exact"/>
              <w:ind w:firstLine="945" w:firstLineChars="450"/>
              <w:jc w:val="right"/>
              <w:textAlignment w:val="auto"/>
              <w:rPr>
                <w:rFonts w:ascii="Arial" w:hAnsi="Arial" w:eastAsia="仿宋" w:cs="Arial"/>
                <w:color w:val="auto"/>
                <w:sz w:val="21"/>
                <w:szCs w:val="21"/>
              </w:rPr>
            </w:pPr>
            <w:r>
              <w:rPr>
                <w:rFonts w:ascii="Arial" w:hAnsi="Arial" w:eastAsia="仿宋" w:cs="Arial"/>
                <w:color w:val="auto"/>
                <w:sz w:val="21"/>
                <w:szCs w:val="21"/>
              </w:rPr>
              <w:t>费用</w:t>
            </w:r>
          </w:p>
          <w:p w14:paraId="7C687E0A">
            <w:pPr>
              <w:spacing w:line="240" w:lineRule="exact"/>
              <w:rPr>
                <w:rFonts w:ascii="Arial" w:hAnsi="Arial" w:eastAsia="仿宋" w:cs="Arial"/>
                <w:color w:val="auto"/>
                <w:sz w:val="21"/>
                <w:szCs w:val="21"/>
              </w:rPr>
            </w:pPr>
            <w:r>
              <w:rPr>
                <w:rFonts w:ascii="Arial" w:hAnsi="Arial" w:eastAsia="仿宋" w:cs="Arial"/>
                <w:color w:val="auto"/>
                <w:sz w:val="21"/>
                <w:szCs w:val="21"/>
              </w:rPr>
              <w:t>类别</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03F59A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通路</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988D21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通电</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9D4E1F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通讯</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E4B0AF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通上水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121357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通下水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A64B13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通热</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66B8D9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通燃气</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9D9B9B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平整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929FA8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合计</w:t>
            </w:r>
          </w:p>
        </w:tc>
      </w:tr>
      <w:tr w14:paraId="20955A5D">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974C23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一至二级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589EE7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0D0A25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EDFB74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D8F4D9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20F7B3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3BBE6F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76A876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E863C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589859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375</w:t>
            </w:r>
          </w:p>
        </w:tc>
      </w:tr>
      <w:tr w14:paraId="573F226D">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2294AE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三至七级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D4F6C0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23F8A8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7D5AB9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2160EE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7BA1AE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D9C7FD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08E3B4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42F7AC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0163A7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315</w:t>
            </w:r>
          </w:p>
        </w:tc>
      </w:tr>
      <w:tr w14:paraId="64453B49">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06DAF4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八至十二级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0A4BC7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C5C900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45BB47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F64820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2EADC0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C09992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4AFF33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47CC2A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E6FAC2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255</w:t>
            </w:r>
          </w:p>
        </w:tc>
      </w:tr>
    </w:tbl>
    <w:p w14:paraId="60AE8CDE">
      <w:pPr>
        <w:adjustRightInd/>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土地开发程度修正</w:t>
      </w:r>
    </w:p>
    <w:p w14:paraId="06BF0E39">
      <w:pPr>
        <w:adjustRightInd/>
        <w:snapToGrid w:val="0"/>
        <w:spacing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w:t>
      </w:r>
      <w:r>
        <w:rPr>
          <w:rFonts w:ascii="Arial" w:hAnsi="Arial" w:eastAsia="仿宋" w:cs="Arial"/>
          <w:color w:val="auto"/>
          <w:sz w:val="28"/>
          <w:szCs w:val="28"/>
        </w:rPr>
        <w:t>60</w:t>
      </w:r>
      <w:r>
        <w:rPr>
          <w:rFonts w:hint="eastAsia" w:ascii="Arial" w:hAnsi="Arial" w:eastAsia="仿宋" w:cs="Arial"/>
          <w:color w:val="auto"/>
          <w:sz w:val="28"/>
          <w:szCs w:val="28"/>
        </w:rPr>
        <w:t>＋</w:t>
      </w:r>
      <w:r>
        <w:rPr>
          <w:rFonts w:ascii="Arial" w:hAnsi="Arial" w:eastAsia="仿宋" w:cs="Arial"/>
          <w:color w:val="auto"/>
          <w:sz w:val="28"/>
          <w:szCs w:val="28"/>
        </w:rPr>
        <w:t>50</w:t>
      </w:r>
      <w:r>
        <w:rPr>
          <w:rFonts w:hint="eastAsia" w:ascii="Arial" w:hAnsi="Arial" w:eastAsia="仿宋" w:cs="Arial"/>
          <w:color w:val="auto"/>
          <w:sz w:val="28"/>
          <w:szCs w:val="28"/>
        </w:rPr>
        <w:t>＋10＋</w:t>
      </w:r>
      <w:r>
        <w:rPr>
          <w:rFonts w:ascii="Arial" w:hAnsi="Arial" w:eastAsia="仿宋" w:cs="Arial"/>
          <w:color w:val="auto"/>
          <w:sz w:val="28"/>
          <w:szCs w:val="28"/>
        </w:rPr>
        <w:t>20</w:t>
      </w:r>
      <w:r>
        <w:rPr>
          <w:rFonts w:hint="eastAsia" w:ascii="Arial" w:hAnsi="Arial" w:eastAsia="仿宋" w:cs="Arial"/>
          <w:color w:val="auto"/>
          <w:sz w:val="28"/>
          <w:szCs w:val="28"/>
        </w:rPr>
        <w:t>＋</w:t>
      </w:r>
      <w:r>
        <w:rPr>
          <w:rFonts w:ascii="Arial" w:hAnsi="Arial" w:eastAsia="仿宋" w:cs="Arial"/>
          <w:color w:val="auto"/>
          <w:sz w:val="28"/>
          <w:szCs w:val="28"/>
        </w:rPr>
        <w:t>35</w:t>
      </w:r>
      <w:r>
        <w:rPr>
          <w:rFonts w:hint="eastAsia" w:ascii="Arial" w:hAnsi="Arial" w:eastAsia="仿宋" w:cs="Arial"/>
          <w:color w:val="auto"/>
          <w:sz w:val="28"/>
          <w:szCs w:val="28"/>
        </w:rPr>
        <w:t>＋</w:t>
      </w:r>
      <w:r>
        <w:rPr>
          <w:rFonts w:ascii="Arial" w:hAnsi="Arial" w:eastAsia="仿宋" w:cs="Arial"/>
          <w:color w:val="auto"/>
          <w:sz w:val="28"/>
          <w:szCs w:val="28"/>
        </w:rPr>
        <w:t>40</w:t>
      </w:r>
      <w:r>
        <w:rPr>
          <w:rFonts w:hint="eastAsia" w:ascii="Arial" w:hAnsi="Arial" w:eastAsia="仿宋" w:cs="Arial"/>
          <w:color w:val="auto"/>
          <w:sz w:val="28"/>
          <w:szCs w:val="28"/>
        </w:rPr>
        <w:t>＋</w:t>
      </w:r>
      <w:r>
        <w:rPr>
          <w:rFonts w:ascii="Arial" w:hAnsi="Arial" w:eastAsia="仿宋" w:cs="Arial"/>
          <w:color w:val="auto"/>
          <w:sz w:val="28"/>
          <w:szCs w:val="28"/>
        </w:rPr>
        <w:t>30</w:t>
      </w:r>
      <w:r>
        <w:rPr>
          <w:rFonts w:hint="eastAsia" w:ascii="Arial" w:hAnsi="Arial" w:eastAsia="仿宋" w:cs="Arial"/>
          <w:color w:val="auto"/>
          <w:sz w:val="28"/>
          <w:szCs w:val="28"/>
        </w:rPr>
        <w:t>＋</w:t>
      </w:r>
      <w:r>
        <w:rPr>
          <w:rFonts w:ascii="Arial" w:hAnsi="Arial" w:eastAsia="仿宋" w:cs="Arial"/>
          <w:color w:val="auto"/>
          <w:sz w:val="28"/>
          <w:szCs w:val="28"/>
        </w:rPr>
        <w:t>10</w:t>
      </w:r>
      <w:r>
        <w:rPr>
          <w:rFonts w:hint="eastAsia" w:ascii="Arial" w:hAnsi="Arial" w:eastAsia="仿宋" w:cs="Arial"/>
          <w:color w:val="auto"/>
          <w:sz w:val="28"/>
          <w:szCs w:val="28"/>
        </w:rPr>
        <w:t>）－</w:t>
      </w:r>
      <w:r>
        <w:rPr>
          <w:rFonts w:ascii="Arial" w:hAnsi="Arial" w:eastAsia="仿宋" w:cs="Arial"/>
          <w:color w:val="auto"/>
          <w:sz w:val="28"/>
          <w:szCs w:val="28"/>
        </w:rPr>
        <w:t>185）</w:t>
      </w:r>
      <w:r>
        <w:rPr>
          <w:rFonts w:hint="eastAsia" w:ascii="Arial" w:hAnsi="Arial" w:eastAsia="仿宋" w:cs="Arial"/>
          <w:color w:val="auto"/>
          <w:sz w:val="28"/>
          <w:szCs w:val="28"/>
        </w:rPr>
        <w:t>÷</w:t>
      </w:r>
      <w:r>
        <w:rPr>
          <w:rFonts w:ascii="Arial" w:hAnsi="Arial" w:eastAsia="仿宋" w:cs="Arial"/>
          <w:color w:val="auto"/>
          <w:sz w:val="28"/>
          <w:szCs w:val="28"/>
        </w:rPr>
        <w:t>2</w:t>
      </w:r>
    </w:p>
    <w:p w14:paraId="68A6C47B">
      <w:pPr>
        <w:adjustRightInd/>
        <w:snapToGrid w:val="0"/>
        <w:spacing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＝35</w:t>
      </w:r>
      <w:r>
        <w:rPr>
          <w:rFonts w:ascii="Arial" w:hAnsi="Arial" w:eastAsia="仿宋" w:cs="Arial"/>
          <w:color w:val="auto"/>
          <w:sz w:val="28"/>
          <w:szCs w:val="28"/>
        </w:rPr>
        <w:t>（元/平方米）</w:t>
      </w:r>
    </w:p>
    <w:p w14:paraId="3E78E55C">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B.用途修正系数的确定</w:t>
      </w:r>
    </w:p>
    <w:p w14:paraId="3D295E87">
      <w:pPr>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《北京市出让国有建设用地使用权基准地价更新成果》根据《土地利用现状分类》（GB/T21010</w:t>
      </w:r>
      <w:r>
        <w:rPr>
          <w:rFonts w:hint="eastAsia" w:ascii="Arial" w:hAnsi="Arial" w:eastAsia="仿宋" w:cs="Arial"/>
          <w:color w:val="auto"/>
          <w:sz w:val="28"/>
          <w:szCs w:val="28"/>
        </w:rPr>
        <w:t>－</w:t>
      </w:r>
      <w:r>
        <w:rPr>
          <w:rFonts w:ascii="Arial" w:hAnsi="Arial" w:eastAsia="仿宋" w:cs="Arial"/>
          <w:color w:val="auto"/>
          <w:sz w:val="28"/>
          <w:szCs w:val="28"/>
        </w:rPr>
        <w:t>2007），对现有用地按照一级分类进行归类，分为商业、办公、住宅、工业和公共服务五类用途基准地价，并按照二级分类建立了地上用途修正系数。地下部分包括地下商业、地下办公、地下仓储（及其他）、地下车库等用途，并建立了地下空间修正系数。</w:t>
      </w:r>
    </w:p>
    <w:p w14:paraId="1FD03DEB">
      <w:pPr>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地上部分：</w:t>
      </w:r>
    </w:p>
    <w:p w14:paraId="1E223D37">
      <w:pPr>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估价对象地上用途为商业——其他商服用地，需依据《北京市基准地价土地用途二级分类用地修正系数表》进行用途修正。</w:t>
      </w:r>
    </w:p>
    <w:p w14:paraId="2D122F4B">
      <w:pPr>
        <w:overflowPunct w:val="0"/>
        <w:snapToGrid w:val="0"/>
        <w:spacing w:line="300" w:lineRule="auto"/>
        <w:jc w:val="center"/>
        <w:textAlignment w:val="auto"/>
        <w:rPr>
          <w:rFonts w:ascii="Arial" w:hAnsi="Arial" w:eastAsia="仿宋" w:cs="Arial"/>
          <w:bCs/>
          <w:color w:val="auto"/>
          <w:sz w:val="28"/>
          <w:szCs w:val="28"/>
        </w:rPr>
      </w:pPr>
      <w:r>
        <w:rPr>
          <w:rFonts w:ascii="Arial" w:hAnsi="Arial" w:eastAsia="仿宋" w:cs="Arial"/>
          <w:bCs/>
          <w:color w:val="auto"/>
          <w:sz w:val="28"/>
          <w:szCs w:val="28"/>
        </w:rPr>
        <w:t>北京市基准地价土地用途二级分类用地修正系数表</w:t>
      </w:r>
    </w:p>
    <w:tbl>
      <w:tblPr>
        <w:tblStyle w:val="34"/>
        <w:tblW w:w="92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994"/>
        <w:gridCol w:w="1842"/>
        <w:gridCol w:w="4536"/>
        <w:gridCol w:w="1134"/>
        <w:gridCol w:w="793"/>
      </w:tblGrid>
      <w:tr w14:paraId="3A72A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blHeader/>
          <w:jc w:val="center"/>
        </w:trPr>
        <w:tc>
          <w:tcPr>
            <w:tcW w:w="994" w:type="dxa"/>
            <w:shd w:val="clear" w:color="auto" w:fill="auto"/>
            <w:vAlign w:val="center"/>
          </w:tcPr>
          <w:p w14:paraId="12C0A84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一级类</w:t>
            </w:r>
          </w:p>
        </w:tc>
        <w:tc>
          <w:tcPr>
            <w:tcW w:w="1842" w:type="dxa"/>
            <w:shd w:val="clear" w:color="auto" w:fill="auto"/>
            <w:vAlign w:val="center"/>
          </w:tcPr>
          <w:p w14:paraId="145CB10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二级类</w:t>
            </w:r>
          </w:p>
        </w:tc>
        <w:tc>
          <w:tcPr>
            <w:tcW w:w="4536" w:type="dxa"/>
            <w:shd w:val="clear" w:color="auto" w:fill="auto"/>
            <w:vAlign w:val="center"/>
          </w:tcPr>
          <w:p w14:paraId="51AB176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含义</w:t>
            </w:r>
          </w:p>
        </w:tc>
        <w:tc>
          <w:tcPr>
            <w:tcW w:w="1134" w:type="dxa"/>
            <w:shd w:val="clear" w:color="auto" w:fill="auto"/>
            <w:vAlign w:val="center"/>
          </w:tcPr>
          <w:p w14:paraId="51AA66A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参照基准</w:t>
            </w:r>
          </w:p>
        </w:tc>
        <w:tc>
          <w:tcPr>
            <w:tcW w:w="793" w:type="dxa"/>
            <w:shd w:val="clear" w:color="auto" w:fill="auto"/>
            <w:vAlign w:val="center"/>
          </w:tcPr>
          <w:p w14:paraId="3A74AF4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用途修正系数</w:t>
            </w:r>
          </w:p>
        </w:tc>
      </w:tr>
      <w:tr w14:paraId="6D4A1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restart"/>
            <w:shd w:val="clear" w:color="auto" w:fill="auto"/>
            <w:noWrap/>
            <w:vAlign w:val="center"/>
          </w:tcPr>
          <w:p w14:paraId="3405E6F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商服</w:t>
            </w:r>
          </w:p>
        </w:tc>
        <w:tc>
          <w:tcPr>
            <w:tcW w:w="1842" w:type="dxa"/>
            <w:shd w:val="clear" w:color="auto" w:fill="auto"/>
            <w:noWrap/>
            <w:vAlign w:val="center"/>
          </w:tcPr>
          <w:p w14:paraId="286057A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零售商业用地</w:t>
            </w:r>
          </w:p>
        </w:tc>
        <w:tc>
          <w:tcPr>
            <w:tcW w:w="4536" w:type="dxa"/>
            <w:shd w:val="clear" w:color="auto" w:fill="auto"/>
            <w:noWrap/>
            <w:vAlign w:val="center"/>
          </w:tcPr>
          <w:p w14:paraId="390029F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指以零售功能为主的商铺、商场、超市、市场和加油、加气、充换电站等的用地。</w:t>
            </w:r>
          </w:p>
        </w:tc>
        <w:tc>
          <w:tcPr>
            <w:tcW w:w="1134" w:type="dxa"/>
            <w:vMerge w:val="restart"/>
            <w:shd w:val="clear" w:color="auto" w:fill="auto"/>
            <w:noWrap/>
            <w:vAlign w:val="center"/>
          </w:tcPr>
          <w:p w14:paraId="165F88B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商业类</w:t>
            </w:r>
          </w:p>
        </w:tc>
        <w:tc>
          <w:tcPr>
            <w:tcW w:w="793" w:type="dxa"/>
            <w:shd w:val="clear" w:color="auto" w:fill="auto"/>
            <w:noWrap/>
            <w:vAlign w:val="center"/>
          </w:tcPr>
          <w:p w14:paraId="1BB26CF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w:t>
            </w:r>
          </w:p>
        </w:tc>
      </w:tr>
      <w:tr w14:paraId="74B81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3E70F5D4">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3AB5EBE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批发市场用地</w:t>
            </w:r>
          </w:p>
        </w:tc>
        <w:tc>
          <w:tcPr>
            <w:tcW w:w="4536" w:type="dxa"/>
            <w:shd w:val="clear" w:color="auto" w:fill="auto"/>
            <w:noWrap/>
            <w:vAlign w:val="center"/>
          </w:tcPr>
          <w:p w14:paraId="5090F12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指以批发功能为主的市场用地。</w:t>
            </w:r>
          </w:p>
        </w:tc>
        <w:tc>
          <w:tcPr>
            <w:tcW w:w="1134" w:type="dxa"/>
            <w:vMerge w:val="continue"/>
            <w:shd w:val="clear" w:color="auto" w:fill="auto"/>
            <w:vAlign w:val="center"/>
          </w:tcPr>
          <w:p w14:paraId="6855E492">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0231401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w:t>
            </w:r>
          </w:p>
        </w:tc>
      </w:tr>
      <w:tr w14:paraId="02078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266CE7B9">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64B5803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餐饮用地</w:t>
            </w:r>
          </w:p>
        </w:tc>
        <w:tc>
          <w:tcPr>
            <w:tcW w:w="4536" w:type="dxa"/>
            <w:shd w:val="clear" w:color="auto" w:fill="auto"/>
            <w:noWrap/>
            <w:vAlign w:val="center"/>
          </w:tcPr>
          <w:p w14:paraId="3D5ECE2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指饭店、餐厅、酒吧等用地。</w:t>
            </w:r>
          </w:p>
        </w:tc>
        <w:tc>
          <w:tcPr>
            <w:tcW w:w="1134" w:type="dxa"/>
            <w:vMerge w:val="continue"/>
            <w:shd w:val="clear" w:color="auto" w:fill="auto"/>
            <w:vAlign w:val="center"/>
          </w:tcPr>
          <w:p w14:paraId="7496826D">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6259817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0.9</w:t>
            </w:r>
          </w:p>
        </w:tc>
      </w:tr>
      <w:tr w14:paraId="706E9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220C9170">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1AF3EC0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旅馆用地</w:t>
            </w:r>
          </w:p>
        </w:tc>
        <w:tc>
          <w:tcPr>
            <w:tcW w:w="4536" w:type="dxa"/>
            <w:shd w:val="clear" w:color="auto" w:fill="auto"/>
            <w:noWrap/>
            <w:vAlign w:val="center"/>
          </w:tcPr>
          <w:p w14:paraId="120754E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指宾馆、旅馆、招待所、服务型公寓、度假村等用地。</w:t>
            </w:r>
          </w:p>
        </w:tc>
        <w:tc>
          <w:tcPr>
            <w:tcW w:w="1134" w:type="dxa"/>
            <w:vMerge w:val="continue"/>
            <w:shd w:val="clear" w:color="auto" w:fill="auto"/>
            <w:vAlign w:val="center"/>
          </w:tcPr>
          <w:p w14:paraId="297AAB41">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1E190AD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0.9</w:t>
            </w:r>
          </w:p>
        </w:tc>
      </w:tr>
      <w:tr w14:paraId="588D3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2AF5ACF1">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30E1A16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娱乐用地</w:t>
            </w:r>
          </w:p>
        </w:tc>
        <w:tc>
          <w:tcPr>
            <w:tcW w:w="4536" w:type="dxa"/>
            <w:shd w:val="clear" w:color="auto" w:fill="auto"/>
            <w:noWrap/>
            <w:vAlign w:val="center"/>
          </w:tcPr>
          <w:p w14:paraId="17BBECD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指剧院、音乐厅、电影院、歌舞厅、网吧、影视城、仿古城以及绿地率小于65% 的大型游乐等设施用地。</w:t>
            </w:r>
          </w:p>
        </w:tc>
        <w:tc>
          <w:tcPr>
            <w:tcW w:w="1134" w:type="dxa"/>
            <w:vMerge w:val="continue"/>
            <w:shd w:val="clear" w:color="auto" w:fill="auto"/>
            <w:vAlign w:val="center"/>
          </w:tcPr>
          <w:p w14:paraId="54E71FD0">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4D4EDA2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0.8</w:t>
            </w:r>
          </w:p>
        </w:tc>
      </w:tr>
      <w:tr w14:paraId="69428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64EBF6B0">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1DDDBBC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其他商服用地</w:t>
            </w:r>
          </w:p>
        </w:tc>
        <w:tc>
          <w:tcPr>
            <w:tcW w:w="4536" w:type="dxa"/>
            <w:shd w:val="clear" w:color="auto" w:fill="auto"/>
            <w:noWrap/>
            <w:vAlign w:val="center"/>
          </w:tcPr>
          <w:p w14:paraId="772E73E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指上述用地以外的其他商业、服务业用地。</w:t>
            </w:r>
          </w:p>
        </w:tc>
        <w:tc>
          <w:tcPr>
            <w:tcW w:w="1134" w:type="dxa"/>
            <w:vMerge w:val="continue"/>
            <w:shd w:val="clear" w:color="auto" w:fill="auto"/>
            <w:vAlign w:val="center"/>
          </w:tcPr>
          <w:p w14:paraId="79C2D524">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6DF108B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0.8</w:t>
            </w:r>
          </w:p>
        </w:tc>
      </w:tr>
      <w:tr w14:paraId="48E4F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noWrap/>
            <w:vAlign w:val="center"/>
          </w:tcPr>
          <w:p w14:paraId="4CBA1895">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507DE05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商务金融用地</w:t>
            </w:r>
          </w:p>
        </w:tc>
        <w:tc>
          <w:tcPr>
            <w:tcW w:w="4536" w:type="dxa"/>
            <w:shd w:val="clear" w:color="auto" w:fill="auto"/>
            <w:noWrap/>
            <w:vAlign w:val="center"/>
          </w:tcPr>
          <w:p w14:paraId="656CFF2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指商务服务用地,以及经营性的办公场所用地,包括写字楼、商业性办公场所、金融活动场所和企业厂区外独立的办公场所</w:t>
            </w:r>
            <w:r>
              <w:rPr>
                <w:rFonts w:hint="eastAsia" w:ascii="Arial" w:hAnsi="Arial" w:eastAsia="仿宋" w:cs="Arial"/>
                <w:color w:val="auto"/>
                <w:sz w:val="21"/>
                <w:szCs w:val="21"/>
              </w:rPr>
              <w:t>；</w:t>
            </w:r>
            <w:r>
              <w:rPr>
                <w:rFonts w:ascii="Arial" w:hAnsi="Arial" w:eastAsia="仿宋" w:cs="Arial"/>
                <w:color w:val="auto"/>
                <w:sz w:val="21"/>
                <w:szCs w:val="21"/>
              </w:rPr>
              <w:t>信息网络服务、信息技术服务、电子商务服务、广告传媒等用地。</w:t>
            </w:r>
          </w:p>
        </w:tc>
        <w:tc>
          <w:tcPr>
            <w:tcW w:w="1134" w:type="dxa"/>
            <w:shd w:val="clear" w:color="auto" w:fill="auto"/>
            <w:noWrap/>
            <w:vAlign w:val="center"/>
          </w:tcPr>
          <w:p w14:paraId="6B8B66C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办公类</w:t>
            </w:r>
          </w:p>
        </w:tc>
        <w:tc>
          <w:tcPr>
            <w:tcW w:w="793" w:type="dxa"/>
            <w:shd w:val="clear" w:color="auto" w:fill="auto"/>
            <w:noWrap/>
            <w:vAlign w:val="center"/>
          </w:tcPr>
          <w:p w14:paraId="1B454AC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w:t>
            </w:r>
          </w:p>
        </w:tc>
      </w:tr>
    </w:tbl>
    <w:p w14:paraId="7BAED832">
      <w:pPr>
        <w:adjustRightInd/>
        <w:snapToGrid w:val="0"/>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依据上表，估价对象商业用途修正系数为0.8。</w:t>
      </w:r>
    </w:p>
    <w:p w14:paraId="0D4B251A">
      <w:pPr>
        <w:adjustRightInd/>
        <w:spacing w:line="360" w:lineRule="auto"/>
        <w:ind w:firstLine="560" w:firstLineChars="200"/>
        <w:rPr>
          <w:rFonts w:ascii="Arial" w:hAnsi="Arial" w:eastAsia="仿宋" w:cs="Arial"/>
          <w:color w:val="auto"/>
          <w:sz w:val="28"/>
          <w:szCs w:val="28"/>
        </w:rPr>
      </w:pPr>
      <w:r>
        <w:rPr>
          <w:rFonts w:ascii="Arial" w:hAnsi="Arial" w:eastAsia="仿宋" w:cs="Arial"/>
          <w:color w:val="auto"/>
          <w:sz w:val="28"/>
          <w:szCs w:val="28"/>
        </w:rPr>
        <w:t>C.期日修正系数的确定</w:t>
      </w:r>
    </w:p>
    <w:p w14:paraId="07889FFD">
      <w:pPr>
        <w:spacing w:line="36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《北京市出让国有建设用地使用权基准地价更新成果（二〇二一年）》规定，基准地价期日修正系数必须以北京市地价动态监测成果公布的地价增值率为准。</w:t>
      </w:r>
    </w:p>
    <w:p w14:paraId="663787FF">
      <w:pPr>
        <w:spacing w:line="360" w:lineRule="auto"/>
        <w:ind w:firstLine="560" w:firstLineChars="200"/>
        <w:rPr>
          <w:rFonts w:ascii="Arial" w:hAnsi="Arial" w:eastAsia="仿宋" w:cs="Arial"/>
          <w:color w:val="auto"/>
          <w:sz w:val="28"/>
          <w:szCs w:val="28"/>
        </w:rPr>
      </w:pPr>
      <w:r>
        <w:rPr>
          <w:rFonts w:ascii="Arial" w:hAnsi="Arial" w:eastAsia="仿宋" w:cs="Arial"/>
          <w:color w:val="auto"/>
          <w:sz w:val="28"/>
          <w:szCs w:val="28"/>
        </w:rPr>
        <w:t>北京市基准地价更新成果的基准日为2021年1月1日，本次评估的估价期日为</w:t>
      </w:r>
      <w:r>
        <w:rPr>
          <w:rFonts w:hint="eastAsia" w:ascii="Arial" w:hAnsi="Arial" w:eastAsia="仿宋" w:cs="Arial"/>
          <w:color w:val="auto"/>
          <w:sz w:val="28"/>
          <w:szCs w:val="28"/>
        </w:rPr>
        <w:t>2026年3月26日</w:t>
      </w:r>
      <w:r>
        <w:rPr>
          <w:rFonts w:ascii="Arial" w:hAnsi="Arial" w:eastAsia="仿宋" w:cs="Arial"/>
          <w:color w:val="auto"/>
          <w:sz w:val="28"/>
          <w:szCs w:val="28"/>
        </w:rPr>
        <w:t>，熟地价期日修正以北京市地价动态监测成果公布的地价增长率为准：</w:t>
      </w:r>
    </w:p>
    <w:p w14:paraId="571F156B">
      <w:pPr>
        <w:jc w:val="center"/>
        <w:rPr>
          <w:rFonts w:ascii="Arial" w:hAnsi="Arial" w:eastAsia="仿宋" w:cs="Arial"/>
          <w:bCs/>
          <w:color w:val="auto"/>
          <w:sz w:val="28"/>
          <w:szCs w:val="28"/>
        </w:rPr>
      </w:pPr>
      <w:r>
        <w:rPr>
          <w:rFonts w:ascii="Arial" w:hAnsi="Arial" w:eastAsia="仿宋" w:cs="Arial"/>
          <w:bCs/>
          <w:color w:val="auto"/>
          <w:sz w:val="28"/>
          <w:szCs w:val="28"/>
        </w:rPr>
        <w:t>北京市地价增长率（商业类）</w:t>
      </w:r>
    </w:p>
    <w:p w14:paraId="07F1D5D1">
      <w:pPr>
        <w:adjustRightInd/>
        <w:spacing w:line="240" w:lineRule="auto"/>
        <w:jc w:val="right"/>
        <w:rPr>
          <w:rFonts w:ascii="Arial" w:hAnsi="Arial" w:eastAsia="华文细黑" w:cs="宋体"/>
          <w:color w:val="auto"/>
          <w:sz w:val="18"/>
          <w:szCs w:val="24"/>
        </w:rPr>
      </w:pPr>
      <w:r>
        <w:rPr>
          <w:rFonts w:hint="eastAsia" w:ascii="Arial" w:hAnsi="Arial" w:eastAsia="华文细黑" w:cs="宋体"/>
          <w:color w:val="auto"/>
          <w:sz w:val="18"/>
          <w:szCs w:val="24"/>
        </w:rPr>
        <w:t>单位%</w:t>
      </w:r>
    </w:p>
    <w:tbl>
      <w:tblPr>
        <w:tblStyle w:val="34"/>
        <w:tblW w:w="9299"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57" w:type="dxa"/>
          <w:bottom w:w="57" w:type="dxa"/>
          <w:right w:w="57" w:type="dxa"/>
        </w:tblCellMar>
      </w:tblPr>
      <w:tblGrid>
        <w:gridCol w:w="1859"/>
        <w:gridCol w:w="1860"/>
        <w:gridCol w:w="1860"/>
        <w:gridCol w:w="1860"/>
        <w:gridCol w:w="1860"/>
      </w:tblGrid>
      <w:tr w14:paraId="7BE64AD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tblHeader/>
          <w:jc w:val="center"/>
        </w:trPr>
        <w:tc>
          <w:tcPr>
            <w:tcW w:w="1859" w:type="dxa"/>
            <w:tcBorders>
              <w:tl2br w:val="single" w:color="auto" w:sz="4" w:space="0"/>
            </w:tcBorders>
            <w:shd w:val="clear" w:color="auto" w:fill="auto"/>
            <w:vAlign w:val="center"/>
          </w:tcPr>
          <w:p w14:paraId="7673D7A8">
            <w:pPr>
              <w:tabs>
                <w:tab w:val="left" w:pos="2160"/>
              </w:tabs>
              <w:spacing w:line="240" w:lineRule="exact"/>
              <w:ind w:firstLine="945" w:firstLineChars="450"/>
              <w:jc w:val="right"/>
              <w:rPr>
                <w:rFonts w:ascii="Arial" w:hAnsi="Arial" w:eastAsia="仿宋" w:cs="Arial"/>
                <w:color w:val="auto"/>
                <w:sz w:val="21"/>
                <w:szCs w:val="21"/>
              </w:rPr>
            </w:pPr>
            <w:r>
              <w:rPr>
                <w:rFonts w:ascii="Arial" w:hAnsi="Arial" w:eastAsia="仿宋" w:cs="Arial"/>
                <w:color w:val="auto"/>
                <w:sz w:val="21"/>
                <w:szCs w:val="21"/>
              </w:rPr>
              <w:t>季度</w:t>
            </w:r>
          </w:p>
          <w:p w14:paraId="7477FE9F">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年度</w:t>
            </w:r>
          </w:p>
        </w:tc>
        <w:tc>
          <w:tcPr>
            <w:tcW w:w="1860" w:type="dxa"/>
            <w:shd w:val="clear" w:color="auto" w:fill="auto"/>
            <w:vAlign w:val="center"/>
          </w:tcPr>
          <w:p w14:paraId="12FDA130">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1季度</w:t>
            </w:r>
          </w:p>
        </w:tc>
        <w:tc>
          <w:tcPr>
            <w:tcW w:w="1860" w:type="dxa"/>
            <w:shd w:val="clear" w:color="auto" w:fill="auto"/>
            <w:vAlign w:val="center"/>
          </w:tcPr>
          <w:p w14:paraId="470901DA">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2季度</w:t>
            </w:r>
          </w:p>
        </w:tc>
        <w:tc>
          <w:tcPr>
            <w:tcW w:w="1860" w:type="dxa"/>
            <w:shd w:val="clear" w:color="auto" w:fill="auto"/>
            <w:vAlign w:val="center"/>
          </w:tcPr>
          <w:p w14:paraId="1D247BA0">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3季度</w:t>
            </w:r>
          </w:p>
        </w:tc>
        <w:tc>
          <w:tcPr>
            <w:tcW w:w="1860" w:type="dxa"/>
            <w:shd w:val="clear" w:color="auto" w:fill="auto"/>
            <w:vAlign w:val="center"/>
          </w:tcPr>
          <w:p w14:paraId="53E9D6E7">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4季度</w:t>
            </w:r>
          </w:p>
        </w:tc>
      </w:tr>
      <w:tr w14:paraId="2C04E3E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53569247">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2021</w:t>
            </w:r>
          </w:p>
        </w:tc>
        <w:tc>
          <w:tcPr>
            <w:tcW w:w="1860" w:type="dxa"/>
            <w:shd w:val="clear" w:color="auto" w:fill="auto"/>
            <w:vAlign w:val="center"/>
          </w:tcPr>
          <w:p w14:paraId="13FA6479">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0.35</w:t>
            </w:r>
          </w:p>
        </w:tc>
        <w:tc>
          <w:tcPr>
            <w:tcW w:w="1860" w:type="dxa"/>
            <w:shd w:val="clear" w:color="auto" w:fill="auto"/>
            <w:vAlign w:val="center"/>
          </w:tcPr>
          <w:p w14:paraId="4BDD1365">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0.55</w:t>
            </w:r>
          </w:p>
        </w:tc>
        <w:tc>
          <w:tcPr>
            <w:tcW w:w="1860" w:type="dxa"/>
            <w:shd w:val="clear" w:color="auto" w:fill="auto"/>
            <w:vAlign w:val="center"/>
          </w:tcPr>
          <w:p w14:paraId="0DD424D7">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0.47</w:t>
            </w:r>
          </w:p>
        </w:tc>
        <w:tc>
          <w:tcPr>
            <w:tcW w:w="1860" w:type="dxa"/>
            <w:shd w:val="clear" w:color="auto" w:fill="auto"/>
            <w:vAlign w:val="center"/>
          </w:tcPr>
          <w:p w14:paraId="4B9E3A60">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0.58</w:t>
            </w:r>
          </w:p>
        </w:tc>
      </w:tr>
      <w:tr w14:paraId="2F311CF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03685401">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2022</w:t>
            </w:r>
          </w:p>
        </w:tc>
        <w:tc>
          <w:tcPr>
            <w:tcW w:w="1860" w:type="dxa"/>
            <w:shd w:val="clear" w:color="auto" w:fill="auto"/>
            <w:vAlign w:val="center"/>
          </w:tcPr>
          <w:p w14:paraId="6ACBCE58">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0.60</w:t>
            </w:r>
          </w:p>
        </w:tc>
        <w:tc>
          <w:tcPr>
            <w:tcW w:w="1860" w:type="dxa"/>
            <w:shd w:val="clear" w:color="auto" w:fill="auto"/>
            <w:vAlign w:val="center"/>
          </w:tcPr>
          <w:p w14:paraId="50D59973">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r>
              <w:rPr>
                <w:rFonts w:ascii="Arial" w:hAnsi="Arial" w:eastAsia="仿宋" w:cs="Arial"/>
                <w:color w:val="auto"/>
                <w:sz w:val="21"/>
                <w:szCs w:val="21"/>
              </w:rPr>
              <w:t>0.11</w:t>
            </w:r>
          </w:p>
        </w:tc>
        <w:tc>
          <w:tcPr>
            <w:tcW w:w="1860" w:type="dxa"/>
            <w:shd w:val="clear" w:color="auto" w:fill="auto"/>
            <w:vAlign w:val="center"/>
          </w:tcPr>
          <w:p w14:paraId="3DC31FC9">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0.30</w:t>
            </w:r>
          </w:p>
        </w:tc>
        <w:tc>
          <w:tcPr>
            <w:tcW w:w="1860" w:type="dxa"/>
            <w:shd w:val="clear" w:color="auto" w:fill="auto"/>
            <w:vAlign w:val="center"/>
          </w:tcPr>
          <w:p w14:paraId="6B7958BE">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0.45</w:t>
            </w:r>
          </w:p>
        </w:tc>
      </w:tr>
      <w:tr w14:paraId="6B88FC8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7B4660D5">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2023</w:t>
            </w:r>
          </w:p>
        </w:tc>
        <w:tc>
          <w:tcPr>
            <w:tcW w:w="1860" w:type="dxa"/>
            <w:shd w:val="clear" w:color="auto" w:fill="auto"/>
            <w:vAlign w:val="center"/>
          </w:tcPr>
          <w:p w14:paraId="19D7D582">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0.55</w:t>
            </w:r>
          </w:p>
        </w:tc>
        <w:tc>
          <w:tcPr>
            <w:tcW w:w="1860" w:type="dxa"/>
            <w:shd w:val="clear" w:color="auto" w:fill="auto"/>
            <w:vAlign w:val="center"/>
          </w:tcPr>
          <w:p w14:paraId="2C6E2786">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0.50</w:t>
            </w:r>
          </w:p>
        </w:tc>
        <w:tc>
          <w:tcPr>
            <w:tcW w:w="1860" w:type="dxa"/>
            <w:shd w:val="clear" w:color="auto" w:fill="auto"/>
            <w:vAlign w:val="center"/>
          </w:tcPr>
          <w:p w14:paraId="53048D34">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0.35</w:t>
            </w:r>
          </w:p>
        </w:tc>
        <w:tc>
          <w:tcPr>
            <w:tcW w:w="1860" w:type="dxa"/>
            <w:shd w:val="clear" w:color="auto" w:fill="auto"/>
            <w:vAlign w:val="center"/>
          </w:tcPr>
          <w:p w14:paraId="2C686E95">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0.07</w:t>
            </w:r>
          </w:p>
        </w:tc>
      </w:tr>
      <w:tr w14:paraId="4C33368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1FAD07F2">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2024</w:t>
            </w:r>
          </w:p>
        </w:tc>
        <w:tc>
          <w:tcPr>
            <w:tcW w:w="1860" w:type="dxa"/>
            <w:shd w:val="clear" w:color="auto" w:fill="auto"/>
            <w:vAlign w:val="center"/>
          </w:tcPr>
          <w:p w14:paraId="6F995E9F">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0.25</w:t>
            </w:r>
          </w:p>
        </w:tc>
        <w:tc>
          <w:tcPr>
            <w:tcW w:w="1860" w:type="dxa"/>
            <w:shd w:val="clear" w:color="auto" w:fill="auto"/>
            <w:vAlign w:val="center"/>
          </w:tcPr>
          <w:p w14:paraId="49A7D662">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－0.31</w:t>
            </w:r>
          </w:p>
        </w:tc>
        <w:tc>
          <w:tcPr>
            <w:tcW w:w="1860" w:type="dxa"/>
            <w:shd w:val="clear" w:color="auto" w:fill="auto"/>
            <w:vAlign w:val="center"/>
          </w:tcPr>
          <w:p w14:paraId="13B26351">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－0.66</w:t>
            </w:r>
          </w:p>
        </w:tc>
        <w:tc>
          <w:tcPr>
            <w:tcW w:w="1860" w:type="dxa"/>
            <w:shd w:val="clear" w:color="auto" w:fill="auto"/>
            <w:vAlign w:val="center"/>
          </w:tcPr>
          <w:p w14:paraId="70ABC626">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－0.61</w:t>
            </w:r>
          </w:p>
        </w:tc>
      </w:tr>
      <w:tr w14:paraId="41CF530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0968C2CC">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2025</w:t>
            </w:r>
          </w:p>
        </w:tc>
        <w:tc>
          <w:tcPr>
            <w:tcW w:w="1860" w:type="dxa"/>
            <w:shd w:val="clear" w:color="auto" w:fill="auto"/>
            <w:vAlign w:val="center"/>
          </w:tcPr>
          <w:p w14:paraId="6A069C03">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－1.47</w:t>
            </w:r>
          </w:p>
        </w:tc>
        <w:tc>
          <w:tcPr>
            <w:tcW w:w="1860" w:type="dxa"/>
            <w:shd w:val="clear" w:color="auto" w:fill="auto"/>
            <w:vAlign w:val="center"/>
          </w:tcPr>
          <w:p w14:paraId="5FB8A24D">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－0.31</w:t>
            </w:r>
          </w:p>
        </w:tc>
        <w:tc>
          <w:tcPr>
            <w:tcW w:w="1860" w:type="dxa"/>
            <w:shd w:val="clear" w:color="auto" w:fill="auto"/>
            <w:vAlign w:val="center"/>
          </w:tcPr>
          <w:p w14:paraId="270F3A7E">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－0.80</w:t>
            </w:r>
          </w:p>
        </w:tc>
        <w:tc>
          <w:tcPr>
            <w:tcW w:w="1860" w:type="dxa"/>
            <w:shd w:val="clear" w:color="auto" w:fill="auto"/>
            <w:vAlign w:val="center"/>
          </w:tcPr>
          <w:p w14:paraId="006488CE">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－2.05</w:t>
            </w:r>
          </w:p>
        </w:tc>
      </w:tr>
      <w:tr w14:paraId="562F03A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09176840">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2026</w:t>
            </w:r>
          </w:p>
        </w:tc>
        <w:tc>
          <w:tcPr>
            <w:tcW w:w="1860" w:type="dxa"/>
            <w:shd w:val="clear" w:color="auto" w:fill="auto"/>
            <w:vAlign w:val="center"/>
          </w:tcPr>
          <w:p w14:paraId="5E1E420E">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－1.53</w:t>
            </w:r>
          </w:p>
        </w:tc>
        <w:tc>
          <w:tcPr>
            <w:tcW w:w="1860" w:type="dxa"/>
            <w:shd w:val="clear" w:color="auto" w:fill="auto"/>
            <w:vAlign w:val="center"/>
          </w:tcPr>
          <w:p w14:paraId="5C40F66B">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p>
        </w:tc>
        <w:tc>
          <w:tcPr>
            <w:tcW w:w="1860" w:type="dxa"/>
            <w:shd w:val="clear" w:color="auto" w:fill="auto"/>
            <w:vAlign w:val="center"/>
          </w:tcPr>
          <w:p w14:paraId="1AF282E1">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p>
        </w:tc>
        <w:tc>
          <w:tcPr>
            <w:tcW w:w="1860" w:type="dxa"/>
            <w:shd w:val="clear" w:color="auto" w:fill="auto"/>
            <w:vAlign w:val="center"/>
          </w:tcPr>
          <w:p w14:paraId="17D991B8">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p>
        </w:tc>
      </w:tr>
    </w:tbl>
    <w:p w14:paraId="421A69D9">
      <w:pPr>
        <w:adjustRightInd/>
        <w:snapToGrid w:val="0"/>
        <w:spacing w:before="120" w:beforeLines="50"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采用2021年1季度至2026年1季度商业（规划新城）地价增长率的数据，本项目估价期日为 2026年3月26日，属于2026年1季度，计算过程如下：</w:t>
      </w:r>
    </w:p>
    <w:p w14:paraId="44A7ECE6">
      <w:pPr>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期日修正系数</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0.35%）</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0.55%）</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0.47%）</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0.58%）</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0.60%）</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0.11%）</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0.30%）</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0.45%）</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0.55%）</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0.5</w:t>
      </w:r>
      <w:r>
        <w:rPr>
          <w:rFonts w:hint="eastAsia" w:ascii="Arial" w:hAnsi="Arial" w:eastAsia="仿宋" w:cs="Arial"/>
          <w:color w:val="auto"/>
          <w:sz w:val="28"/>
          <w:szCs w:val="28"/>
        </w:rPr>
        <w:t>0</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35</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07</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25</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31</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－0.66</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－0.61</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－1.47</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－0.31</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－0.80</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－2.05</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－1.53</w:t>
      </w:r>
      <w:r>
        <w:rPr>
          <w:rFonts w:ascii="Arial" w:hAnsi="Arial" w:eastAsia="仿宋" w:cs="Arial"/>
          <w:color w:val="auto"/>
          <w:sz w:val="28"/>
          <w:szCs w:val="28"/>
        </w:rPr>
        <w:t>%</w:t>
      </w:r>
      <w:r>
        <w:rPr>
          <w:rFonts w:hint="eastAsia" w:ascii="Arial" w:hAnsi="Arial" w:eastAsia="仿宋" w:cs="Arial"/>
          <w:color w:val="auto"/>
          <w:sz w:val="28"/>
          <w:szCs w:val="28"/>
        </w:rPr>
        <w:t>÷90×85</w:t>
      </w:r>
      <w:r>
        <w:rPr>
          <w:rFonts w:ascii="Arial" w:hAnsi="Arial" w:eastAsia="仿宋" w:cs="Arial"/>
          <w:color w:val="auto"/>
          <w:sz w:val="28"/>
          <w:szCs w:val="28"/>
        </w:rPr>
        <w:t>）</w:t>
      </w:r>
      <w:r>
        <w:rPr>
          <w:rFonts w:hint="eastAsia" w:ascii="Arial" w:hAnsi="Arial" w:eastAsia="仿宋" w:cs="Arial"/>
          <w:color w:val="auto"/>
          <w:sz w:val="28"/>
          <w:szCs w:val="28"/>
        </w:rPr>
        <w:t>＝0.9723</w:t>
      </w:r>
    </w:p>
    <w:p w14:paraId="11B83711">
      <w:pPr>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D.年期修正系数的确定</w:t>
      </w:r>
    </w:p>
    <w:p w14:paraId="6EC6D192">
      <w:pPr>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年期修正系数</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（1＋r）</w:t>
      </w:r>
      <w:r>
        <w:rPr>
          <w:rFonts w:ascii="Arial" w:hAnsi="Arial" w:eastAsia="仿宋" w:cs="Arial"/>
          <w:color w:val="auto"/>
          <w:sz w:val="28"/>
          <w:szCs w:val="28"/>
          <w:vertAlign w:val="superscript"/>
        </w:rPr>
        <w:t>n</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（1＋r）</w:t>
      </w:r>
      <w:r>
        <w:rPr>
          <w:rFonts w:ascii="Arial" w:hAnsi="Arial" w:eastAsia="仿宋" w:cs="Arial"/>
          <w:color w:val="auto"/>
          <w:sz w:val="28"/>
          <w:szCs w:val="28"/>
          <w:vertAlign w:val="superscript"/>
        </w:rPr>
        <w:t>N</w:t>
      </w:r>
      <w:r>
        <w:rPr>
          <w:rFonts w:ascii="Arial" w:hAnsi="Arial" w:eastAsia="仿宋" w:cs="Arial"/>
          <w:color w:val="auto"/>
          <w:sz w:val="28"/>
          <w:szCs w:val="28"/>
        </w:rPr>
        <w:t>）</w:t>
      </w:r>
    </w:p>
    <w:p w14:paraId="494377FB">
      <w:pPr>
        <w:autoSpaceDE w:val="0"/>
        <w:autoSpaceDN w:val="0"/>
        <w:snapToGrid w:val="0"/>
        <w:spacing w:line="300" w:lineRule="auto"/>
        <w:ind w:firstLine="560" w:firstLineChars="200"/>
        <w:textAlignment w:val="auto"/>
        <w:rPr>
          <w:rFonts w:ascii="Arial" w:hAnsi="Arial" w:eastAsia="仿宋" w:cs="Arial"/>
          <w:color w:val="auto"/>
          <w:sz w:val="28"/>
          <w:szCs w:val="28"/>
        </w:rPr>
      </w:pPr>
      <w:r>
        <w:rPr>
          <w:rFonts w:ascii="Arial" w:hAnsi="Arial" w:eastAsia="仿宋" w:cs="Arial"/>
          <w:color w:val="auto"/>
          <w:sz w:val="28"/>
          <w:szCs w:val="28"/>
        </w:rPr>
        <w:t>其中：r—土地还原率</w:t>
      </w:r>
    </w:p>
    <w:p w14:paraId="26D64269">
      <w:pPr>
        <w:autoSpaceDE w:val="0"/>
        <w:autoSpaceDN w:val="0"/>
        <w:snapToGrid w:val="0"/>
        <w:spacing w:line="300" w:lineRule="auto"/>
        <w:ind w:firstLine="1400" w:firstLineChars="500"/>
        <w:textAlignment w:val="auto"/>
        <w:rPr>
          <w:rFonts w:ascii="Arial" w:hAnsi="Arial" w:eastAsia="仿宋" w:cs="Arial"/>
          <w:color w:val="auto"/>
          <w:sz w:val="28"/>
          <w:szCs w:val="28"/>
        </w:rPr>
      </w:pPr>
      <w:r>
        <w:rPr>
          <w:rFonts w:ascii="Arial" w:hAnsi="Arial" w:eastAsia="仿宋" w:cs="Arial"/>
          <w:color w:val="auto"/>
          <w:sz w:val="28"/>
          <w:szCs w:val="28"/>
        </w:rPr>
        <w:t>n—宗地剩余土地使用年限</w:t>
      </w:r>
    </w:p>
    <w:p w14:paraId="24A8EE94">
      <w:pPr>
        <w:snapToGrid w:val="0"/>
        <w:spacing w:line="300" w:lineRule="auto"/>
        <w:ind w:firstLine="1400" w:firstLineChars="500"/>
        <w:rPr>
          <w:rFonts w:ascii="Arial" w:hAnsi="Arial" w:eastAsia="仿宋" w:cs="Arial"/>
          <w:color w:val="auto"/>
          <w:sz w:val="28"/>
          <w:szCs w:val="28"/>
        </w:rPr>
      </w:pPr>
      <w:r>
        <w:rPr>
          <w:rFonts w:ascii="Arial" w:hAnsi="Arial" w:eastAsia="仿宋" w:cs="Arial"/>
          <w:color w:val="auto"/>
          <w:sz w:val="28"/>
          <w:szCs w:val="28"/>
        </w:rPr>
        <w:t>N—基准地价规定的相应用途土地使用年限</w:t>
      </w:r>
    </w:p>
    <w:p w14:paraId="5EE53B6D">
      <w:pPr>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商业、办公、居住、工业、公共服务用途的土地还原率原则上按同期中国人民银行公布的一年期贷款利率分别上浮25％、20％、15％、10％、15％确定，且须分别不低于5.5％、5.5％、5％、5％、5％，不高于6.5％、6.5％、6％、6％、6％。估价对象用途为商业，按照上述利率计算得出的土地还原率低于所要求的的最低值。故土地还原率取</w:t>
      </w:r>
      <w:r>
        <w:rPr>
          <w:rFonts w:hint="eastAsia" w:ascii="Arial" w:hAnsi="Arial" w:eastAsia="仿宋" w:cs="Arial"/>
          <w:color w:val="auto"/>
          <w:sz w:val="28"/>
          <w:szCs w:val="28"/>
        </w:rPr>
        <w:t>商业</w:t>
      </w:r>
      <w:r>
        <w:rPr>
          <w:rFonts w:ascii="Arial" w:hAnsi="Arial" w:eastAsia="仿宋" w:cs="Arial"/>
          <w:color w:val="auto"/>
          <w:sz w:val="28"/>
          <w:szCs w:val="28"/>
        </w:rPr>
        <w:t>用途最低值5.5%。</w:t>
      </w:r>
    </w:p>
    <w:p w14:paraId="5B9B0078">
      <w:pPr>
        <w:adjustRightInd/>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估价对象剩余土地使用年限为40年，商业用途法定用途最高出让年限为40年，故不做修正。</w:t>
      </w:r>
    </w:p>
    <w:p w14:paraId="6B51E5D8">
      <w:pPr>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E.容积率修正系数的确定</w:t>
      </w:r>
    </w:p>
    <w:p w14:paraId="3199E86C">
      <w:pPr>
        <w:adjustRightInd/>
        <w:snapToGrid w:val="0"/>
        <w:spacing w:line="300" w:lineRule="auto"/>
        <w:ind w:firstLine="560" w:firstLineChars="200"/>
        <w:rPr>
          <w:rFonts w:ascii="Arial" w:hAnsi="Arial" w:eastAsia="仿宋" w:cs="Arial"/>
          <w:bCs/>
          <w:color w:val="auto"/>
          <w:sz w:val="28"/>
          <w:szCs w:val="28"/>
        </w:rPr>
      </w:pPr>
      <w:r>
        <w:rPr>
          <w:rFonts w:ascii="Arial" w:hAnsi="Arial" w:eastAsia="仿宋" w:cs="Arial"/>
          <w:color w:val="auto"/>
          <w:sz w:val="28"/>
          <w:szCs w:val="28"/>
        </w:rPr>
        <w:t>依据《北京市基准地价容积率修正系数表（商业类）》（详见下表）。</w:t>
      </w:r>
    </w:p>
    <w:p w14:paraId="3970A88D">
      <w:pPr>
        <w:adjustRightInd/>
        <w:snapToGrid w:val="0"/>
        <w:spacing w:line="300" w:lineRule="auto"/>
        <w:ind w:firstLine="560" w:firstLineChars="200"/>
        <w:jc w:val="center"/>
        <w:rPr>
          <w:rFonts w:ascii="Arial" w:hAnsi="Arial" w:eastAsia="仿宋" w:cs="Arial"/>
          <w:color w:val="auto"/>
          <w:sz w:val="28"/>
          <w:szCs w:val="28"/>
        </w:rPr>
      </w:pPr>
      <w:r>
        <w:rPr>
          <w:rFonts w:ascii="Arial" w:hAnsi="Arial" w:eastAsia="仿宋" w:cs="Arial"/>
          <w:bCs/>
          <w:color w:val="auto"/>
          <w:sz w:val="28"/>
          <w:szCs w:val="28"/>
        </w:rPr>
        <w:t>北京市基准地价容积率修正系数表（商业）</w:t>
      </w:r>
    </w:p>
    <w:tbl>
      <w:tblPr>
        <w:tblStyle w:val="34"/>
        <w:tblW w:w="9299"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28" w:type="dxa"/>
          <w:left w:w="28" w:type="dxa"/>
          <w:bottom w:w="28" w:type="dxa"/>
          <w:right w:w="28" w:type="dxa"/>
        </w:tblCellMar>
      </w:tblPr>
      <w:tblGrid>
        <w:gridCol w:w="1179"/>
        <w:gridCol w:w="1098"/>
        <w:gridCol w:w="1253"/>
        <w:gridCol w:w="1253"/>
        <w:gridCol w:w="1179"/>
        <w:gridCol w:w="979"/>
        <w:gridCol w:w="1179"/>
        <w:gridCol w:w="1179"/>
      </w:tblGrid>
      <w:tr w14:paraId="229F214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tblHeader/>
          <w:jc w:val="center"/>
        </w:trPr>
        <w:tc>
          <w:tcPr>
            <w:tcW w:w="1179" w:type="dxa"/>
            <w:shd w:val="clear" w:color="auto" w:fill="auto"/>
            <w:noWrap/>
            <w:vAlign w:val="center"/>
          </w:tcPr>
          <w:p w14:paraId="75729AB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容积率</w:t>
            </w:r>
          </w:p>
        </w:tc>
        <w:tc>
          <w:tcPr>
            <w:tcW w:w="1098" w:type="dxa"/>
            <w:shd w:val="clear" w:color="auto" w:fill="auto"/>
            <w:noWrap/>
            <w:vAlign w:val="center"/>
          </w:tcPr>
          <w:p w14:paraId="26394C1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r>
              <w:rPr>
                <w:rFonts w:hint="eastAsia" w:ascii="Arial" w:hAnsi="Arial" w:eastAsia="仿宋" w:cs="Arial"/>
                <w:color w:val="auto"/>
                <w:sz w:val="20"/>
              </w:rPr>
              <w:t>－</w:t>
            </w:r>
            <w:r>
              <w:rPr>
                <w:rFonts w:ascii="Arial" w:hAnsi="Arial" w:eastAsia="仿宋" w:cs="Arial"/>
                <w:color w:val="auto"/>
                <w:sz w:val="20"/>
              </w:rPr>
              <w:t>2级</w:t>
            </w:r>
          </w:p>
        </w:tc>
        <w:tc>
          <w:tcPr>
            <w:tcW w:w="1253" w:type="dxa"/>
            <w:shd w:val="clear" w:color="auto" w:fill="auto"/>
            <w:vAlign w:val="center"/>
          </w:tcPr>
          <w:p w14:paraId="6D4985A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3</w:t>
            </w:r>
            <w:r>
              <w:rPr>
                <w:rFonts w:hint="eastAsia" w:ascii="Arial" w:hAnsi="Arial" w:eastAsia="仿宋" w:cs="Arial"/>
                <w:color w:val="auto"/>
                <w:sz w:val="20"/>
              </w:rPr>
              <w:t>－</w:t>
            </w:r>
            <w:r>
              <w:rPr>
                <w:rFonts w:ascii="Arial" w:hAnsi="Arial" w:eastAsia="仿宋" w:cs="Arial"/>
                <w:color w:val="auto"/>
                <w:sz w:val="20"/>
              </w:rPr>
              <w:t>7级</w:t>
            </w:r>
          </w:p>
        </w:tc>
        <w:tc>
          <w:tcPr>
            <w:tcW w:w="1253" w:type="dxa"/>
            <w:shd w:val="clear" w:color="auto" w:fill="auto"/>
            <w:vAlign w:val="center"/>
          </w:tcPr>
          <w:p w14:paraId="540BA0E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8</w:t>
            </w:r>
            <w:r>
              <w:rPr>
                <w:rFonts w:hint="eastAsia" w:ascii="Arial" w:hAnsi="Arial" w:eastAsia="仿宋" w:cs="Arial"/>
                <w:color w:val="auto"/>
                <w:sz w:val="20"/>
              </w:rPr>
              <w:t>－</w:t>
            </w:r>
            <w:r>
              <w:rPr>
                <w:rFonts w:ascii="Arial" w:hAnsi="Arial" w:eastAsia="仿宋" w:cs="Arial"/>
                <w:color w:val="auto"/>
                <w:sz w:val="20"/>
              </w:rPr>
              <w:t>12级</w:t>
            </w:r>
          </w:p>
        </w:tc>
        <w:tc>
          <w:tcPr>
            <w:tcW w:w="1179" w:type="dxa"/>
            <w:shd w:val="clear" w:color="auto" w:fill="auto"/>
            <w:noWrap/>
            <w:vAlign w:val="center"/>
          </w:tcPr>
          <w:p w14:paraId="2EE2960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容积率</w:t>
            </w:r>
          </w:p>
        </w:tc>
        <w:tc>
          <w:tcPr>
            <w:tcW w:w="979" w:type="dxa"/>
            <w:shd w:val="clear" w:color="auto" w:fill="auto"/>
            <w:noWrap/>
            <w:vAlign w:val="center"/>
          </w:tcPr>
          <w:p w14:paraId="7D34E70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r>
              <w:rPr>
                <w:rFonts w:hint="eastAsia" w:ascii="Arial" w:hAnsi="Arial" w:eastAsia="仿宋" w:cs="Arial"/>
                <w:color w:val="auto"/>
                <w:sz w:val="20"/>
              </w:rPr>
              <w:t>－</w:t>
            </w:r>
            <w:r>
              <w:rPr>
                <w:rFonts w:ascii="Arial" w:hAnsi="Arial" w:eastAsia="仿宋" w:cs="Arial"/>
                <w:color w:val="auto"/>
                <w:sz w:val="20"/>
              </w:rPr>
              <w:t>2级</w:t>
            </w:r>
          </w:p>
        </w:tc>
        <w:tc>
          <w:tcPr>
            <w:tcW w:w="1179" w:type="dxa"/>
            <w:shd w:val="clear" w:color="auto" w:fill="auto"/>
            <w:vAlign w:val="center"/>
          </w:tcPr>
          <w:p w14:paraId="12FDF44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3</w:t>
            </w:r>
            <w:r>
              <w:rPr>
                <w:rFonts w:hint="eastAsia" w:ascii="Arial" w:hAnsi="Arial" w:eastAsia="仿宋" w:cs="Arial"/>
                <w:color w:val="auto"/>
                <w:sz w:val="20"/>
              </w:rPr>
              <w:t>－</w:t>
            </w:r>
            <w:r>
              <w:rPr>
                <w:rFonts w:ascii="Arial" w:hAnsi="Arial" w:eastAsia="仿宋" w:cs="Arial"/>
                <w:color w:val="auto"/>
                <w:sz w:val="20"/>
              </w:rPr>
              <w:t>7级</w:t>
            </w:r>
          </w:p>
        </w:tc>
        <w:tc>
          <w:tcPr>
            <w:tcW w:w="1179" w:type="dxa"/>
            <w:shd w:val="clear" w:color="auto" w:fill="auto"/>
            <w:vAlign w:val="center"/>
          </w:tcPr>
          <w:p w14:paraId="189CE6D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8</w:t>
            </w:r>
            <w:r>
              <w:rPr>
                <w:rFonts w:hint="eastAsia" w:ascii="Arial" w:hAnsi="Arial" w:eastAsia="仿宋" w:cs="Arial"/>
                <w:color w:val="auto"/>
                <w:sz w:val="20"/>
              </w:rPr>
              <w:t>－</w:t>
            </w:r>
            <w:r>
              <w:rPr>
                <w:rFonts w:ascii="Arial" w:hAnsi="Arial" w:eastAsia="仿宋" w:cs="Arial"/>
                <w:color w:val="auto"/>
                <w:sz w:val="20"/>
              </w:rPr>
              <w:t>12级</w:t>
            </w:r>
          </w:p>
        </w:tc>
      </w:tr>
      <w:tr w14:paraId="5DE6DC1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140512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1.0 </w:t>
            </w:r>
          </w:p>
        </w:tc>
        <w:tc>
          <w:tcPr>
            <w:tcW w:w="1098" w:type="dxa"/>
            <w:shd w:val="clear" w:color="auto" w:fill="auto"/>
            <w:noWrap/>
            <w:vAlign w:val="center"/>
          </w:tcPr>
          <w:p w14:paraId="09D35BB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1.2574</w:t>
            </w:r>
          </w:p>
        </w:tc>
        <w:tc>
          <w:tcPr>
            <w:tcW w:w="1253" w:type="dxa"/>
            <w:shd w:val="clear" w:color="auto" w:fill="auto"/>
            <w:noWrap/>
            <w:vAlign w:val="center"/>
          </w:tcPr>
          <w:p w14:paraId="45833D7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1.2299</w:t>
            </w:r>
          </w:p>
        </w:tc>
        <w:tc>
          <w:tcPr>
            <w:tcW w:w="1253" w:type="dxa"/>
            <w:shd w:val="clear" w:color="auto" w:fill="auto"/>
            <w:noWrap/>
            <w:vAlign w:val="center"/>
          </w:tcPr>
          <w:p w14:paraId="1A7D53F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1.2333</w:t>
            </w:r>
          </w:p>
        </w:tc>
        <w:tc>
          <w:tcPr>
            <w:tcW w:w="1179" w:type="dxa"/>
            <w:shd w:val="clear" w:color="auto" w:fill="auto"/>
            <w:vAlign w:val="center"/>
          </w:tcPr>
          <w:p w14:paraId="261F4A2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5.5 </w:t>
            </w:r>
          </w:p>
        </w:tc>
        <w:tc>
          <w:tcPr>
            <w:tcW w:w="979" w:type="dxa"/>
            <w:shd w:val="clear" w:color="auto" w:fill="auto"/>
            <w:noWrap/>
            <w:vAlign w:val="center"/>
          </w:tcPr>
          <w:p w14:paraId="096F17A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0.9498</w:t>
            </w:r>
          </w:p>
        </w:tc>
        <w:tc>
          <w:tcPr>
            <w:tcW w:w="1179" w:type="dxa"/>
            <w:shd w:val="clear" w:color="auto" w:fill="auto"/>
            <w:noWrap/>
            <w:vAlign w:val="center"/>
          </w:tcPr>
          <w:p w14:paraId="39A7E3E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0.8963</w:t>
            </w:r>
          </w:p>
        </w:tc>
        <w:tc>
          <w:tcPr>
            <w:tcW w:w="1179" w:type="dxa"/>
            <w:shd w:val="clear" w:color="auto" w:fill="auto"/>
            <w:noWrap/>
            <w:vAlign w:val="center"/>
          </w:tcPr>
          <w:p w14:paraId="32CFD47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0.7883</w:t>
            </w:r>
          </w:p>
        </w:tc>
      </w:tr>
      <w:tr w14:paraId="3AD26C5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9FAF85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1.1 </w:t>
            </w:r>
          </w:p>
        </w:tc>
        <w:tc>
          <w:tcPr>
            <w:tcW w:w="1098" w:type="dxa"/>
            <w:shd w:val="clear" w:color="auto" w:fill="auto"/>
            <w:noWrap/>
            <w:vAlign w:val="center"/>
          </w:tcPr>
          <w:p w14:paraId="28762E0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1.2284</w:t>
            </w:r>
          </w:p>
        </w:tc>
        <w:tc>
          <w:tcPr>
            <w:tcW w:w="1253" w:type="dxa"/>
            <w:shd w:val="clear" w:color="auto" w:fill="auto"/>
            <w:noWrap/>
            <w:vAlign w:val="center"/>
          </w:tcPr>
          <w:p w14:paraId="0DA6163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1.1985</w:t>
            </w:r>
          </w:p>
        </w:tc>
        <w:tc>
          <w:tcPr>
            <w:tcW w:w="1253" w:type="dxa"/>
            <w:shd w:val="clear" w:color="auto" w:fill="auto"/>
            <w:noWrap/>
            <w:vAlign w:val="center"/>
          </w:tcPr>
          <w:p w14:paraId="31238ED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1.1899</w:t>
            </w:r>
          </w:p>
        </w:tc>
        <w:tc>
          <w:tcPr>
            <w:tcW w:w="1179" w:type="dxa"/>
            <w:shd w:val="clear" w:color="auto" w:fill="auto"/>
            <w:vAlign w:val="center"/>
          </w:tcPr>
          <w:p w14:paraId="175C352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5.6 </w:t>
            </w:r>
          </w:p>
        </w:tc>
        <w:tc>
          <w:tcPr>
            <w:tcW w:w="979" w:type="dxa"/>
            <w:shd w:val="clear" w:color="auto" w:fill="auto"/>
            <w:noWrap/>
            <w:vAlign w:val="center"/>
          </w:tcPr>
          <w:p w14:paraId="3CB783E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0.948</w:t>
            </w:r>
          </w:p>
        </w:tc>
        <w:tc>
          <w:tcPr>
            <w:tcW w:w="1179" w:type="dxa"/>
            <w:shd w:val="clear" w:color="auto" w:fill="auto"/>
            <w:noWrap/>
            <w:vAlign w:val="center"/>
          </w:tcPr>
          <w:p w14:paraId="1DBB394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0.8939</w:t>
            </w:r>
          </w:p>
        </w:tc>
        <w:tc>
          <w:tcPr>
            <w:tcW w:w="1179" w:type="dxa"/>
            <w:shd w:val="clear" w:color="auto" w:fill="auto"/>
            <w:noWrap/>
            <w:vAlign w:val="center"/>
          </w:tcPr>
          <w:p w14:paraId="22ECAF6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0.7847</w:t>
            </w:r>
          </w:p>
        </w:tc>
      </w:tr>
      <w:tr w14:paraId="0F8CEA2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4B521D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1.2 </w:t>
            </w:r>
          </w:p>
        </w:tc>
        <w:tc>
          <w:tcPr>
            <w:tcW w:w="1098" w:type="dxa"/>
            <w:shd w:val="clear" w:color="auto" w:fill="auto"/>
            <w:noWrap/>
            <w:vAlign w:val="center"/>
          </w:tcPr>
          <w:p w14:paraId="44CABA9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1.2031</w:t>
            </w:r>
          </w:p>
        </w:tc>
        <w:tc>
          <w:tcPr>
            <w:tcW w:w="1253" w:type="dxa"/>
            <w:shd w:val="clear" w:color="auto" w:fill="auto"/>
            <w:noWrap/>
            <w:vAlign w:val="center"/>
          </w:tcPr>
          <w:p w14:paraId="2F8992D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1.1711</w:t>
            </w:r>
          </w:p>
        </w:tc>
        <w:tc>
          <w:tcPr>
            <w:tcW w:w="1253" w:type="dxa"/>
            <w:shd w:val="clear" w:color="auto" w:fill="auto"/>
            <w:noWrap/>
            <w:vAlign w:val="center"/>
          </w:tcPr>
          <w:p w14:paraId="69236F9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1.1528</w:t>
            </w:r>
          </w:p>
        </w:tc>
        <w:tc>
          <w:tcPr>
            <w:tcW w:w="1179" w:type="dxa"/>
            <w:shd w:val="clear" w:color="auto" w:fill="auto"/>
            <w:vAlign w:val="center"/>
          </w:tcPr>
          <w:p w14:paraId="602FA6C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5.7 </w:t>
            </w:r>
          </w:p>
        </w:tc>
        <w:tc>
          <w:tcPr>
            <w:tcW w:w="979" w:type="dxa"/>
            <w:shd w:val="clear" w:color="auto" w:fill="auto"/>
            <w:noWrap/>
            <w:vAlign w:val="center"/>
          </w:tcPr>
          <w:p w14:paraId="70332EB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0.9462</w:t>
            </w:r>
          </w:p>
        </w:tc>
        <w:tc>
          <w:tcPr>
            <w:tcW w:w="1179" w:type="dxa"/>
            <w:shd w:val="clear" w:color="auto" w:fill="auto"/>
            <w:noWrap/>
            <w:vAlign w:val="center"/>
          </w:tcPr>
          <w:p w14:paraId="3BFED71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0.8915</w:t>
            </w:r>
          </w:p>
        </w:tc>
        <w:tc>
          <w:tcPr>
            <w:tcW w:w="1179" w:type="dxa"/>
            <w:shd w:val="clear" w:color="auto" w:fill="auto"/>
            <w:noWrap/>
            <w:vAlign w:val="center"/>
          </w:tcPr>
          <w:p w14:paraId="34D432B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0.7811</w:t>
            </w:r>
          </w:p>
        </w:tc>
      </w:tr>
      <w:tr w14:paraId="2FDB1D4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750006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1.3 </w:t>
            </w:r>
          </w:p>
        </w:tc>
        <w:tc>
          <w:tcPr>
            <w:tcW w:w="1098" w:type="dxa"/>
            <w:shd w:val="clear" w:color="auto" w:fill="auto"/>
            <w:noWrap/>
            <w:vAlign w:val="center"/>
          </w:tcPr>
          <w:p w14:paraId="2814729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1.1811</w:t>
            </w:r>
          </w:p>
        </w:tc>
        <w:tc>
          <w:tcPr>
            <w:tcW w:w="1253" w:type="dxa"/>
            <w:shd w:val="clear" w:color="auto" w:fill="auto"/>
            <w:noWrap/>
            <w:vAlign w:val="center"/>
          </w:tcPr>
          <w:p w14:paraId="32B486F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1.1472</w:t>
            </w:r>
          </w:p>
        </w:tc>
        <w:tc>
          <w:tcPr>
            <w:tcW w:w="1253" w:type="dxa"/>
            <w:shd w:val="clear" w:color="auto" w:fill="auto"/>
            <w:noWrap/>
            <w:vAlign w:val="center"/>
          </w:tcPr>
          <w:p w14:paraId="21F4B66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1.1214</w:t>
            </w:r>
          </w:p>
        </w:tc>
        <w:tc>
          <w:tcPr>
            <w:tcW w:w="1179" w:type="dxa"/>
            <w:shd w:val="clear" w:color="auto" w:fill="auto"/>
            <w:vAlign w:val="center"/>
          </w:tcPr>
          <w:p w14:paraId="7F81D05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5.8 </w:t>
            </w:r>
          </w:p>
        </w:tc>
        <w:tc>
          <w:tcPr>
            <w:tcW w:w="979" w:type="dxa"/>
            <w:shd w:val="clear" w:color="auto" w:fill="auto"/>
            <w:noWrap/>
            <w:vAlign w:val="center"/>
          </w:tcPr>
          <w:p w14:paraId="090199C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0.9445</w:t>
            </w:r>
          </w:p>
        </w:tc>
        <w:tc>
          <w:tcPr>
            <w:tcW w:w="1179" w:type="dxa"/>
            <w:shd w:val="clear" w:color="auto" w:fill="auto"/>
            <w:noWrap/>
            <w:vAlign w:val="center"/>
          </w:tcPr>
          <w:p w14:paraId="024B6F9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0.8892</w:t>
            </w:r>
          </w:p>
        </w:tc>
        <w:tc>
          <w:tcPr>
            <w:tcW w:w="1179" w:type="dxa"/>
            <w:shd w:val="clear" w:color="auto" w:fill="auto"/>
            <w:noWrap/>
            <w:vAlign w:val="center"/>
          </w:tcPr>
          <w:p w14:paraId="6E91A0E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0.7776</w:t>
            </w:r>
          </w:p>
        </w:tc>
      </w:tr>
      <w:tr w14:paraId="4592051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64F6BE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1.4 </w:t>
            </w:r>
          </w:p>
        </w:tc>
        <w:tc>
          <w:tcPr>
            <w:tcW w:w="1098" w:type="dxa"/>
            <w:shd w:val="clear" w:color="auto" w:fill="auto"/>
            <w:noWrap/>
            <w:vAlign w:val="center"/>
          </w:tcPr>
          <w:p w14:paraId="513A8AB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1.162</w:t>
            </w:r>
          </w:p>
        </w:tc>
        <w:tc>
          <w:tcPr>
            <w:tcW w:w="1253" w:type="dxa"/>
            <w:shd w:val="clear" w:color="auto" w:fill="auto"/>
            <w:noWrap/>
            <w:vAlign w:val="center"/>
          </w:tcPr>
          <w:p w14:paraId="606C191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1.1265</w:t>
            </w:r>
          </w:p>
        </w:tc>
        <w:tc>
          <w:tcPr>
            <w:tcW w:w="1253" w:type="dxa"/>
            <w:shd w:val="clear" w:color="auto" w:fill="auto"/>
            <w:noWrap/>
            <w:vAlign w:val="center"/>
          </w:tcPr>
          <w:p w14:paraId="1279F2D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1.0948</w:t>
            </w:r>
          </w:p>
        </w:tc>
        <w:tc>
          <w:tcPr>
            <w:tcW w:w="1179" w:type="dxa"/>
            <w:shd w:val="clear" w:color="auto" w:fill="auto"/>
            <w:vAlign w:val="center"/>
          </w:tcPr>
          <w:p w14:paraId="4464F1E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5.9 </w:t>
            </w:r>
          </w:p>
        </w:tc>
        <w:tc>
          <w:tcPr>
            <w:tcW w:w="979" w:type="dxa"/>
            <w:shd w:val="clear" w:color="auto" w:fill="auto"/>
            <w:noWrap/>
            <w:vAlign w:val="center"/>
          </w:tcPr>
          <w:p w14:paraId="4417661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0.9428</w:t>
            </w:r>
          </w:p>
        </w:tc>
        <w:tc>
          <w:tcPr>
            <w:tcW w:w="1179" w:type="dxa"/>
            <w:shd w:val="clear" w:color="auto" w:fill="auto"/>
            <w:noWrap/>
            <w:vAlign w:val="center"/>
          </w:tcPr>
          <w:p w14:paraId="28CB8FB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0.8869</w:t>
            </w:r>
          </w:p>
        </w:tc>
        <w:tc>
          <w:tcPr>
            <w:tcW w:w="1179" w:type="dxa"/>
            <w:shd w:val="clear" w:color="auto" w:fill="auto"/>
            <w:noWrap/>
            <w:vAlign w:val="center"/>
          </w:tcPr>
          <w:p w14:paraId="392045E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0.7741</w:t>
            </w:r>
          </w:p>
        </w:tc>
      </w:tr>
      <w:tr w14:paraId="446F3B5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E5D2BC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1.5 </w:t>
            </w:r>
          </w:p>
        </w:tc>
        <w:tc>
          <w:tcPr>
            <w:tcW w:w="1098" w:type="dxa"/>
            <w:shd w:val="clear" w:color="auto" w:fill="auto"/>
            <w:noWrap/>
            <w:vAlign w:val="center"/>
          </w:tcPr>
          <w:p w14:paraId="4B9972F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1.1453</w:t>
            </w:r>
          </w:p>
        </w:tc>
        <w:tc>
          <w:tcPr>
            <w:tcW w:w="1253" w:type="dxa"/>
            <w:shd w:val="clear" w:color="auto" w:fill="auto"/>
            <w:noWrap/>
            <w:vAlign w:val="center"/>
          </w:tcPr>
          <w:p w14:paraId="5199B1D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1.1084</w:t>
            </w:r>
          </w:p>
        </w:tc>
        <w:tc>
          <w:tcPr>
            <w:tcW w:w="1253" w:type="dxa"/>
            <w:shd w:val="clear" w:color="auto" w:fill="auto"/>
            <w:noWrap/>
            <w:vAlign w:val="center"/>
          </w:tcPr>
          <w:p w14:paraId="074C1FA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1.0725</w:t>
            </w:r>
          </w:p>
        </w:tc>
        <w:tc>
          <w:tcPr>
            <w:tcW w:w="1179" w:type="dxa"/>
            <w:shd w:val="clear" w:color="auto" w:fill="auto"/>
            <w:vAlign w:val="center"/>
          </w:tcPr>
          <w:p w14:paraId="3BB0D6D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6.0 </w:t>
            </w:r>
          </w:p>
        </w:tc>
        <w:tc>
          <w:tcPr>
            <w:tcW w:w="979" w:type="dxa"/>
            <w:shd w:val="clear" w:color="auto" w:fill="auto"/>
            <w:noWrap/>
            <w:vAlign w:val="center"/>
          </w:tcPr>
          <w:p w14:paraId="5E188AF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0.9411</w:t>
            </w:r>
          </w:p>
        </w:tc>
        <w:tc>
          <w:tcPr>
            <w:tcW w:w="1179" w:type="dxa"/>
            <w:shd w:val="clear" w:color="auto" w:fill="auto"/>
            <w:noWrap/>
            <w:vAlign w:val="center"/>
          </w:tcPr>
          <w:p w14:paraId="5C32982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0.8846</w:t>
            </w:r>
          </w:p>
        </w:tc>
        <w:tc>
          <w:tcPr>
            <w:tcW w:w="1179" w:type="dxa"/>
            <w:shd w:val="clear" w:color="auto" w:fill="auto"/>
            <w:noWrap/>
            <w:vAlign w:val="center"/>
          </w:tcPr>
          <w:p w14:paraId="68BE417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0.7707</w:t>
            </w:r>
          </w:p>
        </w:tc>
      </w:tr>
      <w:tr w14:paraId="290EE8F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B4825D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1.6 </w:t>
            </w:r>
          </w:p>
        </w:tc>
        <w:tc>
          <w:tcPr>
            <w:tcW w:w="1098" w:type="dxa"/>
            <w:shd w:val="clear" w:color="auto" w:fill="auto"/>
            <w:noWrap/>
            <w:vAlign w:val="center"/>
          </w:tcPr>
          <w:p w14:paraId="28FC994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1.1306</w:t>
            </w:r>
          </w:p>
        </w:tc>
        <w:tc>
          <w:tcPr>
            <w:tcW w:w="1253" w:type="dxa"/>
            <w:shd w:val="clear" w:color="auto" w:fill="auto"/>
            <w:noWrap/>
            <w:vAlign w:val="center"/>
          </w:tcPr>
          <w:p w14:paraId="634464A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1.0924</w:t>
            </w:r>
          </w:p>
        </w:tc>
        <w:tc>
          <w:tcPr>
            <w:tcW w:w="1253" w:type="dxa"/>
            <w:shd w:val="clear" w:color="auto" w:fill="auto"/>
            <w:noWrap/>
            <w:vAlign w:val="center"/>
          </w:tcPr>
          <w:p w14:paraId="5B71FE0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1.0538</w:t>
            </w:r>
          </w:p>
        </w:tc>
        <w:tc>
          <w:tcPr>
            <w:tcW w:w="1179" w:type="dxa"/>
            <w:shd w:val="clear" w:color="auto" w:fill="auto"/>
            <w:vAlign w:val="center"/>
          </w:tcPr>
          <w:p w14:paraId="21AF41F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6.1 </w:t>
            </w:r>
          </w:p>
        </w:tc>
        <w:tc>
          <w:tcPr>
            <w:tcW w:w="979" w:type="dxa"/>
            <w:shd w:val="clear" w:color="auto" w:fill="auto"/>
            <w:noWrap/>
            <w:vAlign w:val="center"/>
          </w:tcPr>
          <w:p w14:paraId="7D57786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0.9394</w:t>
            </w:r>
          </w:p>
        </w:tc>
        <w:tc>
          <w:tcPr>
            <w:tcW w:w="1179" w:type="dxa"/>
            <w:shd w:val="clear" w:color="auto" w:fill="auto"/>
            <w:noWrap/>
            <w:vAlign w:val="center"/>
          </w:tcPr>
          <w:p w14:paraId="6424A70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0.8823</w:t>
            </w:r>
          </w:p>
        </w:tc>
        <w:tc>
          <w:tcPr>
            <w:tcW w:w="1179" w:type="dxa"/>
            <w:shd w:val="clear" w:color="auto" w:fill="auto"/>
            <w:noWrap/>
            <w:vAlign w:val="center"/>
          </w:tcPr>
          <w:p w14:paraId="6D03004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0.7673</w:t>
            </w:r>
          </w:p>
        </w:tc>
      </w:tr>
      <w:tr w14:paraId="201D3FD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C830BB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1.7 </w:t>
            </w:r>
          </w:p>
        </w:tc>
        <w:tc>
          <w:tcPr>
            <w:tcW w:w="1098" w:type="dxa"/>
            <w:shd w:val="clear" w:color="auto" w:fill="auto"/>
            <w:noWrap/>
            <w:vAlign w:val="center"/>
          </w:tcPr>
          <w:p w14:paraId="627FA9F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1.1176</w:t>
            </w:r>
          </w:p>
        </w:tc>
        <w:tc>
          <w:tcPr>
            <w:tcW w:w="1253" w:type="dxa"/>
            <w:shd w:val="clear" w:color="auto" w:fill="auto"/>
            <w:noWrap/>
            <w:vAlign w:val="center"/>
          </w:tcPr>
          <w:p w14:paraId="1EAD728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1.0783</w:t>
            </w:r>
          </w:p>
        </w:tc>
        <w:tc>
          <w:tcPr>
            <w:tcW w:w="1253" w:type="dxa"/>
            <w:shd w:val="clear" w:color="auto" w:fill="auto"/>
            <w:noWrap/>
            <w:vAlign w:val="center"/>
          </w:tcPr>
          <w:p w14:paraId="6EA921C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1.0379</w:t>
            </w:r>
          </w:p>
        </w:tc>
        <w:tc>
          <w:tcPr>
            <w:tcW w:w="1179" w:type="dxa"/>
            <w:shd w:val="clear" w:color="auto" w:fill="auto"/>
            <w:vAlign w:val="center"/>
          </w:tcPr>
          <w:p w14:paraId="337F72A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6.2 </w:t>
            </w:r>
          </w:p>
        </w:tc>
        <w:tc>
          <w:tcPr>
            <w:tcW w:w="979" w:type="dxa"/>
            <w:shd w:val="clear" w:color="auto" w:fill="auto"/>
            <w:noWrap/>
            <w:vAlign w:val="center"/>
          </w:tcPr>
          <w:p w14:paraId="1D575C8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0.9377</w:t>
            </w:r>
          </w:p>
        </w:tc>
        <w:tc>
          <w:tcPr>
            <w:tcW w:w="1179" w:type="dxa"/>
            <w:shd w:val="clear" w:color="auto" w:fill="auto"/>
            <w:noWrap/>
            <w:vAlign w:val="center"/>
          </w:tcPr>
          <w:p w14:paraId="3D900FE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w:t>
            </w:r>
          </w:p>
        </w:tc>
        <w:tc>
          <w:tcPr>
            <w:tcW w:w="1179" w:type="dxa"/>
            <w:shd w:val="clear" w:color="auto" w:fill="auto"/>
            <w:noWrap/>
            <w:vAlign w:val="center"/>
          </w:tcPr>
          <w:p w14:paraId="7BBD1A1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0.764</w:t>
            </w:r>
          </w:p>
        </w:tc>
      </w:tr>
      <w:tr w14:paraId="6211926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C7C1A5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1.8 </w:t>
            </w:r>
          </w:p>
        </w:tc>
        <w:tc>
          <w:tcPr>
            <w:tcW w:w="1098" w:type="dxa"/>
            <w:shd w:val="clear" w:color="auto" w:fill="auto"/>
            <w:noWrap/>
            <w:vAlign w:val="center"/>
          </w:tcPr>
          <w:p w14:paraId="16454E6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1.1058</w:t>
            </w:r>
          </w:p>
        </w:tc>
        <w:tc>
          <w:tcPr>
            <w:tcW w:w="1253" w:type="dxa"/>
            <w:shd w:val="clear" w:color="auto" w:fill="auto"/>
            <w:noWrap/>
            <w:vAlign w:val="center"/>
          </w:tcPr>
          <w:p w14:paraId="38945C6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1.0654</w:t>
            </w:r>
          </w:p>
        </w:tc>
        <w:tc>
          <w:tcPr>
            <w:tcW w:w="1253" w:type="dxa"/>
            <w:shd w:val="clear" w:color="auto" w:fill="auto"/>
            <w:noWrap/>
            <w:vAlign w:val="center"/>
          </w:tcPr>
          <w:p w14:paraId="13351A0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1.0241</w:t>
            </w:r>
          </w:p>
        </w:tc>
        <w:tc>
          <w:tcPr>
            <w:tcW w:w="1179" w:type="dxa"/>
            <w:shd w:val="clear" w:color="auto" w:fill="auto"/>
            <w:vAlign w:val="center"/>
          </w:tcPr>
          <w:p w14:paraId="75DAC3D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6.3 </w:t>
            </w:r>
          </w:p>
        </w:tc>
        <w:tc>
          <w:tcPr>
            <w:tcW w:w="979" w:type="dxa"/>
            <w:shd w:val="clear" w:color="auto" w:fill="auto"/>
            <w:noWrap/>
            <w:vAlign w:val="center"/>
          </w:tcPr>
          <w:p w14:paraId="583D84F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0.9361</w:t>
            </w:r>
          </w:p>
        </w:tc>
        <w:tc>
          <w:tcPr>
            <w:tcW w:w="1179" w:type="dxa"/>
            <w:shd w:val="clear" w:color="auto" w:fill="auto"/>
            <w:noWrap/>
            <w:vAlign w:val="center"/>
          </w:tcPr>
          <w:p w14:paraId="2D12FD9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0.8778</w:t>
            </w:r>
          </w:p>
        </w:tc>
        <w:tc>
          <w:tcPr>
            <w:tcW w:w="1179" w:type="dxa"/>
            <w:shd w:val="clear" w:color="auto" w:fill="auto"/>
            <w:noWrap/>
            <w:vAlign w:val="center"/>
          </w:tcPr>
          <w:p w14:paraId="56A92C9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0.7607</w:t>
            </w:r>
          </w:p>
        </w:tc>
      </w:tr>
      <w:tr w14:paraId="2089E3C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8864E8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1.9 </w:t>
            </w:r>
          </w:p>
        </w:tc>
        <w:tc>
          <w:tcPr>
            <w:tcW w:w="1098" w:type="dxa"/>
            <w:shd w:val="clear" w:color="auto" w:fill="auto"/>
            <w:noWrap/>
            <w:vAlign w:val="center"/>
          </w:tcPr>
          <w:p w14:paraId="3C29BF6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1.0949</w:t>
            </w:r>
          </w:p>
        </w:tc>
        <w:tc>
          <w:tcPr>
            <w:tcW w:w="1253" w:type="dxa"/>
            <w:shd w:val="clear" w:color="auto" w:fill="auto"/>
            <w:noWrap/>
            <w:vAlign w:val="center"/>
          </w:tcPr>
          <w:p w14:paraId="5FD9CD8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1.0537</w:t>
            </w:r>
          </w:p>
        </w:tc>
        <w:tc>
          <w:tcPr>
            <w:tcW w:w="1253" w:type="dxa"/>
            <w:shd w:val="clear" w:color="auto" w:fill="auto"/>
            <w:noWrap/>
            <w:vAlign w:val="center"/>
          </w:tcPr>
          <w:p w14:paraId="6B870B0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1.0117</w:t>
            </w:r>
          </w:p>
        </w:tc>
        <w:tc>
          <w:tcPr>
            <w:tcW w:w="1179" w:type="dxa"/>
            <w:shd w:val="clear" w:color="auto" w:fill="auto"/>
            <w:vAlign w:val="center"/>
          </w:tcPr>
          <w:p w14:paraId="26093CC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6.4 </w:t>
            </w:r>
          </w:p>
        </w:tc>
        <w:tc>
          <w:tcPr>
            <w:tcW w:w="979" w:type="dxa"/>
            <w:shd w:val="clear" w:color="auto" w:fill="auto"/>
            <w:noWrap/>
            <w:vAlign w:val="center"/>
          </w:tcPr>
          <w:p w14:paraId="697BFC6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0.9345</w:t>
            </w:r>
          </w:p>
        </w:tc>
        <w:tc>
          <w:tcPr>
            <w:tcW w:w="1179" w:type="dxa"/>
            <w:shd w:val="clear" w:color="auto" w:fill="auto"/>
            <w:noWrap/>
            <w:vAlign w:val="center"/>
          </w:tcPr>
          <w:p w14:paraId="5A236A0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0.8756</w:t>
            </w:r>
          </w:p>
        </w:tc>
        <w:tc>
          <w:tcPr>
            <w:tcW w:w="1179" w:type="dxa"/>
            <w:shd w:val="clear" w:color="auto" w:fill="auto"/>
            <w:noWrap/>
            <w:vAlign w:val="center"/>
          </w:tcPr>
          <w:p w14:paraId="2386FEA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0.7575</w:t>
            </w:r>
          </w:p>
        </w:tc>
      </w:tr>
      <w:tr w14:paraId="57557DD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87C9D2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2.0 </w:t>
            </w:r>
          </w:p>
        </w:tc>
        <w:tc>
          <w:tcPr>
            <w:tcW w:w="1098" w:type="dxa"/>
            <w:shd w:val="clear" w:color="auto" w:fill="auto"/>
            <w:noWrap/>
            <w:vAlign w:val="center"/>
          </w:tcPr>
          <w:p w14:paraId="0C49C9B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1.0847</w:t>
            </w:r>
          </w:p>
        </w:tc>
        <w:tc>
          <w:tcPr>
            <w:tcW w:w="1253" w:type="dxa"/>
            <w:shd w:val="clear" w:color="auto" w:fill="auto"/>
            <w:noWrap/>
            <w:vAlign w:val="center"/>
          </w:tcPr>
          <w:p w14:paraId="69013B3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1.0427</w:t>
            </w:r>
          </w:p>
        </w:tc>
        <w:tc>
          <w:tcPr>
            <w:tcW w:w="1253" w:type="dxa"/>
            <w:shd w:val="clear" w:color="auto" w:fill="auto"/>
            <w:noWrap/>
            <w:vAlign w:val="center"/>
          </w:tcPr>
          <w:p w14:paraId="4C90060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p>
        </w:tc>
        <w:tc>
          <w:tcPr>
            <w:tcW w:w="1179" w:type="dxa"/>
            <w:shd w:val="clear" w:color="auto" w:fill="auto"/>
            <w:vAlign w:val="center"/>
          </w:tcPr>
          <w:p w14:paraId="0C257A9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6.5 </w:t>
            </w:r>
          </w:p>
        </w:tc>
        <w:tc>
          <w:tcPr>
            <w:tcW w:w="979" w:type="dxa"/>
            <w:shd w:val="clear" w:color="auto" w:fill="auto"/>
            <w:noWrap/>
            <w:vAlign w:val="center"/>
          </w:tcPr>
          <w:p w14:paraId="155EB53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0.9329</w:t>
            </w:r>
          </w:p>
        </w:tc>
        <w:tc>
          <w:tcPr>
            <w:tcW w:w="1179" w:type="dxa"/>
            <w:shd w:val="clear" w:color="auto" w:fill="auto"/>
            <w:noWrap/>
            <w:vAlign w:val="center"/>
          </w:tcPr>
          <w:p w14:paraId="2D6836C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0.8734</w:t>
            </w:r>
          </w:p>
        </w:tc>
        <w:tc>
          <w:tcPr>
            <w:tcW w:w="1179" w:type="dxa"/>
            <w:shd w:val="clear" w:color="auto" w:fill="auto"/>
            <w:noWrap/>
            <w:vAlign w:val="center"/>
          </w:tcPr>
          <w:p w14:paraId="57BD999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0.7543</w:t>
            </w:r>
          </w:p>
        </w:tc>
      </w:tr>
      <w:tr w14:paraId="43FEBF6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4328B9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2.1 </w:t>
            </w:r>
          </w:p>
        </w:tc>
        <w:tc>
          <w:tcPr>
            <w:tcW w:w="1098" w:type="dxa"/>
            <w:shd w:val="clear" w:color="auto" w:fill="auto"/>
            <w:noWrap/>
            <w:vAlign w:val="center"/>
          </w:tcPr>
          <w:p w14:paraId="5FBFECC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1.0749</w:t>
            </w:r>
          </w:p>
        </w:tc>
        <w:tc>
          <w:tcPr>
            <w:tcW w:w="1253" w:type="dxa"/>
            <w:shd w:val="clear" w:color="auto" w:fill="auto"/>
            <w:noWrap/>
            <w:vAlign w:val="center"/>
          </w:tcPr>
          <w:p w14:paraId="126FFED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1.0328</w:t>
            </w:r>
          </w:p>
        </w:tc>
        <w:tc>
          <w:tcPr>
            <w:tcW w:w="1253" w:type="dxa"/>
            <w:shd w:val="clear" w:color="auto" w:fill="auto"/>
            <w:noWrap/>
            <w:vAlign w:val="center"/>
          </w:tcPr>
          <w:p w14:paraId="1667878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0.9882</w:t>
            </w:r>
          </w:p>
        </w:tc>
        <w:tc>
          <w:tcPr>
            <w:tcW w:w="1179" w:type="dxa"/>
            <w:shd w:val="clear" w:color="auto" w:fill="auto"/>
            <w:vAlign w:val="center"/>
          </w:tcPr>
          <w:p w14:paraId="469D0A3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6.6 </w:t>
            </w:r>
          </w:p>
        </w:tc>
        <w:tc>
          <w:tcPr>
            <w:tcW w:w="979" w:type="dxa"/>
            <w:shd w:val="clear" w:color="auto" w:fill="auto"/>
            <w:noWrap/>
            <w:vAlign w:val="center"/>
          </w:tcPr>
          <w:p w14:paraId="24AC607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0.9313</w:t>
            </w:r>
          </w:p>
        </w:tc>
        <w:tc>
          <w:tcPr>
            <w:tcW w:w="1179" w:type="dxa"/>
            <w:shd w:val="clear" w:color="auto" w:fill="auto"/>
            <w:noWrap/>
            <w:vAlign w:val="center"/>
          </w:tcPr>
          <w:p w14:paraId="28A8629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0.8712</w:t>
            </w:r>
          </w:p>
        </w:tc>
        <w:tc>
          <w:tcPr>
            <w:tcW w:w="1179" w:type="dxa"/>
            <w:shd w:val="clear" w:color="auto" w:fill="auto"/>
            <w:noWrap/>
            <w:vAlign w:val="center"/>
          </w:tcPr>
          <w:p w14:paraId="40C348F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0.7512</w:t>
            </w:r>
          </w:p>
        </w:tc>
      </w:tr>
      <w:tr w14:paraId="7CF49E9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548DC7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2.2 </w:t>
            </w:r>
          </w:p>
        </w:tc>
        <w:tc>
          <w:tcPr>
            <w:tcW w:w="1098" w:type="dxa"/>
            <w:shd w:val="clear" w:color="auto" w:fill="auto"/>
            <w:noWrap/>
            <w:vAlign w:val="center"/>
          </w:tcPr>
          <w:p w14:paraId="169D654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1.0663</w:t>
            </w:r>
          </w:p>
        </w:tc>
        <w:tc>
          <w:tcPr>
            <w:tcW w:w="1253" w:type="dxa"/>
            <w:shd w:val="clear" w:color="auto" w:fill="auto"/>
            <w:noWrap/>
            <w:vAlign w:val="center"/>
          </w:tcPr>
          <w:p w14:paraId="7692379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1.0237</w:t>
            </w:r>
          </w:p>
        </w:tc>
        <w:tc>
          <w:tcPr>
            <w:tcW w:w="1253" w:type="dxa"/>
            <w:shd w:val="clear" w:color="auto" w:fill="auto"/>
            <w:noWrap/>
            <w:vAlign w:val="center"/>
          </w:tcPr>
          <w:p w14:paraId="035D227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0.9768</w:t>
            </w:r>
          </w:p>
        </w:tc>
        <w:tc>
          <w:tcPr>
            <w:tcW w:w="1179" w:type="dxa"/>
            <w:shd w:val="clear" w:color="auto" w:fill="auto"/>
            <w:vAlign w:val="center"/>
          </w:tcPr>
          <w:p w14:paraId="219DDB6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6.7 </w:t>
            </w:r>
          </w:p>
        </w:tc>
        <w:tc>
          <w:tcPr>
            <w:tcW w:w="979" w:type="dxa"/>
            <w:shd w:val="clear" w:color="auto" w:fill="auto"/>
            <w:noWrap/>
            <w:vAlign w:val="center"/>
          </w:tcPr>
          <w:p w14:paraId="0B7094E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0.9297</w:t>
            </w:r>
          </w:p>
        </w:tc>
        <w:tc>
          <w:tcPr>
            <w:tcW w:w="1179" w:type="dxa"/>
            <w:shd w:val="clear" w:color="auto" w:fill="auto"/>
            <w:noWrap/>
            <w:vAlign w:val="center"/>
          </w:tcPr>
          <w:p w14:paraId="3DC140F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0.869</w:t>
            </w:r>
          </w:p>
        </w:tc>
        <w:tc>
          <w:tcPr>
            <w:tcW w:w="1179" w:type="dxa"/>
            <w:shd w:val="clear" w:color="auto" w:fill="auto"/>
            <w:noWrap/>
            <w:vAlign w:val="center"/>
          </w:tcPr>
          <w:p w14:paraId="24325D1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0.7481</w:t>
            </w:r>
          </w:p>
        </w:tc>
      </w:tr>
      <w:tr w14:paraId="39F96FF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39ECC0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2.3 </w:t>
            </w:r>
          </w:p>
        </w:tc>
        <w:tc>
          <w:tcPr>
            <w:tcW w:w="1098" w:type="dxa"/>
            <w:shd w:val="clear" w:color="auto" w:fill="auto"/>
            <w:noWrap/>
            <w:vAlign w:val="center"/>
          </w:tcPr>
          <w:p w14:paraId="4E9437E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1.0584</w:t>
            </w:r>
          </w:p>
        </w:tc>
        <w:tc>
          <w:tcPr>
            <w:tcW w:w="1253" w:type="dxa"/>
            <w:shd w:val="clear" w:color="auto" w:fill="auto"/>
            <w:noWrap/>
            <w:vAlign w:val="center"/>
          </w:tcPr>
          <w:p w14:paraId="59D60ED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1.0152</w:t>
            </w:r>
          </w:p>
        </w:tc>
        <w:tc>
          <w:tcPr>
            <w:tcW w:w="1253" w:type="dxa"/>
            <w:shd w:val="clear" w:color="auto" w:fill="auto"/>
            <w:noWrap/>
            <w:vAlign w:val="center"/>
          </w:tcPr>
          <w:p w14:paraId="48AD841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0.9661</w:t>
            </w:r>
          </w:p>
        </w:tc>
        <w:tc>
          <w:tcPr>
            <w:tcW w:w="1179" w:type="dxa"/>
            <w:shd w:val="clear" w:color="auto" w:fill="auto"/>
            <w:vAlign w:val="center"/>
          </w:tcPr>
          <w:p w14:paraId="7F7BE93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6.8 </w:t>
            </w:r>
          </w:p>
        </w:tc>
        <w:tc>
          <w:tcPr>
            <w:tcW w:w="979" w:type="dxa"/>
            <w:shd w:val="clear" w:color="auto" w:fill="auto"/>
            <w:noWrap/>
            <w:vAlign w:val="center"/>
          </w:tcPr>
          <w:p w14:paraId="3C25774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0.9282</w:t>
            </w:r>
          </w:p>
        </w:tc>
        <w:tc>
          <w:tcPr>
            <w:tcW w:w="1179" w:type="dxa"/>
            <w:shd w:val="clear" w:color="auto" w:fill="auto"/>
            <w:noWrap/>
            <w:vAlign w:val="center"/>
          </w:tcPr>
          <w:p w14:paraId="1692C5E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0.8669</w:t>
            </w:r>
          </w:p>
        </w:tc>
        <w:tc>
          <w:tcPr>
            <w:tcW w:w="1179" w:type="dxa"/>
            <w:shd w:val="clear" w:color="auto" w:fill="auto"/>
            <w:noWrap/>
            <w:vAlign w:val="center"/>
          </w:tcPr>
          <w:p w14:paraId="4BF5E8C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0.7451</w:t>
            </w:r>
          </w:p>
        </w:tc>
      </w:tr>
      <w:tr w14:paraId="4C1C7CD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88B868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2.4 </w:t>
            </w:r>
          </w:p>
        </w:tc>
        <w:tc>
          <w:tcPr>
            <w:tcW w:w="1098" w:type="dxa"/>
            <w:shd w:val="clear" w:color="auto" w:fill="auto"/>
            <w:noWrap/>
            <w:vAlign w:val="center"/>
          </w:tcPr>
          <w:p w14:paraId="33862E1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1.0512</w:t>
            </w:r>
          </w:p>
        </w:tc>
        <w:tc>
          <w:tcPr>
            <w:tcW w:w="1253" w:type="dxa"/>
            <w:shd w:val="clear" w:color="auto" w:fill="auto"/>
            <w:noWrap/>
            <w:vAlign w:val="center"/>
          </w:tcPr>
          <w:p w14:paraId="3A1CBB9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1.0074</w:t>
            </w:r>
          </w:p>
        </w:tc>
        <w:tc>
          <w:tcPr>
            <w:tcW w:w="1253" w:type="dxa"/>
            <w:shd w:val="clear" w:color="auto" w:fill="auto"/>
            <w:noWrap/>
            <w:vAlign w:val="center"/>
          </w:tcPr>
          <w:p w14:paraId="3056392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0.9558</w:t>
            </w:r>
          </w:p>
        </w:tc>
        <w:tc>
          <w:tcPr>
            <w:tcW w:w="1179" w:type="dxa"/>
            <w:shd w:val="clear" w:color="auto" w:fill="auto"/>
            <w:vAlign w:val="center"/>
          </w:tcPr>
          <w:p w14:paraId="2E58D85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6.9 </w:t>
            </w:r>
          </w:p>
        </w:tc>
        <w:tc>
          <w:tcPr>
            <w:tcW w:w="979" w:type="dxa"/>
            <w:shd w:val="clear" w:color="auto" w:fill="auto"/>
            <w:noWrap/>
            <w:vAlign w:val="center"/>
          </w:tcPr>
          <w:p w14:paraId="6AB388C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0.9267</w:t>
            </w:r>
          </w:p>
        </w:tc>
        <w:tc>
          <w:tcPr>
            <w:tcW w:w="1179" w:type="dxa"/>
            <w:shd w:val="clear" w:color="auto" w:fill="auto"/>
            <w:noWrap/>
            <w:vAlign w:val="center"/>
          </w:tcPr>
          <w:p w14:paraId="60A2CB1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0.8648</w:t>
            </w:r>
          </w:p>
        </w:tc>
        <w:tc>
          <w:tcPr>
            <w:tcW w:w="1179" w:type="dxa"/>
            <w:shd w:val="clear" w:color="auto" w:fill="auto"/>
            <w:noWrap/>
            <w:vAlign w:val="center"/>
          </w:tcPr>
          <w:p w14:paraId="73E8C06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0.7421</w:t>
            </w:r>
          </w:p>
        </w:tc>
      </w:tr>
      <w:tr w14:paraId="35E90A7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258878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2.5 </w:t>
            </w:r>
          </w:p>
        </w:tc>
        <w:tc>
          <w:tcPr>
            <w:tcW w:w="1098" w:type="dxa"/>
            <w:shd w:val="clear" w:color="auto" w:fill="auto"/>
            <w:noWrap/>
            <w:vAlign w:val="center"/>
          </w:tcPr>
          <w:p w14:paraId="2533F08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1.0445</w:t>
            </w:r>
          </w:p>
        </w:tc>
        <w:tc>
          <w:tcPr>
            <w:tcW w:w="1253" w:type="dxa"/>
            <w:shd w:val="clear" w:color="auto" w:fill="auto"/>
            <w:noWrap/>
            <w:vAlign w:val="center"/>
          </w:tcPr>
          <w:p w14:paraId="5AC5EA6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p>
        </w:tc>
        <w:tc>
          <w:tcPr>
            <w:tcW w:w="1253" w:type="dxa"/>
            <w:shd w:val="clear" w:color="auto" w:fill="auto"/>
            <w:noWrap/>
            <w:vAlign w:val="center"/>
          </w:tcPr>
          <w:p w14:paraId="57BC8AF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0.9462</w:t>
            </w:r>
          </w:p>
        </w:tc>
        <w:tc>
          <w:tcPr>
            <w:tcW w:w="1179" w:type="dxa"/>
            <w:shd w:val="clear" w:color="auto" w:fill="auto"/>
            <w:vAlign w:val="center"/>
          </w:tcPr>
          <w:p w14:paraId="41A2D15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7.0 </w:t>
            </w:r>
          </w:p>
        </w:tc>
        <w:tc>
          <w:tcPr>
            <w:tcW w:w="979" w:type="dxa"/>
            <w:shd w:val="clear" w:color="auto" w:fill="auto"/>
            <w:noWrap/>
            <w:vAlign w:val="center"/>
          </w:tcPr>
          <w:p w14:paraId="3FA0166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0.9252</w:t>
            </w:r>
          </w:p>
        </w:tc>
        <w:tc>
          <w:tcPr>
            <w:tcW w:w="1179" w:type="dxa"/>
            <w:shd w:val="clear" w:color="auto" w:fill="auto"/>
            <w:noWrap/>
            <w:vAlign w:val="center"/>
          </w:tcPr>
          <w:p w14:paraId="2FB9E86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0.8627</w:t>
            </w:r>
          </w:p>
        </w:tc>
        <w:tc>
          <w:tcPr>
            <w:tcW w:w="1179" w:type="dxa"/>
            <w:shd w:val="clear" w:color="auto" w:fill="auto"/>
            <w:noWrap/>
            <w:vAlign w:val="center"/>
          </w:tcPr>
          <w:p w14:paraId="63FCEF8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0.7392</w:t>
            </w:r>
          </w:p>
        </w:tc>
      </w:tr>
      <w:tr w14:paraId="3385AF8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DD6DEF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2.6 </w:t>
            </w:r>
          </w:p>
        </w:tc>
        <w:tc>
          <w:tcPr>
            <w:tcW w:w="1098" w:type="dxa"/>
            <w:shd w:val="clear" w:color="auto" w:fill="auto"/>
            <w:noWrap/>
            <w:vAlign w:val="center"/>
          </w:tcPr>
          <w:p w14:paraId="790E967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1.0386</w:t>
            </w:r>
          </w:p>
        </w:tc>
        <w:tc>
          <w:tcPr>
            <w:tcW w:w="1253" w:type="dxa"/>
            <w:shd w:val="clear" w:color="auto" w:fill="auto"/>
            <w:noWrap/>
            <w:vAlign w:val="center"/>
          </w:tcPr>
          <w:p w14:paraId="1539E21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0.9935</w:t>
            </w:r>
          </w:p>
        </w:tc>
        <w:tc>
          <w:tcPr>
            <w:tcW w:w="1253" w:type="dxa"/>
            <w:shd w:val="clear" w:color="auto" w:fill="auto"/>
            <w:noWrap/>
            <w:vAlign w:val="center"/>
          </w:tcPr>
          <w:p w14:paraId="339C441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0.9371</w:t>
            </w:r>
          </w:p>
        </w:tc>
        <w:tc>
          <w:tcPr>
            <w:tcW w:w="1179" w:type="dxa"/>
            <w:shd w:val="clear" w:color="auto" w:fill="auto"/>
            <w:vAlign w:val="center"/>
          </w:tcPr>
          <w:p w14:paraId="2F7C17D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7.1 </w:t>
            </w:r>
          </w:p>
        </w:tc>
        <w:tc>
          <w:tcPr>
            <w:tcW w:w="979" w:type="dxa"/>
            <w:shd w:val="clear" w:color="auto" w:fill="auto"/>
            <w:noWrap/>
            <w:vAlign w:val="center"/>
          </w:tcPr>
          <w:p w14:paraId="6F9CF46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0.9237</w:t>
            </w:r>
          </w:p>
        </w:tc>
        <w:tc>
          <w:tcPr>
            <w:tcW w:w="1179" w:type="dxa"/>
            <w:shd w:val="clear" w:color="auto" w:fill="auto"/>
            <w:noWrap/>
            <w:vAlign w:val="center"/>
          </w:tcPr>
          <w:p w14:paraId="576661C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0.8606</w:t>
            </w:r>
          </w:p>
        </w:tc>
        <w:tc>
          <w:tcPr>
            <w:tcW w:w="1179" w:type="dxa"/>
            <w:shd w:val="clear" w:color="auto" w:fill="auto"/>
            <w:noWrap/>
            <w:vAlign w:val="center"/>
          </w:tcPr>
          <w:p w14:paraId="5570A92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0.7363</w:t>
            </w:r>
          </w:p>
        </w:tc>
      </w:tr>
      <w:tr w14:paraId="182DBD7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3BA265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2.7 </w:t>
            </w:r>
          </w:p>
        </w:tc>
        <w:tc>
          <w:tcPr>
            <w:tcW w:w="1098" w:type="dxa"/>
            <w:shd w:val="clear" w:color="auto" w:fill="auto"/>
            <w:noWrap/>
            <w:vAlign w:val="center"/>
          </w:tcPr>
          <w:p w14:paraId="271D908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1.0332</w:t>
            </w:r>
          </w:p>
        </w:tc>
        <w:tc>
          <w:tcPr>
            <w:tcW w:w="1253" w:type="dxa"/>
            <w:shd w:val="clear" w:color="auto" w:fill="auto"/>
            <w:noWrap/>
            <w:vAlign w:val="center"/>
          </w:tcPr>
          <w:p w14:paraId="0B48E67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0.9877</w:t>
            </w:r>
          </w:p>
        </w:tc>
        <w:tc>
          <w:tcPr>
            <w:tcW w:w="1253" w:type="dxa"/>
            <w:shd w:val="clear" w:color="auto" w:fill="auto"/>
            <w:noWrap/>
            <w:vAlign w:val="center"/>
          </w:tcPr>
          <w:p w14:paraId="60D673B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0.9286</w:t>
            </w:r>
          </w:p>
        </w:tc>
        <w:tc>
          <w:tcPr>
            <w:tcW w:w="1179" w:type="dxa"/>
            <w:shd w:val="clear" w:color="auto" w:fill="auto"/>
            <w:vAlign w:val="center"/>
          </w:tcPr>
          <w:p w14:paraId="1396C9A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7.2 </w:t>
            </w:r>
          </w:p>
        </w:tc>
        <w:tc>
          <w:tcPr>
            <w:tcW w:w="979" w:type="dxa"/>
            <w:shd w:val="clear" w:color="auto" w:fill="auto"/>
            <w:noWrap/>
            <w:vAlign w:val="center"/>
          </w:tcPr>
          <w:p w14:paraId="253C3C1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0.9222</w:t>
            </w:r>
          </w:p>
        </w:tc>
        <w:tc>
          <w:tcPr>
            <w:tcW w:w="1179" w:type="dxa"/>
            <w:shd w:val="clear" w:color="auto" w:fill="auto"/>
            <w:noWrap/>
            <w:vAlign w:val="center"/>
          </w:tcPr>
          <w:p w14:paraId="3A6AFEE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0.8585</w:t>
            </w:r>
          </w:p>
        </w:tc>
        <w:tc>
          <w:tcPr>
            <w:tcW w:w="1179" w:type="dxa"/>
            <w:shd w:val="clear" w:color="auto" w:fill="auto"/>
            <w:noWrap/>
            <w:vAlign w:val="center"/>
          </w:tcPr>
          <w:p w14:paraId="720C93F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0.7335</w:t>
            </w:r>
          </w:p>
        </w:tc>
      </w:tr>
      <w:tr w14:paraId="113420D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DAC1ED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2.8 </w:t>
            </w:r>
          </w:p>
        </w:tc>
        <w:tc>
          <w:tcPr>
            <w:tcW w:w="1098" w:type="dxa"/>
            <w:shd w:val="clear" w:color="auto" w:fill="auto"/>
            <w:noWrap/>
            <w:vAlign w:val="center"/>
          </w:tcPr>
          <w:p w14:paraId="2720C98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1.0282</w:t>
            </w:r>
          </w:p>
        </w:tc>
        <w:tc>
          <w:tcPr>
            <w:tcW w:w="1253" w:type="dxa"/>
            <w:shd w:val="clear" w:color="auto" w:fill="auto"/>
            <w:noWrap/>
            <w:vAlign w:val="center"/>
          </w:tcPr>
          <w:p w14:paraId="6FF0543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0.9826</w:t>
            </w:r>
          </w:p>
        </w:tc>
        <w:tc>
          <w:tcPr>
            <w:tcW w:w="1253" w:type="dxa"/>
            <w:shd w:val="clear" w:color="auto" w:fill="auto"/>
            <w:noWrap/>
            <w:vAlign w:val="center"/>
          </w:tcPr>
          <w:p w14:paraId="7EA3596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0.9207</w:t>
            </w:r>
          </w:p>
        </w:tc>
        <w:tc>
          <w:tcPr>
            <w:tcW w:w="1179" w:type="dxa"/>
            <w:shd w:val="clear" w:color="auto" w:fill="auto"/>
            <w:vAlign w:val="center"/>
          </w:tcPr>
          <w:p w14:paraId="5EB4A3D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7.3 </w:t>
            </w:r>
          </w:p>
        </w:tc>
        <w:tc>
          <w:tcPr>
            <w:tcW w:w="979" w:type="dxa"/>
            <w:shd w:val="clear" w:color="auto" w:fill="auto"/>
            <w:noWrap/>
            <w:vAlign w:val="center"/>
          </w:tcPr>
          <w:p w14:paraId="6333A8A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0.9207</w:t>
            </w:r>
          </w:p>
        </w:tc>
        <w:tc>
          <w:tcPr>
            <w:tcW w:w="1179" w:type="dxa"/>
            <w:shd w:val="clear" w:color="auto" w:fill="auto"/>
            <w:noWrap/>
            <w:vAlign w:val="center"/>
          </w:tcPr>
          <w:p w14:paraId="5457AAB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0.8565</w:t>
            </w:r>
          </w:p>
        </w:tc>
        <w:tc>
          <w:tcPr>
            <w:tcW w:w="1179" w:type="dxa"/>
            <w:shd w:val="clear" w:color="auto" w:fill="auto"/>
            <w:noWrap/>
            <w:vAlign w:val="center"/>
          </w:tcPr>
          <w:p w14:paraId="297C904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0.7307</w:t>
            </w:r>
          </w:p>
        </w:tc>
      </w:tr>
      <w:tr w14:paraId="78698BD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9512FB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2.9 </w:t>
            </w:r>
          </w:p>
        </w:tc>
        <w:tc>
          <w:tcPr>
            <w:tcW w:w="1098" w:type="dxa"/>
            <w:shd w:val="clear" w:color="auto" w:fill="auto"/>
            <w:noWrap/>
            <w:vAlign w:val="center"/>
          </w:tcPr>
          <w:p w14:paraId="713D246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1.0235</w:t>
            </w:r>
          </w:p>
        </w:tc>
        <w:tc>
          <w:tcPr>
            <w:tcW w:w="1253" w:type="dxa"/>
            <w:shd w:val="clear" w:color="auto" w:fill="auto"/>
            <w:noWrap/>
            <w:vAlign w:val="center"/>
          </w:tcPr>
          <w:p w14:paraId="72B9ED0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0.9777</w:t>
            </w:r>
          </w:p>
        </w:tc>
        <w:tc>
          <w:tcPr>
            <w:tcW w:w="1253" w:type="dxa"/>
            <w:shd w:val="clear" w:color="auto" w:fill="auto"/>
            <w:noWrap/>
            <w:vAlign w:val="center"/>
          </w:tcPr>
          <w:p w14:paraId="6203E6E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0.9133</w:t>
            </w:r>
          </w:p>
        </w:tc>
        <w:tc>
          <w:tcPr>
            <w:tcW w:w="1179" w:type="dxa"/>
            <w:shd w:val="clear" w:color="auto" w:fill="auto"/>
            <w:vAlign w:val="center"/>
          </w:tcPr>
          <w:p w14:paraId="474A41F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7.4 </w:t>
            </w:r>
          </w:p>
        </w:tc>
        <w:tc>
          <w:tcPr>
            <w:tcW w:w="979" w:type="dxa"/>
            <w:shd w:val="clear" w:color="auto" w:fill="auto"/>
            <w:noWrap/>
            <w:vAlign w:val="center"/>
          </w:tcPr>
          <w:p w14:paraId="66EDFAE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0.9193</w:t>
            </w:r>
          </w:p>
        </w:tc>
        <w:tc>
          <w:tcPr>
            <w:tcW w:w="1179" w:type="dxa"/>
            <w:shd w:val="clear" w:color="auto" w:fill="auto"/>
            <w:noWrap/>
            <w:vAlign w:val="center"/>
          </w:tcPr>
          <w:p w14:paraId="781C86E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0.8545</w:t>
            </w:r>
          </w:p>
        </w:tc>
        <w:tc>
          <w:tcPr>
            <w:tcW w:w="1179" w:type="dxa"/>
            <w:shd w:val="clear" w:color="auto" w:fill="auto"/>
            <w:noWrap/>
            <w:vAlign w:val="center"/>
          </w:tcPr>
          <w:p w14:paraId="605A1E6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0.728</w:t>
            </w:r>
          </w:p>
        </w:tc>
      </w:tr>
      <w:tr w14:paraId="717F32F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15374E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3.0 </w:t>
            </w:r>
          </w:p>
        </w:tc>
        <w:tc>
          <w:tcPr>
            <w:tcW w:w="1098" w:type="dxa"/>
            <w:shd w:val="clear" w:color="auto" w:fill="auto"/>
            <w:noWrap/>
            <w:vAlign w:val="center"/>
          </w:tcPr>
          <w:p w14:paraId="34B7058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1.0191</w:t>
            </w:r>
          </w:p>
        </w:tc>
        <w:tc>
          <w:tcPr>
            <w:tcW w:w="1253" w:type="dxa"/>
            <w:shd w:val="clear" w:color="auto" w:fill="auto"/>
            <w:noWrap/>
            <w:vAlign w:val="center"/>
          </w:tcPr>
          <w:p w14:paraId="6B181C9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0.973</w:t>
            </w:r>
          </w:p>
        </w:tc>
        <w:tc>
          <w:tcPr>
            <w:tcW w:w="1253" w:type="dxa"/>
            <w:shd w:val="clear" w:color="auto" w:fill="auto"/>
            <w:noWrap/>
            <w:vAlign w:val="center"/>
          </w:tcPr>
          <w:p w14:paraId="2748348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0.9063</w:t>
            </w:r>
          </w:p>
        </w:tc>
        <w:tc>
          <w:tcPr>
            <w:tcW w:w="1179" w:type="dxa"/>
            <w:shd w:val="clear" w:color="auto" w:fill="auto"/>
            <w:vAlign w:val="center"/>
          </w:tcPr>
          <w:p w14:paraId="5EAFD99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7.5 </w:t>
            </w:r>
          </w:p>
        </w:tc>
        <w:tc>
          <w:tcPr>
            <w:tcW w:w="979" w:type="dxa"/>
            <w:shd w:val="clear" w:color="auto" w:fill="auto"/>
            <w:noWrap/>
            <w:vAlign w:val="center"/>
          </w:tcPr>
          <w:p w14:paraId="72310E0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0.9179</w:t>
            </w:r>
          </w:p>
        </w:tc>
        <w:tc>
          <w:tcPr>
            <w:tcW w:w="1179" w:type="dxa"/>
            <w:shd w:val="clear" w:color="auto" w:fill="auto"/>
            <w:noWrap/>
            <w:vAlign w:val="center"/>
          </w:tcPr>
          <w:p w14:paraId="549ECB2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0.8525</w:t>
            </w:r>
          </w:p>
        </w:tc>
        <w:tc>
          <w:tcPr>
            <w:tcW w:w="1179" w:type="dxa"/>
            <w:shd w:val="clear" w:color="auto" w:fill="auto"/>
            <w:noWrap/>
            <w:vAlign w:val="center"/>
          </w:tcPr>
          <w:p w14:paraId="62DD66C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0.7253</w:t>
            </w:r>
          </w:p>
        </w:tc>
      </w:tr>
      <w:tr w14:paraId="7E412E5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DC65D3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3.1 </w:t>
            </w:r>
          </w:p>
        </w:tc>
        <w:tc>
          <w:tcPr>
            <w:tcW w:w="1098" w:type="dxa"/>
            <w:shd w:val="clear" w:color="auto" w:fill="auto"/>
            <w:noWrap/>
            <w:vAlign w:val="center"/>
          </w:tcPr>
          <w:p w14:paraId="3CED8A8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1.0149</w:t>
            </w:r>
          </w:p>
        </w:tc>
        <w:tc>
          <w:tcPr>
            <w:tcW w:w="1253" w:type="dxa"/>
            <w:shd w:val="clear" w:color="auto" w:fill="auto"/>
            <w:noWrap/>
            <w:vAlign w:val="center"/>
          </w:tcPr>
          <w:p w14:paraId="237FEC4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0.9684</w:t>
            </w:r>
          </w:p>
        </w:tc>
        <w:tc>
          <w:tcPr>
            <w:tcW w:w="1253" w:type="dxa"/>
            <w:shd w:val="clear" w:color="auto" w:fill="auto"/>
            <w:noWrap/>
            <w:vAlign w:val="center"/>
          </w:tcPr>
          <w:p w14:paraId="013E224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0.8996</w:t>
            </w:r>
          </w:p>
        </w:tc>
        <w:tc>
          <w:tcPr>
            <w:tcW w:w="1179" w:type="dxa"/>
            <w:shd w:val="clear" w:color="auto" w:fill="auto"/>
            <w:vAlign w:val="center"/>
          </w:tcPr>
          <w:p w14:paraId="3EF2164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7.6</w:t>
            </w:r>
          </w:p>
        </w:tc>
        <w:tc>
          <w:tcPr>
            <w:tcW w:w="979" w:type="dxa"/>
            <w:shd w:val="clear" w:color="auto" w:fill="auto"/>
            <w:noWrap/>
            <w:vAlign w:val="center"/>
          </w:tcPr>
          <w:p w14:paraId="28705A1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0.9165</w:t>
            </w:r>
          </w:p>
        </w:tc>
        <w:tc>
          <w:tcPr>
            <w:tcW w:w="1179" w:type="dxa"/>
            <w:shd w:val="clear" w:color="auto" w:fill="auto"/>
            <w:noWrap/>
            <w:vAlign w:val="center"/>
          </w:tcPr>
          <w:p w14:paraId="69B4B1D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0.8505</w:t>
            </w:r>
          </w:p>
        </w:tc>
        <w:tc>
          <w:tcPr>
            <w:tcW w:w="1179" w:type="dxa"/>
            <w:shd w:val="clear" w:color="auto" w:fill="auto"/>
            <w:noWrap/>
            <w:vAlign w:val="center"/>
          </w:tcPr>
          <w:p w14:paraId="4BCDDD3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0.7226</w:t>
            </w:r>
          </w:p>
        </w:tc>
      </w:tr>
      <w:tr w14:paraId="70238BD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FC6373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3.2 </w:t>
            </w:r>
          </w:p>
        </w:tc>
        <w:tc>
          <w:tcPr>
            <w:tcW w:w="1098" w:type="dxa"/>
            <w:shd w:val="clear" w:color="auto" w:fill="auto"/>
            <w:noWrap/>
            <w:vAlign w:val="center"/>
          </w:tcPr>
          <w:p w14:paraId="09CBDA8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1.0109</w:t>
            </w:r>
          </w:p>
        </w:tc>
        <w:tc>
          <w:tcPr>
            <w:tcW w:w="1253" w:type="dxa"/>
            <w:shd w:val="clear" w:color="auto" w:fill="auto"/>
            <w:noWrap/>
            <w:vAlign w:val="center"/>
          </w:tcPr>
          <w:p w14:paraId="2E76292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0.964</w:t>
            </w:r>
          </w:p>
        </w:tc>
        <w:tc>
          <w:tcPr>
            <w:tcW w:w="1253" w:type="dxa"/>
            <w:shd w:val="clear" w:color="auto" w:fill="auto"/>
            <w:noWrap/>
            <w:vAlign w:val="center"/>
          </w:tcPr>
          <w:p w14:paraId="7187792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0.8932</w:t>
            </w:r>
          </w:p>
        </w:tc>
        <w:tc>
          <w:tcPr>
            <w:tcW w:w="1179" w:type="dxa"/>
            <w:shd w:val="clear" w:color="auto" w:fill="auto"/>
            <w:vAlign w:val="center"/>
          </w:tcPr>
          <w:p w14:paraId="331221E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7.7 </w:t>
            </w:r>
          </w:p>
        </w:tc>
        <w:tc>
          <w:tcPr>
            <w:tcW w:w="979" w:type="dxa"/>
            <w:shd w:val="clear" w:color="auto" w:fill="auto"/>
            <w:noWrap/>
            <w:vAlign w:val="center"/>
          </w:tcPr>
          <w:p w14:paraId="1F51CAB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0.9151</w:t>
            </w:r>
          </w:p>
        </w:tc>
        <w:tc>
          <w:tcPr>
            <w:tcW w:w="1179" w:type="dxa"/>
            <w:shd w:val="clear" w:color="auto" w:fill="auto"/>
            <w:noWrap/>
            <w:vAlign w:val="center"/>
          </w:tcPr>
          <w:p w14:paraId="0FDD4F3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0.8485</w:t>
            </w:r>
          </w:p>
        </w:tc>
        <w:tc>
          <w:tcPr>
            <w:tcW w:w="1179" w:type="dxa"/>
            <w:shd w:val="clear" w:color="auto" w:fill="auto"/>
            <w:noWrap/>
            <w:vAlign w:val="center"/>
          </w:tcPr>
          <w:p w14:paraId="4570988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w:t>
            </w:r>
          </w:p>
        </w:tc>
      </w:tr>
      <w:tr w14:paraId="1CDF2CB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8D4B25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3.3 </w:t>
            </w:r>
          </w:p>
        </w:tc>
        <w:tc>
          <w:tcPr>
            <w:tcW w:w="1098" w:type="dxa"/>
            <w:shd w:val="clear" w:color="auto" w:fill="auto"/>
            <w:noWrap/>
            <w:vAlign w:val="center"/>
          </w:tcPr>
          <w:p w14:paraId="3D25FAB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1.0071</w:t>
            </w:r>
          </w:p>
        </w:tc>
        <w:tc>
          <w:tcPr>
            <w:tcW w:w="1253" w:type="dxa"/>
            <w:shd w:val="clear" w:color="auto" w:fill="auto"/>
            <w:noWrap/>
            <w:vAlign w:val="center"/>
          </w:tcPr>
          <w:p w14:paraId="173A6FB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0.9598</w:t>
            </w:r>
          </w:p>
        </w:tc>
        <w:tc>
          <w:tcPr>
            <w:tcW w:w="1253" w:type="dxa"/>
            <w:shd w:val="clear" w:color="auto" w:fill="auto"/>
            <w:noWrap/>
            <w:vAlign w:val="center"/>
          </w:tcPr>
          <w:p w14:paraId="697C1BA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0.8871</w:t>
            </w:r>
          </w:p>
        </w:tc>
        <w:tc>
          <w:tcPr>
            <w:tcW w:w="1179" w:type="dxa"/>
            <w:shd w:val="clear" w:color="auto" w:fill="auto"/>
            <w:vAlign w:val="center"/>
          </w:tcPr>
          <w:p w14:paraId="1ABA231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7.8 </w:t>
            </w:r>
          </w:p>
        </w:tc>
        <w:tc>
          <w:tcPr>
            <w:tcW w:w="979" w:type="dxa"/>
            <w:shd w:val="clear" w:color="auto" w:fill="auto"/>
            <w:noWrap/>
            <w:vAlign w:val="center"/>
          </w:tcPr>
          <w:p w14:paraId="38919E8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0.9137</w:t>
            </w:r>
          </w:p>
        </w:tc>
        <w:tc>
          <w:tcPr>
            <w:tcW w:w="1179" w:type="dxa"/>
            <w:shd w:val="clear" w:color="auto" w:fill="auto"/>
            <w:noWrap/>
            <w:vAlign w:val="center"/>
          </w:tcPr>
          <w:p w14:paraId="34F421B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0.8466</w:t>
            </w:r>
          </w:p>
        </w:tc>
        <w:tc>
          <w:tcPr>
            <w:tcW w:w="1179" w:type="dxa"/>
            <w:shd w:val="clear" w:color="auto" w:fill="auto"/>
            <w:noWrap/>
            <w:vAlign w:val="center"/>
          </w:tcPr>
          <w:p w14:paraId="2BA5CF8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0.7174</w:t>
            </w:r>
          </w:p>
        </w:tc>
      </w:tr>
      <w:tr w14:paraId="461EAF1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A1F2E1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3.4 </w:t>
            </w:r>
          </w:p>
        </w:tc>
        <w:tc>
          <w:tcPr>
            <w:tcW w:w="1098" w:type="dxa"/>
            <w:shd w:val="clear" w:color="auto" w:fill="auto"/>
            <w:noWrap/>
            <w:vAlign w:val="center"/>
          </w:tcPr>
          <w:p w14:paraId="13EE9DE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1.0035</w:t>
            </w:r>
          </w:p>
        </w:tc>
        <w:tc>
          <w:tcPr>
            <w:tcW w:w="1253" w:type="dxa"/>
            <w:shd w:val="clear" w:color="auto" w:fill="auto"/>
            <w:noWrap/>
            <w:vAlign w:val="center"/>
          </w:tcPr>
          <w:p w14:paraId="0E2E59B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0.9558</w:t>
            </w:r>
          </w:p>
        </w:tc>
        <w:tc>
          <w:tcPr>
            <w:tcW w:w="1253" w:type="dxa"/>
            <w:shd w:val="clear" w:color="auto" w:fill="auto"/>
            <w:noWrap/>
            <w:vAlign w:val="center"/>
          </w:tcPr>
          <w:p w14:paraId="3E432B3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0.8812</w:t>
            </w:r>
          </w:p>
        </w:tc>
        <w:tc>
          <w:tcPr>
            <w:tcW w:w="1179" w:type="dxa"/>
            <w:shd w:val="clear" w:color="auto" w:fill="auto"/>
            <w:vAlign w:val="center"/>
          </w:tcPr>
          <w:p w14:paraId="619ED02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7.9 </w:t>
            </w:r>
          </w:p>
        </w:tc>
        <w:tc>
          <w:tcPr>
            <w:tcW w:w="979" w:type="dxa"/>
            <w:shd w:val="clear" w:color="auto" w:fill="auto"/>
            <w:noWrap/>
            <w:vAlign w:val="center"/>
          </w:tcPr>
          <w:p w14:paraId="5811157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0.9123</w:t>
            </w:r>
          </w:p>
        </w:tc>
        <w:tc>
          <w:tcPr>
            <w:tcW w:w="1179" w:type="dxa"/>
            <w:shd w:val="clear" w:color="auto" w:fill="auto"/>
            <w:noWrap/>
            <w:vAlign w:val="center"/>
          </w:tcPr>
          <w:p w14:paraId="5B86D5C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0.8447</w:t>
            </w:r>
          </w:p>
        </w:tc>
        <w:tc>
          <w:tcPr>
            <w:tcW w:w="1179" w:type="dxa"/>
            <w:shd w:val="clear" w:color="auto" w:fill="auto"/>
            <w:noWrap/>
            <w:vAlign w:val="center"/>
          </w:tcPr>
          <w:p w14:paraId="7B26180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0.7148</w:t>
            </w:r>
          </w:p>
        </w:tc>
      </w:tr>
      <w:tr w14:paraId="2FC020D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A7E746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3.5 </w:t>
            </w:r>
          </w:p>
        </w:tc>
        <w:tc>
          <w:tcPr>
            <w:tcW w:w="1098" w:type="dxa"/>
            <w:shd w:val="clear" w:color="auto" w:fill="auto"/>
            <w:noWrap/>
            <w:vAlign w:val="center"/>
          </w:tcPr>
          <w:p w14:paraId="0FFB504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p>
        </w:tc>
        <w:tc>
          <w:tcPr>
            <w:tcW w:w="1253" w:type="dxa"/>
            <w:shd w:val="clear" w:color="auto" w:fill="auto"/>
            <w:noWrap/>
            <w:vAlign w:val="center"/>
          </w:tcPr>
          <w:p w14:paraId="0B788C0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0.952</w:t>
            </w:r>
          </w:p>
        </w:tc>
        <w:tc>
          <w:tcPr>
            <w:tcW w:w="1253" w:type="dxa"/>
            <w:shd w:val="clear" w:color="auto" w:fill="auto"/>
            <w:noWrap/>
            <w:vAlign w:val="center"/>
          </w:tcPr>
          <w:p w14:paraId="3C6F757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0.8755</w:t>
            </w:r>
          </w:p>
        </w:tc>
        <w:tc>
          <w:tcPr>
            <w:tcW w:w="1179" w:type="dxa"/>
            <w:shd w:val="clear" w:color="auto" w:fill="auto"/>
            <w:vAlign w:val="center"/>
          </w:tcPr>
          <w:p w14:paraId="0216F5C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8.0 </w:t>
            </w:r>
          </w:p>
        </w:tc>
        <w:tc>
          <w:tcPr>
            <w:tcW w:w="979" w:type="dxa"/>
            <w:shd w:val="clear" w:color="auto" w:fill="auto"/>
            <w:noWrap/>
            <w:vAlign w:val="center"/>
          </w:tcPr>
          <w:p w14:paraId="1308C84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0.9109</w:t>
            </w:r>
          </w:p>
        </w:tc>
        <w:tc>
          <w:tcPr>
            <w:tcW w:w="1179" w:type="dxa"/>
            <w:shd w:val="clear" w:color="auto" w:fill="auto"/>
            <w:noWrap/>
            <w:vAlign w:val="center"/>
          </w:tcPr>
          <w:p w14:paraId="3BA960D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0.8428</w:t>
            </w:r>
          </w:p>
        </w:tc>
        <w:tc>
          <w:tcPr>
            <w:tcW w:w="1179" w:type="dxa"/>
            <w:shd w:val="clear" w:color="auto" w:fill="auto"/>
            <w:noWrap/>
            <w:vAlign w:val="center"/>
          </w:tcPr>
          <w:p w14:paraId="675DD10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0.7123</w:t>
            </w:r>
          </w:p>
        </w:tc>
      </w:tr>
      <w:tr w14:paraId="5D49262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DBA910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3.6 </w:t>
            </w:r>
          </w:p>
        </w:tc>
        <w:tc>
          <w:tcPr>
            <w:tcW w:w="1098" w:type="dxa"/>
            <w:shd w:val="clear" w:color="auto" w:fill="auto"/>
            <w:noWrap/>
            <w:vAlign w:val="center"/>
          </w:tcPr>
          <w:p w14:paraId="0F37AF8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0.9966</w:t>
            </w:r>
          </w:p>
        </w:tc>
        <w:tc>
          <w:tcPr>
            <w:tcW w:w="1253" w:type="dxa"/>
            <w:shd w:val="clear" w:color="auto" w:fill="auto"/>
            <w:noWrap/>
            <w:vAlign w:val="center"/>
          </w:tcPr>
          <w:p w14:paraId="19D5417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0.9484</w:t>
            </w:r>
          </w:p>
        </w:tc>
        <w:tc>
          <w:tcPr>
            <w:tcW w:w="1253" w:type="dxa"/>
            <w:shd w:val="clear" w:color="auto" w:fill="auto"/>
            <w:noWrap/>
            <w:vAlign w:val="center"/>
          </w:tcPr>
          <w:p w14:paraId="61EC0E5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w:t>
            </w:r>
          </w:p>
        </w:tc>
        <w:tc>
          <w:tcPr>
            <w:tcW w:w="1179" w:type="dxa"/>
            <w:shd w:val="clear" w:color="auto" w:fill="auto"/>
            <w:vAlign w:val="center"/>
          </w:tcPr>
          <w:p w14:paraId="3884302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8.1 </w:t>
            </w:r>
          </w:p>
        </w:tc>
        <w:tc>
          <w:tcPr>
            <w:tcW w:w="979" w:type="dxa"/>
            <w:shd w:val="clear" w:color="auto" w:fill="auto"/>
            <w:noWrap/>
            <w:vAlign w:val="center"/>
          </w:tcPr>
          <w:p w14:paraId="2AFAB31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0.9096</w:t>
            </w:r>
          </w:p>
        </w:tc>
        <w:tc>
          <w:tcPr>
            <w:tcW w:w="1179" w:type="dxa"/>
            <w:shd w:val="clear" w:color="auto" w:fill="auto"/>
            <w:noWrap/>
            <w:vAlign w:val="center"/>
          </w:tcPr>
          <w:p w14:paraId="5CDDC86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0.8409</w:t>
            </w:r>
          </w:p>
        </w:tc>
        <w:tc>
          <w:tcPr>
            <w:tcW w:w="1179" w:type="dxa"/>
            <w:shd w:val="clear" w:color="auto" w:fill="auto"/>
            <w:noWrap/>
            <w:vAlign w:val="center"/>
          </w:tcPr>
          <w:p w14:paraId="20E28A8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0.7098</w:t>
            </w:r>
          </w:p>
        </w:tc>
      </w:tr>
      <w:tr w14:paraId="72B28C1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DBBF02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3.7 </w:t>
            </w:r>
          </w:p>
        </w:tc>
        <w:tc>
          <w:tcPr>
            <w:tcW w:w="1098" w:type="dxa"/>
            <w:shd w:val="clear" w:color="auto" w:fill="auto"/>
            <w:noWrap/>
            <w:vAlign w:val="center"/>
          </w:tcPr>
          <w:p w14:paraId="48E9A94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0.9933</w:t>
            </w:r>
          </w:p>
        </w:tc>
        <w:tc>
          <w:tcPr>
            <w:tcW w:w="1253" w:type="dxa"/>
            <w:shd w:val="clear" w:color="auto" w:fill="auto"/>
            <w:noWrap/>
            <w:vAlign w:val="center"/>
          </w:tcPr>
          <w:p w14:paraId="17A8F69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0.945</w:t>
            </w:r>
          </w:p>
        </w:tc>
        <w:tc>
          <w:tcPr>
            <w:tcW w:w="1253" w:type="dxa"/>
            <w:shd w:val="clear" w:color="auto" w:fill="auto"/>
            <w:noWrap/>
            <w:vAlign w:val="center"/>
          </w:tcPr>
          <w:p w14:paraId="507FD59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0.8647</w:t>
            </w:r>
          </w:p>
        </w:tc>
        <w:tc>
          <w:tcPr>
            <w:tcW w:w="1179" w:type="dxa"/>
            <w:shd w:val="clear" w:color="auto" w:fill="auto"/>
            <w:vAlign w:val="center"/>
          </w:tcPr>
          <w:p w14:paraId="4419C91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8.2 </w:t>
            </w:r>
          </w:p>
        </w:tc>
        <w:tc>
          <w:tcPr>
            <w:tcW w:w="979" w:type="dxa"/>
            <w:shd w:val="clear" w:color="auto" w:fill="auto"/>
            <w:noWrap/>
            <w:vAlign w:val="center"/>
          </w:tcPr>
          <w:p w14:paraId="697ED46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0.9083</w:t>
            </w:r>
          </w:p>
        </w:tc>
        <w:tc>
          <w:tcPr>
            <w:tcW w:w="1179" w:type="dxa"/>
            <w:shd w:val="clear" w:color="auto" w:fill="auto"/>
            <w:noWrap/>
            <w:vAlign w:val="center"/>
          </w:tcPr>
          <w:p w14:paraId="179131B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0.839</w:t>
            </w:r>
          </w:p>
        </w:tc>
        <w:tc>
          <w:tcPr>
            <w:tcW w:w="1179" w:type="dxa"/>
            <w:shd w:val="clear" w:color="auto" w:fill="auto"/>
            <w:noWrap/>
            <w:vAlign w:val="center"/>
          </w:tcPr>
          <w:p w14:paraId="4AC56C2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0.7073</w:t>
            </w:r>
          </w:p>
        </w:tc>
      </w:tr>
      <w:tr w14:paraId="0D144FA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8D710C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3.8 </w:t>
            </w:r>
          </w:p>
        </w:tc>
        <w:tc>
          <w:tcPr>
            <w:tcW w:w="1098" w:type="dxa"/>
            <w:shd w:val="clear" w:color="auto" w:fill="auto"/>
            <w:noWrap/>
            <w:vAlign w:val="center"/>
          </w:tcPr>
          <w:p w14:paraId="1536164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0.9901</w:t>
            </w:r>
          </w:p>
        </w:tc>
        <w:tc>
          <w:tcPr>
            <w:tcW w:w="1253" w:type="dxa"/>
            <w:shd w:val="clear" w:color="auto" w:fill="auto"/>
            <w:noWrap/>
            <w:vAlign w:val="center"/>
          </w:tcPr>
          <w:p w14:paraId="25A4292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0.9417</w:t>
            </w:r>
          </w:p>
        </w:tc>
        <w:tc>
          <w:tcPr>
            <w:tcW w:w="1253" w:type="dxa"/>
            <w:shd w:val="clear" w:color="auto" w:fill="auto"/>
            <w:noWrap/>
            <w:vAlign w:val="center"/>
          </w:tcPr>
          <w:p w14:paraId="017543B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0.8596</w:t>
            </w:r>
          </w:p>
        </w:tc>
        <w:tc>
          <w:tcPr>
            <w:tcW w:w="1179" w:type="dxa"/>
            <w:shd w:val="clear" w:color="auto" w:fill="auto"/>
            <w:vAlign w:val="center"/>
          </w:tcPr>
          <w:p w14:paraId="2353E93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8.3 </w:t>
            </w:r>
          </w:p>
        </w:tc>
        <w:tc>
          <w:tcPr>
            <w:tcW w:w="979" w:type="dxa"/>
            <w:shd w:val="clear" w:color="auto" w:fill="auto"/>
            <w:noWrap/>
            <w:vAlign w:val="center"/>
          </w:tcPr>
          <w:p w14:paraId="1AAD0A1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0.907</w:t>
            </w:r>
          </w:p>
        </w:tc>
        <w:tc>
          <w:tcPr>
            <w:tcW w:w="1179" w:type="dxa"/>
            <w:shd w:val="clear" w:color="auto" w:fill="auto"/>
            <w:noWrap/>
            <w:vAlign w:val="center"/>
          </w:tcPr>
          <w:p w14:paraId="3AD5062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0.8372</w:t>
            </w:r>
          </w:p>
        </w:tc>
        <w:tc>
          <w:tcPr>
            <w:tcW w:w="1179" w:type="dxa"/>
            <w:shd w:val="clear" w:color="auto" w:fill="auto"/>
            <w:noWrap/>
            <w:vAlign w:val="center"/>
          </w:tcPr>
          <w:p w14:paraId="1E6BB13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0.7049</w:t>
            </w:r>
          </w:p>
        </w:tc>
      </w:tr>
      <w:tr w14:paraId="52B7313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4D9ABA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3.9 </w:t>
            </w:r>
          </w:p>
        </w:tc>
        <w:tc>
          <w:tcPr>
            <w:tcW w:w="1098" w:type="dxa"/>
            <w:shd w:val="clear" w:color="auto" w:fill="auto"/>
            <w:noWrap/>
            <w:vAlign w:val="center"/>
          </w:tcPr>
          <w:p w14:paraId="1194401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0.987</w:t>
            </w:r>
          </w:p>
        </w:tc>
        <w:tc>
          <w:tcPr>
            <w:tcW w:w="1253" w:type="dxa"/>
            <w:shd w:val="clear" w:color="auto" w:fill="auto"/>
            <w:noWrap/>
            <w:vAlign w:val="center"/>
          </w:tcPr>
          <w:p w14:paraId="55099A8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0.9385</w:t>
            </w:r>
          </w:p>
        </w:tc>
        <w:tc>
          <w:tcPr>
            <w:tcW w:w="1253" w:type="dxa"/>
            <w:shd w:val="clear" w:color="auto" w:fill="auto"/>
            <w:noWrap/>
            <w:vAlign w:val="center"/>
          </w:tcPr>
          <w:p w14:paraId="1EA5453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0.8547</w:t>
            </w:r>
          </w:p>
        </w:tc>
        <w:tc>
          <w:tcPr>
            <w:tcW w:w="1179" w:type="dxa"/>
            <w:shd w:val="clear" w:color="auto" w:fill="auto"/>
            <w:vAlign w:val="center"/>
          </w:tcPr>
          <w:p w14:paraId="66B4896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8.4 </w:t>
            </w:r>
          </w:p>
        </w:tc>
        <w:tc>
          <w:tcPr>
            <w:tcW w:w="979" w:type="dxa"/>
            <w:shd w:val="clear" w:color="auto" w:fill="auto"/>
            <w:noWrap/>
            <w:vAlign w:val="center"/>
          </w:tcPr>
          <w:p w14:paraId="6190958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0.9057</w:t>
            </w:r>
          </w:p>
        </w:tc>
        <w:tc>
          <w:tcPr>
            <w:tcW w:w="1179" w:type="dxa"/>
            <w:shd w:val="clear" w:color="auto" w:fill="auto"/>
            <w:noWrap/>
            <w:vAlign w:val="center"/>
          </w:tcPr>
          <w:p w14:paraId="6D3CEA3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0.8354</w:t>
            </w:r>
          </w:p>
        </w:tc>
        <w:tc>
          <w:tcPr>
            <w:tcW w:w="1179" w:type="dxa"/>
            <w:shd w:val="clear" w:color="auto" w:fill="auto"/>
            <w:noWrap/>
            <w:vAlign w:val="center"/>
          </w:tcPr>
          <w:p w14:paraId="390CE48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0.7025</w:t>
            </w:r>
          </w:p>
        </w:tc>
      </w:tr>
      <w:tr w14:paraId="57E245A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0AEB17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4.0 </w:t>
            </w:r>
          </w:p>
        </w:tc>
        <w:tc>
          <w:tcPr>
            <w:tcW w:w="1098" w:type="dxa"/>
            <w:shd w:val="clear" w:color="auto" w:fill="auto"/>
            <w:noWrap/>
            <w:vAlign w:val="center"/>
          </w:tcPr>
          <w:p w14:paraId="26090A7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0.984</w:t>
            </w:r>
          </w:p>
        </w:tc>
        <w:tc>
          <w:tcPr>
            <w:tcW w:w="1253" w:type="dxa"/>
            <w:shd w:val="clear" w:color="auto" w:fill="auto"/>
            <w:noWrap/>
            <w:vAlign w:val="center"/>
          </w:tcPr>
          <w:p w14:paraId="2768697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0.9354</w:t>
            </w:r>
          </w:p>
        </w:tc>
        <w:tc>
          <w:tcPr>
            <w:tcW w:w="1253" w:type="dxa"/>
            <w:shd w:val="clear" w:color="auto" w:fill="auto"/>
            <w:noWrap/>
            <w:vAlign w:val="center"/>
          </w:tcPr>
          <w:p w14:paraId="123B7C5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0.8499</w:t>
            </w:r>
          </w:p>
        </w:tc>
        <w:tc>
          <w:tcPr>
            <w:tcW w:w="1179" w:type="dxa"/>
            <w:shd w:val="clear" w:color="auto" w:fill="auto"/>
            <w:vAlign w:val="center"/>
          </w:tcPr>
          <w:p w14:paraId="6D222EC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8.5 </w:t>
            </w:r>
          </w:p>
        </w:tc>
        <w:tc>
          <w:tcPr>
            <w:tcW w:w="979" w:type="dxa"/>
            <w:shd w:val="clear" w:color="auto" w:fill="auto"/>
            <w:noWrap/>
            <w:vAlign w:val="center"/>
          </w:tcPr>
          <w:p w14:paraId="1417E7B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0.9044</w:t>
            </w:r>
          </w:p>
        </w:tc>
        <w:tc>
          <w:tcPr>
            <w:tcW w:w="1179" w:type="dxa"/>
            <w:shd w:val="clear" w:color="auto" w:fill="auto"/>
            <w:noWrap/>
            <w:vAlign w:val="center"/>
          </w:tcPr>
          <w:p w14:paraId="7A1A6FF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0.8336</w:t>
            </w:r>
          </w:p>
        </w:tc>
        <w:tc>
          <w:tcPr>
            <w:tcW w:w="1179" w:type="dxa"/>
            <w:shd w:val="clear" w:color="auto" w:fill="auto"/>
            <w:noWrap/>
            <w:vAlign w:val="center"/>
          </w:tcPr>
          <w:p w14:paraId="427E229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0.7001</w:t>
            </w:r>
          </w:p>
        </w:tc>
      </w:tr>
      <w:tr w14:paraId="2723C5C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FD97E1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4.1 </w:t>
            </w:r>
          </w:p>
        </w:tc>
        <w:tc>
          <w:tcPr>
            <w:tcW w:w="1098" w:type="dxa"/>
            <w:shd w:val="clear" w:color="auto" w:fill="auto"/>
            <w:noWrap/>
            <w:vAlign w:val="center"/>
          </w:tcPr>
          <w:p w14:paraId="40B66DB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0.9811</w:t>
            </w:r>
          </w:p>
        </w:tc>
        <w:tc>
          <w:tcPr>
            <w:tcW w:w="1253" w:type="dxa"/>
            <w:shd w:val="clear" w:color="auto" w:fill="auto"/>
            <w:noWrap/>
            <w:vAlign w:val="center"/>
          </w:tcPr>
          <w:p w14:paraId="3C7DFB9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0.9324</w:t>
            </w:r>
          </w:p>
        </w:tc>
        <w:tc>
          <w:tcPr>
            <w:tcW w:w="1253" w:type="dxa"/>
            <w:shd w:val="clear" w:color="auto" w:fill="auto"/>
            <w:noWrap/>
            <w:vAlign w:val="center"/>
          </w:tcPr>
          <w:p w14:paraId="4AD371C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0.8452</w:t>
            </w:r>
          </w:p>
        </w:tc>
        <w:tc>
          <w:tcPr>
            <w:tcW w:w="1179" w:type="dxa"/>
            <w:shd w:val="clear" w:color="auto" w:fill="auto"/>
            <w:vAlign w:val="center"/>
          </w:tcPr>
          <w:p w14:paraId="38C5B42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8.6 </w:t>
            </w:r>
          </w:p>
        </w:tc>
        <w:tc>
          <w:tcPr>
            <w:tcW w:w="979" w:type="dxa"/>
            <w:shd w:val="clear" w:color="auto" w:fill="auto"/>
            <w:noWrap/>
            <w:vAlign w:val="center"/>
          </w:tcPr>
          <w:p w14:paraId="0B1D744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0.9031</w:t>
            </w:r>
          </w:p>
        </w:tc>
        <w:tc>
          <w:tcPr>
            <w:tcW w:w="1179" w:type="dxa"/>
            <w:shd w:val="clear" w:color="auto" w:fill="auto"/>
            <w:noWrap/>
            <w:vAlign w:val="center"/>
          </w:tcPr>
          <w:p w14:paraId="3B0CA11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0.8318</w:t>
            </w:r>
          </w:p>
        </w:tc>
        <w:tc>
          <w:tcPr>
            <w:tcW w:w="1179" w:type="dxa"/>
            <w:shd w:val="clear" w:color="auto" w:fill="auto"/>
            <w:noWrap/>
            <w:vAlign w:val="center"/>
          </w:tcPr>
          <w:p w14:paraId="22450CA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0.6978</w:t>
            </w:r>
          </w:p>
        </w:tc>
      </w:tr>
      <w:tr w14:paraId="062C12D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127607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4.2 </w:t>
            </w:r>
          </w:p>
        </w:tc>
        <w:tc>
          <w:tcPr>
            <w:tcW w:w="1098" w:type="dxa"/>
            <w:shd w:val="clear" w:color="auto" w:fill="auto"/>
            <w:noWrap/>
            <w:vAlign w:val="center"/>
          </w:tcPr>
          <w:p w14:paraId="53D4E7F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0.9783</w:t>
            </w:r>
          </w:p>
        </w:tc>
        <w:tc>
          <w:tcPr>
            <w:tcW w:w="1253" w:type="dxa"/>
            <w:shd w:val="clear" w:color="auto" w:fill="auto"/>
            <w:noWrap/>
            <w:vAlign w:val="center"/>
          </w:tcPr>
          <w:p w14:paraId="321E605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0.9295</w:t>
            </w:r>
          </w:p>
        </w:tc>
        <w:tc>
          <w:tcPr>
            <w:tcW w:w="1253" w:type="dxa"/>
            <w:shd w:val="clear" w:color="auto" w:fill="auto"/>
            <w:noWrap/>
            <w:vAlign w:val="center"/>
          </w:tcPr>
          <w:p w14:paraId="63D2531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0.8406</w:t>
            </w:r>
          </w:p>
        </w:tc>
        <w:tc>
          <w:tcPr>
            <w:tcW w:w="1179" w:type="dxa"/>
            <w:shd w:val="clear" w:color="auto" w:fill="auto"/>
            <w:vAlign w:val="center"/>
          </w:tcPr>
          <w:p w14:paraId="0E6DE80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8.7 </w:t>
            </w:r>
          </w:p>
        </w:tc>
        <w:tc>
          <w:tcPr>
            <w:tcW w:w="979" w:type="dxa"/>
            <w:shd w:val="clear" w:color="auto" w:fill="auto"/>
            <w:noWrap/>
            <w:vAlign w:val="center"/>
          </w:tcPr>
          <w:p w14:paraId="13035F7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0.9018</w:t>
            </w:r>
          </w:p>
        </w:tc>
        <w:tc>
          <w:tcPr>
            <w:tcW w:w="1179" w:type="dxa"/>
            <w:shd w:val="clear" w:color="auto" w:fill="auto"/>
            <w:noWrap/>
            <w:vAlign w:val="center"/>
          </w:tcPr>
          <w:p w14:paraId="71689B6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w:t>
            </w:r>
          </w:p>
        </w:tc>
        <w:tc>
          <w:tcPr>
            <w:tcW w:w="1179" w:type="dxa"/>
            <w:shd w:val="clear" w:color="auto" w:fill="auto"/>
            <w:noWrap/>
            <w:vAlign w:val="center"/>
          </w:tcPr>
          <w:p w14:paraId="229888D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0.6955</w:t>
            </w:r>
          </w:p>
        </w:tc>
      </w:tr>
      <w:tr w14:paraId="3978897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6FA1F8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4.3 </w:t>
            </w:r>
          </w:p>
        </w:tc>
        <w:tc>
          <w:tcPr>
            <w:tcW w:w="1098" w:type="dxa"/>
            <w:shd w:val="clear" w:color="auto" w:fill="auto"/>
            <w:noWrap/>
            <w:vAlign w:val="center"/>
          </w:tcPr>
          <w:p w14:paraId="0715E20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0.9756</w:t>
            </w:r>
          </w:p>
        </w:tc>
        <w:tc>
          <w:tcPr>
            <w:tcW w:w="1253" w:type="dxa"/>
            <w:shd w:val="clear" w:color="auto" w:fill="auto"/>
            <w:noWrap/>
            <w:vAlign w:val="center"/>
          </w:tcPr>
          <w:p w14:paraId="073175F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0.9267</w:t>
            </w:r>
          </w:p>
        </w:tc>
        <w:tc>
          <w:tcPr>
            <w:tcW w:w="1253" w:type="dxa"/>
            <w:shd w:val="clear" w:color="auto" w:fill="auto"/>
            <w:noWrap/>
            <w:vAlign w:val="center"/>
          </w:tcPr>
          <w:p w14:paraId="5241302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0.8361</w:t>
            </w:r>
          </w:p>
        </w:tc>
        <w:tc>
          <w:tcPr>
            <w:tcW w:w="1179" w:type="dxa"/>
            <w:shd w:val="clear" w:color="auto" w:fill="auto"/>
            <w:vAlign w:val="center"/>
          </w:tcPr>
          <w:p w14:paraId="69F96DC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8.8 </w:t>
            </w:r>
          </w:p>
        </w:tc>
        <w:tc>
          <w:tcPr>
            <w:tcW w:w="979" w:type="dxa"/>
            <w:shd w:val="clear" w:color="auto" w:fill="auto"/>
            <w:noWrap/>
            <w:vAlign w:val="center"/>
          </w:tcPr>
          <w:p w14:paraId="6174E77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0.9006</w:t>
            </w:r>
          </w:p>
        </w:tc>
        <w:tc>
          <w:tcPr>
            <w:tcW w:w="1179" w:type="dxa"/>
            <w:shd w:val="clear" w:color="auto" w:fill="auto"/>
            <w:noWrap/>
            <w:vAlign w:val="center"/>
          </w:tcPr>
          <w:p w14:paraId="0DD08C8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0.8283</w:t>
            </w:r>
          </w:p>
        </w:tc>
        <w:tc>
          <w:tcPr>
            <w:tcW w:w="1179" w:type="dxa"/>
            <w:shd w:val="clear" w:color="auto" w:fill="auto"/>
            <w:noWrap/>
            <w:vAlign w:val="center"/>
          </w:tcPr>
          <w:p w14:paraId="1B196B8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0.6932</w:t>
            </w:r>
          </w:p>
        </w:tc>
      </w:tr>
      <w:tr w14:paraId="7C814B4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15751C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4.4 </w:t>
            </w:r>
          </w:p>
        </w:tc>
        <w:tc>
          <w:tcPr>
            <w:tcW w:w="1098" w:type="dxa"/>
            <w:shd w:val="clear" w:color="auto" w:fill="auto"/>
            <w:noWrap/>
            <w:vAlign w:val="center"/>
          </w:tcPr>
          <w:p w14:paraId="05DAC4E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0.973</w:t>
            </w:r>
          </w:p>
        </w:tc>
        <w:tc>
          <w:tcPr>
            <w:tcW w:w="1253" w:type="dxa"/>
            <w:shd w:val="clear" w:color="auto" w:fill="auto"/>
            <w:noWrap/>
            <w:vAlign w:val="center"/>
          </w:tcPr>
          <w:p w14:paraId="40885FB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0.924</w:t>
            </w:r>
          </w:p>
        </w:tc>
        <w:tc>
          <w:tcPr>
            <w:tcW w:w="1253" w:type="dxa"/>
            <w:shd w:val="clear" w:color="auto" w:fill="auto"/>
            <w:noWrap/>
            <w:vAlign w:val="center"/>
          </w:tcPr>
          <w:p w14:paraId="193554C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0.8317</w:t>
            </w:r>
          </w:p>
        </w:tc>
        <w:tc>
          <w:tcPr>
            <w:tcW w:w="1179" w:type="dxa"/>
            <w:shd w:val="clear" w:color="auto" w:fill="auto"/>
            <w:vAlign w:val="center"/>
          </w:tcPr>
          <w:p w14:paraId="14EF5BC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8.9 </w:t>
            </w:r>
          </w:p>
        </w:tc>
        <w:tc>
          <w:tcPr>
            <w:tcW w:w="979" w:type="dxa"/>
            <w:shd w:val="clear" w:color="auto" w:fill="auto"/>
            <w:noWrap/>
            <w:vAlign w:val="center"/>
          </w:tcPr>
          <w:p w14:paraId="2943A61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0.8994</w:t>
            </w:r>
          </w:p>
        </w:tc>
        <w:tc>
          <w:tcPr>
            <w:tcW w:w="1179" w:type="dxa"/>
            <w:shd w:val="clear" w:color="auto" w:fill="auto"/>
            <w:noWrap/>
            <w:vAlign w:val="center"/>
          </w:tcPr>
          <w:p w14:paraId="1BD499A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0.8266</w:t>
            </w:r>
          </w:p>
        </w:tc>
        <w:tc>
          <w:tcPr>
            <w:tcW w:w="1179" w:type="dxa"/>
            <w:shd w:val="clear" w:color="auto" w:fill="auto"/>
            <w:noWrap/>
            <w:vAlign w:val="center"/>
          </w:tcPr>
          <w:p w14:paraId="510FE1D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0.691</w:t>
            </w:r>
          </w:p>
        </w:tc>
      </w:tr>
      <w:tr w14:paraId="4114DEB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D07FE6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4.5 </w:t>
            </w:r>
          </w:p>
        </w:tc>
        <w:tc>
          <w:tcPr>
            <w:tcW w:w="1098" w:type="dxa"/>
            <w:shd w:val="clear" w:color="auto" w:fill="auto"/>
            <w:noWrap/>
            <w:vAlign w:val="center"/>
          </w:tcPr>
          <w:p w14:paraId="4979C56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0.9705</w:t>
            </w:r>
          </w:p>
        </w:tc>
        <w:tc>
          <w:tcPr>
            <w:tcW w:w="1253" w:type="dxa"/>
            <w:shd w:val="clear" w:color="auto" w:fill="auto"/>
            <w:noWrap/>
            <w:vAlign w:val="center"/>
          </w:tcPr>
          <w:p w14:paraId="463ECA4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0.9213</w:t>
            </w:r>
          </w:p>
        </w:tc>
        <w:tc>
          <w:tcPr>
            <w:tcW w:w="1253" w:type="dxa"/>
            <w:shd w:val="clear" w:color="auto" w:fill="auto"/>
            <w:noWrap/>
            <w:vAlign w:val="center"/>
          </w:tcPr>
          <w:p w14:paraId="0BC861B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0.8274</w:t>
            </w:r>
          </w:p>
        </w:tc>
        <w:tc>
          <w:tcPr>
            <w:tcW w:w="1179" w:type="dxa"/>
            <w:shd w:val="clear" w:color="auto" w:fill="auto"/>
            <w:vAlign w:val="center"/>
          </w:tcPr>
          <w:p w14:paraId="1EA2C80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9.0 </w:t>
            </w:r>
          </w:p>
        </w:tc>
        <w:tc>
          <w:tcPr>
            <w:tcW w:w="979" w:type="dxa"/>
            <w:shd w:val="clear" w:color="auto" w:fill="auto"/>
            <w:noWrap/>
            <w:vAlign w:val="center"/>
          </w:tcPr>
          <w:p w14:paraId="0257A9D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0.8982</w:t>
            </w:r>
          </w:p>
        </w:tc>
        <w:tc>
          <w:tcPr>
            <w:tcW w:w="1179" w:type="dxa"/>
            <w:shd w:val="clear" w:color="auto" w:fill="auto"/>
            <w:noWrap/>
            <w:vAlign w:val="center"/>
          </w:tcPr>
          <w:p w14:paraId="09544E1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0.8249</w:t>
            </w:r>
          </w:p>
        </w:tc>
        <w:tc>
          <w:tcPr>
            <w:tcW w:w="1179" w:type="dxa"/>
            <w:shd w:val="clear" w:color="auto" w:fill="auto"/>
            <w:noWrap/>
            <w:vAlign w:val="center"/>
          </w:tcPr>
          <w:p w14:paraId="5D9379B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0.6888</w:t>
            </w:r>
          </w:p>
        </w:tc>
      </w:tr>
      <w:tr w14:paraId="2C03723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2B777E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4.6 </w:t>
            </w:r>
          </w:p>
        </w:tc>
        <w:tc>
          <w:tcPr>
            <w:tcW w:w="1098" w:type="dxa"/>
            <w:shd w:val="clear" w:color="auto" w:fill="auto"/>
            <w:noWrap/>
            <w:vAlign w:val="center"/>
          </w:tcPr>
          <w:p w14:paraId="593C07F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0.9681</w:t>
            </w:r>
          </w:p>
        </w:tc>
        <w:tc>
          <w:tcPr>
            <w:tcW w:w="1253" w:type="dxa"/>
            <w:shd w:val="clear" w:color="auto" w:fill="auto"/>
            <w:noWrap/>
            <w:vAlign w:val="center"/>
          </w:tcPr>
          <w:p w14:paraId="31E49C4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0.9187</w:t>
            </w:r>
          </w:p>
        </w:tc>
        <w:tc>
          <w:tcPr>
            <w:tcW w:w="1253" w:type="dxa"/>
            <w:shd w:val="clear" w:color="auto" w:fill="auto"/>
            <w:noWrap/>
            <w:vAlign w:val="center"/>
          </w:tcPr>
          <w:p w14:paraId="5CF2F8F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0.8232</w:t>
            </w:r>
          </w:p>
        </w:tc>
        <w:tc>
          <w:tcPr>
            <w:tcW w:w="1179" w:type="dxa"/>
            <w:shd w:val="clear" w:color="auto" w:fill="auto"/>
            <w:vAlign w:val="center"/>
          </w:tcPr>
          <w:p w14:paraId="23FE2DD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9.1 </w:t>
            </w:r>
          </w:p>
        </w:tc>
        <w:tc>
          <w:tcPr>
            <w:tcW w:w="979" w:type="dxa"/>
            <w:shd w:val="clear" w:color="auto" w:fill="auto"/>
            <w:noWrap/>
            <w:vAlign w:val="center"/>
          </w:tcPr>
          <w:p w14:paraId="6AC2A8A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0.897</w:t>
            </w:r>
          </w:p>
        </w:tc>
        <w:tc>
          <w:tcPr>
            <w:tcW w:w="1179" w:type="dxa"/>
            <w:shd w:val="clear" w:color="auto" w:fill="auto"/>
            <w:noWrap/>
            <w:vAlign w:val="center"/>
          </w:tcPr>
          <w:p w14:paraId="1BCBF69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0.8232</w:t>
            </w:r>
          </w:p>
        </w:tc>
        <w:tc>
          <w:tcPr>
            <w:tcW w:w="1179" w:type="dxa"/>
            <w:shd w:val="clear" w:color="auto" w:fill="auto"/>
            <w:noWrap/>
            <w:vAlign w:val="center"/>
          </w:tcPr>
          <w:p w14:paraId="461E8E0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0.6866</w:t>
            </w:r>
          </w:p>
        </w:tc>
      </w:tr>
      <w:tr w14:paraId="6E6B7A9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524AE3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4.7 </w:t>
            </w:r>
          </w:p>
        </w:tc>
        <w:tc>
          <w:tcPr>
            <w:tcW w:w="1098" w:type="dxa"/>
            <w:shd w:val="clear" w:color="auto" w:fill="auto"/>
            <w:noWrap/>
            <w:vAlign w:val="center"/>
          </w:tcPr>
          <w:p w14:paraId="1D8C9BD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0.9658</w:t>
            </w:r>
          </w:p>
        </w:tc>
        <w:tc>
          <w:tcPr>
            <w:tcW w:w="1253" w:type="dxa"/>
            <w:shd w:val="clear" w:color="auto" w:fill="auto"/>
            <w:noWrap/>
            <w:vAlign w:val="center"/>
          </w:tcPr>
          <w:p w14:paraId="08D126F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0.9161</w:t>
            </w:r>
          </w:p>
        </w:tc>
        <w:tc>
          <w:tcPr>
            <w:tcW w:w="1253" w:type="dxa"/>
            <w:shd w:val="clear" w:color="auto" w:fill="auto"/>
            <w:noWrap/>
            <w:vAlign w:val="center"/>
          </w:tcPr>
          <w:p w14:paraId="736EC54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0.8191</w:t>
            </w:r>
          </w:p>
        </w:tc>
        <w:tc>
          <w:tcPr>
            <w:tcW w:w="1179" w:type="dxa"/>
            <w:shd w:val="clear" w:color="auto" w:fill="auto"/>
            <w:vAlign w:val="center"/>
          </w:tcPr>
          <w:p w14:paraId="4875B15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9.2 </w:t>
            </w:r>
          </w:p>
        </w:tc>
        <w:tc>
          <w:tcPr>
            <w:tcW w:w="979" w:type="dxa"/>
            <w:shd w:val="clear" w:color="auto" w:fill="auto"/>
            <w:noWrap/>
            <w:vAlign w:val="center"/>
          </w:tcPr>
          <w:p w14:paraId="4F51B7B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0.8958</w:t>
            </w:r>
          </w:p>
        </w:tc>
        <w:tc>
          <w:tcPr>
            <w:tcW w:w="1179" w:type="dxa"/>
            <w:shd w:val="clear" w:color="auto" w:fill="auto"/>
            <w:noWrap/>
            <w:vAlign w:val="center"/>
          </w:tcPr>
          <w:p w14:paraId="2DB10A3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0.8215</w:t>
            </w:r>
          </w:p>
        </w:tc>
        <w:tc>
          <w:tcPr>
            <w:tcW w:w="1179" w:type="dxa"/>
            <w:shd w:val="clear" w:color="auto" w:fill="auto"/>
            <w:noWrap/>
            <w:vAlign w:val="center"/>
          </w:tcPr>
          <w:p w14:paraId="6A0C650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0.6845</w:t>
            </w:r>
          </w:p>
        </w:tc>
      </w:tr>
      <w:tr w14:paraId="37F33DC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90A30B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4.8 </w:t>
            </w:r>
          </w:p>
        </w:tc>
        <w:tc>
          <w:tcPr>
            <w:tcW w:w="1098" w:type="dxa"/>
            <w:shd w:val="clear" w:color="auto" w:fill="auto"/>
            <w:noWrap/>
            <w:vAlign w:val="center"/>
          </w:tcPr>
          <w:p w14:paraId="55B62F0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0.9636</w:t>
            </w:r>
          </w:p>
        </w:tc>
        <w:tc>
          <w:tcPr>
            <w:tcW w:w="1253" w:type="dxa"/>
            <w:shd w:val="clear" w:color="auto" w:fill="auto"/>
            <w:noWrap/>
            <w:vAlign w:val="center"/>
          </w:tcPr>
          <w:p w14:paraId="4282A3A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0.9135</w:t>
            </w:r>
          </w:p>
        </w:tc>
        <w:tc>
          <w:tcPr>
            <w:tcW w:w="1253" w:type="dxa"/>
            <w:shd w:val="clear" w:color="auto" w:fill="auto"/>
            <w:noWrap/>
            <w:vAlign w:val="center"/>
          </w:tcPr>
          <w:p w14:paraId="0ED03A1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0.8151</w:t>
            </w:r>
          </w:p>
        </w:tc>
        <w:tc>
          <w:tcPr>
            <w:tcW w:w="1179" w:type="dxa"/>
            <w:shd w:val="clear" w:color="auto" w:fill="auto"/>
            <w:vAlign w:val="center"/>
          </w:tcPr>
          <w:p w14:paraId="5063787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9.3 </w:t>
            </w:r>
          </w:p>
        </w:tc>
        <w:tc>
          <w:tcPr>
            <w:tcW w:w="979" w:type="dxa"/>
            <w:shd w:val="clear" w:color="auto" w:fill="auto"/>
            <w:noWrap/>
            <w:vAlign w:val="center"/>
          </w:tcPr>
          <w:p w14:paraId="7B73B40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0.8946</w:t>
            </w:r>
          </w:p>
        </w:tc>
        <w:tc>
          <w:tcPr>
            <w:tcW w:w="1179" w:type="dxa"/>
            <w:shd w:val="clear" w:color="auto" w:fill="auto"/>
            <w:noWrap/>
            <w:vAlign w:val="center"/>
          </w:tcPr>
          <w:p w14:paraId="5A2D02A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0.8199</w:t>
            </w:r>
          </w:p>
        </w:tc>
        <w:tc>
          <w:tcPr>
            <w:tcW w:w="1179" w:type="dxa"/>
            <w:shd w:val="clear" w:color="auto" w:fill="auto"/>
            <w:noWrap/>
            <w:vAlign w:val="center"/>
          </w:tcPr>
          <w:p w14:paraId="1B614E4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0.6824</w:t>
            </w:r>
          </w:p>
        </w:tc>
      </w:tr>
      <w:tr w14:paraId="23590D6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23A2AB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4.9 </w:t>
            </w:r>
          </w:p>
        </w:tc>
        <w:tc>
          <w:tcPr>
            <w:tcW w:w="1098" w:type="dxa"/>
            <w:shd w:val="clear" w:color="auto" w:fill="auto"/>
            <w:noWrap/>
            <w:vAlign w:val="center"/>
          </w:tcPr>
          <w:p w14:paraId="2E2BA1B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0.9615</w:t>
            </w:r>
          </w:p>
        </w:tc>
        <w:tc>
          <w:tcPr>
            <w:tcW w:w="1253" w:type="dxa"/>
            <w:shd w:val="clear" w:color="auto" w:fill="auto"/>
            <w:noWrap/>
            <w:vAlign w:val="center"/>
          </w:tcPr>
          <w:p w14:paraId="2B847F5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0.911</w:t>
            </w:r>
          </w:p>
        </w:tc>
        <w:tc>
          <w:tcPr>
            <w:tcW w:w="1253" w:type="dxa"/>
            <w:shd w:val="clear" w:color="auto" w:fill="auto"/>
            <w:noWrap/>
            <w:vAlign w:val="center"/>
          </w:tcPr>
          <w:p w14:paraId="640B800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0.8111</w:t>
            </w:r>
          </w:p>
        </w:tc>
        <w:tc>
          <w:tcPr>
            <w:tcW w:w="1179" w:type="dxa"/>
            <w:shd w:val="clear" w:color="auto" w:fill="auto"/>
            <w:vAlign w:val="center"/>
          </w:tcPr>
          <w:p w14:paraId="54E7173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9.4 </w:t>
            </w:r>
          </w:p>
        </w:tc>
        <w:tc>
          <w:tcPr>
            <w:tcW w:w="979" w:type="dxa"/>
            <w:shd w:val="clear" w:color="auto" w:fill="auto"/>
            <w:noWrap/>
            <w:vAlign w:val="center"/>
          </w:tcPr>
          <w:p w14:paraId="7492B3F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0.8934</w:t>
            </w:r>
          </w:p>
        </w:tc>
        <w:tc>
          <w:tcPr>
            <w:tcW w:w="1179" w:type="dxa"/>
            <w:shd w:val="clear" w:color="auto" w:fill="auto"/>
            <w:noWrap/>
            <w:vAlign w:val="center"/>
          </w:tcPr>
          <w:p w14:paraId="3D0AAEA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0.8183</w:t>
            </w:r>
          </w:p>
        </w:tc>
        <w:tc>
          <w:tcPr>
            <w:tcW w:w="1179" w:type="dxa"/>
            <w:shd w:val="clear" w:color="auto" w:fill="auto"/>
            <w:noWrap/>
            <w:vAlign w:val="center"/>
          </w:tcPr>
          <w:p w14:paraId="1AE3EA7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0.6803</w:t>
            </w:r>
          </w:p>
        </w:tc>
      </w:tr>
      <w:tr w14:paraId="3172C42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82B7AE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5.0</w:t>
            </w:r>
          </w:p>
        </w:tc>
        <w:tc>
          <w:tcPr>
            <w:tcW w:w="1098" w:type="dxa"/>
            <w:shd w:val="clear" w:color="auto" w:fill="auto"/>
            <w:noWrap/>
            <w:vAlign w:val="center"/>
          </w:tcPr>
          <w:p w14:paraId="01AE144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0.9594</w:t>
            </w:r>
          </w:p>
        </w:tc>
        <w:tc>
          <w:tcPr>
            <w:tcW w:w="1253" w:type="dxa"/>
            <w:shd w:val="clear" w:color="auto" w:fill="auto"/>
            <w:noWrap/>
            <w:vAlign w:val="center"/>
          </w:tcPr>
          <w:p w14:paraId="4256EAB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0.9085</w:t>
            </w:r>
          </w:p>
        </w:tc>
        <w:tc>
          <w:tcPr>
            <w:tcW w:w="1253" w:type="dxa"/>
            <w:shd w:val="clear" w:color="auto" w:fill="auto"/>
            <w:noWrap/>
            <w:vAlign w:val="center"/>
          </w:tcPr>
          <w:p w14:paraId="53C1A6B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0.8072</w:t>
            </w:r>
          </w:p>
        </w:tc>
        <w:tc>
          <w:tcPr>
            <w:tcW w:w="1179" w:type="dxa"/>
            <w:shd w:val="clear" w:color="auto" w:fill="auto"/>
            <w:vAlign w:val="center"/>
          </w:tcPr>
          <w:p w14:paraId="7630130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9.5 </w:t>
            </w:r>
          </w:p>
        </w:tc>
        <w:tc>
          <w:tcPr>
            <w:tcW w:w="979" w:type="dxa"/>
            <w:shd w:val="clear" w:color="auto" w:fill="auto"/>
            <w:noWrap/>
            <w:vAlign w:val="center"/>
          </w:tcPr>
          <w:p w14:paraId="522DBAE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0.8923</w:t>
            </w:r>
          </w:p>
        </w:tc>
        <w:tc>
          <w:tcPr>
            <w:tcW w:w="1179" w:type="dxa"/>
            <w:shd w:val="clear" w:color="auto" w:fill="auto"/>
            <w:noWrap/>
            <w:vAlign w:val="center"/>
          </w:tcPr>
          <w:p w14:paraId="6CBCEEC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0.8167</w:t>
            </w:r>
          </w:p>
        </w:tc>
        <w:tc>
          <w:tcPr>
            <w:tcW w:w="1179" w:type="dxa"/>
            <w:shd w:val="clear" w:color="auto" w:fill="auto"/>
            <w:noWrap/>
            <w:vAlign w:val="center"/>
          </w:tcPr>
          <w:p w14:paraId="3276B19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0.6783</w:t>
            </w:r>
          </w:p>
        </w:tc>
      </w:tr>
      <w:tr w14:paraId="55550B6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634665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5.1 </w:t>
            </w:r>
          </w:p>
        </w:tc>
        <w:tc>
          <w:tcPr>
            <w:tcW w:w="1098" w:type="dxa"/>
            <w:shd w:val="clear" w:color="auto" w:fill="auto"/>
            <w:noWrap/>
            <w:vAlign w:val="center"/>
          </w:tcPr>
          <w:p w14:paraId="7817D95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0.9574</w:t>
            </w:r>
          </w:p>
        </w:tc>
        <w:tc>
          <w:tcPr>
            <w:tcW w:w="1253" w:type="dxa"/>
            <w:shd w:val="clear" w:color="auto" w:fill="auto"/>
            <w:noWrap/>
            <w:vAlign w:val="center"/>
          </w:tcPr>
          <w:p w14:paraId="44AF0D2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0.906</w:t>
            </w:r>
          </w:p>
        </w:tc>
        <w:tc>
          <w:tcPr>
            <w:tcW w:w="1253" w:type="dxa"/>
            <w:shd w:val="clear" w:color="auto" w:fill="auto"/>
            <w:noWrap/>
            <w:vAlign w:val="center"/>
          </w:tcPr>
          <w:p w14:paraId="6956CD6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0.8033</w:t>
            </w:r>
          </w:p>
        </w:tc>
        <w:tc>
          <w:tcPr>
            <w:tcW w:w="1179" w:type="dxa"/>
            <w:shd w:val="clear" w:color="auto" w:fill="auto"/>
            <w:vAlign w:val="center"/>
          </w:tcPr>
          <w:p w14:paraId="1B23D24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9.6 </w:t>
            </w:r>
          </w:p>
        </w:tc>
        <w:tc>
          <w:tcPr>
            <w:tcW w:w="979" w:type="dxa"/>
            <w:shd w:val="clear" w:color="auto" w:fill="auto"/>
            <w:noWrap/>
            <w:vAlign w:val="center"/>
          </w:tcPr>
          <w:p w14:paraId="1696817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0.8912</w:t>
            </w:r>
          </w:p>
        </w:tc>
        <w:tc>
          <w:tcPr>
            <w:tcW w:w="1179" w:type="dxa"/>
            <w:shd w:val="clear" w:color="auto" w:fill="auto"/>
            <w:noWrap/>
            <w:vAlign w:val="center"/>
          </w:tcPr>
          <w:p w14:paraId="10C9C54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0.8151</w:t>
            </w:r>
          </w:p>
        </w:tc>
        <w:tc>
          <w:tcPr>
            <w:tcW w:w="1179" w:type="dxa"/>
            <w:shd w:val="clear" w:color="auto" w:fill="auto"/>
            <w:noWrap/>
            <w:vAlign w:val="center"/>
          </w:tcPr>
          <w:p w14:paraId="26878B6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0.6763</w:t>
            </w:r>
          </w:p>
        </w:tc>
      </w:tr>
      <w:tr w14:paraId="39EB68C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EF5222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5.2 </w:t>
            </w:r>
          </w:p>
        </w:tc>
        <w:tc>
          <w:tcPr>
            <w:tcW w:w="1098" w:type="dxa"/>
            <w:shd w:val="clear" w:color="auto" w:fill="auto"/>
            <w:noWrap/>
            <w:vAlign w:val="center"/>
          </w:tcPr>
          <w:p w14:paraId="39F1B58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0.9554</w:t>
            </w:r>
          </w:p>
        </w:tc>
        <w:tc>
          <w:tcPr>
            <w:tcW w:w="1253" w:type="dxa"/>
            <w:shd w:val="clear" w:color="auto" w:fill="auto"/>
            <w:noWrap/>
            <w:vAlign w:val="center"/>
          </w:tcPr>
          <w:p w14:paraId="2ABC2BA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0.9035</w:t>
            </w:r>
          </w:p>
        </w:tc>
        <w:tc>
          <w:tcPr>
            <w:tcW w:w="1253" w:type="dxa"/>
            <w:shd w:val="clear" w:color="auto" w:fill="auto"/>
            <w:noWrap/>
            <w:vAlign w:val="center"/>
          </w:tcPr>
          <w:p w14:paraId="703EE4C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0.7995</w:t>
            </w:r>
          </w:p>
        </w:tc>
        <w:tc>
          <w:tcPr>
            <w:tcW w:w="1179" w:type="dxa"/>
            <w:shd w:val="clear" w:color="auto" w:fill="auto"/>
            <w:vAlign w:val="center"/>
          </w:tcPr>
          <w:p w14:paraId="5C5B46E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9.7 </w:t>
            </w:r>
          </w:p>
        </w:tc>
        <w:tc>
          <w:tcPr>
            <w:tcW w:w="979" w:type="dxa"/>
            <w:shd w:val="clear" w:color="auto" w:fill="auto"/>
            <w:noWrap/>
            <w:vAlign w:val="center"/>
          </w:tcPr>
          <w:p w14:paraId="4860DB4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0.8901</w:t>
            </w:r>
          </w:p>
        </w:tc>
        <w:tc>
          <w:tcPr>
            <w:tcW w:w="1179" w:type="dxa"/>
            <w:shd w:val="clear" w:color="auto" w:fill="auto"/>
            <w:noWrap/>
            <w:vAlign w:val="center"/>
          </w:tcPr>
          <w:p w14:paraId="07D86D5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0.8135</w:t>
            </w:r>
          </w:p>
        </w:tc>
        <w:tc>
          <w:tcPr>
            <w:tcW w:w="1179" w:type="dxa"/>
            <w:shd w:val="clear" w:color="auto" w:fill="auto"/>
            <w:noWrap/>
            <w:vAlign w:val="center"/>
          </w:tcPr>
          <w:p w14:paraId="427AC7B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0.6743</w:t>
            </w:r>
          </w:p>
        </w:tc>
      </w:tr>
      <w:tr w14:paraId="55AB842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2C9959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5.3 </w:t>
            </w:r>
          </w:p>
        </w:tc>
        <w:tc>
          <w:tcPr>
            <w:tcW w:w="1098" w:type="dxa"/>
            <w:shd w:val="clear" w:color="auto" w:fill="auto"/>
            <w:noWrap/>
            <w:vAlign w:val="center"/>
          </w:tcPr>
          <w:p w14:paraId="50AB3A8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0.9535</w:t>
            </w:r>
          </w:p>
        </w:tc>
        <w:tc>
          <w:tcPr>
            <w:tcW w:w="1253" w:type="dxa"/>
            <w:shd w:val="clear" w:color="auto" w:fill="auto"/>
            <w:noWrap/>
            <w:vAlign w:val="center"/>
          </w:tcPr>
          <w:p w14:paraId="2647768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0.9011</w:t>
            </w:r>
          </w:p>
        </w:tc>
        <w:tc>
          <w:tcPr>
            <w:tcW w:w="1253" w:type="dxa"/>
            <w:shd w:val="clear" w:color="auto" w:fill="auto"/>
            <w:noWrap/>
            <w:vAlign w:val="center"/>
          </w:tcPr>
          <w:p w14:paraId="41BCB04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0.7957</w:t>
            </w:r>
          </w:p>
        </w:tc>
        <w:tc>
          <w:tcPr>
            <w:tcW w:w="1179" w:type="dxa"/>
            <w:shd w:val="clear" w:color="auto" w:fill="auto"/>
            <w:vAlign w:val="center"/>
          </w:tcPr>
          <w:p w14:paraId="3FB2323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9.8 </w:t>
            </w:r>
          </w:p>
        </w:tc>
        <w:tc>
          <w:tcPr>
            <w:tcW w:w="979" w:type="dxa"/>
            <w:shd w:val="clear" w:color="auto" w:fill="auto"/>
            <w:noWrap/>
            <w:vAlign w:val="center"/>
          </w:tcPr>
          <w:p w14:paraId="14A5106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0.889</w:t>
            </w:r>
          </w:p>
        </w:tc>
        <w:tc>
          <w:tcPr>
            <w:tcW w:w="1179" w:type="dxa"/>
            <w:shd w:val="clear" w:color="auto" w:fill="auto"/>
            <w:noWrap/>
            <w:vAlign w:val="center"/>
          </w:tcPr>
          <w:p w14:paraId="64CF0A6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0.812</w:t>
            </w:r>
          </w:p>
        </w:tc>
        <w:tc>
          <w:tcPr>
            <w:tcW w:w="1179" w:type="dxa"/>
            <w:shd w:val="clear" w:color="auto" w:fill="auto"/>
            <w:noWrap/>
            <w:vAlign w:val="center"/>
          </w:tcPr>
          <w:p w14:paraId="7934AD3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0.6724</w:t>
            </w:r>
          </w:p>
        </w:tc>
      </w:tr>
      <w:tr w14:paraId="40D1E7F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vAlign w:val="center"/>
          </w:tcPr>
          <w:p w14:paraId="4F25E29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5.4 </w:t>
            </w:r>
          </w:p>
        </w:tc>
        <w:tc>
          <w:tcPr>
            <w:tcW w:w="1098" w:type="dxa"/>
            <w:shd w:val="clear" w:color="auto" w:fill="auto"/>
            <w:noWrap/>
            <w:vAlign w:val="center"/>
          </w:tcPr>
          <w:p w14:paraId="105C267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0.9516</w:t>
            </w:r>
          </w:p>
        </w:tc>
        <w:tc>
          <w:tcPr>
            <w:tcW w:w="1253" w:type="dxa"/>
            <w:shd w:val="clear" w:color="auto" w:fill="auto"/>
            <w:noWrap/>
            <w:vAlign w:val="center"/>
          </w:tcPr>
          <w:p w14:paraId="634DA05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0.8987</w:t>
            </w:r>
          </w:p>
        </w:tc>
        <w:tc>
          <w:tcPr>
            <w:tcW w:w="1253" w:type="dxa"/>
            <w:shd w:val="clear" w:color="auto" w:fill="auto"/>
            <w:noWrap/>
            <w:vAlign w:val="center"/>
          </w:tcPr>
          <w:p w14:paraId="25A4C8E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0.792</w:t>
            </w:r>
          </w:p>
        </w:tc>
        <w:tc>
          <w:tcPr>
            <w:tcW w:w="1179" w:type="dxa"/>
            <w:shd w:val="clear" w:color="auto" w:fill="auto"/>
            <w:vAlign w:val="center"/>
          </w:tcPr>
          <w:p w14:paraId="368417A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9.9</w:t>
            </w:r>
          </w:p>
        </w:tc>
        <w:tc>
          <w:tcPr>
            <w:tcW w:w="979" w:type="dxa"/>
            <w:shd w:val="clear" w:color="auto" w:fill="auto"/>
            <w:noWrap/>
            <w:vAlign w:val="center"/>
          </w:tcPr>
          <w:p w14:paraId="5CE3EA2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0.8879</w:t>
            </w:r>
          </w:p>
        </w:tc>
        <w:tc>
          <w:tcPr>
            <w:tcW w:w="1179" w:type="dxa"/>
            <w:shd w:val="clear" w:color="auto" w:fill="auto"/>
            <w:noWrap/>
            <w:vAlign w:val="center"/>
          </w:tcPr>
          <w:p w14:paraId="1C2514D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0.8105</w:t>
            </w:r>
          </w:p>
        </w:tc>
        <w:tc>
          <w:tcPr>
            <w:tcW w:w="1179" w:type="dxa"/>
            <w:shd w:val="clear" w:color="auto" w:fill="auto"/>
            <w:noWrap/>
            <w:vAlign w:val="center"/>
          </w:tcPr>
          <w:p w14:paraId="01168D3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0.6705</w:t>
            </w:r>
          </w:p>
        </w:tc>
      </w:tr>
      <w:tr w14:paraId="4488BE4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9299" w:type="dxa"/>
            <w:gridSpan w:val="8"/>
            <w:shd w:val="clear" w:color="auto" w:fill="auto"/>
            <w:vAlign w:val="center"/>
          </w:tcPr>
          <w:p w14:paraId="7F1A5DA1">
            <w:pPr>
              <w:spacing w:line="200" w:lineRule="exact"/>
              <w:rPr>
                <w:rFonts w:ascii="Arial" w:hAnsi="Arial" w:eastAsia="仿宋" w:cs="Arial"/>
                <w:color w:val="auto"/>
                <w:sz w:val="20"/>
              </w:rPr>
            </w:pPr>
            <w:r>
              <w:rPr>
                <w:rFonts w:ascii="Arial" w:hAnsi="Arial" w:eastAsia="仿宋" w:cs="Arial"/>
                <w:color w:val="auto"/>
                <w:sz w:val="20"/>
              </w:rPr>
              <w:t>说明：容积率大于等于10时的容积率修正系数按照以下公式计算：1～2级：X</w:t>
            </w:r>
            <w:r>
              <w:rPr>
                <w:rFonts w:ascii="Arial" w:hAnsi="Arial" w:eastAsia="仿宋" w:cs="Arial"/>
                <w:color w:val="auto"/>
                <w:sz w:val="20"/>
                <w:vertAlign w:val="subscript"/>
              </w:rPr>
              <w:t>R</w:t>
            </w:r>
            <w:r>
              <w:rPr>
                <w:rFonts w:hint="eastAsia" w:ascii="Arial" w:hAnsi="Arial" w:eastAsia="仿宋" w:cs="Arial"/>
                <w:color w:val="auto"/>
                <w:sz w:val="20"/>
              </w:rPr>
              <w:t>＝</w:t>
            </w:r>
            <w:r>
              <w:rPr>
                <w:rFonts w:ascii="Arial" w:hAnsi="Arial" w:eastAsia="仿宋" w:cs="Arial"/>
                <w:color w:val="auto"/>
                <w:sz w:val="20"/>
              </w:rPr>
              <w:t>0.9968－0.011R；3～7级：X</w:t>
            </w:r>
            <w:r>
              <w:rPr>
                <w:rFonts w:ascii="Arial" w:hAnsi="Arial" w:eastAsia="仿宋" w:cs="Arial"/>
                <w:color w:val="auto"/>
                <w:sz w:val="20"/>
                <w:vertAlign w:val="subscript"/>
              </w:rPr>
              <w:t>R</w:t>
            </w:r>
            <w:r>
              <w:rPr>
                <w:rFonts w:hint="eastAsia" w:ascii="Arial" w:hAnsi="Arial" w:eastAsia="仿宋" w:cs="Arial"/>
                <w:color w:val="auto"/>
                <w:sz w:val="20"/>
              </w:rPr>
              <w:t>＝</w:t>
            </w:r>
            <w:r>
              <w:rPr>
                <w:rFonts w:ascii="Arial" w:hAnsi="Arial" w:eastAsia="仿宋" w:cs="Arial"/>
                <w:color w:val="auto"/>
                <w:sz w:val="20"/>
              </w:rPr>
              <w:t>0.949－0.014R；8～12级：X</w:t>
            </w:r>
            <w:r>
              <w:rPr>
                <w:rFonts w:ascii="Arial" w:hAnsi="Arial" w:eastAsia="仿宋" w:cs="Arial"/>
                <w:color w:val="auto"/>
                <w:sz w:val="20"/>
                <w:vertAlign w:val="subscript"/>
              </w:rPr>
              <w:t>R</w:t>
            </w:r>
            <w:r>
              <w:rPr>
                <w:rFonts w:hint="eastAsia" w:ascii="Arial" w:hAnsi="Arial" w:eastAsia="仿宋" w:cs="Arial"/>
                <w:color w:val="auto"/>
                <w:sz w:val="20"/>
              </w:rPr>
              <w:t>＝</w:t>
            </w:r>
            <w:r>
              <w:rPr>
                <w:rFonts w:ascii="Arial" w:hAnsi="Arial" w:eastAsia="仿宋" w:cs="Arial"/>
                <w:color w:val="auto"/>
                <w:sz w:val="20"/>
              </w:rPr>
              <w:t>0.8486－0.018R。</w:t>
            </w:r>
          </w:p>
        </w:tc>
      </w:tr>
    </w:tbl>
    <w:p w14:paraId="3BEA1709">
      <w:pPr>
        <w:adjustRightInd/>
        <w:snapToGrid w:val="0"/>
        <w:spacing w:before="240" w:beforeLines="10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估价对象容积率R为1.20，根据上表可知，容积率修正系数为1.1528。</w:t>
      </w:r>
    </w:p>
    <w:p w14:paraId="5951FF8E">
      <w:pPr>
        <w:adjustRightInd/>
        <w:spacing w:line="360" w:lineRule="auto"/>
        <w:ind w:firstLine="560" w:firstLineChars="200"/>
        <w:rPr>
          <w:rFonts w:ascii="Arial" w:hAnsi="Arial" w:eastAsia="仿宋" w:cs="Arial"/>
          <w:color w:val="auto"/>
          <w:sz w:val="28"/>
          <w:szCs w:val="28"/>
        </w:rPr>
      </w:pPr>
      <w:r>
        <w:rPr>
          <w:rFonts w:ascii="Arial" w:hAnsi="Arial" w:eastAsia="仿宋" w:cs="Arial"/>
          <w:color w:val="auto"/>
          <w:sz w:val="28"/>
          <w:szCs w:val="28"/>
        </w:rPr>
        <w:t>F.因素修正系数的确定</w:t>
      </w:r>
    </w:p>
    <w:p w14:paraId="47D8DC20">
      <w:pPr>
        <w:adjustRightInd/>
        <w:spacing w:line="360" w:lineRule="auto"/>
        <w:ind w:firstLine="560" w:firstLineChars="200"/>
        <w:rPr>
          <w:rFonts w:ascii="Arial" w:hAnsi="Arial" w:eastAsia="仿宋" w:cs="Arial"/>
          <w:color w:val="auto"/>
          <w:sz w:val="28"/>
          <w:szCs w:val="28"/>
        </w:rPr>
      </w:pPr>
      <w:r>
        <w:rPr>
          <w:rFonts w:ascii="Arial" w:hAnsi="Arial" w:eastAsia="仿宋" w:cs="Arial"/>
          <w:color w:val="auto"/>
          <w:sz w:val="28"/>
          <w:szCs w:val="28"/>
        </w:rPr>
        <w:t>因素修正系数是指除容积率（楼层）、期日、年期、用途之外的其它地价影响因素的综合修正系数。参照《北京市基准地价因素修正系数说明表》（详见下表），根据估价对象用途对应的宗地各种因素情况确定每种因素的修正系数，应用以下公式测算宗地因素修正系数：</w:t>
      </w:r>
    </w:p>
    <w:p w14:paraId="7D88BAE2">
      <w:pPr>
        <w:adjustRightInd/>
        <w:spacing w:line="360" w:lineRule="auto"/>
        <w:ind w:firstLine="560" w:firstLineChars="200"/>
        <w:rPr>
          <w:rFonts w:ascii="Arial" w:hAnsi="Arial" w:eastAsia="仿宋" w:cs="Arial"/>
          <w:color w:val="auto"/>
          <w:sz w:val="28"/>
          <w:szCs w:val="28"/>
        </w:rPr>
      </w:pPr>
      <w:r>
        <w:rPr>
          <w:rFonts w:ascii="Arial" w:hAnsi="Arial" w:eastAsia="仿宋" w:cs="Arial"/>
          <w:color w:val="auto"/>
          <w:sz w:val="28"/>
          <w:szCs w:val="28"/>
        </w:rPr>
        <w:t>因素修正系数</w:t>
      </w:r>
      <w:r>
        <w:rPr>
          <w:rFonts w:hint="eastAsia" w:ascii="Arial" w:hAnsi="Arial" w:eastAsia="仿宋" w:cs="Arial"/>
          <w:color w:val="auto"/>
          <w:sz w:val="28"/>
          <w:szCs w:val="28"/>
        </w:rPr>
        <w:t>＝</w:t>
      </w:r>
      <w:r>
        <w:rPr>
          <w:rFonts w:ascii="Arial" w:hAnsi="Arial" w:eastAsia="仿宋" w:cs="Arial"/>
          <w:color w:val="auto"/>
          <w:sz w:val="28"/>
          <w:szCs w:val="28"/>
        </w:rPr>
        <w:t>1＋</w:t>
      </w:r>
      <w:r>
        <w:rPr>
          <w:rFonts w:ascii="Arial" w:hAnsi="Arial" w:eastAsia="仿宋" w:cs="Arial"/>
          <w:color w:val="auto"/>
          <w:sz w:val="28"/>
          <w:szCs w:val="28"/>
        </w:rPr>
        <w:fldChar w:fldCharType="begin"/>
      </w:r>
      <w:r>
        <w:rPr>
          <w:rFonts w:ascii="Arial" w:hAnsi="Arial" w:eastAsia="仿宋" w:cs="Arial"/>
          <w:color w:val="auto"/>
          <w:sz w:val="28"/>
          <w:szCs w:val="28"/>
        </w:rPr>
        <w:instrText xml:space="preserve"> QUOTE </w:instrText>
      </w:r>
      <w:r>
        <w:rPr>
          <w:rFonts w:ascii="Arial" w:hAnsi="Arial" w:eastAsia="仿宋" w:cs="Arial"/>
          <w:color w:val="auto"/>
          <w:sz w:val="28"/>
          <w:szCs w:val="28"/>
        </w:rPr>
        <w:pict>
          <v:shape id="_x0000_i1027" o:spt="75" type="#_x0000_t75" style="height:18.75pt;width:30.75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bordersDontSurroundHeader/&gt;&lt;w:bordersDontSurroundFooter/&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06111&quot;/&gt;&lt;wsp:rsid wsp:val=&quot;000178EB&quot;/&gt;&lt;wsp:rsid wsp:val=&quot;00032366&quot;/&gt;&lt;wsp:rsid wsp:val=&quot;00032528&quot;/&gt;&lt;wsp:rsid wsp:val=&quot;0005644A&quot;/&gt;&lt;wsp:rsid wsp:val=&quot;000870BF&quot;/&gt;&lt;wsp:rsid wsp:val=&quot;000A2CE2&quot;/&gt;&lt;wsp:rsid wsp:val=&quot;000A35BB&quot;/&gt;&lt;wsp:rsid wsp:val=&quot;000C479B&quot;/&gt;&lt;wsp:rsid wsp:val=&quot;000F7E94&quot;/&gt;&lt;wsp:rsid wsp:val=&quot;00100E36&quot;/&gt;&lt;wsp:rsid wsp:val=&quot;0010754D&quot;/&gt;&lt;wsp:rsid wsp:val=&quot;0011058E&quot;/&gt;&lt;wsp:rsid wsp:val=&quot;00115E7E&quot;/&gt;&lt;wsp:rsid wsp:val=&quot;00115F67&quot;/&gt;&lt;wsp:rsid wsp:val=&quot;00136655&quot;/&gt;&lt;wsp:rsid wsp:val=&quot;001709EB&quot;/&gt;&lt;wsp:rsid wsp:val=&quot;00175821&quot;/&gt;&lt;wsp:rsid wsp:val=&quot;00180DC9&quot;/&gt;&lt;wsp:rsid wsp:val=&quot;001A4628&quot;/&gt;&lt;wsp:rsid wsp:val=&quot;001A66E5&quot;/&gt;&lt;wsp:rsid wsp:val=&quot;001C2E50&quot;/&gt;&lt;wsp:rsid wsp:val=&quot;001D78E4&quot;/&gt;&lt;wsp:rsid wsp:val=&quot;001E3E70&quot;/&gt;&lt;wsp:rsid wsp:val=&quot;001F4C0A&quot;/&gt;&lt;wsp:rsid wsp:val=&quot;00251D66&quot;/&gt;&lt;wsp:rsid wsp:val=&quot;0025382F&quot;/&gt;&lt;wsp:rsid wsp:val=&quot;00263EFC&quot;/&gt;&lt;wsp:rsid wsp:val=&quot;00283C27&quot;/&gt;&lt;wsp:rsid wsp:val=&quot;002A32A6&quot;/&gt;&lt;wsp:rsid wsp:val=&quot;002D1E84&quot;/&gt;&lt;wsp:rsid wsp:val=&quot;002E011B&quot;/&gt;&lt;wsp:rsid wsp:val=&quot;00315E7C&quot;/&gt;&lt;wsp:rsid wsp:val=&quot;003451F1&quot;/&gt;&lt;wsp:rsid wsp:val=&quot;00350A39&quot;/&gt;&lt;wsp:rsid wsp:val=&quot;00366E0F&quot;/&gt;&lt;wsp:rsid wsp:val=&quot;00374477&quot;/&gt;&lt;wsp:rsid wsp:val=&quot;003860EA&quot;/&gt;&lt;wsp:rsid wsp:val=&quot;00386735&quot;/&gt;&lt;wsp:rsid wsp:val=&quot;003972C2&quot;/&gt;&lt;wsp:rsid wsp:val=&quot;003B064A&quot;/&gt;&lt;wsp:rsid wsp:val=&quot;003F0E81&quot;/&gt;&lt;wsp:rsid wsp:val=&quot;003F732B&quot;/&gt;&lt;wsp:rsid wsp:val=&quot;003F7CA6&quot;/&gt;&lt;wsp:rsid wsp:val=&quot;0040135C&quot;/&gt;&lt;wsp:rsid wsp:val=&quot;00402AED&quot;/&gt;&lt;wsp:rsid wsp:val=&quot;00407162&quot;/&gt;&lt;wsp:rsid wsp:val=&quot;00415EB6&quot;/&gt;&lt;wsp:rsid wsp:val=&quot;0043011E&quot;/&gt;&lt;wsp:rsid wsp:val=&quot;004763B8&quot;/&gt;&lt;wsp:rsid wsp:val=&quot;00476BC3&quot;/&gt;&lt;wsp:rsid wsp:val=&quot;00484DC2&quot;/&gt;&lt;wsp:rsid wsp:val=&quot;00494499&quot;/&gt;&lt;wsp:rsid wsp:val=&quot;004B0921&quot;/&gt;&lt;wsp:rsid wsp:val=&quot;004C41B7&quot;/&gt;&lt;wsp:rsid wsp:val=&quot;004D09B2&quot;/&gt;&lt;wsp:rsid wsp:val=&quot;004D62F4&quot;/&gt;&lt;wsp:rsid wsp:val=&quot;004F047C&quot;/&gt;&lt;wsp:rsid wsp:val=&quot;004F7667&quot;/&gt;&lt;wsp:rsid wsp:val=&quot;00520321&quot;/&gt;&lt;wsp:rsid wsp:val=&quot;0052196E&quot;/&gt;&lt;wsp:rsid wsp:val=&quot;00527117&quot;/&gt;&lt;wsp:rsid wsp:val=&quot;00540322&quot;/&gt;&lt;wsp:rsid wsp:val=&quot;0054126B&quot;/&gt;&lt;wsp:rsid wsp:val=&quot;00544B04&quot;/&gt;&lt;wsp:rsid wsp:val=&quot;005461A4&quot;/&gt;&lt;wsp:rsid wsp:val=&quot;005463D8&quot;/&gt;&lt;wsp:rsid wsp:val=&quot;00555428&quot;/&gt;&lt;wsp:rsid wsp:val=&quot;005720BD&quot;/&gt;&lt;wsp:rsid wsp:val=&quot;00573ADF&quot;/&gt;&lt;wsp:rsid wsp:val=&quot;0059084C&quot;/&gt;&lt;wsp:rsid wsp:val=&quot;00595FD5&quot;/&gt;&lt;wsp:rsid wsp:val=&quot;005C4E0A&quot;/&gt;&lt;wsp:rsid wsp:val=&quot;005E4003&quot;/&gt;&lt;wsp:rsid wsp:val=&quot;005E6723&quot;/&gt;&lt;wsp:rsid wsp:val=&quot;005F50F1&quot;/&gt;&lt;wsp:rsid wsp:val=&quot;005F62DB&quot;/&gt;&lt;wsp:rsid wsp:val=&quot;00606EB6&quot;/&gt;&lt;wsp:rsid wsp:val=&quot;0066211E&quot;/&gt;&lt;wsp:rsid wsp:val=&quot;00674429&quot;/&gt;&lt;wsp:rsid wsp:val=&quot;00693C97&quot;/&gt;&lt;wsp:rsid wsp:val=&quot;006A2172&quot;/&gt;&lt;wsp:rsid wsp:val=&quot;006B115C&quot;/&gt;&lt;wsp:rsid wsp:val=&quot;006C10A9&quot;/&gt;&lt;wsp:rsid wsp:val=&quot;006C4B16&quot;/&gt;&lt;wsp:rsid wsp:val=&quot;006C6FD5&quot;/&gt;&lt;wsp:rsid wsp:val=&quot;006D6A01&quot;/&gt;&lt;wsp:rsid wsp:val=&quot;006E085F&quot;/&gt;&lt;wsp:rsid wsp:val=&quot;0070342C&quot;/&gt;&lt;wsp:rsid wsp:val=&quot;007110DA&quot;/&gt;&lt;wsp:rsid wsp:val=&quot;00717B83&quot;/&gt;&lt;wsp:rsid wsp:val=&quot;0072188B&quot;/&gt;&lt;wsp:rsid wsp:val=&quot;00737685&quot;/&gt;&lt;wsp:rsid wsp:val=&quot;00745264&quot;/&gt;&lt;wsp:rsid wsp:val=&quot;0075544E&quot;/&gt;&lt;wsp:rsid wsp:val=&quot;00770CC2&quot;/&gt;&lt;wsp:rsid wsp:val=&quot;007814F0&quot;/&gt;&lt;wsp:rsid wsp:val=&quot;007B0B09&quot;/&gt;&lt;wsp:rsid wsp:val=&quot;007D5727&quot;/&gt;&lt;wsp:rsid wsp:val=&quot;007E4BAE&quot;/&gt;&lt;wsp:rsid wsp:val=&quot;007F20BD&quot;/&gt;&lt;wsp:rsid wsp:val=&quot;007F50E3&quot;/&gt;&lt;wsp:rsid wsp:val=&quot;00801168&quot;/&gt;&lt;wsp:rsid wsp:val=&quot;0080787A&quot;/&gt;&lt;wsp:rsid wsp:val=&quot;0081738E&quot;/&gt;&lt;wsp:rsid wsp:val=&quot;00842756&quot;/&gt;&lt;wsp:rsid wsp:val=&quot;008460C7&quot;/&gt;&lt;wsp:rsid wsp:val=&quot;00853369&quot;/&gt;&lt;wsp:rsid wsp:val=&quot;0086014E&quot;/&gt;&lt;wsp:rsid wsp:val=&quot;008748FA&quot;/&gt;&lt;wsp:rsid wsp:val=&quot;00876DB8&quot;/&gt;&lt;wsp:rsid wsp:val=&quot;00885618&quot;/&gt;&lt;wsp:rsid wsp:val=&quot;008912CE&quot;/&gt;&lt;wsp:rsid wsp:val=&quot;00892CA1&quot;/&gt;&lt;wsp:rsid wsp:val=&quot;008964F9&quot;/&gt;&lt;wsp:rsid wsp:val=&quot;008C05F0&quot;/&gt;&lt;wsp:rsid wsp:val=&quot;008C5FB1&quot;/&gt;&lt;wsp:rsid wsp:val=&quot;00903EA0&quot;/&gt;&lt;wsp:rsid wsp:val=&quot;00904D7B&quot;/&gt;&lt;wsp:rsid wsp:val=&quot;009114BC&quot;/&gt;&lt;wsp:rsid wsp:val=&quot;00925B66&quot;/&gt;&lt;wsp:rsid wsp:val=&quot;00991AA7&quot;/&gt;&lt;wsp:rsid wsp:val=&quot;009B77EB&quot;/&gt;&lt;wsp:rsid wsp:val=&quot;009C0C04&quot;/&gt;&lt;wsp:rsid wsp:val=&quot;009D4318&quot;/&gt;&lt;wsp:rsid wsp:val=&quot;009E40CF&quot;/&gt;&lt;wsp:rsid wsp:val=&quot;009E7A21&quot;/&gt;&lt;wsp:rsid wsp:val=&quot;009F0002&quot;/&gt;&lt;wsp:rsid wsp:val=&quot;009F19B4&quot;/&gt;&lt;wsp:rsid wsp:val=&quot;009F3D1B&quot;/&gt;&lt;wsp:rsid wsp:val=&quot;009F5784&quot;/&gt;&lt;wsp:rsid wsp:val=&quot;00A000A5&quot;/&gt;&lt;wsp:rsid wsp:val=&quot;00A30125&quot;/&gt;&lt;wsp:rsid wsp:val=&quot;00A4446F&quot;/&gt;&lt;wsp:rsid wsp:val=&quot;00A9245E&quot;/&gt;&lt;wsp:rsid wsp:val=&quot;00AB2EB5&quot;/&gt;&lt;wsp:rsid wsp:val=&quot;00AB732E&quot;/&gt;&lt;wsp:rsid wsp:val=&quot;00B37A59&quot;/&gt;&lt;wsp:rsid wsp:val=&quot;00B4144C&quot;/&gt;&lt;wsp:rsid wsp:val=&quot;00B710BE&quot;/&gt;&lt;wsp:rsid wsp:val=&quot;00B71F8D&quot;/&gt;&lt;wsp:rsid wsp:val=&quot;00B77F8C&quot;/&gt;&lt;wsp:rsid wsp:val=&quot;00B80305&quot;/&gt;&lt;wsp:rsid wsp:val=&quot;00BB3E24&quot;/&gt;&lt;wsp:rsid wsp:val=&quot;00BD5A39&quot;/&gt;&lt;wsp:rsid wsp:val=&quot;00BE455C&quot;/&gt;&lt;wsp:rsid wsp:val=&quot;00C00443&quot;/&gt;&lt;wsp:rsid wsp:val=&quot;00C06111&quot;/&gt;&lt;wsp:rsid wsp:val=&quot;00C30BDE&quot;/&gt;&lt;wsp:rsid wsp:val=&quot;00C318EE&quot;/&gt;&lt;wsp:rsid wsp:val=&quot;00C34759&quot;/&gt;&lt;wsp:rsid wsp:val=&quot;00C63F54&quot;/&gt;&lt;wsp:rsid wsp:val=&quot;00C6608D&quot;/&gt;&lt;wsp:rsid wsp:val=&quot;00C67050&quot;/&gt;&lt;wsp:rsid wsp:val=&quot;00C67B4C&quot;/&gt;&lt;wsp:rsid wsp:val=&quot;00CB1FDF&quot;/&gt;&lt;wsp:rsid wsp:val=&quot;00CB2087&quot;/&gt;&lt;wsp:rsid wsp:val=&quot;00CB462D&quot;/&gt;&lt;wsp:rsid wsp:val=&quot;00CC0C2B&quot;/&gt;&lt;wsp:rsid wsp:val=&quot;00CF570A&quot;/&gt;&lt;wsp:rsid wsp:val=&quot;00D0526F&quot;/&gt;&lt;wsp:rsid wsp:val=&quot;00D05315&quot;/&gt;&lt;wsp:rsid wsp:val=&quot;00D12154&quot;/&gt;&lt;wsp:rsid wsp:val=&quot;00D3073A&quot;/&gt;&lt;wsp:rsid wsp:val=&quot;00D55D42&quot;/&gt;&lt;wsp:rsid wsp:val=&quot;00D57F54&quot;/&gt;&lt;wsp:rsid wsp:val=&quot;00D6621D&quot;/&gt;&lt;wsp:rsid wsp:val=&quot;00D67934&quot;/&gt;&lt;wsp:rsid wsp:val=&quot;00D72ABD&quot;/&gt;&lt;wsp:rsid wsp:val=&quot;00D85F94&quot;/&gt;&lt;wsp:rsid wsp:val=&quot;00D87ECA&quot;/&gt;&lt;wsp:rsid wsp:val=&quot;00D93266&quot;/&gt;&lt;wsp:rsid wsp:val=&quot;00DA647C&quot;/&gt;&lt;wsp:rsid wsp:val=&quot;00DC1B1F&quot;/&gt;&lt;wsp:rsid wsp:val=&quot;00DC4EEA&quot;/&gt;&lt;wsp:rsid wsp:val=&quot;00DD4129&quot;/&gt;&lt;wsp:rsid wsp:val=&quot;00E03316&quot;/&gt;&lt;wsp:rsid wsp:val=&quot;00E1325A&quot;/&gt;&lt;wsp:rsid wsp:val=&quot;00E153AD&quot;/&gt;&lt;wsp:rsid wsp:val=&quot;00E23EBA&quot;/&gt;&lt;wsp:rsid wsp:val=&quot;00E3382F&quot;/&gt;&lt;wsp:rsid wsp:val=&quot;00E465CC&quot;/&gt;&lt;wsp:rsid wsp:val=&quot;00E570A0&quot;/&gt;&lt;wsp:rsid wsp:val=&quot;00E673F4&quot;/&gt;&lt;wsp:rsid wsp:val=&quot;00E71617&quot;/&gt;&lt;wsp:rsid wsp:val=&quot;00E75437&quot;/&gt;&lt;wsp:rsid wsp:val=&quot;00E834C5&quot;/&gt;&lt;wsp:rsid wsp:val=&quot;00E84EDF&quot;/&gt;&lt;wsp:rsid wsp:val=&quot;00E851C3&quot;/&gt;&lt;wsp:rsid wsp:val=&quot;00E93297&quot;/&gt;&lt;wsp:rsid wsp:val=&quot;00EB0014&quot;/&gt;&lt;wsp:rsid wsp:val=&quot;00EB48BC&quot;/&gt;&lt;wsp:rsid wsp:val=&quot;00EC022A&quot;/&gt;&lt;wsp:rsid wsp:val=&quot;00EC3E5E&quot;/&gt;&lt;wsp:rsid wsp:val=&quot;00EE0575&quot;/&gt;&lt;wsp:rsid wsp:val=&quot;00EF2DBB&quot;/&gt;&lt;wsp:rsid wsp:val=&quot;00F257B5&quot;/&gt;&lt;wsp:rsid wsp:val=&quot;00F579DB&quot;/&gt;&lt;wsp:rsid wsp:val=&quot;00F710E8&quot;/&gt;&lt;wsp:rsid wsp:val=&quot;00F75CD4&quot;/&gt;&lt;wsp:rsid wsp:val=&quot;00F76DFB&quot;/&gt;&lt;wsp:rsid wsp:val=&quot;00FA00ED&quot;/&gt;&lt;wsp:rsid wsp:val=&quot;00FD146F&quot;/&gt;&lt;wsp:rsid wsp:val=&quot;00FD3BB6&quot;/&gt;&lt;wsp:rsid wsp:val=&quot;00FE695F&quot;/&gt;&lt;/wsp:rsids&gt;&lt;/w:docPr&gt;&lt;w:body&gt;&lt;wx:sect&gt;&lt;w:p wsp:rsidR=&quot;00000000&quot; wsp:rsidRDefault=&quot;00573ADF&quot; wsp:rsidP=&quot;00573ADF&quot;&gt;&lt;m:oMathPara&gt;&lt;m:oMath&gt;&lt;m:nary&gt;&lt;m:naryPr&gt;&lt;m:chr m:val=&quot;∑&quot;/&gt;&lt;m:limLoc m:val=&quot;undO////////////vr&quot;/&gt;&lt;m:ctrlPr&gt;&lt;w:rPr&gt;&lt;w:rFonts w:ascii=&quot;Cambria Math&quot; w:h-ansi=&quot;Cambria Math&quot; w:cs=&quot;仿宋_GB2312&quot;/&gt;&lt;wx:font wx:val=&quot;Cambria Math&quot;/&gt;&lt;w:sz w:val=&quot;21&quot;/&gt;&lt;w:sz-cs w:val=&quot;29&quot;/&gt;&lt;/w:rPr&gt;&lt;/m:ctrlPr&gt;&lt;/m:naryPr&gt;&lt;m:sub&gt;&lt;m:r&gt;&lt;w:rPr&gt;&lt;w:rFonts w:ascii=&quot;CambriO/aO/ O/MO/aO/tO/hO/&quot;O/ O/wO/:O/hO/-ansi=&quot;Cambria Math&quot; w:cs=&quot;仿宋_GB2312&quot;/&gt;&lt;wx:font wx:val=&quot;Cambria Math&quot;/&gt;&lt;w:i/&gt;&lt;w:sz w:val=&quot;21&quot;/&gt;&lt;w:sz-cs w:val=&quot;29&quot;/&gt;&lt;/w:rPr&gt;&lt;m:t&gt;i=1&lt;/m:t&gt;&lt;/m:r&gt;&lt;/m:sub&gt;&lt;m:sup&gt;&lt;m:r&gt;&lt;w:rPr&gt;&lt;w:rFonts w:ascii=&quot;Cambria Math&quot; w:h-ansi=&quot;CambriO/a MO/athO/&quot; wO/:csO/=&quot;?O/滤蝨hO/_GBh&quot;O/231&quot; O/2&quot;/ wO/&gt;&lt;ww:O/x:f:hO/ont wx:val=&quot;Cambria Math&quot;/&gt;&lt;w:i/&gt;&lt;w:sz w:val=&quot;21&quot;/&gt;&lt;w:sz-cs w:val=&quot;29&quot;/&gt;&lt;/w:rPr&gt;&lt;m:t&gt;n&lt;/m:t&gt;&lt;/m:r&gt;&lt;/m:sup&gt;&lt;m:e&gt;&lt;m:r&gt;&lt;w:rPr&gt;&lt;w:rFonts w:ascii=&quot;Cambria Math&quot; w:h-ansi=&quot;Cambria Math&quot; w:cs=&quot;仿iO/宋_GB MO/2312&quot;thO//&gt;&lt;wx wO/:fontcsO/ wx:v&quot;?O/al=&quot;CamO/bria MaO/th&quot;/&gt;&lt;wO/:i/&gt;&lt;w:O/sz w:vaO/l=&quot;21&quot;/O/&gt;&lt;w:sz-cs w:val=&quot;29&quot;/&gt;&lt;/w:rPr&gt;&lt;m:t&gt;ki&lt;/m:t&gt;&lt;/m:r&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65" chromakey="#FFFFFF" o:title=""/>
            <o:lock v:ext="edit" aspectratio="t"/>
            <w10:wrap type="none"/>
            <w10:anchorlock/>
          </v:shape>
        </w:pict>
      </w:r>
      <w:r>
        <w:rPr>
          <w:rFonts w:ascii="Arial" w:hAnsi="Arial" w:eastAsia="仿宋" w:cs="Arial"/>
          <w:color w:val="auto"/>
          <w:sz w:val="28"/>
          <w:szCs w:val="28"/>
        </w:rPr>
        <w:instrText xml:space="preserve"> </w:instrText>
      </w:r>
      <w:r>
        <w:rPr>
          <w:rFonts w:ascii="Arial" w:hAnsi="Arial" w:eastAsia="仿宋" w:cs="Arial"/>
          <w:color w:val="auto"/>
          <w:sz w:val="28"/>
          <w:szCs w:val="28"/>
        </w:rPr>
        <w:fldChar w:fldCharType="separate"/>
      </w:r>
      <w:r>
        <w:rPr>
          <w:rFonts w:ascii="Arial" w:hAnsi="Arial" w:eastAsia="仿宋" w:cs="Arial"/>
          <w:color w:val="auto"/>
          <w:sz w:val="28"/>
          <w:szCs w:val="28"/>
        </w:rPr>
        <w:pict>
          <v:shape id="_x0000_i1028" o:spt="75" type="#_x0000_t75" style="height:18.75pt;width:30.75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bordersDontSurroundHeader/&gt;&lt;w:bordersDontSurroundFooter/&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06111&quot;/&gt;&lt;wsp:rsid wsp:val=&quot;000178EB&quot;/&gt;&lt;wsp:rsid wsp:val=&quot;00032366&quot;/&gt;&lt;wsp:rsid wsp:val=&quot;00032528&quot;/&gt;&lt;wsp:rsid wsp:val=&quot;0005644A&quot;/&gt;&lt;wsp:rsid wsp:val=&quot;000870BF&quot;/&gt;&lt;wsp:rsid wsp:val=&quot;000A2CE2&quot;/&gt;&lt;wsp:rsid wsp:val=&quot;000A35BB&quot;/&gt;&lt;wsp:rsid wsp:val=&quot;000C479B&quot;/&gt;&lt;wsp:rsid wsp:val=&quot;000F7E94&quot;/&gt;&lt;wsp:rsid wsp:val=&quot;00100E36&quot;/&gt;&lt;wsp:rsid wsp:val=&quot;0010754D&quot;/&gt;&lt;wsp:rsid wsp:val=&quot;0011058E&quot;/&gt;&lt;wsp:rsid wsp:val=&quot;00115E7E&quot;/&gt;&lt;wsp:rsid wsp:val=&quot;00115F67&quot;/&gt;&lt;wsp:rsid wsp:val=&quot;00136655&quot;/&gt;&lt;wsp:rsid wsp:val=&quot;001709EB&quot;/&gt;&lt;wsp:rsid wsp:val=&quot;00175821&quot;/&gt;&lt;wsp:rsid wsp:val=&quot;00180DC9&quot;/&gt;&lt;wsp:rsid wsp:val=&quot;001A4628&quot;/&gt;&lt;wsp:rsid wsp:val=&quot;001A66E5&quot;/&gt;&lt;wsp:rsid wsp:val=&quot;001C2E50&quot;/&gt;&lt;wsp:rsid wsp:val=&quot;001D78E4&quot;/&gt;&lt;wsp:rsid wsp:val=&quot;001E3E70&quot;/&gt;&lt;wsp:rsid wsp:val=&quot;001F4C0A&quot;/&gt;&lt;wsp:rsid wsp:val=&quot;00251D66&quot;/&gt;&lt;wsp:rsid wsp:val=&quot;0025382F&quot;/&gt;&lt;wsp:rsid wsp:val=&quot;00263EFC&quot;/&gt;&lt;wsp:rsid wsp:val=&quot;00283C27&quot;/&gt;&lt;wsp:rsid wsp:val=&quot;002A32A6&quot;/&gt;&lt;wsp:rsid wsp:val=&quot;002D1E84&quot;/&gt;&lt;wsp:rsid wsp:val=&quot;002E011B&quot;/&gt;&lt;wsp:rsid wsp:val=&quot;00315E7C&quot;/&gt;&lt;wsp:rsid wsp:val=&quot;003451F1&quot;/&gt;&lt;wsp:rsid wsp:val=&quot;00350A39&quot;/&gt;&lt;wsp:rsid wsp:val=&quot;00366E0F&quot;/&gt;&lt;wsp:rsid wsp:val=&quot;00374477&quot;/&gt;&lt;wsp:rsid wsp:val=&quot;003860EA&quot;/&gt;&lt;wsp:rsid wsp:val=&quot;00386735&quot;/&gt;&lt;wsp:rsid wsp:val=&quot;003972C2&quot;/&gt;&lt;wsp:rsid wsp:val=&quot;003B064A&quot;/&gt;&lt;wsp:rsid wsp:val=&quot;003F0E81&quot;/&gt;&lt;wsp:rsid wsp:val=&quot;003F732B&quot;/&gt;&lt;wsp:rsid wsp:val=&quot;003F7CA6&quot;/&gt;&lt;wsp:rsid wsp:val=&quot;0040135C&quot;/&gt;&lt;wsp:rsid wsp:val=&quot;00402AED&quot;/&gt;&lt;wsp:rsid wsp:val=&quot;00407162&quot;/&gt;&lt;wsp:rsid wsp:val=&quot;00415EB6&quot;/&gt;&lt;wsp:rsid wsp:val=&quot;0043011E&quot;/&gt;&lt;wsp:rsid wsp:val=&quot;004763B8&quot;/&gt;&lt;wsp:rsid wsp:val=&quot;00476BC3&quot;/&gt;&lt;wsp:rsid wsp:val=&quot;00484DC2&quot;/&gt;&lt;wsp:rsid wsp:val=&quot;00494499&quot;/&gt;&lt;wsp:rsid wsp:val=&quot;004B0921&quot;/&gt;&lt;wsp:rsid wsp:val=&quot;004C41B7&quot;/&gt;&lt;wsp:rsid wsp:val=&quot;004D09B2&quot;/&gt;&lt;wsp:rsid wsp:val=&quot;004D62F4&quot;/&gt;&lt;wsp:rsid wsp:val=&quot;004F047C&quot;/&gt;&lt;wsp:rsid wsp:val=&quot;004F7667&quot;/&gt;&lt;wsp:rsid wsp:val=&quot;00520321&quot;/&gt;&lt;wsp:rsid wsp:val=&quot;0052196E&quot;/&gt;&lt;wsp:rsid wsp:val=&quot;00527117&quot;/&gt;&lt;wsp:rsid wsp:val=&quot;00540322&quot;/&gt;&lt;wsp:rsid wsp:val=&quot;0054126B&quot;/&gt;&lt;wsp:rsid wsp:val=&quot;00544B04&quot;/&gt;&lt;wsp:rsid wsp:val=&quot;005461A4&quot;/&gt;&lt;wsp:rsid wsp:val=&quot;005463D8&quot;/&gt;&lt;wsp:rsid wsp:val=&quot;00555428&quot;/&gt;&lt;wsp:rsid wsp:val=&quot;005720BD&quot;/&gt;&lt;wsp:rsid wsp:val=&quot;00573ADF&quot;/&gt;&lt;wsp:rsid wsp:val=&quot;0059084C&quot;/&gt;&lt;wsp:rsid wsp:val=&quot;00595FD5&quot;/&gt;&lt;wsp:rsid wsp:val=&quot;005C4E0A&quot;/&gt;&lt;wsp:rsid wsp:val=&quot;005E4003&quot;/&gt;&lt;wsp:rsid wsp:val=&quot;005E6723&quot;/&gt;&lt;wsp:rsid wsp:val=&quot;005F50F1&quot;/&gt;&lt;wsp:rsid wsp:val=&quot;005F62DB&quot;/&gt;&lt;wsp:rsid wsp:val=&quot;00606EB6&quot;/&gt;&lt;wsp:rsid wsp:val=&quot;0066211E&quot;/&gt;&lt;wsp:rsid wsp:val=&quot;00674429&quot;/&gt;&lt;wsp:rsid wsp:val=&quot;00693C97&quot;/&gt;&lt;wsp:rsid wsp:val=&quot;006A2172&quot;/&gt;&lt;wsp:rsid wsp:val=&quot;006B115C&quot;/&gt;&lt;wsp:rsid wsp:val=&quot;006C10A9&quot;/&gt;&lt;wsp:rsid wsp:val=&quot;006C4B16&quot;/&gt;&lt;wsp:rsid wsp:val=&quot;006C6FD5&quot;/&gt;&lt;wsp:rsid wsp:val=&quot;006D6A01&quot;/&gt;&lt;wsp:rsid wsp:val=&quot;006E085F&quot;/&gt;&lt;wsp:rsid wsp:val=&quot;0070342C&quot;/&gt;&lt;wsp:rsid wsp:val=&quot;007110DA&quot;/&gt;&lt;wsp:rsid wsp:val=&quot;00717B83&quot;/&gt;&lt;wsp:rsid wsp:val=&quot;0072188B&quot;/&gt;&lt;wsp:rsid wsp:val=&quot;00737685&quot;/&gt;&lt;wsp:rsid wsp:val=&quot;00745264&quot;/&gt;&lt;wsp:rsid wsp:val=&quot;0075544E&quot;/&gt;&lt;wsp:rsid wsp:val=&quot;00770CC2&quot;/&gt;&lt;wsp:rsid wsp:val=&quot;007814F0&quot;/&gt;&lt;wsp:rsid wsp:val=&quot;007B0B09&quot;/&gt;&lt;wsp:rsid wsp:val=&quot;007D5727&quot;/&gt;&lt;wsp:rsid wsp:val=&quot;007E4BAE&quot;/&gt;&lt;wsp:rsid wsp:val=&quot;007F20BD&quot;/&gt;&lt;wsp:rsid wsp:val=&quot;007F50E3&quot;/&gt;&lt;wsp:rsid wsp:val=&quot;00801168&quot;/&gt;&lt;wsp:rsid wsp:val=&quot;0080787A&quot;/&gt;&lt;wsp:rsid wsp:val=&quot;0081738E&quot;/&gt;&lt;wsp:rsid wsp:val=&quot;00842756&quot;/&gt;&lt;wsp:rsid wsp:val=&quot;008460C7&quot;/&gt;&lt;wsp:rsid wsp:val=&quot;00853369&quot;/&gt;&lt;wsp:rsid wsp:val=&quot;0086014E&quot;/&gt;&lt;wsp:rsid wsp:val=&quot;008748FA&quot;/&gt;&lt;wsp:rsid wsp:val=&quot;00876DB8&quot;/&gt;&lt;wsp:rsid wsp:val=&quot;00885618&quot;/&gt;&lt;wsp:rsid wsp:val=&quot;008912CE&quot;/&gt;&lt;wsp:rsid wsp:val=&quot;00892CA1&quot;/&gt;&lt;wsp:rsid wsp:val=&quot;008964F9&quot;/&gt;&lt;wsp:rsid wsp:val=&quot;008C05F0&quot;/&gt;&lt;wsp:rsid wsp:val=&quot;008C5FB1&quot;/&gt;&lt;wsp:rsid wsp:val=&quot;00903EA0&quot;/&gt;&lt;wsp:rsid wsp:val=&quot;00904D7B&quot;/&gt;&lt;wsp:rsid wsp:val=&quot;009114BC&quot;/&gt;&lt;wsp:rsid wsp:val=&quot;00925B66&quot;/&gt;&lt;wsp:rsid wsp:val=&quot;00991AA7&quot;/&gt;&lt;wsp:rsid wsp:val=&quot;009B77EB&quot;/&gt;&lt;wsp:rsid wsp:val=&quot;009C0C04&quot;/&gt;&lt;wsp:rsid wsp:val=&quot;009D4318&quot;/&gt;&lt;wsp:rsid wsp:val=&quot;009E40CF&quot;/&gt;&lt;wsp:rsid wsp:val=&quot;009E7A21&quot;/&gt;&lt;wsp:rsid wsp:val=&quot;009F0002&quot;/&gt;&lt;wsp:rsid wsp:val=&quot;009F19B4&quot;/&gt;&lt;wsp:rsid wsp:val=&quot;009F3D1B&quot;/&gt;&lt;wsp:rsid wsp:val=&quot;009F5784&quot;/&gt;&lt;wsp:rsid wsp:val=&quot;00A000A5&quot;/&gt;&lt;wsp:rsid wsp:val=&quot;00A30125&quot;/&gt;&lt;wsp:rsid wsp:val=&quot;00A4446F&quot;/&gt;&lt;wsp:rsid wsp:val=&quot;00A9245E&quot;/&gt;&lt;wsp:rsid wsp:val=&quot;00AB2EB5&quot;/&gt;&lt;wsp:rsid wsp:val=&quot;00AB732E&quot;/&gt;&lt;wsp:rsid wsp:val=&quot;00B37A59&quot;/&gt;&lt;wsp:rsid wsp:val=&quot;00B4144C&quot;/&gt;&lt;wsp:rsid wsp:val=&quot;00B710BE&quot;/&gt;&lt;wsp:rsid wsp:val=&quot;00B71F8D&quot;/&gt;&lt;wsp:rsid wsp:val=&quot;00B77F8C&quot;/&gt;&lt;wsp:rsid wsp:val=&quot;00B80305&quot;/&gt;&lt;wsp:rsid wsp:val=&quot;00BB3E24&quot;/&gt;&lt;wsp:rsid wsp:val=&quot;00BD5A39&quot;/&gt;&lt;wsp:rsid wsp:val=&quot;00BE455C&quot;/&gt;&lt;wsp:rsid wsp:val=&quot;00C00443&quot;/&gt;&lt;wsp:rsid wsp:val=&quot;00C06111&quot;/&gt;&lt;wsp:rsid wsp:val=&quot;00C30BDE&quot;/&gt;&lt;wsp:rsid wsp:val=&quot;00C318EE&quot;/&gt;&lt;wsp:rsid wsp:val=&quot;00C34759&quot;/&gt;&lt;wsp:rsid wsp:val=&quot;00C63F54&quot;/&gt;&lt;wsp:rsid wsp:val=&quot;00C6608D&quot;/&gt;&lt;wsp:rsid wsp:val=&quot;00C67050&quot;/&gt;&lt;wsp:rsid wsp:val=&quot;00C67B4C&quot;/&gt;&lt;wsp:rsid wsp:val=&quot;00CB1FDF&quot;/&gt;&lt;wsp:rsid wsp:val=&quot;00CB2087&quot;/&gt;&lt;wsp:rsid wsp:val=&quot;00CB462D&quot;/&gt;&lt;wsp:rsid wsp:val=&quot;00CC0C2B&quot;/&gt;&lt;wsp:rsid wsp:val=&quot;00CF570A&quot;/&gt;&lt;wsp:rsid wsp:val=&quot;00D0526F&quot;/&gt;&lt;wsp:rsid wsp:val=&quot;00D05315&quot;/&gt;&lt;wsp:rsid wsp:val=&quot;00D12154&quot;/&gt;&lt;wsp:rsid wsp:val=&quot;00D3073A&quot;/&gt;&lt;wsp:rsid wsp:val=&quot;00D55D42&quot;/&gt;&lt;wsp:rsid wsp:val=&quot;00D57F54&quot;/&gt;&lt;wsp:rsid wsp:val=&quot;00D6621D&quot;/&gt;&lt;wsp:rsid wsp:val=&quot;00D67934&quot;/&gt;&lt;wsp:rsid wsp:val=&quot;00D72ABD&quot;/&gt;&lt;wsp:rsid wsp:val=&quot;00D85F94&quot;/&gt;&lt;wsp:rsid wsp:val=&quot;00D87ECA&quot;/&gt;&lt;wsp:rsid wsp:val=&quot;00D93266&quot;/&gt;&lt;wsp:rsid wsp:val=&quot;00DA647C&quot;/&gt;&lt;wsp:rsid wsp:val=&quot;00DC1B1F&quot;/&gt;&lt;wsp:rsid wsp:val=&quot;00DC4EEA&quot;/&gt;&lt;wsp:rsid wsp:val=&quot;00DD4129&quot;/&gt;&lt;wsp:rsid wsp:val=&quot;00E03316&quot;/&gt;&lt;wsp:rsid wsp:val=&quot;00E1325A&quot;/&gt;&lt;wsp:rsid wsp:val=&quot;00E153AD&quot;/&gt;&lt;wsp:rsid wsp:val=&quot;00E23EBA&quot;/&gt;&lt;wsp:rsid wsp:val=&quot;00E3382F&quot;/&gt;&lt;wsp:rsid wsp:val=&quot;00E465CC&quot;/&gt;&lt;wsp:rsid wsp:val=&quot;00E570A0&quot;/&gt;&lt;wsp:rsid wsp:val=&quot;00E673F4&quot;/&gt;&lt;wsp:rsid wsp:val=&quot;00E71617&quot;/&gt;&lt;wsp:rsid wsp:val=&quot;00E75437&quot;/&gt;&lt;wsp:rsid wsp:val=&quot;00E834C5&quot;/&gt;&lt;wsp:rsid wsp:val=&quot;00E84EDF&quot;/&gt;&lt;wsp:rsid wsp:val=&quot;00E851C3&quot;/&gt;&lt;wsp:rsid wsp:val=&quot;00E93297&quot;/&gt;&lt;wsp:rsid wsp:val=&quot;00EB0014&quot;/&gt;&lt;wsp:rsid wsp:val=&quot;00EB48BC&quot;/&gt;&lt;wsp:rsid wsp:val=&quot;00EC022A&quot;/&gt;&lt;wsp:rsid wsp:val=&quot;00EC3E5E&quot;/&gt;&lt;wsp:rsid wsp:val=&quot;00EE0575&quot;/&gt;&lt;wsp:rsid wsp:val=&quot;00EF2DBB&quot;/&gt;&lt;wsp:rsid wsp:val=&quot;00F257B5&quot;/&gt;&lt;wsp:rsid wsp:val=&quot;00F579DB&quot;/&gt;&lt;wsp:rsid wsp:val=&quot;00F710E8&quot;/&gt;&lt;wsp:rsid wsp:val=&quot;00F75CD4&quot;/&gt;&lt;wsp:rsid wsp:val=&quot;00F76DFB&quot;/&gt;&lt;wsp:rsid wsp:val=&quot;00FA00ED&quot;/&gt;&lt;wsp:rsid wsp:val=&quot;00FD146F&quot;/&gt;&lt;wsp:rsid wsp:val=&quot;00FD3BB6&quot;/&gt;&lt;wsp:rsid wsp:val=&quot;00FE695F&quot;/&gt;&lt;/wsp:rsids&gt;&lt;/w:docPr&gt;&lt;w:body&gt;&lt;wx:sect&gt;&lt;w:p wsp:rsidR=&quot;00000000&quot; wsp:rsidRDefault=&quot;00573ADF&quot; wsp:rsidP=&quot;00573ADF&quot;&gt;&lt;m:oMathPara&gt;&lt;m:oMath&gt;&lt;m:nary&gt;&lt;m:naryPr&gt;&lt;m:chr m:val=&quot;∑&quot;/&gt;&lt;m:limLoc m:val=&quot;undO////////////vr&quot;/&gt;&lt;m:ctrlPr&gt;&lt;w:rPr&gt;&lt;w:rFonts w:ascii=&quot;Cambria Math&quot; w:h-ansi=&quot;Cambria Math&quot; w:cs=&quot;仿宋_GB2312&quot;/&gt;&lt;wx:font wx:val=&quot;Cambria Math&quot;/&gt;&lt;w:sz w:val=&quot;21&quot;/&gt;&lt;w:sz-cs w:val=&quot;29&quot;/&gt;&lt;/w:rPr&gt;&lt;/m:ctrlPr&gt;&lt;/m:naryPr&gt;&lt;m:sub&gt;&lt;m:r&gt;&lt;w:rPr&gt;&lt;w:rFonts w:ascii=&quot;CambriO/aO/ O/MO/aO/tO/hO/&quot;O/ O/wO/:O/hO/-ansi=&quot;Cambria Math&quot; w:cs=&quot;仿宋_GB2312&quot;/&gt;&lt;wx:font wx:val=&quot;Cambria Math&quot;/&gt;&lt;w:i/&gt;&lt;w:sz w:val=&quot;21&quot;/&gt;&lt;w:sz-cs w:val=&quot;29&quot;/&gt;&lt;/w:rPr&gt;&lt;m:t&gt;i=1&lt;/m:t&gt;&lt;/m:r&gt;&lt;/m:sub&gt;&lt;m:sup&gt;&lt;m:r&gt;&lt;w:rPr&gt;&lt;w:rFonts w:ascii=&quot;Cambria Math&quot; w:h-ansi=&quot;CambriO/a MO/athO/&quot; wO/:csO/=&quot;?O/滤蝨hO/_GBh&quot;O/231&quot; O/2&quot;/ wO/&gt;&lt;ww:O/x:f:hO/ont wx:val=&quot;Cambria Math&quot;/&gt;&lt;w:i/&gt;&lt;w:sz w:val=&quot;21&quot;/&gt;&lt;w:sz-cs w:val=&quot;29&quot;/&gt;&lt;/w:rPr&gt;&lt;m:t&gt;n&lt;/m:t&gt;&lt;/m:r&gt;&lt;/m:sup&gt;&lt;m:e&gt;&lt;m:r&gt;&lt;w:rPr&gt;&lt;w:rFonts w:ascii=&quot;Cambria Math&quot; w:h-ansi=&quot;Cambria Math&quot; w:cs=&quot;仿iO/宋_GB MO/2312&quot;thO//&gt;&lt;wx wO/:fontcsO/ wx:v&quot;?O/al=&quot;CamO/bria MaO/th&quot;/&gt;&lt;wO/:i/&gt;&lt;w:O/sz w:vaO/l=&quot;21&quot;/O/&gt;&lt;w:sz-cs w:val=&quot;29&quot;/&gt;&lt;/w:rPr&gt;&lt;m:t&gt;ki&lt;/m:t&gt;&lt;/m:r&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65" chromakey="#FFFFFF" o:title=""/>
            <o:lock v:ext="edit" aspectratio="t"/>
            <w10:wrap type="none"/>
            <w10:anchorlock/>
          </v:shape>
        </w:pict>
      </w:r>
      <w:r>
        <w:rPr>
          <w:rFonts w:ascii="Arial" w:hAnsi="Arial" w:eastAsia="仿宋" w:cs="Arial"/>
          <w:color w:val="auto"/>
          <w:sz w:val="28"/>
          <w:szCs w:val="28"/>
        </w:rPr>
        <w:fldChar w:fldCharType="end"/>
      </w:r>
    </w:p>
    <w:p w14:paraId="244F9BF0">
      <w:pPr>
        <w:adjustRightInd/>
        <w:spacing w:line="360" w:lineRule="auto"/>
        <w:ind w:firstLine="560" w:firstLineChars="200"/>
        <w:rPr>
          <w:rFonts w:ascii="Arial" w:hAnsi="Arial" w:eastAsia="仿宋" w:cs="Arial"/>
          <w:color w:val="auto"/>
          <w:sz w:val="28"/>
          <w:szCs w:val="28"/>
        </w:rPr>
      </w:pPr>
      <w:r>
        <w:rPr>
          <w:rFonts w:ascii="Arial" w:hAnsi="Arial" w:eastAsia="仿宋" w:cs="Arial"/>
          <w:color w:val="auto"/>
          <w:sz w:val="28"/>
          <w:szCs w:val="28"/>
        </w:rPr>
        <w:t>其中ki：第i种因素的修正系数</w:t>
      </w:r>
    </w:p>
    <w:p w14:paraId="3ED809D5">
      <w:pPr>
        <w:adjustRightInd/>
        <w:spacing w:line="360" w:lineRule="auto"/>
        <w:ind w:firstLine="560" w:firstLineChars="200"/>
        <w:rPr>
          <w:rFonts w:ascii="Arial" w:hAnsi="Arial" w:eastAsia="仿宋" w:cs="Arial"/>
          <w:color w:val="auto"/>
          <w:sz w:val="28"/>
          <w:szCs w:val="28"/>
        </w:rPr>
      </w:pPr>
      <w:r>
        <w:rPr>
          <w:rFonts w:ascii="Arial" w:hAnsi="Arial" w:eastAsia="仿宋" w:cs="Arial"/>
          <w:color w:val="auto"/>
          <w:sz w:val="28"/>
          <w:szCs w:val="28"/>
        </w:rPr>
        <w:t>各因素的修正系数根据影响地价的因素权重和因素总修正幅度确定。</w:t>
      </w:r>
    </w:p>
    <w:p w14:paraId="7BD6C1DD">
      <w:pPr>
        <w:spacing w:line="360" w:lineRule="auto"/>
        <w:jc w:val="center"/>
        <w:rPr>
          <w:rFonts w:ascii="Arial" w:hAnsi="Arial" w:eastAsia="仿宋" w:cs="Arial"/>
          <w:color w:val="auto"/>
          <w:sz w:val="28"/>
          <w:szCs w:val="28"/>
        </w:rPr>
      </w:pPr>
      <w:r>
        <w:rPr>
          <w:rFonts w:ascii="Arial" w:hAnsi="Arial" w:eastAsia="仿宋" w:cs="Arial"/>
          <w:bCs/>
          <w:color w:val="auto"/>
          <w:sz w:val="28"/>
          <w:szCs w:val="28"/>
        </w:rPr>
        <w:t>北京市基准地价因素权重表</w:t>
      </w:r>
    </w:p>
    <w:tbl>
      <w:tblPr>
        <w:tblStyle w:val="34"/>
        <w:tblW w:w="9299" w:type="dxa"/>
        <w:jc w:val="center"/>
        <w:tblLayout w:type="fixed"/>
        <w:tblCellMar>
          <w:top w:w="57" w:type="dxa"/>
          <w:left w:w="28" w:type="dxa"/>
          <w:bottom w:w="57" w:type="dxa"/>
          <w:right w:w="28" w:type="dxa"/>
        </w:tblCellMar>
      </w:tblPr>
      <w:tblGrid>
        <w:gridCol w:w="1400"/>
        <w:gridCol w:w="498"/>
        <w:gridCol w:w="1382"/>
        <w:gridCol w:w="497"/>
        <w:gridCol w:w="1363"/>
        <w:gridCol w:w="497"/>
        <w:gridCol w:w="1343"/>
        <w:gridCol w:w="497"/>
        <w:gridCol w:w="1325"/>
        <w:gridCol w:w="497"/>
      </w:tblGrid>
      <w:tr w14:paraId="547F842B">
        <w:tblPrEx>
          <w:tblCellMar>
            <w:top w:w="57" w:type="dxa"/>
            <w:left w:w="28" w:type="dxa"/>
            <w:bottom w:w="57" w:type="dxa"/>
            <w:right w:w="28" w:type="dxa"/>
          </w:tblCellMar>
        </w:tblPrEx>
        <w:trPr>
          <w:cantSplit/>
          <w:jc w:val="center"/>
        </w:trPr>
        <w:tc>
          <w:tcPr>
            <w:tcW w:w="454" w:type="dxa"/>
            <w:gridSpan w:val="2"/>
            <w:tcBorders>
              <w:top w:val="single" w:color="404040" w:sz="8" w:space="0"/>
              <w:left w:val="single" w:color="404040" w:sz="8" w:space="0"/>
              <w:bottom w:val="single" w:color="404040" w:sz="8" w:space="0"/>
              <w:right w:val="single" w:color="404040" w:sz="8" w:space="0"/>
            </w:tcBorders>
            <w:shd w:val="clear" w:color="auto" w:fill="auto"/>
            <w:noWrap/>
            <w:vAlign w:val="center"/>
          </w:tcPr>
          <w:p w14:paraId="38B180F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商业类</w:t>
            </w:r>
          </w:p>
        </w:tc>
        <w:tc>
          <w:tcPr>
            <w:tcW w:w="454" w:type="dxa"/>
            <w:gridSpan w:val="2"/>
            <w:tcBorders>
              <w:top w:val="single" w:color="404040" w:sz="8" w:space="0"/>
              <w:left w:val="nil"/>
              <w:bottom w:val="single" w:color="404040" w:sz="8" w:space="0"/>
              <w:right w:val="single" w:color="404040" w:sz="8" w:space="0"/>
            </w:tcBorders>
            <w:shd w:val="clear" w:color="auto" w:fill="auto"/>
            <w:noWrap/>
            <w:vAlign w:val="center"/>
          </w:tcPr>
          <w:p w14:paraId="1B6F6FC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办公类</w:t>
            </w:r>
          </w:p>
        </w:tc>
        <w:tc>
          <w:tcPr>
            <w:tcW w:w="454" w:type="dxa"/>
            <w:gridSpan w:val="2"/>
            <w:tcBorders>
              <w:top w:val="single" w:color="404040" w:sz="8" w:space="0"/>
              <w:left w:val="nil"/>
              <w:bottom w:val="single" w:color="404040" w:sz="8" w:space="0"/>
              <w:right w:val="single" w:color="404040" w:sz="8" w:space="0"/>
            </w:tcBorders>
            <w:shd w:val="clear" w:color="auto" w:fill="auto"/>
            <w:noWrap/>
            <w:vAlign w:val="center"/>
          </w:tcPr>
          <w:p w14:paraId="0C6EFDC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住宅类</w:t>
            </w:r>
          </w:p>
        </w:tc>
        <w:tc>
          <w:tcPr>
            <w:tcW w:w="454" w:type="dxa"/>
            <w:gridSpan w:val="2"/>
            <w:tcBorders>
              <w:top w:val="single" w:color="404040" w:sz="8" w:space="0"/>
              <w:left w:val="nil"/>
              <w:bottom w:val="single" w:color="404040" w:sz="8" w:space="0"/>
              <w:right w:val="single" w:color="404040" w:sz="8" w:space="0"/>
            </w:tcBorders>
            <w:shd w:val="clear" w:color="auto" w:fill="auto"/>
            <w:noWrap/>
            <w:vAlign w:val="center"/>
          </w:tcPr>
          <w:p w14:paraId="2823DE6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工业类</w:t>
            </w:r>
          </w:p>
        </w:tc>
        <w:tc>
          <w:tcPr>
            <w:tcW w:w="454" w:type="dxa"/>
            <w:gridSpan w:val="2"/>
            <w:tcBorders>
              <w:top w:val="single" w:color="404040" w:sz="8" w:space="0"/>
              <w:left w:val="nil"/>
              <w:bottom w:val="single" w:color="404040" w:sz="8" w:space="0"/>
              <w:right w:val="single" w:color="404040" w:sz="8" w:space="0"/>
            </w:tcBorders>
            <w:shd w:val="clear" w:color="auto" w:fill="auto"/>
            <w:noWrap/>
            <w:vAlign w:val="center"/>
          </w:tcPr>
          <w:p w14:paraId="569BB44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公共服务类</w:t>
            </w:r>
          </w:p>
        </w:tc>
      </w:tr>
      <w:tr w14:paraId="1E5B8D5A">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noWrap/>
            <w:vAlign w:val="center"/>
          </w:tcPr>
          <w:p w14:paraId="0B9C222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454" w:type="dxa"/>
            <w:tcBorders>
              <w:top w:val="nil"/>
              <w:left w:val="nil"/>
              <w:bottom w:val="single" w:color="404040" w:sz="8" w:space="0"/>
              <w:right w:val="single" w:color="404040" w:sz="8" w:space="0"/>
            </w:tcBorders>
            <w:shd w:val="clear" w:color="auto" w:fill="auto"/>
            <w:noWrap/>
            <w:vAlign w:val="center"/>
          </w:tcPr>
          <w:p w14:paraId="60233CC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1261" w:type="dxa"/>
            <w:tcBorders>
              <w:top w:val="nil"/>
              <w:left w:val="nil"/>
              <w:bottom w:val="single" w:color="404040" w:sz="8" w:space="0"/>
              <w:right w:val="single" w:color="404040" w:sz="8" w:space="0"/>
            </w:tcBorders>
            <w:shd w:val="clear" w:color="auto" w:fill="auto"/>
            <w:noWrap/>
            <w:vAlign w:val="center"/>
          </w:tcPr>
          <w:p w14:paraId="13C114A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454" w:type="dxa"/>
            <w:tcBorders>
              <w:top w:val="nil"/>
              <w:left w:val="nil"/>
              <w:bottom w:val="single" w:color="404040" w:sz="8" w:space="0"/>
              <w:right w:val="single" w:color="404040" w:sz="8" w:space="0"/>
            </w:tcBorders>
            <w:shd w:val="clear" w:color="auto" w:fill="auto"/>
            <w:noWrap/>
            <w:vAlign w:val="center"/>
          </w:tcPr>
          <w:p w14:paraId="5EA87E6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1244" w:type="dxa"/>
            <w:tcBorders>
              <w:top w:val="nil"/>
              <w:left w:val="nil"/>
              <w:bottom w:val="single" w:color="404040" w:sz="8" w:space="0"/>
              <w:right w:val="single" w:color="404040" w:sz="8" w:space="0"/>
            </w:tcBorders>
            <w:shd w:val="clear" w:color="auto" w:fill="auto"/>
            <w:noWrap/>
            <w:vAlign w:val="center"/>
          </w:tcPr>
          <w:p w14:paraId="2E2326B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454" w:type="dxa"/>
            <w:tcBorders>
              <w:top w:val="nil"/>
              <w:left w:val="nil"/>
              <w:bottom w:val="single" w:color="404040" w:sz="8" w:space="0"/>
              <w:right w:val="single" w:color="404040" w:sz="8" w:space="0"/>
            </w:tcBorders>
            <w:shd w:val="clear" w:color="auto" w:fill="auto"/>
            <w:noWrap/>
            <w:vAlign w:val="center"/>
          </w:tcPr>
          <w:p w14:paraId="09C84D1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1226" w:type="dxa"/>
            <w:tcBorders>
              <w:top w:val="nil"/>
              <w:left w:val="nil"/>
              <w:bottom w:val="single" w:color="404040" w:sz="8" w:space="0"/>
              <w:right w:val="single" w:color="404040" w:sz="8" w:space="0"/>
            </w:tcBorders>
            <w:shd w:val="clear" w:color="auto" w:fill="auto"/>
            <w:noWrap/>
            <w:vAlign w:val="center"/>
          </w:tcPr>
          <w:p w14:paraId="2115667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454" w:type="dxa"/>
            <w:tcBorders>
              <w:top w:val="nil"/>
              <w:left w:val="nil"/>
              <w:bottom w:val="single" w:color="404040" w:sz="8" w:space="0"/>
              <w:right w:val="single" w:color="404040" w:sz="8" w:space="0"/>
            </w:tcBorders>
            <w:shd w:val="clear" w:color="auto" w:fill="auto"/>
            <w:noWrap/>
            <w:vAlign w:val="center"/>
          </w:tcPr>
          <w:p w14:paraId="731CB0A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1209" w:type="dxa"/>
            <w:tcBorders>
              <w:top w:val="nil"/>
              <w:left w:val="nil"/>
              <w:bottom w:val="single" w:color="404040" w:sz="8" w:space="0"/>
              <w:right w:val="single" w:color="404040" w:sz="8" w:space="0"/>
            </w:tcBorders>
            <w:shd w:val="clear" w:color="auto" w:fill="auto"/>
            <w:noWrap/>
            <w:vAlign w:val="center"/>
          </w:tcPr>
          <w:p w14:paraId="382465D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454" w:type="dxa"/>
            <w:tcBorders>
              <w:top w:val="nil"/>
              <w:left w:val="nil"/>
              <w:bottom w:val="single" w:color="404040" w:sz="8" w:space="0"/>
              <w:right w:val="single" w:color="404040" w:sz="8" w:space="0"/>
            </w:tcBorders>
            <w:shd w:val="clear" w:color="auto" w:fill="auto"/>
            <w:noWrap/>
            <w:vAlign w:val="center"/>
          </w:tcPr>
          <w:p w14:paraId="2DE94AD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r>
      <w:tr w14:paraId="47872387">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161DCD7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商业繁华程度</w:t>
            </w:r>
          </w:p>
        </w:tc>
        <w:tc>
          <w:tcPr>
            <w:tcW w:w="454" w:type="dxa"/>
            <w:tcBorders>
              <w:top w:val="nil"/>
              <w:left w:val="nil"/>
              <w:bottom w:val="single" w:color="404040" w:sz="8" w:space="0"/>
              <w:right w:val="single" w:color="404040" w:sz="8" w:space="0"/>
            </w:tcBorders>
            <w:shd w:val="clear" w:color="auto" w:fill="auto"/>
            <w:vAlign w:val="center"/>
          </w:tcPr>
          <w:p w14:paraId="5765610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1261" w:type="dxa"/>
            <w:tcBorders>
              <w:top w:val="nil"/>
              <w:left w:val="nil"/>
              <w:bottom w:val="single" w:color="404040" w:sz="8" w:space="0"/>
              <w:right w:val="single" w:color="404040" w:sz="8" w:space="0"/>
            </w:tcBorders>
            <w:shd w:val="clear" w:color="auto" w:fill="auto"/>
            <w:vAlign w:val="center"/>
          </w:tcPr>
          <w:p w14:paraId="5782AF3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办公集聚程度</w:t>
            </w:r>
          </w:p>
        </w:tc>
        <w:tc>
          <w:tcPr>
            <w:tcW w:w="454" w:type="dxa"/>
            <w:tcBorders>
              <w:top w:val="nil"/>
              <w:left w:val="nil"/>
              <w:bottom w:val="single" w:color="404040" w:sz="8" w:space="0"/>
              <w:right w:val="single" w:color="404040" w:sz="8" w:space="0"/>
            </w:tcBorders>
            <w:shd w:val="clear" w:color="auto" w:fill="auto"/>
            <w:vAlign w:val="center"/>
          </w:tcPr>
          <w:p w14:paraId="08B7E00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1244" w:type="dxa"/>
            <w:tcBorders>
              <w:top w:val="nil"/>
              <w:left w:val="nil"/>
              <w:bottom w:val="single" w:color="404040" w:sz="8" w:space="0"/>
              <w:right w:val="single" w:color="404040" w:sz="8" w:space="0"/>
            </w:tcBorders>
            <w:shd w:val="clear" w:color="auto" w:fill="auto"/>
            <w:vAlign w:val="center"/>
          </w:tcPr>
          <w:p w14:paraId="6B014ED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住宅社区成熟度</w:t>
            </w:r>
          </w:p>
        </w:tc>
        <w:tc>
          <w:tcPr>
            <w:tcW w:w="454" w:type="dxa"/>
            <w:tcBorders>
              <w:top w:val="nil"/>
              <w:left w:val="nil"/>
              <w:bottom w:val="single" w:color="404040" w:sz="8" w:space="0"/>
              <w:right w:val="single" w:color="404040" w:sz="8" w:space="0"/>
            </w:tcBorders>
            <w:shd w:val="clear" w:color="auto" w:fill="auto"/>
            <w:vAlign w:val="center"/>
          </w:tcPr>
          <w:p w14:paraId="3B7566E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1226" w:type="dxa"/>
            <w:tcBorders>
              <w:top w:val="nil"/>
              <w:left w:val="nil"/>
              <w:bottom w:val="single" w:color="404040" w:sz="8" w:space="0"/>
              <w:right w:val="single" w:color="404040" w:sz="8" w:space="0"/>
            </w:tcBorders>
            <w:shd w:val="clear" w:color="auto" w:fill="auto"/>
            <w:vAlign w:val="center"/>
          </w:tcPr>
          <w:p w14:paraId="4ED780E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产业集聚程度</w:t>
            </w:r>
          </w:p>
        </w:tc>
        <w:tc>
          <w:tcPr>
            <w:tcW w:w="454" w:type="dxa"/>
            <w:tcBorders>
              <w:top w:val="nil"/>
              <w:left w:val="nil"/>
              <w:bottom w:val="single" w:color="404040" w:sz="8" w:space="0"/>
              <w:right w:val="single" w:color="404040" w:sz="8" w:space="0"/>
            </w:tcBorders>
            <w:shd w:val="clear" w:color="auto" w:fill="auto"/>
            <w:vAlign w:val="center"/>
          </w:tcPr>
          <w:p w14:paraId="09677C2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c>
          <w:tcPr>
            <w:tcW w:w="1209" w:type="dxa"/>
            <w:tcBorders>
              <w:top w:val="nil"/>
              <w:left w:val="nil"/>
              <w:bottom w:val="single" w:color="404040" w:sz="8" w:space="0"/>
              <w:right w:val="single" w:color="404040" w:sz="8" w:space="0"/>
            </w:tcBorders>
            <w:shd w:val="clear" w:color="auto" w:fill="auto"/>
            <w:vAlign w:val="center"/>
          </w:tcPr>
          <w:p w14:paraId="0270A79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物业集聚程度</w:t>
            </w:r>
          </w:p>
        </w:tc>
        <w:tc>
          <w:tcPr>
            <w:tcW w:w="454" w:type="dxa"/>
            <w:tcBorders>
              <w:top w:val="nil"/>
              <w:left w:val="nil"/>
              <w:bottom w:val="single" w:color="404040" w:sz="8" w:space="0"/>
              <w:right w:val="single" w:color="404040" w:sz="8" w:space="0"/>
            </w:tcBorders>
            <w:shd w:val="clear" w:color="auto" w:fill="auto"/>
            <w:vAlign w:val="center"/>
          </w:tcPr>
          <w:p w14:paraId="0775814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r>
      <w:tr w14:paraId="6BA4C30D">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53EE077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454" w:type="dxa"/>
            <w:tcBorders>
              <w:top w:val="nil"/>
              <w:left w:val="nil"/>
              <w:bottom w:val="single" w:color="404040" w:sz="8" w:space="0"/>
              <w:right w:val="single" w:color="404040" w:sz="8" w:space="0"/>
            </w:tcBorders>
            <w:shd w:val="clear" w:color="auto" w:fill="auto"/>
            <w:vAlign w:val="center"/>
          </w:tcPr>
          <w:p w14:paraId="681D2EA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22%</w:t>
            </w:r>
          </w:p>
        </w:tc>
        <w:tc>
          <w:tcPr>
            <w:tcW w:w="1261" w:type="dxa"/>
            <w:tcBorders>
              <w:top w:val="nil"/>
              <w:left w:val="nil"/>
              <w:bottom w:val="single" w:color="404040" w:sz="8" w:space="0"/>
              <w:right w:val="single" w:color="404040" w:sz="8" w:space="0"/>
            </w:tcBorders>
            <w:shd w:val="clear" w:color="auto" w:fill="auto"/>
            <w:vAlign w:val="center"/>
          </w:tcPr>
          <w:p w14:paraId="32D7C1F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454" w:type="dxa"/>
            <w:tcBorders>
              <w:top w:val="nil"/>
              <w:left w:val="nil"/>
              <w:bottom w:val="single" w:color="404040" w:sz="8" w:space="0"/>
              <w:right w:val="single" w:color="404040" w:sz="8" w:space="0"/>
            </w:tcBorders>
            <w:shd w:val="clear" w:color="auto" w:fill="auto"/>
            <w:vAlign w:val="center"/>
          </w:tcPr>
          <w:p w14:paraId="16CACBC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c>
          <w:tcPr>
            <w:tcW w:w="1244" w:type="dxa"/>
            <w:tcBorders>
              <w:top w:val="nil"/>
              <w:left w:val="nil"/>
              <w:bottom w:val="single" w:color="404040" w:sz="8" w:space="0"/>
              <w:right w:val="single" w:color="404040" w:sz="8" w:space="0"/>
            </w:tcBorders>
            <w:shd w:val="clear" w:color="auto" w:fill="auto"/>
            <w:vAlign w:val="center"/>
          </w:tcPr>
          <w:p w14:paraId="653F828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454" w:type="dxa"/>
            <w:tcBorders>
              <w:top w:val="nil"/>
              <w:left w:val="nil"/>
              <w:bottom w:val="single" w:color="404040" w:sz="8" w:space="0"/>
              <w:right w:val="single" w:color="404040" w:sz="8" w:space="0"/>
            </w:tcBorders>
            <w:shd w:val="clear" w:color="auto" w:fill="auto"/>
            <w:vAlign w:val="center"/>
          </w:tcPr>
          <w:p w14:paraId="7CB76DE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c>
          <w:tcPr>
            <w:tcW w:w="1226" w:type="dxa"/>
            <w:tcBorders>
              <w:top w:val="nil"/>
              <w:left w:val="nil"/>
              <w:bottom w:val="single" w:color="404040" w:sz="8" w:space="0"/>
              <w:right w:val="single" w:color="404040" w:sz="8" w:space="0"/>
            </w:tcBorders>
            <w:shd w:val="clear" w:color="auto" w:fill="auto"/>
            <w:vAlign w:val="center"/>
          </w:tcPr>
          <w:p w14:paraId="7B238E3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454" w:type="dxa"/>
            <w:tcBorders>
              <w:top w:val="nil"/>
              <w:left w:val="nil"/>
              <w:bottom w:val="single" w:color="404040" w:sz="8" w:space="0"/>
              <w:right w:val="single" w:color="404040" w:sz="8" w:space="0"/>
            </w:tcBorders>
            <w:shd w:val="clear" w:color="auto" w:fill="auto"/>
            <w:vAlign w:val="center"/>
          </w:tcPr>
          <w:p w14:paraId="2EA4494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1209" w:type="dxa"/>
            <w:tcBorders>
              <w:top w:val="nil"/>
              <w:left w:val="nil"/>
              <w:bottom w:val="single" w:color="404040" w:sz="8" w:space="0"/>
              <w:right w:val="single" w:color="404040" w:sz="8" w:space="0"/>
            </w:tcBorders>
            <w:shd w:val="clear" w:color="auto" w:fill="auto"/>
            <w:vAlign w:val="center"/>
          </w:tcPr>
          <w:p w14:paraId="52FB1C4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454" w:type="dxa"/>
            <w:tcBorders>
              <w:top w:val="nil"/>
              <w:left w:val="nil"/>
              <w:bottom w:val="single" w:color="404040" w:sz="8" w:space="0"/>
              <w:right w:val="single" w:color="404040" w:sz="8" w:space="0"/>
            </w:tcBorders>
            <w:shd w:val="clear" w:color="auto" w:fill="auto"/>
            <w:vAlign w:val="center"/>
          </w:tcPr>
          <w:p w14:paraId="7F04EAF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r>
      <w:tr w14:paraId="5263EB84">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2084D57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454" w:type="dxa"/>
            <w:tcBorders>
              <w:top w:val="nil"/>
              <w:left w:val="nil"/>
              <w:bottom w:val="single" w:color="404040" w:sz="8" w:space="0"/>
              <w:right w:val="single" w:color="404040" w:sz="8" w:space="0"/>
            </w:tcBorders>
            <w:shd w:val="clear" w:color="auto" w:fill="auto"/>
            <w:vAlign w:val="center"/>
          </w:tcPr>
          <w:p w14:paraId="4BC54F0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12%</w:t>
            </w:r>
          </w:p>
        </w:tc>
        <w:tc>
          <w:tcPr>
            <w:tcW w:w="1261" w:type="dxa"/>
            <w:tcBorders>
              <w:top w:val="nil"/>
              <w:left w:val="nil"/>
              <w:bottom w:val="single" w:color="404040" w:sz="8" w:space="0"/>
              <w:right w:val="single" w:color="404040" w:sz="8" w:space="0"/>
            </w:tcBorders>
            <w:shd w:val="clear" w:color="auto" w:fill="auto"/>
            <w:vAlign w:val="center"/>
          </w:tcPr>
          <w:p w14:paraId="17CE4DC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454" w:type="dxa"/>
            <w:tcBorders>
              <w:top w:val="nil"/>
              <w:left w:val="nil"/>
              <w:bottom w:val="single" w:color="404040" w:sz="8" w:space="0"/>
              <w:right w:val="single" w:color="404040" w:sz="8" w:space="0"/>
            </w:tcBorders>
            <w:shd w:val="clear" w:color="auto" w:fill="auto"/>
            <w:vAlign w:val="center"/>
          </w:tcPr>
          <w:p w14:paraId="1327A18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w:t>
            </w:r>
          </w:p>
        </w:tc>
        <w:tc>
          <w:tcPr>
            <w:tcW w:w="1244" w:type="dxa"/>
            <w:tcBorders>
              <w:top w:val="nil"/>
              <w:left w:val="nil"/>
              <w:bottom w:val="single" w:color="404040" w:sz="8" w:space="0"/>
              <w:right w:val="single" w:color="404040" w:sz="8" w:space="0"/>
            </w:tcBorders>
            <w:shd w:val="clear" w:color="auto" w:fill="auto"/>
            <w:vAlign w:val="center"/>
          </w:tcPr>
          <w:p w14:paraId="65006DF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454" w:type="dxa"/>
            <w:tcBorders>
              <w:top w:val="nil"/>
              <w:left w:val="nil"/>
              <w:bottom w:val="single" w:color="404040" w:sz="8" w:space="0"/>
              <w:right w:val="single" w:color="404040" w:sz="8" w:space="0"/>
            </w:tcBorders>
            <w:shd w:val="clear" w:color="auto" w:fill="auto"/>
            <w:vAlign w:val="center"/>
          </w:tcPr>
          <w:p w14:paraId="10F1995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1226" w:type="dxa"/>
            <w:tcBorders>
              <w:top w:val="nil"/>
              <w:left w:val="nil"/>
              <w:bottom w:val="single" w:color="404040" w:sz="8" w:space="0"/>
              <w:right w:val="single" w:color="404040" w:sz="8" w:space="0"/>
            </w:tcBorders>
            <w:shd w:val="clear" w:color="auto" w:fill="auto"/>
            <w:vAlign w:val="center"/>
          </w:tcPr>
          <w:p w14:paraId="2CB612B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454" w:type="dxa"/>
            <w:tcBorders>
              <w:top w:val="nil"/>
              <w:left w:val="nil"/>
              <w:bottom w:val="single" w:color="404040" w:sz="8" w:space="0"/>
              <w:right w:val="single" w:color="404040" w:sz="8" w:space="0"/>
            </w:tcBorders>
            <w:shd w:val="clear" w:color="auto" w:fill="auto"/>
            <w:vAlign w:val="center"/>
          </w:tcPr>
          <w:p w14:paraId="7611C2F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1209" w:type="dxa"/>
            <w:tcBorders>
              <w:top w:val="nil"/>
              <w:left w:val="nil"/>
              <w:bottom w:val="single" w:color="404040" w:sz="8" w:space="0"/>
              <w:right w:val="single" w:color="404040" w:sz="8" w:space="0"/>
            </w:tcBorders>
            <w:shd w:val="clear" w:color="auto" w:fill="auto"/>
            <w:vAlign w:val="center"/>
          </w:tcPr>
          <w:p w14:paraId="3DBC050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454" w:type="dxa"/>
            <w:tcBorders>
              <w:top w:val="nil"/>
              <w:left w:val="nil"/>
              <w:bottom w:val="single" w:color="404040" w:sz="8" w:space="0"/>
              <w:right w:val="single" w:color="404040" w:sz="8" w:space="0"/>
            </w:tcBorders>
            <w:shd w:val="clear" w:color="auto" w:fill="auto"/>
            <w:vAlign w:val="center"/>
          </w:tcPr>
          <w:p w14:paraId="38E59C3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w:t>
            </w:r>
          </w:p>
        </w:tc>
      </w:tr>
      <w:tr w14:paraId="33FABC3F">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6E52DA8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临街宽度和深度</w:t>
            </w:r>
          </w:p>
        </w:tc>
        <w:tc>
          <w:tcPr>
            <w:tcW w:w="454" w:type="dxa"/>
            <w:tcBorders>
              <w:top w:val="nil"/>
              <w:left w:val="nil"/>
              <w:bottom w:val="single" w:color="404040" w:sz="8" w:space="0"/>
              <w:right w:val="single" w:color="404040" w:sz="8" w:space="0"/>
            </w:tcBorders>
            <w:shd w:val="clear" w:color="auto" w:fill="auto"/>
            <w:vAlign w:val="center"/>
          </w:tcPr>
          <w:p w14:paraId="79B4838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61" w:type="dxa"/>
            <w:tcBorders>
              <w:top w:val="nil"/>
              <w:left w:val="nil"/>
              <w:bottom w:val="single" w:color="404040" w:sz="8" w:space="0"/>
              <w:right w:val="single" w:color="404040" w:sz="8" w:space="0"/>
            </w:tcBorders>
            <w:shd w:val="clear" w:color="auto" w:fill="auto"/>
            <w:vAlign w:val="center"/>
          </w:tcPr>
          <w:p w14:paraId="62AB999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临街宽度和深度</w:t>
            </w:r>
          </w:p>
        </w:tc>
        <w:tc>
          <w:tcPr>
            <w:tcW w:w="454" w:type="dxa"/>
            <w:tcBorders>
              <w:top w:val="nil"/>
              <w:left w:val="nil"/>
              <w:bottom w:val="single" w:color="404040" w:sz="8" w:space="0"/>
              <w:right w:val="single" w:color="404040" w:sz="8" w:space="0"/>
            </w:tcBorders>
            <w:shd w:val="clear" w:color="auto" w:fill="auto"/>
            <w:vAlign w:val="center"/>
          </w:tcPr>
          <w:p w14:paraId="5444F53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44" w:type="dxa"/>
            <w:tcBorders>
              <w:top w:val="nil"/>
              <w:left w:val="nil"/>
              <w:bottom w:val="single" w:color="404040" w:sz="8" w:space="0"/>
              <w:right w:val="single" w:color="404040" w:sz="8" w:space="0"/>
            </w:tcBorders>
            <w:shd w:val="clear" w:color="auto" w:fill="auto"/>
            <w:vAlign w:val="center"/>
          </w:tcPr>
          <w:p w14:paraId="3DFE36D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临路状况</w:t>
            </w:r>
          </w:p>
        </w:tc>
        <w:tc>
          <w:tcPr>
            <w:tcW w:w="454" w:type="dxa"/>
            <w:tcBorders>
              <w:top w:val="nil"/>
              <w:left w:val="nil"/>
              <w:bottom w:val="single" w:color="404040" w:sz="8" w:space="0"/>
              <w:right w:val="single" w:color="404040" w:sz="8" w:space="0"/>
            </w:tcBorders>
            <w:shd w:val="clear" w:color="auto" w:fill="auto"/>
            <w:vAlign w:val="center"/>
          </w:tcPr>
          <w:p w14:paraId="672389C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26" w:type="dxa"/>
            <w:tcBorders>
              <w:top w:val="nil"/>
              <w:left w:val="nil"/>
              <w:bottom w:val="single" w:color="404040" w:sz="8" w:space="0"/>
              <w:right w:val="single" w:color="404040" w:sz="8" w:space="0"/>
            </w:tcBorders>
            <w:shd w:val="clear" w:color="auto" w:fill="auto"/>
            <w:vAlign w:val="center"/>
          </w:tcPr>
          <w:p w14:paraId="02F3F7F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临路状况</w:t>
            </w:r>
          </w:p>
        </w:tc>
        <w:tc>
          <w:tcPr>
            <w:tcW w:w="454" w:type="dxa"/>
            <w:tcBorders>
              <w:top w:val="nil"/>
              <w:left w:val="nil"/>
              <w:bottom w:val="single" w:color="404040" w:sz="8" w:space="0"/>
              <w:right w:val="single" w:color="404040" w:sz="8" w:space="0"/>
            </w:tcBorders>
            <w:shd w:val="clear" w:color="auto" w:fill="auto"/>
            <w:vAlign w:val="center"/>
          </w:tcPr>
          <w:p w14:paraId="63CC7D1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09" w:type="dxa"/>
            <w:tcBorders>
              <w:top w:val="nil"/>
              <w:left w:val="nil"/>
              <w:bottom w:val="single" w:color="404040" w:sz="8" w:space="0"/>
              <w:right w:val="single" w:color="404040" w:sz="8" w:space="0"/>
            </w:tcBorders>
            <w:shd w:val="clear" w:color="auto" w:fill="auto"/>
            <w:vAlign w:val="center"/>
          </w:tcPr>
          <w:p w14:paraId="3D850C3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临街宽度和深度</w:t>
            </w:r>
          </w:p>
        </w:tc>
        <w:tc>
          <w:tcPr>
            <w:tcW w:w="454" w:type="dxa"/>
            <w:tcBorders>
              <w:top w:val="nil"/>
              <w:left w:val="nil"/>
              <w:bottom w:val="single" w:color="404040" w:sz="8" w:space="0"/>
              <w:right w:val="single" w:color="404040" w:sz="8" w:space="0"/>
            </w:tcBorders>
            <w:shd w:val="clear" w:color="auto" w:fill="auto"/>
            <w:vAlign w:val="center"/>
          </w:tcPr>
          <w:p w14:paraId="4B504E1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r>
      <w:tr w14:paraId="3F9CBEA6">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501AE83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临街道路状况</w:t>
            </w:r>
          </w:p>
        </w:tc>
        <w:tc>
          <w:tcPr>
            <w:tcW w:w="454" w:type="dxa"/>
            <w:tcBorders>
              <w:top w:val="nil"/>
              <w:left w:val="nil"/>
              <w:bottom w:val="single" w:color="404040" w:sz="8" w:space="0"/>
              <w:right w:val="single" w:color="404040" w:sz="8" w:space="0"/>
            </w:tcBorders>
            <w:shd w:val="clear" w:color="auto" w:fill="auto"/>
            <w:vAlign w:val="center"/>
          </w:tcPr>
          <w:p w14:paraId="17B6681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w:t>
            </w:r>
          </w:p>
        </w:tc>
        <w:tc>
          <w:tcPr>
            <w:tcW w:w="1261" w:type="dxa"/>
            <w:tcBorders>
              <w:top w:val="nil"/>
              <w:left w:val="nil"/>
              <w:bottom w:val="single" w:color="404040" w:sz="8" w:space="0"/>
              <w:right w:val="single" w:color="404040" w:sz="8" w:space="0"/>
            </w:tcBorders>
            <w:shd w:val="clear" w:color="auto" w:fill="auto"/>
            <w:vAlign w:val="center"/>
          </w:tcPr>
          <w:p w14:paraId="7229883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临街道路状况</w:t>
            </w:r>
          </w:p>
        </w:tc>
        <w:tc>
          <w:tcPr>
            <w:tcW w:w="454" w:type="dxa"/>
            <w:tcBorders>
              <w:top w:val="nil"/>
              <w:left w:val="nil"/>
              <w:bottom w:val="single" w:color="404040" w:sz="8" w:space="0"/>
              <w:right w:val="single" w:color="404040" w:sz="8" w:space="0"/>
            </w:tcBorders>
            <w:shd w:val="clear" w:color="auto" w:fill="auto"/>
            <w:vAlign w:val="center"/>
          </w:tcPr>
          <w:p w14:paraId="0FF465E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44" w:type="dxa"/>
            <w:tcBorders>
              <w:top w:val="nil"/>
              <w:left w:val="nil"/>
              <w:bottom w:val="single" w:color="404040" w:sz="8" w:space="0"/>
              <w:right w:val="single" w:color="404040" w:sz="8" w:space="0"/>
            </w:tcBorders>
            <w:shd w:val="clear" w:color="auto" w:fill="auto"/>
            <w:vAlign w:val="center"/>
          </w:tcPr>
          <w:p w14:paraId="7895529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454" w:type="dxa"/>
            <w:tcBorders>
              <w:top w:val="nil"/>
              <w:left w:val="nil"/>
              <w:bottom w:val="single" w:color="404040" w:sz="8" w:space="0"/>
              <w:right w:val="single" w:color="404040" w:sz="8" w:space="0"/>
            </w:tcBorders>
            <w:shd w:val="clear" w:color="auto" w:fill="auto"/>
            <w:vAlign w:val="center"/>
          </w:tcPr>
          <w:p w14:paraId="0A28F27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w:t>
            </w:r>
          </w:p>
        </w:tc>
        <w:tc>
          <w:tcPr>
            <w:tcW w:w="1226" w:type="dxa"/>
            <w:tcBorders>
              <w:top w:val="nil"/>
              <w:left w:val="nil"/>
              <w:bottom w:val="single" w:color="404040" w:sz="8" w:space="0"/>
              <w:right w:val="single" w:color="404040" w:sz="8" w:space="0"/>
            </w:tcBorders>
            <w:shd w:val="clear" w:color="auto" w:fill="auto"/>
            <w:vAlign w:val="center"/>
          </w:tcPr>
          <w:p w14:paraId="2874853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454" w:type="dxa"/>
            <w:tcBorders>
              <w:top w:val="nil"/>
              <w:left w:val="nil"/>
              <w:bottom w:val="single" w:color="404040" w:sz="8" w:space="0"/>
              <w:right w:val="single" w:color="404040" w:sz="8" w:space="0"/>
            </w:tcBorders>
            <w:shd w:val="clear" w:color="auto" w:fill="auto"/>
            <w:vAlign w:val="center"/>
          </w:tcPr>
          <w:p w14:paraId="3D4E660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1209" w:type="dxa"/>
            <w:tcBorders>
              <w:top w:val="nil"/>
              <w:left w:val="nil"/>
              <w:bottom w:val="single" w:color="404040" w:sz="8" w:space="0"/>
              <w:right w:val="single" w:color="404040" w:sz="8" w:space="0"/>
            </w:tcBorders>
            <w:shd w:val="clear" w:color="auto" w:fill="auto"/>
            <w:vAlign w:val="center"/>
          </w:tcPr>
          <w:p w14:paraId="1750E75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临街道路状况</w:t>
            </w:r>
          </w:p>
        </w:tc>
        <w:tc>
          <w:tcPr>
            <w:tcW w:w="454" w:type="dxa"/>
            <w:tcBorders>
              <w:top w:val="nil"/>
              <w:left w:val="nil"/>
              <w:bottom w:val="single" w:color="404040" w:sz="8" w:space="0"/>
              <w:right w:val="single" w:color="404040" w:sz="8" w:space="0"/>
            </w:tcBorders>
            <w:shd w:val="clear" w:color="auto" w:fill="auto"/>
            <w:vAlign w:val="center"/>
          </w:tcPr>
          <w:p w14:paraId="5E91504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r>
      <w:tr w14:paraId="3868A8C4">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6153468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454" w:type="dxa"/>
            <w:tcBorders>
              <w:top w:val="nil"/>
              <w:left w:val="nil"/>
              <w:bottom w:val="single" w:color="404040" w:sz="8" w:space="0"/>
              <w:right w:val="single" w:color="404040" w:sz="8" w:space="0"/>
            </w:tcBorders>
            <w:shd w:val="clear" w:color="auto" w:fill="auto"/>
            <w:vAlign w:val="center"/>
          </w:tcPr>
          <w:p w14:paraId="03BBCEA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61" w:type="dxa"/>
            <w:tcBorders>
              <w:top w:val="nil"/>
              <w:left w:val="nil"/>
              <w:bottom w:val="single" w:color="404040" w:sz="8" w:space="0"/>
              <w:right w:val="single" w:color="404040" w:sz="8" w:space="0"/>
            </w:tcBorders>
            <w:shd w:val="clear" w:color="auto" w:fill="auto"/>
            <w:vAlign w:val="center"/>
          </w:tcPr>
          <w:p w14:paraId="62D6F2B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454" w:type="dxa"/>
            <w:tcBorders>
              <w:top w:val="nil"/>
              <w:left w:val="nil"/>
              <w:bottom w:val="single" w:color="404040" w:sz="8" w:space="0"/>
              <w:right w:val="single" w:color="404040" w:sz="8" w:space="0"/>
            </w:tcBorders>
            <w:shd w:val="clear" w:color="auto" w:fill="auto"/>
            <w:vAlign w:val="center"/>
          </w:tcPr>
          <w:p w14:paraId="5EA3012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1244" w:type="dxa"/>
            <w:tcBorders>
              <w:top w:val="nil"/>
              <w:left w:val="nil"/>
              <w:bottom w:val="single" w:color="404040" w:sz="8" w:space="0"/>
              <w:right w:val="single" w:color="404040" w:sz="8" w:space="0"/>
            </w:tcBorders>
            <w:shd w:val="clear" w:color="auto" w:fill="auto"/>
            <w:vAlign w:val="center"/>
          </w:tcPr>
          <w:p w14:paraId="68AC1D2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454" w:type="dxa"/>
            <w:tcBorders>
              <w:top w:val="nil"/>
              <w:left w:val="nil"/>
              <w:bottom w:val="single" w:color="404040" w:sz="8" w:space="0"/>
              <w:right w:val="single" w:color="404040" w:sz="8" w:space="0"/>
            </w:tcBorders>
            <w:shd w:val="clear" w:color="auto" w:fill="auto"/>
            <w:vAlign w:val="center"/>
          </w:tcPr>
          <w:p w14:paraId="0646D07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26" w:type="dxa"/>
            <w:tcBorders>
              <w:top w:val="nil"/>
              <w:left w:val="nil"/>
              <w:bottom w:val="single" w:color="404040" w:sz="8" w:space="0"/>
              <w:right w:val="single" w:color="404040" w:sz="8" w:space="0"/>
            </w:tcBorders>
            <w:shd w:val="clear" w:color="auto" w:fill="auto"/>
            <w:vAlign w:val="center"/>
          </w:tcPr>
          <w:p w14:paraId="0F1CB64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454" w:type="dxa"/>
            <w:tcBorders>
              <w:top w:val="nil"/>
              <w:left w:val="nil"/>
              <w:bottom w:val="single" w:color="404040" w:sz="8" w:space="0"/>
              <w:right w:val="single" w:color="404040" w:sz="8" w:space="0"/>
            </w:tcBorders>
            <w:shd w:val="clear" w:color="auto" w:fill="auto"/>
            <w:vAlign w:val="center"/>
          </w:tcPr>
          <w:p w14:paraId="6B23F46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1209" w:type="dxa"/>
            <w:tcBorders>
              <w:top w:val="nil"/>
              <w:left w:val="nil"/>
              <w:bottom w:val="single" w:color="404040" w:sz="8" w:space="0"/>
              <w:right w:val="single" w:color="404040" w:sz="8" w:space="0"/>
            </w:tcBorders>
            <w:shd w:val="clear" w:color="auto" w:fill="auto"/>
            <w:vAlign w:val="center"/>
          </w:tcPr>
          <w:p w14:paraId="4B9A84C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454" w:type="dxa"/>
            <w:tcBorders>
              <w:top w:val="nil"/>
              <w:left w:val="nil"/>
              <w:bottom w:val="single" w:color="404040" w:sz="8" w:space="0"/>
              <w:right w:val="single" w:color="404040" w:sz="8" w:space="0"/>
            </w:tcBorders>
            <w:shd w:val="clear" w:color="auto" w:fill="auto"/>
            <w:vAlign w:val="center"/>
          </w:tcPr>
          <w:p w14:paraId="2D590DD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r>
      <w:tr w14:paraId="678E31CA">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47F0652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454" w:type="dxa"/>
            <w:tcBorders>
              <w:top w:val="nil"/>
              <w:left w:val="nil"/>
              <w:bottom w:val="single" w:color="404040" w:sz="8" w:space="0"/>
              <w:right w:val="single" w:color="404040" w:sz="8" w:space="0"/>
            </w:tcBorders>
            <w:shd w:val="clear" w:color="auto" w:fill="auto"/>
            <w:vAlign w:val="center"/>
          </w:tcPr>
          <w:p w14:paraId="61BA82C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61" w:type="dxa"/>
            <w:tcBorders>
              <w:top w:val="nil"/>
              <w:left w:val="nil"/>
              <w:bottom w:val="single" w:color="404040" w:sz="8" w:space="0"/>
              <w:right w:val="single" w:color="404040" w:sz="8" w:space="0"/>
            </w:tcBorders>
            <w:shd w:val="clear" w:color="auto" w:fill="auto"/>
            <w:vAlign w:val="center"/>
          </w:tcPr>
          <w:p w14:paraId="3348036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454" w:type="dxa"/>
            <w:tcBorders>
              <w:top w:val="nil"/>
              <w:left w:val="nil"/>
              <w:bottom w:val="single" w:color="404040" w:sz="8" w:space="0"/>
              <w:right w:val="single" w:color="404040" w:sz="8" w:space="0"/>
            </w:tcBorders>
            <w:shd w:val="clear" w:color="auto" w:fill="auto"/>
            <w:vAlign w:val="center"/>
          </w:tcPr>
          <w:p w14:paraId="0355100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1244" w:type="dxa"/>
            <w:tcBorders>
              <w:top w:val="nil"/>
              <w:left w:val="nil"/>
              <w:bottom w:val="single" w:color="404040" w:sz="8" w:space="0"/>
              <w:right w:val="single" w:color="404040" w:sz="8" w:space="0"/>
            </w:tcBorders>
            <w:shd w:val="clear" w:color="auto" w:fill="auto"/>
            <w:vAlign w:val="center"/>
          </w:tcPr>
          <w:p w14:paraId="41AA2E1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454" w:type="dxa"/>
            <w:tcBorders>
              <w:top w:val="nil"/>
              <w:left w:val="nil"/>
              <w:bottom w:val="single" w:color="404040" w:sz="8" w:space="0"/>
              <w:right w:val="single" w:color="404040" w:sz="8" w:space="0"/>
            </w:tcBorders>
            <w:shd w:val="clear" w:color="auto" w:fill="auto"/>
            <w:vAlign w:val="center"/>
          </w:tcPr>
          <w:p w14:paraId="1D8BDAF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9%</w:t>
            </w:r>
          </w:p>
        </w:tc>
        <w:tc>
          <w:tcPr>
            <w:tcW w:w="1226" w:type="dxa"/>
            <w:tcBorders>
              <w:top w:val="nil"/>
              <w:left w:val="nil"/>
              <w:bottom w:val="single" w:color="404040" w:sz="8" w:space="0"/>
              <w:right w:val="single" w:color="404040" w:sz="8" w:space="0"/>
            </w:tcBorders>
            <w:shd w:val="clear" w:color="auto" w:fill="auto"/>
            <w:vAlign w:val="center"/>
          </w:tcPr>
          <w:p w14:paraId="1D84881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454" w:type="dxa"/>
            <w:tcBorders>
              <w:top w:val="nil"/>
              <w:left w:val="nil"/>
              <w:bottom w:val="single" w:color="404040" w:sz="8" w:space="0"/>
              <w:right w:val="single" w:color="404040" w:sz="8" w:space="0"/>
            </w:tcBorders>
            <w:shd w:val="clear" w:color="auto" w:fill="auto"/>
            <w:vAlign w:val="center"/>
          </w:tcPr>
          <w:p w14:paraId="3345345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12%</w:t>
            </w:r>
          </w:p>
        </w:tc>
        <w:tc>
          <w:tcPr>
            <w:tcW w:w="1209" w:type="dxa"/>
            <w:tcBorders>
              <w:top w:val="nil"/>
              <w:left w:val="nil"/>
              <w:bottom w:val="single" w:color="404040" w:sz="8" w:space="0"/>
              <w:right w:val="single" w:color="404040" w:sz="8" w:space="0"/>
            </w:tcBorders>
            <w:shd w:val="clear" w:color="auto" w:fill="auto"/>
            <w:vAlign w:val="center"/>
          </w:tcPr>
          <w:p w14:paraId="3020F42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454" w:type="dxa"/>
            <w:tcBorders>
              <w:top w:val="nil"/>
              <w:left w:val="nil"/>
              <w:bottom w:val="single" w:color="404040" w:sz="8" w:space="0"/>
              <w:right w:val="single" w:color="404040" w:sz="8" w:space="0"/>
            </w:tcBorders>
            <w:shd w:val="clear" w:color="auto" w:fill="auto"/>
            <w:vAlign w:val="center"/>
          </w:tcPr>
          <w:p w14:paraId="2174B7A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r>
      <w:tr w14:paraId="6ADD887B">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6C93893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454" w:type="dxa"/>
            <w:tcBorders>
              <w:top w:val="nil"/>
              <w:left w:val="nil"/>
              <w:bottom w:val="single" w:color="404040" w:sz="8" w:space="0"/>
              <w:right w:val="single" w:color="404040" w:sz="8" w:space="0"/>
            </w:tcBorders>
            <w:shd w:val="clear" w:color="auto" w:fill="auto"/>
            <w:vAlign w:val="center"/>
          </w:tcPr>
          <w:p w14:paraId="1153E05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w:t>
            </w:r>
          </w:p>
        </w:tc>
        <w:tc>
          <w:tcPr>
            <w:tcW w:w="1261" w:type="dxa"/>
            <w:tcBorders>
              <w:top w:val="nil"/>
              <w:left w:val="nil"/>
              <w:bottom w:val="single" w:color="404040" w:sz="8" w:space="0"/>
              <w:right w:val="single" w:color="404040" w:sz="8" w:space="0"/>
            </w:tcBorders>
            <w:shd w:val="clear" w:color="auto" w:fill="auto"/>
            <w:vAlign w:val="center"/>
          </w:tcPr>
          <w:p w14:paraId="4BD1DB2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454" w:type="dxa"/>
            <w:tcBorders>
              <w:top w:val="nil"/>
              <w:left w:val="nil"/>
              <w:bottom w:val="single" w:color="404040" w:sz="8" w:space="0"/>
              <w:right w:val="single" w:color="404040" w:sz="8" w:space="0"/>
            </w:tcBorders>
            <w:shd w:val="clear" w:color="auto" w:fill="auto"/>
            <w:vAlign w:val="center"/>
          </w:tcPr>
          <w:p w14:paraId="3747A5C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9%</w:t>
            </w:r>
          </w:p>
        </w:tc>
        <w:tc>
          <w:tcPr>
            <w:tcW w:w="1244" w:type="dxa"/>
            <w:tcBorders>
              <w:top w:val="nil"/>
              <w:left w:val="nil"/>
              <w:bottom w:val="single" w:color="404040" w:sz="8" w:space="0"/>
              <w:right w:val="single" w:color="404040" w:sz="8" w:space="0"/>
            </w:tcBorders>
            <w:shd w:val="clear" w:color="auto" w:fill="auto"/>
            <w:vAlign w:val="center"/>
          </w:tcPr>
          <w:p w14:paraId="73726D0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454" w:type="dxa"/>
            <w:tcBorders>
              <w:top w:val="nil"/>
              <w:left w:val="nil"/>
              <w:bottom w:val="single" w:color="404040" w:sz="8" w:space="0"/>
              <w:right w:val="single" w:color="404040" w:sz="8" w:space="0"/>
            </w:tcBorders>
            <w:shd w:val="clear" w:color="auto" w:fill="auto"/>
            <w:vAlign w:val="center"/>
          </w:tcPr>
          <w:p w14:paraId="5D31FF1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12%</w:t>
            </w:r>
          </w:p>
        </w:tc>
        <w:tc>
          <w:tcPr>
            <w:tcW w:w="1226" w:type="dxa"/>
            <w:tcBorders>
              <w:top w:val="nil"/>
              <w:left w:val="nil"/>
              <w:bottom w:val="single" w:color="404040" w:sz="8" w:space="0"/>
              <w:right w:val="single" w:color="404040" w:sz="8" w:space="0"/>
            </w:tcBorders>
            <w:shd w:val="clear" w:color="auto" w:fill="auto"/>
            <w:vAlign w:val="center"/>
          </w:tcPr>
          <w:p w14:paraId="613759B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环境状况</w:t>
            </w:r>
          </w:p>
        </w:tc>
        <w:tc>
          <w:tcPr>
            <w:tcW w:w="454" w:type="dxa"/>
            <w:tcBorders>
              <w:top w:val="nil"/>
              <w:left w:val="nil"/>
              <w:bottom w:val="single" w:color="404040" w:sz="8" w:space="0"/>
              <w:right w:val="single" w:color="404040" w:sz="8" w:space="0"/>
            </w:tcBorders>
            <w:shd w:val="clear" w:color="auto" w:fill="auto"/>
            <w:vAlign w:val="center"/>
          </w:tcPr>
          <w:p w14:paraId="75F8A22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09" w:type="dxa"/>
            <w:tcBorders>
              <w:top w:val="nil"/>
              <w:left w:val="nil"/>
              <w:bottom w:val="single" w:color="404040" w:sz="8" w:space="0"/>
              <w:right w:val="single" w:color="404040" w:sz="8" w:space="0"/>
            </w:tcBorders>
            <w:shd w:val="clear" w:color="auto" w:fill="auto"/>
            <w:vAlign w:val="center"/>
          </w:tcPr>
          <w:p w14:paraId="59DF361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454" w:type="dxa"/>
            <w:tcBorders>
              <w:top w:val="nil"/>
              <w:left w:val="nil"/>
              <w:bottom w:val="single" w:color="404040" w:sz="8" w:space="0"/>
              <w:right w:val="single" w:color="404040" w:sz="8" w:space="0"/>
            </w:tcBorders>
            <w:shd w:val="clear" w:color="auto" w:fill="auto"/>
            <w:vAlign w:val="center"/>
          </w:tcPr>
          <w:p w14:paraId="11BD0B9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9%</w:t>
            </w:r>
          </w:p>
        </w:tc>
      </w:tr>
      <w:tr w14:paraId="3604C619">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69D251A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454" w:type="dxa"/>
            <w:tcBorders>
              <w:top w:val="nil"/>
              <w:left w:val="nil"/>
              <w:bottom w:val="single" w:color="404040" w:sz="8" w:space="0"/>
              <w:right w:val="single" w:color="404040" w:sz="8" w:space="0"/>
            </w:tcBorders>
            <w:shd w:val="clear" w:color="auto" w:fill="auto"/>
            <w:vAlign w:val="center"/>
          </w:tcPr>
          <w:p w14:paraId="0F4EE8D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61" w:type="dxa"/>
            <w:tcBorders>
              <w:top w:val="nil"/>
              <w:left w:val="nil"/>
              <w:bottom w:val="single" w:color="404040" w:sz="8" w:space="0"/>
              <w:right w:val="single" w:color="404040" w:sz="8" w:space="0"/>
            </w:tcBorders>
            <w:shd w:val="clear" w:color="auto" w:fill="auto"/>
            <w:vAlign w:val="center"/>
          </w:tcPr>
          <w:p w14:paraId="2FE1D95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454" w:type="dxa"/>
            <w:tcBorders>
              <w:top w:val="nil"/>
              <w:left w:val="nil"/>
              <w:bottom w:val="single" w:color="404040" w:sz="8" w:space="0"/>
              <w:right w:val="single" w:color="404040" w:sz="8" w:space="0"/>
            </w:tcBorders>
            <w:shd w:val="clear" w:color="auto" w:fill="auto"/>
            <w:vAlign w:val="center"/>
          </w:tcPr>
          <w:p w14:paraId="11C8C19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w:t>
            </w:r>
          </w:p>
        </w:tc>
        <w:tc>
          <w:tcPr>
            <w:tcW w:w="1244" w:type="dxa"/>
            <w:tcBorders>
              <w:top w:val="nil"/>
              <w:left w:val="nil"/>
              <w:bottom w:val="single" w:color="404040" w:sz="8" w:space="0"/>
              <w:right w:val="single" w:color="404040" w:sz="8" w:space="0"/>
            </w:tcBorders>
            <w:shd w:val="clear" w:color="auto" w:fill="auto"/>
            <w:vAlign w:val="center"/>
          </w:tcPr>
          <w:p w14:paraId="3BA56F1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与区域中心的接近程度</w:t>
            </w:r>
          </w:p>
        </w:tc>
        <w:tc>
          <w:tcPr>
            <w:tcW w:w="454" w:type="dxa"/>
            <w:tcBorders>
              <w:top w:val="nil"/>
              <w:left w:val="nil"/>
              <w:bottom w:val="single" w:color="404040" w:sz="8" w:space="0"/>
              <w:right w:val="single" w:color="404040" w:sz="8" w:space="0"/>
            </w:tcBorders>
            <w:shd w:val="clear" w:color="auto" w:fill="auto"/>
            <w:vAlign w:val="center"/>
          </w:tcPr>
          <w:p w14:paraId="16A1B49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226" w:type="dxa"/>
            <w:tcBorders>
              <w:top w:val="nil"/>
              <w:left w:val="nil"/>
              <w:bottom w:val="single" w:color="404040" w:sz="8" w:space="0"/>
              <w:right w:val="single" w:color="404040" w:sz="8" w:space="0"/>
            </w:tcBorders>
            <w:shd w:val="clear" w:color="auto" w:fill="auto"/>
            <w:vAlign w:val="center"/>
          </w:tcPr>
          <w:p w14:paraId="2B5C651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454" w:type="dxa"/>
            <w:tcBorders>
              <w:top w:val="nil"/>
              <w:left w:val="nil"/>
              <w:bottom w:val="single" w:color="404040" w:sz="8" w:space="0"/>
              <w:right w:val="single" w:color="404040" w:sz="8" w:space="0"/>
            </w:tcBorders>
            <w:shd w:val="clear" w:color="auto" w:fill="auto"/>
            <w:vAlign w:val="center"/>
          </w:tcPr>
          <w:p w14:paraId="5C64C8E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1209" w:type="dxa"/>
            <w:tcBorders>
              <w:top w:val="nil"/>
              <w:left w:val="nil"/>
              <w:bottom w:val="single" w:color="404040" w:sz="8" w:space="0"/>
              <w:right w:val="single" w:color="404040" w:sz="8" w:space="0"/>
            </w:tcBorders>
            <w:shd w:val="clear" w:color="auto" w:fill="auto"/>
            <w:vAlign w:val="center"/>
          </w:tcPr>
          <w:p w14:paraId="23D0738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454" w:type="dxa"/>
            <w:tcBorders>
              <w:top w:val="nil"/>
              <w:left w:val="nil"/>
              <w:bottom w:val="single" w:color="404040" w:sz="8" w:space="0"/>
              <w:right w:val="single" w:color="404040" w:sz="8" w:space="0"/>
            </w:tcBorders>
            <w:shd w:val="clear" w:color="auto" w:fill="auto"/>
            <w:vAlign w:val="center"/>
          </w:tcPr>
          <w:p w14:paraId="4551CF2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w:t>
            </w:r>
          </w:p>
        </w:tc>
      </w:tr>
    </w:tbl>
    <w:p w14:paraId="171C53DD">
      <w:pPr>
        <w:widowControl/>
        <w:adjustRightInd/>
        <w:spacing w:line="240" w:lineRule="exact"/>
        <w:textAlignment w:val="auto"/>
        <w:rPr>
          <w:rFonts w:ascii="Arial" w:hAnsi="Arial" w:eastAsia="华文细黑" w:cs="宋体"/>
          <w:color w:val="auto"/>
          <w:sz w:val="18"/>
          <w:szCs w:val="24"/>
        </w:rPr>
      </w:pPr>
    </w:p>
    <w:p w14:paraId="02C65886">
      <w:pPr>
        <w:rPr>
          <w:rFonts w:ascii="仿宋" w:hAnsi="仿宋" w:eastAsia="仿宋" w:cs="Arial"/>
          <w:color w:val="auto"/>
          <w:sz w:val="28"/>
        </w:rPr>
      </w:pPr>
      <w:r>
        <w:rPr>
          <w:rFonts w:hint="eastAsia" w:ascii="仿宋" w:hAnsi="仿宋" w:eastAsia="仿宋" w:cs="Arial"/>
          <w:color w:val="auto"/>
          <w:sz w:val="28"/>
        </w:rPr>
        <w:br w:type="page"/>
      </w:r>
    </w:p>
    <w:p w14:paraId="078BDF20">
      <w:pPr>
        <w:spacing w:line="300" w:lineRule="auto"/>
        <w:ind w:firstLine="560" w:firstLineChars="200"/>
        <w:jc w:val="both"/>
        <w:rPr>
          <w:rFonts w:ascii="仿宋" w:hAnsi="仿宋" w:eastAsia="仿宋" w:cs="Arial"/>
          <w:color w:val="auto"/>
          <w:sz w:val="28"/>
        </w:rPr>
      </w:pPr>
      <w:r>
        <w:rPr>
          <w:rFonts w:hint="eastAsia" w:ascii="仿宋" w:hAnsi="仿宋" w:eastAsia="仿宋" w:cs="Arial"/>
          <w:color w:val="auto"/>
          <w:sz w:val="28"/>
        </w:rPr>
        <w:t>估价对象位于商业类九级地价区，该级别《区片基准地价因素总修正幅度表》如下：</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5"/>
        <w:gridCol w:w="2021"/>
        <w:gridCol w:w="1290"/>
        <w:gridCol w:w="1290"/>
        <w:gridCol w:w="1290"/>
        <w:gridCol w:w="1139"/>
        <w:gridCol w:w="1439"/>
      </w:tblGrid>
      <w:tr w14:paraId="3C677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tblHeader/>
          <w:jc w:val="center"/>
        </w:trPr>
        <w:tc>
          <w:tcPr>
            <w:tcW w:w="572" w:type="pct"/>
            <w:shd w:val="clear" w:color="auto" w:fill="auto"/>
            <w:vAlign w:val="center"/>
          </w:tcPr>
          <w:p w14:paraId="1A81B71F">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级别</w:t>
            </w:r>
          </w:p>
        </w:tc>
        <w:tc>
          <w:tcPr>
            <w:tcW w:w="1056" w:type="pct"/>
            <w:shd w:val="clear" w:color="auto" w:fill="auto"/>
            <w:vAlign w:val="center"/>
          </w:tcPr>
          <w:p w14:paraId="6F293733">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区片编号</w:t>
            </w:r>
          </w:p>
        </w:tc>
        <w:tc>
          <w:tcPr>
            <w:tcW w:w="674" w:type="pct"/>
            <w:shd w:val="clear" w:color="auto" w:fill="auto"/>
            <w:vAlign w:val="center"/>
          </w:tcPr>
          <w:p w14:paraId="30E3634B">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商业类</w:t>
            </w:r>
          </w:p>
        </w:tc>
        <w:tc>
          <w:tcPr>
            <w:tcW w:w="674" w:type="pct"/>
            <w:shd w:val="clear" w:color="auto" w:fill="auto"/>
            <w:vAlign w:val="center"/>
          </w:tcPr>
          <w:p w14:paraId="6FB23E78">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办公类</w:t>
            </w:r>
          </w:p>
        </w:tc>
        <w:tc>
          <w:tcPr>
            <w:tcW w:w="674" w:type="pct"/>
            <w:shd w:val="clear" w:color="auto" w:fill="auto"/>
            <w:vAlign w:val="center"/>
          </w:tcPr>
          <w:p w14:paraId="0E47BBB4">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住宅类</w:t>
            </w:r>
          </w:p>
        </w:tc>
        <w:tc>
          <w:tcPr>
            <w:tcW w:w="595" w:type="pct"/>
            <w:shd w:val="clear" w:color="auto" w:fill="auto"/>
            <w:vAlign w:val="center"/>
          </w:tcPr>
          <w:p w14:paraId="6F914EBD">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工业类</w:t>
            </w:r>
          </w:p>
        </w:tc>
        <w:tc>
          <w:tcPr>
            <w:tcW w:w="752" w:type="pct"/>
            <w:shd w:val="clear" w:color="auto" w:fill="auto"/>
            <w:vAlign w:val="center"/>
          </w:tcPr>
          <w:p w14:paraId="2D3F4B06">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公共服务类</w:t>
            </w:r>
          </w:p>
        </w:tc>
      </w:tr>
      <w:tr w14:paraId="2FE22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restart"/>
            <w:shd w:val="clear" w:color="auto" w:fill="auto"/>
            <w:vAlign w:val="center"/>
          </w:tcPr>
          <w:p w14:paraId="089304B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九级</w:t>
            </w:r>
          </w:p>
        </w:tc>
        <w:tc>
          <w:tcPr>
            <w:tcW w:w="1056" w:type="pct"/>
            <w:shd w:val="clear" w:color="auto" w:fill="auto"/>
            <w:vAlign w:val="center"/>
          </w:tcPr>
          <w:p w14:paraId="18C8592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Ⅸ－01</w:t>
            </w:r>
          </w:p>
        </w:tc>
        <w:tc>
          <w:tcPr>
            <w:tcW w:w="674" w:type="pct"/>
            <w:shd w:val="clear" w:color="auto" w:fill="auto"/>
            <w:vAlign w:val="center"/>
          </w:tcPr>
          <w:p w14:paraId="3329F2E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9282BD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368456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894CCF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0CEF51F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8B50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7EF737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C919B9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Ⅸ－02</w:t>
            </w:r>
          </w:p>
        </w:tc>
        <w:tc>
          <w:tcPr>
            <w:tcW w:w="674" w:type="pct"/>
            <w:shd w:val="clear" w:color="auto" w:fill="auto"/>
            <w:vAlign w:val="center"/>
          </w:tcPr>
          <w:p w14:paraId="70977A1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C05135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146B1C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507D4E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0FDF3DC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6EB21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231876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D58979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Ⅸ－门1</w:t>
            </w:r>
          </w:p>
        </w:tc>
        <w:tc>
          <w:tcPr>
            <w:tcW w:w="674" w:type="pct"/>
            <w:shd w:val="clear" w:color="auto" w:fill="auto"/>
            <w:vAlign w:val="center"/>
          </w:tcPr>
          <w:p w14:paraId="2BC13C8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8A23DF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1B667E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41E42E8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4E1ED03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4C8C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805B6D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73E54D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Ⅸ－门2</w:t>
            </w:r>
          </w:p>
        </w:tc>
        <w:tc>
          <w:tcPr>
            <w:tcW w:w="674" w:type="pct"/>
            <w:shd w:val="clear" w:color="auto" w:fill="auto"/>
            <w:vAlign w:val="center"/>
          </w:tcPr>
          <w:p w14:paraId="0456037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FC2417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50D1A3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246047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51E293C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5CC1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55E25B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4B0D76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Ⅸ－门潭</w:t>
            </w:r>
          </w:p>
        </w:tc>
        <w:tc>
          <w:tcPr>
            <w:tcW w:w="674" w:type="pct"/>
            <w:shd w:val="clear" w:color="auto" w:fill="auto"/>
            <w:vAlign w:val="center"/>
          </w:tcPr>
          <w:p w14:paraId="1AE8D8A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E45CB0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567536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E44C93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22252F0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1841F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3C36BF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816551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Ⅸ－房1</w:t>
            </w:r>
          </w:p>
        </w:tc>
        <w:tc>
          <w:tcPr>
            <w:tcW w:w="674" w:type="pct"/>
            <w:shd w:val="clear" w:color="auto" w:fill="auto"/>
            <w:vAlign w:val="center"/>
          </w:tcPr>
          <w:p w14:paraId="209998C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B1F296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92E9C2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B49485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21D2F65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1F9C1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2F210B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B3C36D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Ⅸ－房2</w:t>
            </w:r>
          </w:p>
        </w:tc>
        <w:tc>
          <w:tcPr>
            <w:tcW w:w="674" w:type="pct"/>
            <w:shd w:val="clear" w:color="auto" w:fill="auto"/>
            <w:vAlign w:val="center"/>
          </w:tcPr>
          <w:p w14:paraId="592999D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0B0830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6A219F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06CF57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3B5AAAA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205E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1835C73">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205A06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Ⅸ－房3</w:t>
            </w:r>
          </w:p>
        </w:tc>
        <w:tc>
          <w:tcPr>
            <w:tcW w:w="674" w:type="pct"/>
            <w:shd w:val="clear" w:color="auto" w:fill="auto"/>
            <w:vAlign w:val="center"/>
          </w:tcPr>
          <w:p w14:paraId="3F59EAB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DA26FE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F022C8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6F01BE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0A1CE92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1A94A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55D8643">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6B98EF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Ⅸ－房4</w:t>
            </w:r>
          </w:p>
        </w:tc>
        <w:tc>
          <w:tcPr>
            <w:tcW w:w="674" w:type="pct"/>
            <w:shd w:val="clear" w:color="auto" w:fill="auto"/>
            <w:vAlign w:val="center"/>
          </w:tcPr>
          <w:p w14:paraId="4A0B36F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17684A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19AC9F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678FAA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1970E52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49A25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5B21484">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110C49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Ⅸ－房5</w:t>
            </w:r>
          </w:p>
        </w:tc>
        <w:tc>
          <w:tcPr>
            <w:tcW w:w="674" w:type="pct"/>
            <w:shd w:val="clear" w:color="auto" w:fill="auto"/>
            <w:vAlign w:val="center"/>
          </w:tcPr>
          <w:p w14:paraId="070B788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674" w:type="pct"/>
            <w:shd w:val="clear" w:color="auto" w:fill="auto"/>
            <w:vAlign w:val="center"/>
          </w:tcPr>
          <w:p w14:paraId="385005E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674" w:type="pct"/>
            <w:shd w:val="clear" w:color="auto" w:fill="auto"/>
            <w:vAlign w:val="center"/>
          </w:tcPr>
          <w:p w14:paraId="13413D7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BC29FA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752" w:type="pct"/>
            <w:shd w:val="clear" w:color="auto" w:fill="auto"/>
            <w:vAlign w:val="center"/>
          </w:tcPr>
          <w:p w14:paraId="40EECE1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r>
      <w:tr w14:paraId="76892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23134C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133769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Ⅸ－通1</w:t>
            </w:r>
          </w:p>
        </w:tc>
        <w:tc>
          <w:tcPr>
            <w:tcW w:w="674" w:type="pct"/>
            <w:shd w:val="clear" w:color="auto" w:fill="auto"/>
            <w:vAlign w:val="center"/>
          </w:tcPr>
          <w:p w14:paraId="6EFC1E1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11.00%</w:t>
            </w:r>
          </w:p>
        </w:tc>
        <w:tc>
          <w:tcPr>
            <w:tcW w:w="674" w:type="pct"/>
            <w:shd w:val="clear" w:color="auto" w:fill="auto"/>
            <w:vAlign w:val="center"/>
          </w:tcPr>
          <w:p w14:paraId="3250028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11.10%</w:t>
            </w:r>
          </w:p>
        </w:tc>
        <w:tc>
          <w:tcPr>
            <w:tcW w:w="674" w:type="pct"/>
            <w:shd w:val="clear" w:color="auto" w:fill="auto"/>
            <w:vAlign w:val="center"/>
          </w:tcPr>
          <w:p w14:paraId="3930ABB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595" w:type="pct"/>
            <w:shd w:val="clear" w:color="auto" w:fill="auto"/>
            <w:vAlign w:val="center"/>
          </w:tcPr>
          <w:p w14:paraId="3598205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11.00%</w:t>
            </w:r>
          </w:p>
        </w:tc>
        <w:tc>
          <w:tcPr>
            <w:tcW w:w="752" w:type="pct"/>
            <w:shd w:val="clear" w:color="auto" w:fill="auto"/>
            <w:vAlign w:val="center"/>
          </w:tcPr>
          <w:p w14:paraId="522447B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12.00%</w:t>
            </w:r>
          </w:p>
        </w:tc>
      </w:tr>
      <w:tr w14:paraId="7241F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B0C1C7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8C28F3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Ⅸ－通2</w:t>
            </w:r>
          </w:p>
        </w:tc>
        <w:tc>
          <w:tcPr>
            <w:tcW w:w="674" w:type="pct"/>
            <w:shd w:val="clear" w:color="auto" w:fill="auto"/>
            <w:vAlign w:val="center"/>
          </w:tcPr>
          <w:p w14:paraId="434BEA5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674" w:type="pct"/>
            <w:shd w:val="clear" w:color="auto" w:fill="auto"/>
            <w:vAlign w:val="center"/>
          </w:tcPr>
          <w:p w14:paraId="5BDF50F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14.30%</w:t>
            </w:r>
          </w:p>
        </w:tc>
        <w:tc>
          <w:tcPr>
            <w:tcW w:w="674" w:type="pct"/>
            <w:shd w:val="clear" w:color="auto" w:fill="auto"/>
            <w:vAlign w:val="center"/>
          </w:tcPr>
          <w:p w14:paraId="5B87526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D9C07D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1AD51F9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r>
      <w:tr w14:paraId="45B28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0518B8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815B39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Ⅸ－顺1</w:t>
            </w:r>
          </w:p>
        </w:tc>
        <w:tc>
          <w:tcPr>
            <w:tcW w:w="674" w:type="pct"/>
            <w:shd w:val="clear" w:color="auto" w:fill="auto"/>
            <w:vAlign w:val="center"/>
          </w:tcPr>
          <w:p w14:paraId="39B7241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14.30%</w:t>
            </w:r>
          </w:p>
        </w:tc>
        <w:tc>
          <w:tcPr>
            <w:tcW w:w="674" w:type="pct"/>
            <w:shd w:val="clear" w:color="auto" w:fill="auto"/>
            <w:vAlign w:val="center"/>
          </w:tcPr>
          <w:p w14:paraId="3D417E6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14.30%</w:t>
            </w:r>
          </w:p>
        </w:tc>
        <w:tc>
          <w:tcPr>
            <w:tcW w:w="674" w:type="pct"/>
            <w:shd w:val="clear" w:color="auto" w:fill="auto"/>
            <w:vAlign w:val="center"/>
          </w:tcPr>
          <w:p w14:paraId="0A2C25F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14.80%</w:t>
            </w:r>
          </w:p>
        </w:tc>
        <w:tc>
          <w:tcPr>
            <w:tcW w:w="595" w:type="pct"/>
            <w:shd w:val="clear" w:color="auto" w:fill="auto"/>
            <w:vAlign w:val="center"/>
          </w:tcPr>
          <w:p w14:paraId="48FBA42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735C971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r>
      <w:tr w14:paraId="59311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64032FC">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71DA65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Ⅸ－顺2</w:t>
            </w:r>
          </w:p>
        </w:tc>
        <w:tc>
          <w:tcPr>
            <w:tcW w:w="674" w:type="pct"/>
            <w:shd w:val="clear" w:color="auto" w:fill="auto"/>
            <w:vAlign w:val="center"/>
          </w:tcPr>
          <w:p w14:paraId="3737A26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14.80%</w:t>
            </w:r>
          </w:p>
        </w:tc>
        <w:tc>
          <w:tcPr>
            <w:tcW w:w="674" w:type="pct"/>
            <w:shd w:val="clear" w:color="auto" w:fill="auto"/>
            <w:vAlign w:val="center"/>
          </w:tcPr>
          <w:p w14:paraId="3B153DB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674" w:type="pct"/>
            <w:shd w:val="clear" w:color="auto" w:fill="auto"/>
            <w:vAlign w:val="center"/>
          </w:tcPr>
          <w:p w14:paraId="15DFFF9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52F4F3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12.70%</w:t>
            </w:r>
          </w:p>
        </w:tc>
        <w:tc>
          <w:tcPr>
            <w:tcW w:w="752" w:type="pct"/>
            <w:shd w:val="clear" w:color="auto" w:fill="auto"/>
            <w:vAlign w:val="center"/>
          </w:tcPr>
          <w:p w14:paraId="4DBB473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6E95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3B3177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8F9852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Ⅸ－顺3</w:t>
            </w:r>
          </w:p>
        </w:tc>
        <w:tc>
          <w:tcPr>
            <w:tcW w:w="674" w:type="pct"/>
            <w:shd w:val="clear" w:color="auto" w:fill="auto"/>
            <w:vAlign w:val="center"/>
          </w:tcPr>
          <w:p w14:paraId="2606388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B8F467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34A33D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4C5BEAB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752" w:type="pct"/>
            <w:shd w:val="clear" w:color="auto" w:fill="auto"/>
            <w:vAlign w:val="center"/>
          </w:tcPr>
          <w:p w14:paraId="55A7EFB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1DFBB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3E49B74">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163C17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Ⅸ－顺4</w:t>
            </w:r>
          </w:p>
        </w:tc>
        <w:tc>
          <w:tcPr>
            <w:tcW w:w="674" w:type="pct"/>
            <w:shd w:val="clear" w:color="auto" w:fill="auto"/>
            <w:vAlign w:val="center"/>
          </w:tcPr>
          <w:p w14:paraId="198621D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514F98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60488E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4B88F93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718463B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8125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EF5AE9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352599F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Ⅸ－顺5</w:t>
            </w:r>
          </w:p>
        </w:tc>
        <w:tc>
          <w:tcPr>
            <w:tcW w:w="674" w:type="pct"/>
            <w:shd w:val="clear" w:color="auto" w:fill="auto"/>
            <w:vAlign w:val="center"/>
          </w:tcPr>
          <w:p w14:paraId="115BC62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C3D2AF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38F193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95C4DF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112B168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6ECE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FB1DB6E">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2D06F2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Ⅸ－昌1</w:t>
            </w:r>
          </w:p>
        </w:tc>
        <w:tc>
          <w:tcPr>
            <w:tcW w:w="674" w:type="pct"/>
            <w:shd w:val="clear" w:color="auto" w:fill="auto"/>
            <w:vAlign w:val="center"/>
          </w:tcPr>
          <w:p w14:paraId="4A74476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93D5BB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B33FA9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659D5E5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752" w:type="pct"/>
            <w:shd w:val="clear" w:color="auto" w:fill="auto"/>
            <w:vAlign w:val="center"/>
          </w:tcPr>
          <w:p w14:paraId="0DBBD64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2FB3E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2E235B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505A51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Ⅸ－昌2</w:t>
            </w:r>
          </w:p>
        </w:tc>
        <w:tc>
          <w:tcPr>
            <w:tcW w:w="674" w:type="pct"/>
            <w:shd w:val="clear" w:color="auto" w:fill="auto"/>
            <w:vAlign w:val="center"/>
          </w:tcPr>
          <w:p w14:paraId="1A27CB0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8CEEE4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D9D1E5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08CB0A0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14.80%</w:t>
            </w:r>
          </w:p>
        </w:tc>
        <w:tc>
          <w:tcPr>
            <w:tcW w:w="752" w:type="pct"/>
            <w:shd w:val="clear" w:color="auto" w:fill="auto"/>
            <w:vAlign w:val="center"/>
          </w:tcPr>
          <w:p w14:paraId="0DF75DC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23333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EB9672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61570C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Ⅸ－昌3</w:t>
            </w:r>
          </w:p>
        </w:tc>
        <w:tc>
          <w:tcPr>
            <w:tcW w:w="674" w:type="pct"/>
            <w:shd w:val="clear" w:color="auto" w:fill="auto"/>
            <w:vAlign w:val="center"/>
          </w:tcPr>
          <w:p w14:paraId="7E027F0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18EC98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F75A6E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1B78EA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43B886D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6028E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2729783">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DEA5C2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Ⅸ－昌4</w:t>
            </w:r>
          </w:p>
        </w:tc>
        <w:tc>
          <w:tcPr>
            <w:tcW w:w="674" w:type="pct"/>
            <w:shd w:val="clear" w:color="auto" w:fill="auto"/>
            <w:vAlign w:val="center"/>
          </w:tcPr>
          <w:p w14:paraId="76B1C01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BB4EA9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08F08C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08A5009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4C0AD79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59BD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0009A1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5D4362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Ⅸ－昌5</w:t>
            </w:r>
          </w:p>
        </w:tc>
        <w:tc>
          <w:tcPr>
            <w:tcW w:w="674" w:type="pct"/>
            <w:shd w:val="clear" w:color="auto" w:fill="auto"/>
            <w:vAlign w:val="center"/>
          </w:tcPr>
          <w:p w14:paraId="2F3931F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F2747A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1FA2C0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3750AC8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15EEAEE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64496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8764064">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C0D1C1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Ⅸ－兴1</w:t>
            </w:r>
          </w:p>
        </w:tc>
        <w:tc>
          <w:tcPr>
            <w:tcW w:w="674" w:type="pct"/>
            <w:shd w:val="clear" w:color="auto" w:fill="auto"/>
            <w:vAlign w:val="center"/>
          </w:tcPr>
          <w:p w14:paraId="2EA2F0A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B67915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4F6D38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D2AB71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486B467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CC26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F3C60B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AD9B6B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Ⅸ－兴2</w:t>
            </w:r>
          </w:p>
        </w:tc>
        <w:tc>
          <w:tcPr>
            <w:tcW w:w="674" w:type="pct"/>
            <w:shd w:val="clear" w:color="auto" w:fill="auto"/>
            <w:vAlign w:val="center"/>
          </w:tcPr>
          <w:p w14:paraId="1E18E0C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C99854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20BA32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9D3B0E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14.60%</w:t>
            </w:r>
          </w:p>
        </w:tc>
        <w:tc>
          <w:tcPr>
            <w:tcW w:w="752" w:type="pct"/>
            <w:shd w:val="clear" w:color="auto" w:fill="auto"/>
            <w:vAlign w:val="center"/>
          </w:tcPr>
          <w:p w14:paraId="20E9443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E579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B73037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3F09199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Ⅸ－兴3</w:t>
            </w:r>
          </w:p>
        </w:tc>
        <w:tc>
          <w:tcPr>
            <w:tcW w:w="674" w:type="pct"/>
            <w:shd w:val="clear" w:color="auto" w:fill="auto"/>
            <w:vAlign w:val="center"/>
          </w:tcPr>
          <w:p w14:paraId="605F629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12.60%</w:t>
            </w:r>
          </w:p>
        </w:tc>
        <w:tc>
          <w:tcPr>
            <w:tcW w:w="674" w:type="pct"/>
            <w:shd w:val="clear" w:color="auto" w:fill="auto"/>
            <w:vAlign w:val="center"/>
          </w:tcPr>
          <w:p w14:paraId="09E697A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12.40%</w:t>
            </w:r>
          </w:p>
        </w:tc>
        <w:tc>
          <w:tcPr>
            <w:tcW w:w="674" w:type="pct"/>
            <w:shd w:val="clear" w:color="auto" w:fill="auto"/>
            <w:vAlign w:val="center"/>
          </w:tcPr>
          <w:p w14:paraId="3D69684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595" w:type="pct"/>
            <w:shd w:val="clear" w:color="auto" w:fill="auto"/>
            <w:vAlign w:val="center"/>
          </w:tcPr>
          <w:p w14:paraId="59BE20D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6DF11F2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13.00%</w:t>
            </w:r>
          </w:p>
        </w:tc>
      </w:tr>
      <w:tr w14:paraId="144DE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070D3D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015E4A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Ⅸ－怀1</w:t>
            </w:r>
          </w:p>
        </w:tc>
        <w:tc>
          <w:tcPr>
            <w:tcW w:w="674" w:type="pct"/>
            <w:shd w:val="clear" w:color="auto" w:fill="auto"/>
            <w:vAlign w:val="center"/>
          </w:tcPr>
          <w:p w14:paraId="2D4C6BA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5F30ED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D8B676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341DA86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14.70%</w:t>
            </w:r>
          </w:p>
        </w:tc>
        <w:tc>
          <w:tcPr>
            <w:tcW w:w="752" w:type="pct"/>
            <w:shd w:val="clear" w:color="auto" w:fill="auto"/>
            <w:vAlign w:val="center"/>
          </w:tcPr>
          <w:p w14:paraId="460848E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9AC3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FA43D5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42F80A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Ⅸ－怀2</w:t>
            </w:r>
          </w:p>
        </w:tc>
        <w:tc>
          <w:tcPr>
            <w:tcW w:w="674" w:type="pct"/>
            <w:shd w:val="clear" w:color="auto" w:fill="auto"/>
            <w:vAlign w:val="center"/>
          </w:tcPr>
          <w:p w14:paraId="0C17078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105169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08DAB4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21DE9B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0EE048E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39FB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B98C6B5">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D750D3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Ⅸ－怀3</w:t>
            </w:r>
          </w:p>
        </w:tc>
        <w:tc>
          <w:tcPr>
            <w:tcW w:w="674" w:type="pct"/>
            <w:shd w:val="clear" w:color="auto" w:fill="auto"/>
            <w:vAlign w:val="center"/>
          </w:tcPr>
          <w:p w14:paraId="26BF09B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CF29AF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4E938E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45DE1FE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40BE617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FC20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5FEEF8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F7E775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Ⅸ－怀4</w:t>
            </w:r>
          </w:p>
        </w:tc>
        <w:tc>
          <w:tcPr>
            <w:tcW w:w="674" w:type="pct"/>
            <w:shd w:val="clear" w:color="auto" w:fill="auto"/>
            <w:vAlign w:val="center"/>
          </w:tcPr>
          <w:p w14:paraId="6F73FB3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BA02D1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01C3BF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1CD2E3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11.10%</w:t>
            </w:r>
          </w:p>
        </w:tc>
        <w:tc>
          <w:tcPr>
            <w:tcW w:w="752" w:type="pct"/>
            <w:shd w:val="clear" w:color="auto" w:fill="auto"/>
            <w:vAlign w:val="center"/>
          </w:tcPr>
          <w:p w14:paraId="45B7F09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CA1B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637BAE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B09E99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Ⅸ－平1</w:t>
            </w:r>
          </w:p>
        </w:tc>
        <w:tc>
          <w:tcPr>
            <w:tcW w:w="674" w:type="pct"/>
            <w:shd w:val="clear" w:color="auto" w:fill="auto"/>
            <w:vAlign w:val="center"/>
          </w:tcPr>
          <w:p w14:paraId="12CBA4B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0E5BAA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A482A3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40EA536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12.60%</w:t>
            </w:r>
          </w:p>
        </w:tc>
        <w:tc>
          <w:tcPr>
            <w:tcW w:w="752" w:type="pct"/>
            <w:shd w:val="clear" w:color="auto" w:fill="auto"/>
            <w:vAlign w:val="center"/>
          </w:tcPr>
          <w:p w14:paraId="7BC6FDE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8211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BF367F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CB96EB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Ⅸ－平2</w:t>
            </w:r>
          </w:p>
        </w:tc>
        <w:tc>
          <w:tcPr>
            <w:tcW w:w="674" w:type="pct"/>
            <w:shd w:val="clear" w:color="auto" w:fill="auto"/>
            <w:vAlign w:val="center"/>
          </w:tcPr>
          <w:p w14:paraId="7F5B95D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A60FC1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7E2BBD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024D019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12.00%</w:t>
            </w:r>
          </w:p>
        </w:tc>
        <w:tc>
          <w:tcPr>
            <w:tcW w:w="752" w:type="pct"/>
            <w:shd w:val="clear" w:color="auto" w:fill="auto"/>
            <w:vAlign w:val="center"/>
          </w:tcPr>
          <w:p w14:paraId="49B94FF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8F02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77A631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FCB892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Ⅸ－密1</w:t>
            </w:r>
          </w:p>
        </w:tc>
        <w:tc>
          <w:tcPr>
            <w:tcW w:w="674" w:type="pct"/>
            <w:shd w:val="clear" w:color="auto" w:fill="auto"/>
            <w:vAlign w:val="center"/>
          </w:tcPr>
          <w:p w14:paraId="16BB7F4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FA7930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1508A8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BBE339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13.00%</w:t>
            </w:r>
          </w:p>
        </w:tc>
        <w:tc>
          <w:tcPr>
            <w:tcW w:w="752" w:type="pct"/>
            <w:shd w:val="clear" w:color="auto" w:fill="auto"/>
            <w:vAlign w:val="center"/>
          </w:tcPr>
          <w:p w14:paraId="51B1323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CD8B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70AAD94">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E42472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Ⅸ－延1</w:t>
            </w:r>
          </w:p>
        </w:tc>
        <w:tc>
          <w:tcPr>
            <w:tcW w:w="674" w:type="pct"/>
            <w:shd w:val="clear" w:color="auto" w:fill="auto"/>
            <w:vAlign w:val="center"/>
          </w:tcPr>
          <w:p w14:paraId="1817DE9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07F910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3E44CF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1AAB51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752" w:type="pct"/>
            <w:shd w:val="clear" w:color="auto" w:fill="auto"/>
            <w:vAlign w:val="center"/>
          </w:tcPr>
          <w:p w14:paraId="01DFA36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E9C3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4732D2D">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E9B769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Ⅸ－延2</w:t>
            </w:r>
          </w:p>
        </w:tc>
        <w:tc>
          <w:tcPr>
            <w:tcW w:w="674" w:type="pct"/>
            <w:shd w:val="clear" w:color="auto" w:fill="auto"/>
            <w:vAlign w:val="center"/>
          </w:tcPr>
          <w:p w14:paraId="505E1A4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616D26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0ADD09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66E6891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2F73982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A2EB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ED58611">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6EEB84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Ⅸ－亦1</w:t>
            </w:r>
          </w:p>
        </w:tc>
        <w:tc>
          <w:tcPr>
            <w:tcW w:w="674" w:type="pct"/>
            <w:shd w:val="clear" w:color="auto" w:fill="auto"/>
            <w:vAlign w:val="center"/>
          </w:tcPr>
          <w:p w14:paraId="151EB21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13.20%</w:t>
            </w:r>
          </w:p>
        </w:tc>
        <w:tc>
          <w:tcPr>
            <w:tcW w:w="674" w:type="pct"/>
            <w:shd w:val="clear" w:color="auto" w:fill="auto"/>
            <w:vAlign w:val="center"/>
          </w:tcPr>
          <w:p w14:paraId="33DA91F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13.30%</w:t>
            </w:r>
          </w:p>
        </w:tc>
        <w:tc>
          <w:tcPr>
            <w:tcW w:w="674" w:type="pct"/>
            <w:shd w:val="clear" w:color="auto" w:fill="auto"/>
            <w:vAlign w:val="center"/>
          </w:tcPr>
          <w:p w14:paraId="6BFEB2C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595" w:type="pct"/>
            <w:shd w:val="clear" w:color="auto" w:fill="auto"/>
            <w:vAlign w:val="center"/>
          </w:tcPr>
          <w:p w14:paraId="6228869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23B9260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14.00%</w:t>
            </w:r>
          </w:p>
        </w:tc>
      </w:tr>
      <w:tr w14:paraId="30E3B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93A1E02">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85555C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Ⅸ－亦2</w:t>
            </w:r>
          </w:p>
        </w:tc>
        <w:tc>
          <w:tcPr>
            <w:tcW w:w="674" w:type="pct"/>
            <w:shd w:val="clear" w:color="auto" w:fill="auto"/>
            <w:vAlign w:val="center"/>
          </w:tcPr>
          <w:p w14:paraId="2F59764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13.80%</w:t>
            </w:r>
          </w:p>
        </w:tc>
        <w:tc>
          <w:tcPr>
            <w:tcW w:w="674" w:type="pct"/>
            <w:shd w:val="clear" w:color="auto" w:fill="auto"/>
            <w:vAlign w:val="center"/>
          </w:tcPr>
          <w:p w14:paraId="38D470F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14.00%</w:t>
            </w:r>
          </w:p>
        </w:tc>
        <w:tc>
          <w:tcPr>
            <w:tcW w:w="674" w:type="pct"/>
            <w:shd w:val="clear" w:color="auto" w:fill="auto"/>
            <w:vAlign w:val="center"/>
          </w:tcPr>
          <w:p w14:paraId="3E559CF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14.60%</w:t>
            </w:r>
          </w:p>
        </w:tc>
        <w:tc>
          <w:tcPr>
            <w:tcW w:w="595" w:type="pct"/>
            <w:shd w:val="clear" w:color="auto" w:fill="auto"/>
            <w:vAlign w:val="center"/>
          </w:tcPr>
          <w:p w14:paraId="41596BF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752" w:type="pct"/>
            <w:shd w:val="clear" w:color="auto" w:fill="auto"/>
            <w:vAlign w:val="center"/>
          </w:tcPr>
          <w:p w14:paraId="179F29A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r>
      <w:tr w14:paraId="026FE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25C2A57">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AF1FCC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Ⅸ－亦3</w:t>
            </w:r>
          </w:p>
        </w:tc>
        <w:tc>
          <w:tcPr>
            <w:tcW w:w="674" w:type="pct"/>
            <w:shd w:val="clear" w:color="auto" w:fill="auto"/>
            <w:vAlign w:val="center"/>
          </w:tcPr>
          <w:p w14:paraId="72F65B8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12.50%</w:t>
            </w:r>
          </w:p>
        </w:tc>
        <w:tc>
          <w:tcPr>
            <w:tcW w:w="674" w:type="pct"/>
            <w:shd w:val="clear" w:color="auto" w:fill="auto"/>
            <w:vAlign w:val="center"/>
          </w:tcPr>
          <w:p w14:paraId="5E76B14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12.70%</w:t>
            </w:r>
          </w:p>
        </w:tc>
        <w:tc>
          <w:tcPr>
            <w:tcW w:w="674" w:type="pct"/>
            <w:shd w:val="clear" w:color="auto" w:fill="auto"/>
            <w:vAlign w:val="center"/>
          </w:tcPr>
          <w:p w14:paraId="16A0D9E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595" w:type="pct"/>
            <w:shd w:val="clear" w:color="auto" w:fill="auto"/>
            <w:vAlign w:val="center"/>
          </w:tcPr>
          <w:p w14:paraId="27E52A5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11.50%</w:t>
            </w:r>
          </w:p>
        </w:tc>
        <w:tc>
          <w:tcPr>
            <w:tcW w:w="752" w:type="pct"/>
            <w:shd w:val="clear" w:color="auto" w:fill="auto"/>
            <w:vAlign w:val="center"/>
          </w:tcPr>
          <w:p w14:paraId="7ABFEBD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13.60%</w:t>
            </w:r>
          </w:p>
        </w:tc>
      </w:tr>
      <w:tr w14:paraId="4943B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A69A13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AE9B21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Ⅸ－房山工业园西</w:t>
            </w:r>
          </w:p>
        </w:tc>
        <w:tc>
          <w:tcPr>
            <w:tcW w:w="674" w:type="pct"/>
            <w:shd w:val="clear" w:color="auto" w:fill="auto"/>
            <w:vAlign w:val="center"/>
          </w:tcPr>
          <w:p w14:paraId="7D08973E">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47B07D8F">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53CE4027">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595" w:type="pct"/>
            <w:shd w:val="clear" w:color="auto" w:fill="auto"/>
            <w:vAlign w:val="center"/>
          </w:tcPr>
          <w:p w14:paraId="6A78FAE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28FD5A3B">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055C4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F3752AC">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2368B0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Ⅸ－房山工业园东</w:t>
            </w:r>
          </w:p>
        </w:tc>
        <w:tc>
          <w:tcPr>
            <w:tcW w:w="674" w:type="pct"/>
            <w:shd w:val="clear" w:color="auto" w:fill="auto"/>
            <w:vAlign w:val="center"/>
          </w:tcPr>
          <w:p w14:paraId="61FB720A">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0606B8F2">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6D94DEEF">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595" w:type="pct"/>
            <w:shd w:val="clear" w:color="auto" w:fill="auto"/>
            <w:vAlign w:val="center"/>
          </w:tcPr>
          <w:p w14:paraId="2707177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2411FFCE">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2F812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B6388A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A7E88C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Ⅸ－永乐开发区</w:t>
            </w:r>
          </w:p>
        </w:tc>
        <w:tc>
          <w:tcPr>
            <w:tcW w:w="674" w:type="pct"/>
            <w:shd w:val="clear" w:color="auto" w:fill="auto"/>
            <w:noWrap/>
            <w:vAlign w:val="center"/>
          </w:tcPr>
          <w:p w14:paraId="29B4FE3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2ABC984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3FAC23D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2A26D15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54985C36">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25482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3A1441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1939C3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Ⅸ－采育开发区</w:t>
            </w:r>
          </w:p>
        </w:tc>
        <w:tc>
          <w:tcPr>
            <w:tcW w:w="674" w:type="pct"/>
            <w:shd w:val="clear" w:color="auto" w:fill="auto"/>
            <w:noWrap/>
            <w:vAlign w:val="center"/>
          </w:tcPr>
          <w:p w14:paraId="40744DC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096F8CC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46AEF3E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04649A0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460B142C">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28860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6B970C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87940F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Ⅸ－雁栖开发区A</w:t>
            </w:r>
          </w:p>
        </w:tc>
        <w:tc>
          <w:tcPr>
            <w:tcW w:w="674" w:type="pct"/>
            <w:shd w:val="clear" w:color="auto" w:fill="auto"/>
            <w:noWrap/>
            <w:vAlign w:val="center"/>
          </w:tcPr>
          <w:p w14:paraId="3C3100E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7F606AB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48657BC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724C1A8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250D2779">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481AC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5CC15B7">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9E4CA3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Ⅸ－雁栖开发区B</w:t>
            </w:r>
          </w:p>
        </w:tc>
        <w:tc>
          <w:tcPr>
            <w:tcW w:w="674" w:type="pct"/>
            <w:shd w:val="clear" w:color="auto" w:fill="auto"/>
            <w:noWrap/>
            <w:vAlign w:val="center"/>
          </w:tcPr>
          <w:p w14:paraId="7158154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0E931AB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31517B3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0D77B0E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6CAAB39D">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55F04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584454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5F4E2D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Ⅸ－雁栖开发区C</w:t>
            </w:r>
          </w:p>
        </w:tc>
        <w:tc>
          <w:tcPr>
            <w:tcW w:w="674" w:type="pct"/>
            <w:shd w:val="clear" w:color="auto" w:fill="auto"/>
            <w:noWrap/>
            <w:vAlign w:val="center"/>
          </w:tcPr>
          <w:p w14:paraId="27C46AC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0ED8B61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2F6F031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6239507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5F17C2C8">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13BB7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7AC8CED">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3E5182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Ⅸ－兴谷开发区A</w:t>
            </w:r>
          </w:p>
        </w:tc>
        <w:tc>
          <w:tcPr>
            <w:tcW w:w="674" w:type="pct"/>
            <w:shd w:val="clear" w:color="auto" w:fill="auto"/>
            <w:noWrap/>
            <w:vAlign w:val="center"/>
          </w:tcPr>
          <w:p w14:paraId="6008C38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6D8F58F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65BA95C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2B6D5ED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2AC11275">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01922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C64627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F59AA2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Ⅸ－兴谷开发区B</w:t>
            </w:r>
          </w:p>
        </w:tc>
        <w:tc>
          <w:tcPr>
            <w:tcW w:w="674" w:type="pct"/>
            <w:shd w:val="clear" w:color="auto" w:fill="auto"/>
            <w:noWrap/>
            <w:vAlign w:val="center"/>
          </w:tcPr>
          <w:p w14:paraId="5A95E73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2A72DF1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586E166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48C656B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45DD5533">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7F90F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91341B2">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D13075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Ⅸ－马坊工业园</w:t>
            </w:r>
          </w:p>
        </w:tc>
        <w:tc>
          <w:tcPr>
            <w:tcW w:w="674" w:type="pct"/>
            <w:shd w:val="clear" w:color="auto" w:fill="auto"/>
            <w:noWrap/>
            <w:vAlign w:val="center"/>
          </w:tcPr>
          <w:p w14:paraId="6A21E70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4B335D6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7B5E530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62E43AC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7A4660C5">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68F53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C169845">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279325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Ⅸ－密云开发区</w:t>
            </w:r>
          </w:p>
        </w:tc>
        <w:tc>
          <w:tcPr>
            <w:tcW w:w="674" w:type="pct"/>
            <w:shd w:val="clear" w:color="auto" w:fill="auto"/>
            <w:noWrap/>
            <w:vAlign w:val="center"/>
          </w:tcPr>
          <w:p w14:paraId="4EF8577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39F84BC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1FB40B7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1100D76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0D74E63D">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55217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BFD1B11">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38A628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Ⅸ－延庆开发区</w:t>
            </w:r>
          </w:p>
        </w:tc>
        <w:tc>
          <w:tcPr>
            <w:tcW w:w="674" w:type="pct"/>
            <w:shd w:val="clear" w:color="auto" w:fill="auto"/>
            <w:noWrap/>
            <w:vAlign w:val="center"/>
          </w:tcPr>
          <w:p w14:paraId="5A1A5D2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1E8FFEC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3F79E96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7CBA71E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446E17E3">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0CE8D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2" w:type="pct"/>
            <w:vMerge w:val="continue"/>
            <w:shd w:val="clear" w:color="auto" w:fill="auto"/>
            <w:vAlign w:val="center"/>
          </w:tcPr>
          <w:p w14:paraId="3989054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F88FCD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Ⅸ－八达岭开发区</w:t>
            </w:r>
          </w:p>
        </w:tc>
        <w:tc>
          <w:tcPr>
            <w:tcW w:w="674" w:type="pct"/>
            <w:shd w:val="clear" w:color="auto" w:fill="auto"/>
            <w:noWrap/>
            <w:vAlign w:val="center"/>
          </w:tcPr>
          <w:p w14:paraId="6B780A4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6090E4B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5F90426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37AD719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5BBFA0D7">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bl>
    <w:p w14:paraId="788446A8">
      <w:pPr>
        <w:spacing w:before="120" w:beforeLines="50" w:line="360" w:lineRule="auto"/>
        <w:jc w:val="center"/>
        <w:rPr>
          <w:rFonts w:ascii="仿宋" w:hAnsi="仿宋" w:eastAsia="仿宋" w:cs="宋体"/>
          <w:bCs/>
          <w:color w:val="auto"/>
          <w:sz w:val="28"/>
          <w:szCs w:val="28"/>
        </w:rPr>
      </w:pPr>
      <w:r>
        <w:rPr>
          <w:rFonts w:hint="eastAsia" w:ascii="仿宋" w:hAnsi="仿宋" w:eastAsia="仿宋" w:cs="宋体"/>
          <w:bCs/>
          <w:color w:val="auto"/>
          <w:sz w:val="28"/>
          <w:szCs w:val="28"/>
        </w:rPr>
        <w:t>因素等级说明表</w:t>
      </w:r>
    </w:p>
    <w:tbl>
      <w:tblPr>
        <w:tblStyle w:val="34"/>
        <w:tblW w:w="4997"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57" w:type="dxa"/>
          <w:left w:w="28" w:type="dxa"/>
          <w:bottom w:w="57" w:type="dxa"/>
          <w:right w:w="28" w:type="dxa"/>
        </w:tblCellMar>
      </w:tblPr>
      <w:tblGrid>
        <w:gridCol w:w="2004"/>
        <w:gridCol w:w="1479"/>
        <w:gridCol w:w="1480"/>
        <w:gridCol w:w="1480"/>
        <w:gridCol w:w="1480"/>
        <w:gridCol w:w="1481"/>
      </w:tblGrid>
      <w:tr w14:paraId="0F9FD4D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29" w:hRule="atLeast"/>
          <w:jc w:val="center"/>
        </w:trPr>
        <w:tc>
          <w:tcPr>
            <w:tcW w:w="1065" w:type="pct"/>
            <w:tcBorders>
              <w:top w:val="single" w:color="404040" w:sz="2" w:space="0"/>
              <w:left w:val="single" w:color="404040" w:sz="2" w:space="0"/>
              <w:bottom w:val="single" w:color="404040" w:sz="2" w:space="0"/>
              <w:right w:val="single" w:color="404040" w:sz="2" w:space="0"/>
              <w:tl2br w:val="single" w:color="auto" w:sz="4" w:space="0"/>
            </w:tcBorders>
            <w:vAlign w:val="center"/>
          </w:tcPr>
          <w:p w14:paraId="55F080CD">
            <w:pPr>
              <w:widowControl/>
              <w:adjustRightInd/>
              <w:spacing w:line="240" w:lineRule="atLeast"/>
              <w:ind w:firstLine="1365" w:firstLineChars="650"/>
              <w:jc w:val="right"/>
              <w:rPr>
                <w:rFonts w:ascii="Arial" w:hAnsi="Arial" w:eastAsia="仿宋" w:cs="Arial"/>
                <w:color w:val="auto"/>
                <w:sz w:val="21"/>
                <w:szCs w:val="21"/>
              </w:rPr>
            </w:pPr>
            <w:r>
              <w:rPr>
                <w:rFonts w:ascii="Arial" w:hAnsi="Arial" w:eastAsia="仿宋" w:cs="Arial"/>
                <w:color w:val="auto"/>
                <w:sz w:val="21"/>
                <w:szCs w:val="21"/>
              </w:rPr>
              <w:t>等级</w:t>
            </w:r>
          </w:p>
          <w:p w14:paraId="06143709">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影响因素</w:t>
            </w:r>
          </w:p>
        </w:tc>
        <w:tc>
          <w:tcPr>
            <w:tcW w:w="786" w:type="pct"/>
            <w:tcBorders>
              <w:top w:val="single" w:color="404040" w:sz="2" w:space="0"/>
              <w:left w:val="single" w:color="404040" w:sz="2" w:space="0"/>
              <w:bottom w:val="single" w:color="404040" w:sz="2" w:space="0"/>
              <w:right w:val="single" w:color="404040" w:sz="2" w:space="0"/>
            </w:tcBorders>
            <w:vAlign w:val="center"/>
          </w:tcPr>
          <w:p w14:paraId="569FC0CD">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好</w:t>
            </w:r>
          </w:p>
        </w:tc>
        <w:tc>
          <w:tcPr>
            <w:tcW w:w="786" w:type="pct"/>
            <w:tcBorders>
              <w:top w:val="single" w:color="404040" w:sz="2" w:space="0"/>
              <w:left w:val="single" w:color="404040" w:sz="2" w:space="0"/>
              <w:bottom w:val="single" w:color="404040" w:sz="2" w:space="0"/>
              <w:right w:val="single" w:color="404040" w:sz="2" w:space="0"/>
            </w:tcBorders>
            <w:vAlign w:val="center"/>
          </w:tcPr>
          <w:p w14:paraId="250FCACB">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较好</w:t>
            </w:r>
          </w:p>
        </w:tc>
        <w:tc>
          <w:tcPr>
            <w:tcW w:w="786" w:type="pct"/>
            <w:tcBorders>
              <w:top w:val="single" w:color="404040" w:sz="2" w:space="0"/>
              <w:left w:val="single" w:color="404040" w:sz="2" w:space="0"/>
              <w:bottom w:val="single" w:color="404040" w:sz="2" w:space="0"/>
              <w:right w:val="single" w:color="404040" w:sz="2" w:space="0"/>
            </w:tcBorders>
            <w:vAlign w:val="center"/>
          </w:tcPr>
          <w:p w14:paraId="5B8518C4">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一般</w:t>
            </w:r>
          </w:p>
        </w:tc>
        <w:tc>
          <w:tcPr>
            <w:tcW w:w="786" w:type="pct"/>
            <w:tcBorders>
              <w:top w:val="single" w:color="404040" w:sz="2" w:space="0"/>
              <w:left w:val="single" w:color="404040" w:sz="2" w:space="0"/>
              <w:bottom w:val="single" w:color="404040" w:sz="2" w:space="0"/>
              <w:right w:val="single" w:color="404040" w:sz="2" w:space="0"/>
            </w:tcBorders>
            <w:vAlign w:val="center"/>
          </w:tcPr>
          <w:p w14:paraId="7CAA8F39">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较差</w:t>
            </w:r>
          </w:p>
        </w:tc>
        <w:tc>
          <w:tcPr>
            <w:tcW w:w="787" w:type="pct"/>
            <w:tcBorders>
              <w:top w:val="single" w:color="404040" w:sz="2" w:space="0"/>
              <w:left w:val="single" w:color="404040" w:sz="2" w:space="0"/>
              <w:bottom w:val="single" w:color="404040" w:sz="2" w:space="0"/>
              <w:right w:val="single" w:color="404040" w:sz="2" w:space="0"/>
            </w:tcBorders>
            <w:vAlign w:val="center"/>
          </w:tcPr>
          <w:p w14:paraId="15D030A7">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差</w:t>
            </w:r>
          </w:p>
        </w:tc>
      </w:tr>
      <w:tr w14:paraId="17D0CF8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076"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3BB2330B">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商业繁华度</w:t>
            </w:r>
          </w:p>
        </w:tc>
        <w:tc>
          <w:tcPr>
            <w:tcW w:w="786" w:type="pct"/>
            <w:tcBorders>
              <w:top w:val="single" w:color="404040" w:sz="2" w:space="0"/>
              <w:left w:val="single" w:color="404040" w:sz="2" w:space="0"/>
              <w:bottom w:val="single" w:color="404040" w:sz="2" w:space="0"/>
              <w:right w:val="single" w:color="404040" w:sz="2" w:space="0"/>
            </w:tcBorders>
            <w:vAlign w:val="center"/>
          </w:tcPr>
          <w:p w14:paraId="5BEB805F">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周边商服物业分布密集，商业繁华度好</w:t>
            </w:r>
          </w:p>
        </w:tc>
        <w:tc>
          <w:tcPr>
            <w:tcW w:w="786" w:type="pct"/>
            <w:tcBorders>
              <w:top w:val="single" w:color="404040" w:sz="2" w:space="0"/>
              <w:left w:val="single" w:color="404040" w:sz="2" w:space="0"/>
              <w:bottom w:val="single" w:color="404040" w:sz="2" w:space="0"/>
              <w:right w:val="single" w:color="404040" w:sz="2" w:space="0"/>
            </w:tcBorders>
            <w:vAlign w:val="center"/>
          </w:tcPr>
          <w:p w14:paraId="4211586B">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周边商服物业分布较密集，商业繁华度较好</w:t>
            </w:r>
          </w:p>
        </w:tc>
        <w:tc>
          <w:tcPr>
            <w:tcW w:w="786" w:type="pct"/>
            <w:tcBorders>
              <w:top w:val="single" w:color="404040" w:sz="2" w:space="0"/>
              <w:left w:val="single" w:color="404040" w:sz="2" w:space="0"/>
              <w:bottom w:val="single" w:color="404040" w:sz="2" w:space="0"/>
              <w:right w:val="single" w:color="404040" w:sz="2" w:space="0"/>
            </w:tcBorders>
            <w:vAlign w:val="center"/>
          </w:tcPr>
          <w:p w14:paraId="280F8331">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周边商服物业分布一般，商业繁华度一般</w:t>
            </w:r>
          </w:p>
        </w:tc>
        <w:tc>
          <w:tcPr>
            <w:tcW w:w="786" w:type="pct"/>
            <w:tcBorders>
              <w:top w:val="single" w:color="404040" w:sz="2" w:space="0"/>
              <w:left w:val="single" w:color="404040" w:sz="2" w:space="0"/>
              <w:bottom w:val="single" w:color="404040" w:sz="2" w:space="0"/>
              <w:right w:val="single" w:color="404040" w:sz="2" w:space="0"/>
            </w:tcBorders>
            <w:vAlign w:val="center"/>
          </w:tcPr>
          <w:p w14:paraId="2667B16B">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周边商服物业分布较分散，商业繁华度较差</w:t>
            </w:r>
          </w:p>
        </w:tc>
        <w:tc>
          <w:tcPr>
            <w:tcW w:w="787" w:type="pct"/>
            <w:tcBorders>
              <w:top w:val="single" w:color="404040" w:sz="2" w:space="0"/>
              <w:left w:val="single" w:color="404040" w:sz="2" w:space="0"/>
              <w:bottom w:val="single" w:color="404040" w:sz="2" w:space="0"/>
              <w:right w:val="single" w:color="404040" w:sz="2" w:space="0"/>
            </w:tcBorders>
            <w:vAlign w:val="center"/>
          </w:tcPr>
          <w:p w14:paraId="589D243A">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周边暂无商服物业分布，商业繁华度差</w:t>
            </w:r>
          </w:p>
        </w:tc>
      </w:tr>
      <w:tr w14:paraId="7BF48A0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3"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413E6844">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交通便捷度</w:t>
            </w:r>
          </w:p>
        </w:tc>
        <w:tc>
          <w:tcPr>
            <w:tcW w:w="786" w:type="pct"/>
            <w:tcBorders>
              <w:top w:val="single" w:color="404040" w:sz="2" w:space="0"/>
              <w:left w:val="single" w:color="404040" w:sz="2" w:space="0"/>
              <w:bottom w:val="single" w:color="404040" w:sz="2" w:space="0"/>
              <w:right w:val="single" w:color="404040" w:sz="2" w:space="0"/>
            </w:tcBorders>
            <w:vAlign w:val="center"/>
          </w:tcPr>
          <w:p w14:paraId="2C125275">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便捷</w:t>
            </w:r>
          </w:p>
        </w:tc>
        <w:tc>
          <w:tcPr>
            <w:tcW w:w="786" w:type="pct"/>
            <w:tcBorders>
              <w:top w:val="single" w:color="404040" w:sz="2" w:space="0"/>
              <w:left w:val="single" w:color="404040" w:sz="2" w:space="0"/>
              <w:bottom w:val="single" w:color="404040" w:sz="2" w:space="0"/>
              <w:right w:val="single" w:color="404040" w:sz="2" w:space="0"/>
            </w:tcBorders>
            <w:vAlign w:val="center"/>
          </w:tcPr>
          <w:p w14:paraId="4B5BD023">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较便捷</w:t>
            </w:r>
          </w:p>
        </w:tc>
        <w:tc>
          <w:tcPr>
            <w:tcW w:w="786" w:type="pct"/>
            <w:tcBorders>
              <w:top w:val="single" w:color="404040" w:sz="2" w:space="0"/>
              <w:left w:val="single" w:color="404040" w:sz="2" w:space="0"/>
              <w:bottom w:val="single" w:color="404040" w:sz="2" w:space="0"/>
              <w:right w:val="single" w:color="404040" w:sz="2" w:space="0"/>
            </w:tcBorders>
            <w:vAlign w:val="center"/>
          </w:tcPr>
          <w:p w14:paraId="620DBE22">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一般</w:t>
            </w:r>
          </w:p>
        </w:tc>
        <w:tc>
          <w:tcPr>
            <w:tcW w:w="786" w:type="pct"/>
            <w:tcBorders>
              <w:top w:val="single" w:color="404040" w:sz="2" w:space="0"/>
              <w:left w:val="single" w:color="404040" w:sz="2" w:space="0"/>
              <w:bottom w:val="single" w:color="404040" w:sz="2" w:space="0"/>
              <w:right w:val="single" w:color="404040" w:sz="2" w:space="0"/>
            </w:tcBorders>
            <w:vAlign w:val="center"/>
          </w:tcPr>
          <w:p w14:paraId="59C696AA">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较不便捷</w:t>
            </w:r>
          </w:p>
        </w:tc>
        <w:tc>
          <w:tcPr>
            <w:tcW w:w="787" w:type="pct"/>
            <w:tcBorders>
              <w:top w:val="single" w:color="404040" w:sz="2" w:space="0"/>
              <w:left w:val="single" w:color="404040" w:sz="2" w:space="0"/>
              <w:bottom w:val="single" w:color="404040" w:sz="2" w:space="0"/>
              <w:right w:val="single" w:color="404040" w:sz="2" w:space="0"/>
            </w:tcBorders>
            <w:vAlign w:val="center"/>
          </w:tcPr>
          <w:p w14:paraId="72EDAA3D">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不便捷</w:t>
            </w:r>
          </w:p>
        </w:tc>
      </w:tr>
      <w:tr w14:paraId="780EC5B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076"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3C99CBE7">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786" w:type="pct"/>
            <w:tcBorders>
              <w:top w:val="single" w:color="404040" w:sz="2" w:space="0"/>
              <w:left w:val="single" w:color="404040" w:sz="2" w:space="0"/>
              <w:bottom w:val="single" w:color="404040" w:sz="2" w:space="0"/>
              <w:right w:val="single" w:color="404040" w:sz="2" w:space="0"/>
            </w:tcBorders>
            <w:vAlign w:val="center"/>
          </w:tcPr>
          <w:p w14:paraId="3A5ACA6F">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估价对象用途与周边土地利用方向一致</w:t>
            </w:r>
          </w:p>
        </w:tc>
        <w:tc>
          <w:tcPr>
            <w:tcW w:w="786" w:type="pct"/>
            <w:tcBorders>
              <w:top w:val="single" w:color="404040" w:sz="2" w:space="0"/>
              <w:left w:val="single" w:color="404040" w:sz="2" w:space="0"/>
              <w:bottom w:val="single" w:color="404040" w:sz="2" w:space="0"/>
              <w:right w:val="single" w:color="404040" w:sz="2" w:space="0"/>
            </w:tcBorders>
            <w:vAlign w:val="center"/>
          </w:tcPr>
          <w:p w14:paraId="3F11342F">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零星有其他用地，基本不影响本宗地</w:t>
            </w:r>
          </w:p>
        </w:tc>
        <w:tc>
          <w:tcPr>
            <w:tcW w:w="786" w:type="pct"/>
            <w:tcBorders>
              <w:top w:val="single" w:color="404040" w:sz="2" w:space="0"/>
              <w:left w:val="single" w:color="404040" w:sz="2" w:space="0"/>
              <w:bottom w:val="single" w:color="404040" w:sz="2" w:space="0"/>
              <w:right w:val="single" w:color="404040" w:sz="2" w:space="0"/>
            </w:tcBorders>
            <w:vAlign w:val="center"/>
          </w:tcPr>
          <w:p w14:paraId="63DFF8A1">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有部分有其他用地，对本宗地略有影响</w:t>
            </w:r>
          </w:p>
        </w:tc>
        <w:tc>
          <w:tcPr>
            <w:tcW w:w="786" w:type="pct"/>
            <w:tcBorders>
              <w:top w:val="single" w:color="404040" w:sz="2" w:space="0"/>
              <w:left w:val="single" w:color="404040" w:sz="2" w:space="0"/>
              <w:bottom w:val="single" w:color="404040" w:sz="2" w:space="0"/>
              <w:right w:val="single" w:color="404040" w:sz="2" w:space="0"/>
            </w:tcBorders>
            <w:vAlign w:val="center"/>
          </w:tcPr>
          <w:p w14:paraId="7D3DB8DB">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其他用地较多，对本宗地影响较大</w:t>
            </w:r>
          </w:p>
        </w:tc>
        <w:tc>
          <w:tcPr>
            <w:tcW w:w="787" w:type="pct"/>
            <w:tcBorders>
              <w:top w:val="single" w:color="404040" w:sz="2" w:space="0"/>
              <w:left w:val="single" w:color="404040" w:sz="2" w:space="0"/>
              <w:bottom w:val="single" w:color="404040" w:sz="2" w:space="0"/>
              <w:right w:val="single" w:color="404040" w:sz="2" w:space="0"/>
            </w:tcBorders>
            <w:vAlign w:val="center"/>
          </w:tcPr>
          <w:p w14:paraId="3EA60BE2">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全部为不同用地，对本宗地有大的影响</w:t>
            </w:r>
          </w:p>
        </w:tc>
      </w:tr>
      <w:tr w14:paraId="782B1F9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3"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17B539F9">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临街宽度和深度</w:t>
            </w:r>
          </w:p>
        </w:tc>
        <w:tc>
          <w:tcPr>
            <w:tcW w:w="786" w:type="pct"/>
            <w:tcBorders>
              <w:top w:val="single" w:color="404040" w:sz="2" w:space="0"/>
              <w:left w:val="single" w:color="404040" w:sz="2" w:space="0"/>
              <w:bottom w:val="single" w:color="404040" w:sz="2" w:space="0"/>
              <w:right w:val="single" w:color="404040" w:sz="2" w:space="0"/>
            </w:tcBorders>
            <w:vAlign w:val="center"/>
          </w:tcPr>
          <w:p w14:paraId="70414199">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比例适宜</w:t>
            </w:r>
          </w:p>
        </w:tc>
        <w:tc>
          <w:tcPr>
            <w:tcW w:w="786" w:type="pct"/>
            <w:tcBorders>
              <w:top w:val="single" w:color="404040" w:sz="2" w:space="0"/>
              <w:left w:val="single" w:color="404040" w:sz="2" w:space="0"/>
              <w:bottom w:val="single" w:color="404040" w:sz="2" w:space="0"/>
              <w:right w:val="single" w:color="404040" w:sz="2" w:space="0"/>
            </w:tcBorders>
            <w:vAlign w:val="center"/>
          </w:tcPr>
          <w:p w14:paraId="12667612">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比例较适宜</w:t>
            </w:r>
          </w:p>
        </w:tc>
        <w:tc>
          <w:tcPr>
            <w:tcW w:w="786" w:type="pct"/>
            <w:tcBorders>
              <w:top w:val="single" w:color="404040" w:sz="2" w:space="0"/>
              <w:left w:val="single" w:color="404040" w:sz="2" w:space="0"/>
              <w:bottom w:val="single" w:color="404040" w:sz="2" w:space="0"/>
              <w:right w:val="single" w:color="404040" w:sz="2" w:space="0"/>
            </w:tcBorders>
            <w:vAlign w:val="center"/>
          </w:tcPr>
          <w:p w14:paraId="3E0B3F47">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一般</w:t>
            </w:r>
          </w:p>
        </w:tc>
        <w:tc>
          <w:tcPr>
            <w:tcW w:w="786" w:type="pct"/>
            <w:tcBorders>
              <w:top w:val="single" w:color="404040" w:sz="2" w:space="0"/>
              <w:left w:val="single" w:color="404040" w:sz="2" w:space="0"/>
              <w:bottom w:val="single" w:color="404040" w:sz="2" w:space="0"/>
              <w:right w:val="single" w:color="404040" w:sz="2" w:space="0"/>
            </w:tcBorders>
            <w:vAlign w:val="center"/>
          </w:tcPr>
          <w:p w14:paraId="49775E27">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较差</w:t>
            </w:r>
          </w:p>
        </w:tc>
        <w:tc>
          <w:tcPr>
            <w:tcW w:w="787" w:type="pct"/>
            <w:tcBorders>
              <w:top w:val="single" w:color="404040" w:sz="2" w:space="0"/>
              <w:left w:val="single" w:color="404040" w:sz="2" w:space="0"/>
              <w:bottom w:val="single" w:color="404040" w:sz="2" w:space="0"/>
              <w:right w:val="single" w:color="404040" w:sz="2" w:space="0"/>
            </w:tcBorders>
            <w:vAlign w:val="center"/>
          </w:tcPr>
          <w:p w14:paraId="4BA22129">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差</w:t>
            </w:r>
          </w:p>
        </w:tc>
      </w:tr>
      <w:tr w14:paraId="35E08E5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47"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74D86E03">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临街道路状况</w:t>
            </w:r>
          </w:p>
        </w:tc>
        <w:tc>
          <w:tcPr>
            <w:tcW w:w="786" w:type="pct"/>
            <w:tcBorders>
              <w:top w:val="single" w:color="404040" w:sz="2" w:space="0"/>
              <w:left w:val="single" w:color="404040" w:sz="2" w:space="0"/>
              <w:bottom w:val="single" w:color="404040" w:sz="2" w:space="0"/>
              <w:right w:val="single" w:color="404040" w:sz="2" w:space="0"/>
            </w:tcBorders>
            <w:vAlign w:val="center"/>
          </w:tcPr>
          <w:p w14:paraId="49BE50AB">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临高速公路</w:t>
            </w:r>
          </w:p>
        </w:tc>
        <w:tc>
          <w:tcPr>
            <w:tcW w:w="786" w:type="pct"/>
            <w:tcBorders>
              <w:top w:val="single" w:color="404040" w:sz="2" w:space="0"/>
              <w:left w:val="single" w:color="404040" w:sz="2" w:space="0"/>
              <w:bottom w:val="single" w:color="404040" w:sz="2" w:space="0"/>
              <w:right w:val="single" w:color="404040" w:sz="2" w:space="0"/>
            </w:tcBorders>
            <w:vAlign w:val="center"/>
          </w:tcPr>
          <w:p w14:paraId="20D456A3">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临城市快速路</w:t>
            </w:r>
          </w:p>
        </w:tc>
        <w:tc>
          <w:tcPr>
            <w:tcW w:w="786" w:type="pct"/>
            <w:tcBorders>
              <w:top w:val="single" w:color="404040" w:sz="2" w:space="0"/>
              <w:left w:val="single" w:color="404040" w:sz="2" w:space="0"/>
              <w:bottom w:val="single" w:color="404040" w:sz="2" w:space="0"/>
              <w:right w:val="single" w:color="404040" w:sz="2" w:space="0"/>
            </w:tcBorders>
            <w:vAlign w:val="center"/>
          </w:tcPr>
          <w:p w14:paraId="7A9CFD9A">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临城市主干道</w:t>
            </w:r>
          </w:p>
        </w:tc>
        <w:tc>
          <w:tcPr>
            <w:tcW w:w="786" w:type="pct"/>
            <w:tcBorders>
              <w:top w:val="single" w:color="404040" w:sz="2" w:space="0"/>
              <w:left w:val="single" w:color="404040" w:sz="2" w:space="0"/>
              <w:bottom w:val="single" w:color="404040" w:sz="2" w:space="0"/>
              <w:right w:val="single" w:color="404040" w:sz="2" w:space="0"/>
            </w:tcBorders>
            <w:vAlign w:val="center"/>
          </w:tcPr>
          <w:p w14:paraId="202A8EA1">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临城市次干道</w:t>
            </w:r>
          </w:p>
        </w:tc>
        <w:tc>
          <w:tcPr>
            <w:tcW w:w="787" w:type="pct"/>
            <w:tcBorders>
              <w:top w:val="single" w:color="404040" w:sz="2" w:space="0"/>
              <w:left w:val="single" w:color="404040" w:sz="2" w:space="0"/>
              <w:bottom w:val="single" w:color="404040" w:sz="2" w:space="0"/>
              <w:right w:val="single" w:color="404040" w:sz="2" w:space="0"/>
            </w:tcBorders>
            <w:vAlign w:val="center"/>
          </w:tcPr>
          <w:p w14:paraId="567DF461">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临城市支路</w:t>
            </w:r>
          </w:p>
        </w:tc>
      </w:tr>
      <w:tr w14:paraId="26DA282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076"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4C851807">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786" w:type="pct"/>
            <w:tcBorders>
              <w:top w:val="single" w:color="404040" w:sz="2" w:space="0"/>
              <w:left w:val="single" w:color="404040" w:sz="2" w:space="0"/>
              <w:bottom w:val="single" w:color="404040" w:sz="2" w:space="0"/>
              <w:right w:val="single" w:color="404040" w:sz="2" w:space="0"/>
            </w:tcBorders>
            <w:vAlign w:val="center"/>
          </w:tcPr>
          <w:p w14:paraId="240DD133">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宗地形状规则，可利用程度好</w:t>
            </w:r>
          </w:p>
        </w:tc>
        <w:tc>
          <w:tcPr>
            <w:tcW w:w="786" w:type="pct"/>
            <w:tcBorders>
              <w:top w:val="single" w:color="404040" w:sz="2" w:space="0"/>
              <w:left w:val="single" w:color="404040" w:sz="2" w:space="0"/>
              <w:bottom w:val="single" w:color="404040" w:sz="2" w:space="0"/>
              <w:right w:val="single" w:color="404040" w:sz="2" w:space="0"/>
            </w:tcBorders>
            <w:vAlign w:val="center"/>
          </w:tcPr>
          <w:p w14:paraId="144F1921">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宗地形状较规则，可利用程度较好</w:t>
            </w:r>
          </w:p>
        </w:tc>
        <w:tc>
          <w:tcPr>
            <w:tcW w:w="786" w:type="pct"/>
            <w:tcBorders>
              <w:top w:val="single" w:color="404040" w:sz="2" w:space="0"/>
              <w:left w:val="single" w:color="404040" w:sz="2" w:space="0"/>
              <w:bottom w:val="single" w:color="404040" w:sz="2" w:space="0"/>
              <w:right w:val="single" w:color="404040" w:sz="2" w:space="0"/>
            </w:tcBorders>
            <w:vAlign w:val="center"/>
          </w:tcPr>
          <w:p w14:paraId="06FD9C0D">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宗地形状不规则，但对宗地利用影响较小</w:t>
            </w:r>
          </w:p>
        </w:tc>
        <w:tc>
          <w:tcPr>
            <w:tcW w:w="786" w:type="pct"/>
            <w:tcBorders>
              <w:top w:val="single" w:color="404040" w:sz="2" w:space="0"/>
              <w:left w:val="single" w:color="404040" w:sz="2" w:space="0"/>
              <w:bottom w:val="single" w:color="404040" w:sz="2" w:space="0"/>
              <w:right w:val="single" w:color="404040" w:sz="2" w:space="0"/>
            </w:tcBorders>
            <w:vAlign w:val="center"/>
          </w:tcPr>
          <w:p w14:paraId="256BCA91">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宗地形状不规则，对宗地利用有影响</w:t>
            </w:r>
          </w:p>
        </w:tc>
        <w:tc>
          <w:tcPr>
            <w:tcW w:w="787" w:type="pct"/>
            <w:tcBorders>
              <w:top w:val="single" w:color="404040" w:sz="2" w:space="0"/>
              <w:left w:val="single" w:color="404040" w:sz="2" w:space="0"/>
              <w:bottom w:val="single" w:color="404040" w:sz="2" w:space="0"/>
              <w:right w:val="single" w:color="404040" w:sz="2" w:space="0"/>
            </w:tcBorders>
            <w:vAlign w:val="center"/>
          </w:tcPr>
          <w:p w14:paraId="6EC43310">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宗地形状极其不规则，对宗地利用影响很大</w:t>
            </w:r>
          </w:p>
        </w:tc>
      </w:tr>
      <w:tr w14:paraId="1F9349F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728"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41AA2CF2">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公共服务设施状况</w:t>
            </w:r>
          </w:p>
        </w:tc>
        <w:tc>
          <w:tcPr>
            <w:tcW w:w="786" w:type="pct"/>
            <w:tcBorders>
              <w:top w:val="single" w:color="404040" w:sz="2" w:space="0"/>
              <w:left w:val="single" w:color="404040" w:sz="2" w:space="0"/>
              <w:bottom w:val="single" w:color="404040" w:sz="2" w:space="0"/>
              <w:right w:val="single" w:color="404040" w:sz="2" w:space="0"/>
            </w:tcBorders>
            <w:vAlign w:val="center"/>
          </w:tcPr>
          <w:p w14:paraId="338F84EC">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配套完善</w:t>
            </w:r>
          </w:p>
        </w:tc>
        <w:tc>
          <w:tcPr>
            <w:tcW w:w="786" w:type="pct"/>
            <w:tcBorders>
              <w:top w:val="single" w:color="404040" w:sz="2" w:space="0"/>
              <w:left w:val="single" w:color="404040" w:sz="2" w:space="0"/>
              <w:bottom w:val="single" w:color="404040" w:sz="2" w:space="0"/>
              <w:right w:val="single" w:color="404040" w:sz="2" w:space="0"/>
            </w:tcBorders>
            <w:vAlign w:val="center"/>
          </w:tcPr>
          <w:p w14:paraId="13FF5600">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配套较完善</w:t>
            </w:r>
          </w:p>
        </w:tc>
        <w:tc>
          <w:tcPr>
            <w:tcW w:w="786" w:type="pct"/>
            <w:tcBorders>
              <w:top w:val="single" w:color="404040" w:sz="2" w:space="0"/>
              <w:left w:val="single" w:color="404040" w:sz="2" w:space="0"/>
              <w:bottom w:val="single" w:color="404040" w:sz="2" w:space="0"/>
              <w:right w:val="single" w:color="404040" w:sz="2" w:space="0"/>
            </w:tcBorders>
            <w:vAlign w:val="center"/>
          </w:tcPr>
          <w:p w14:paraId="5989D7EF">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配套基本满足需要</w:t>
            </w:r>
          </w:p>
        </w:tc>
        <w:tc>
          <w:tcPr>
            <w:tcW w:w="786" w:type="pct"/>
            <w:tcBorders>
              <w:top w:val="single" w:color="404040" w:sz="2" w:space="0"/>
              <w:left w:val="single" w:color="404040" w:sz="2" w:space="0"/>
              <w:bottom w:val="single" w:color="404040" w:sz="2" w:space="0"/>
              <w:right w:val="single" w:color="404040" w:sz="2" w:space="0"/>
            </w:tcBorders>
            <w:vAlign w:val="center"/>
          </w:tcPr>
          <w:p w14:paraId="16331320">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配套少</w:t>
            </w:r>
          </w:p>
        </w:tc>
        <w:tc>
          <w:tcPr>
            <w:tcW w:w="787" w:type="pct"/>
            <w:tcBorders>
              <w:top w:val="single" w:color="404040" w:sz="2" w:space="0"/>
              <w:left w:val="single" w:color="404040" w:sz="2" w:space="0"/>
              <w:bottom w:val="single" w:color="404040" w:sz="2" w:space="0"/>
              <w:right w:val="single" w:color="404040" w:sz="2" w:space="0"/>
            </w:tcBorders>
            <w:vAlign w:val="center"/>
          </w:tcPr>
          <w:p w14:paraId="1879257B">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配套极少</w:t>
            </w:r>
          </w:p>
        </w:tc>
      </w:tr>
      <w:tr w14:paraId="1DCEC42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47"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2E966EB8">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基础设施完备状况</w:t>
            </w:r>
          </w:p>
        </w:tc>
        <w:tc>
          <w:tcPr>
            <w:tcW w:w="786" w:type="pct"/>
            <w:tcBorders>
              <w:top w:val="single" w:color="404040" w:sz="2" w:space="0"/>
              <w:left w:val="single" w:color="404040" w:sz="2" w:space="0"/>
              <w:bottom w:val="single" w:color="404040" w:sz="2" w:space="0"/>
              <w:right w:val="single" w:color="404040" w:sz="2" w:space="0"/>
            </w:tcBorders>
            <w:vAlign w:val="center"/>
          </w:tcPr>
          <w:p w14:paraId="52DA776E">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七通</w:t>
            </w:r>
          </w:p>
        </w:tc>
        <w:tc>
          <w:tcPr>
            <w:tcW w:w="786" w:type="pct"/>
            <w:tcBorders>
              <w:top w:val="single" w:color="404040" w:sz="2" w:space="0"/>
              <w:left w:val="single" w:color="404040" w:sz="2" w:space="0"/>
              <w:bottom w:val="single" w:color="404040" w:sz="2" w:space="0"/>
              <w:right w:val="single" w:color="404040" w:sz="2" w:space="0"/>
            </w:tcBorders>
            <w:vAlign w:val="center"/>
          </w:tcPr>
          <w:p w14:paraId="62B608ED">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六通</w:t>
            </w:r>
          </w:p>
        </w:tc>
        <w:tc>
          <w:tcPr>
            <w:tcW w:w="786" w:type="pct"/>
            <w:tcBorders>
              <w:top w:val="single" w:color="404040" w:sz="2" w:space="0"/>
              <w:left w:val="single" w:color="404040" w:sz="2" w:space="0"/>
              <w:bottom w:val="single" w:color="404040" w:sz="2" w:space="0"/>
              <w:right w:val="single" w:color="404040" w:sz="2" w:space="0"/>
            </w:tcBorders>
            <w:vAlign w:val="center"/>
          </w:tcPr>
          <w:p w14:paraId="1BA6BB49">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五通</w:t>
            </w:r>
          </w:p>
        </w:tc>
        <w:tc>
          <w:tcPr>
            <w:tcW w:w="786" w:type="pct"/>
            <w:tcBorders>
              <w:top w:val="single" w:color="404040" w:sz="2" w:space="0"/>
              <w:left w:val="single" w:color="404040" w:sz="2" w:space="0"/>
              <w:bottom w:val="single" w:color="404040" w:sz="2" w:space="0"/>
              <w:right w:val="single" w:color="404040" w:sz="2" w:space="0"/>
            </w:tcBorders>
            <w:vAlign w:val="center"/>
          </w:tcPr>
          <w:p w14:paraId="4B55DB67">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四通</w:t>
            </w:r>
          </w:p>
        </w:tc>
        <w:tc>
          <w:tcPr>
            <w:tcW w:w="787" w:type="pct"/>
            <w:tcBorders>
              <w:top w:val="single" w:color="404040" w:sz="2" w:space="0"/>
              <w:left w:val="single" w:color="404040" w:sz="2" w:space="0"/>
              <w:bottom w:val="single" w:color="404040" w:sz="2" w:space="0"/>
              <w:right w:val="single" w:color="404040" w:sz="2" w:space="0"/>
            </w:tcBorders>
            <w:vAlign w:val="center"/>
          </w:tcPr>
          <w:p w14:paraId="708FA476">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三通</w:t>
            </w:r>
          </w:p>
        </w:tc>
      </w:tr>
      <w:tr w14:paraId="72F706F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3"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1037ED18">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786" w:type="pct"/>
            <w:tcBorders>
              <w:top w:val="single" w:color="404040" w:sz="2" w:space="0"/>
              <w:left w:val="single" w:color="404040" w:sz="2" w:space="0"/>
              <w:bottom w:val="single" w:color="404040" w:sz="2" w:space="0"/>
              <w:right w:val="single" w:color="404040" w:sz="2" w:space="0"/>
            </w:tcBorders>
            <w:vAlign w:val="center"/>
          </w:tcPr>
          <w:p w14:paraId="0CA8F2B2">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好</w:t>
            </w:r>
          </w:p>
        </w:tc>
        <w:tc>
          <w:tcPr>
            <w:tcW w:w="786" w:type="pct"/>
            <w:tcBorders>
              <w:top w:val="single" w:color="404040" w:sz="2" w:space="0"/>
              <w:left w:val="single" w:color="404040" w:sz="2" w:space="0"/>
              <w:bottom w:val="single" w:color="404040" w:sz="2" w:space="0"/>
              <w:right w:val="single" w:color="404040" w:sz="2" w:space="0"/>
            </w:tcBorders>
            <w:vAlign w:val="center"/>
          </w:tcPr>
          <w:p w14:paraId="55623E48">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较好</w:t>
            </w:r>
          </w:p>
        </w:tc>
        <w:tc>
          <w:tcPr>
            <w:tcW w:w="786" w:type="pct"/>
            <w:tcBorders>
              <w:top w:val="single" w:color="404040" w:sz="2" w:space="0"/>
              <w:left w:val="single" w:color="404040" w:sz="2" w:space="0"/>
              <w:bottom w:val="single" w:color="404040" w:sz="2" w:space="0"/>
              <w:right w:val="single" w:color="404040" w:sz="2" w:space="0"/>
            </w:tcBorders>
            <w:vAlign w:val="center"/>
          </w:tcPr>
          <w:p w14:paraId="30ED34FB">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一般</w:t>
            </w:r>
          </w:p>
        </w:tc>
        <w:tc>
          <w:tcPr>
            <w:tcW w:w="786" w:type="pct"/>
            <w:tcBorders>
              <w:top w:val="single" w:color="404040" w:sz="2" w:space="0"/>
              <w:left w:val="single" w:color="404040" w:sz="2" w:space="0"/>
              <w:bottom w:val="single" w:color="404040" w:sz="2" w:space="0"/>
              <w:right w:val="single" w:color="404040" w:sz="2" w:space="0"/>
            </w:tcBorders>
            <w:vAlign w:val="center"/>
          </w:tcPr>
          <w:p w14:paraId="152C4F2F">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较差</w:t>
            </w:r>
          </w:p>
        </w:tc>
        <w:tc>
          <w:tcPr>
            <w:tcW w:w="787" w:type="pct"/>
            <w:tcBorders>
              <w:top w:val="single" w:color="404040" w:sz="2" w:space="0"/>
              <w:left w:val="single" w:color="404040" w:sz="2" w:space="0"/>
              <w:bottom w:val="single" w:color="404040" w:sz="2" w:space="0"/>
              <w:right w:val="single" w:color="404040" w:sz="2" w:space="0"/>
            </w:tcBorders>
            <w:vAlign w:val="center"/>
          </w:tcPr>
          <w:p w14:paraId="284FEB75">
            <w:pPr>
              <w:widowControl/>
              <w:adjustRightInd/>
              <w:spacing w:line="240" w:lineRule="atLeast"/>
              <w:rPr>
                <w:rFonts w:ascii="Arial" w:hAnsi="Arial" w:eastAsia="仿宋" w:cs="Arial"/>
                <w:color w:val="auto"/>
                <w:sz w:val="21"/>
                <w:szCs w:val="21"/>
              </w:rPr>
            </w:pPr>
            <w:r>
              <w:rPr>
                <w:rFonts w:ascii="Arial" w:hAnsi="Arial" w:eastAsia="仿宋" w:cs="Arial"/>
                <w:color w:val="auto"/>
                <w:sz w:val="21"/>
                <w:szCs w:val="21"/>
              </w:rPr>
              <w:t>差</w:t>
            </w:r>
          </w:p>
        </w:tc>
      </w:tr>
    </w:tbl>
    <w:p w14:paraId="6C140835">
      <w:pPr>
        <w:spacing w:before="120" w:beforeLines="50" w:line="300" w:lineRule="auto"/>
        <w:ind w:firstLine="560" w:firstLineChars="200"/>
        <w:jc w:val="both"/>
        <w:rPr>
          <w:rFonts w:ascii="Arial" w:hAnsi="Arial" w:eastAsia="仿宋_GB2312" w:cs="Arial"/>
          <w:color w:val="auto"/>
          <w:sz w:val="28"/>
        </w:rPr>
      </w:pPr>
      <w:r>
        <w:rPr>
          <w:rFonts w:ascii="Arial" w:hAnsi="Arial" w:eastAsia="仿宋" w:cs="Arial"/>
          <w:color w:val="auto"/>
          <w:sz w:val="28"/>
          <w:szCs w:val="28"/>
        </w:rPr>
        <w:t>估价对象地处</w:t>
      </w:r>
      <w:r>
        <w:rPr>
          <w:rFonts w:hint="eastAsia" w:ascii="Arial" w:hAnsi="Arial" w:eastAsia="仿宋" w:cs="Arial"/>
          <w:color w:val="auto"/>
          <w:sz w:val="28"/>
          <w:szCs w:val="28"/>
        </w:rPr>
        <w:t>商业</w:t>
      </w:r>
      <w:r>
        <w:rPr>
          <w:rFonts w:ascii="Arial" w:hAnsi="Arial" w:eastAsia="仿宋" w:cs="Arial"/>
          <w:color w:val="auto"/>
          <w:sz w:val="28"/>
          <w:szCs w:val="28"/>
        </w:rPr>
        <w:t>类</w:t>
      </w:r>
      <w:r>
        <w:rPr>
          <w:rFonts w:hint="eastAsia" w:ascii="Arial" w:hAnsi="Arial" w:eastAsia="仿宋_GB2312" w:cs="Arial"/>
          <w:color w:val="auto"/>
          <w:sz w:val="28"/>
        </w:rPr>
        <w:t>九级</w:t>
      </w:r>
      <w:r>
        <w:rPr>
          <w:rFonts w:ascii="Arial" w:hAnsi="Arial" w:eastAsia="仿宋_GB2312" w:cs="Arial"/>
          <w:color w:val="auto"/>
          <w:sz w:val="28"/>
        </w:rPr>
        <w:t>IX</w:t>
      </w:r>
      <w:r>
        <w:rPr>
          <w:rFonts w:hint="eastAsia" w:ascii="Arial" w:hAnsi="Arial" w:eastAsia="仿宋_GB2312" w:cs="Arial"/>
          <w:color w:val="auto"/>
          <w:sz w:val="28"/>
        </w:rPr>
        <w:t>－顺5</w:t>
      </w:r>
      <w:r>
        <w:rPr>
          <w:rFonts w:ascii="Arial" w:hAnsi="Arial" w:eastAsia="仿宋" w:cs="Arial"/>
          <w:color w:val="auto"/>
          <w:sz w:val="28"/>
          <w:szCs w:val="28"/>
        </w:rPr>
        <w:t>区片，依据前述《北京市基准地价因素权重表》、《区片基准地价因素总修正幅度表》及《因素等级说明表》，整理《等级系数表》如下：</w:t>
      </w:r>
    </w:p>
    <w:p w14:paraId="551F38D9">
      <w:pPr>
        <w:adjustRightInd/>
        <w:spacing w:line="300" w:lineRule="auto"/>
        <w:jc w:val="center"/>
        <w:rPr>
          <w:rFonts w:ascii="Arial" w:hAnsi="Arial" w:eastAsia="仿宋_GB2312" w:cs="Arial"/>
          <w:color w:val="auto"/>
          <w:szCs w:val="24"/>
        </w:rPr>
      </w:pPr>
      <w:r>
        <w:rPr>
          <w:rFonts w:ascii="Arial" w:hAnsi="Arial" w:eastAsia="仿宋" w:cs="Arial"/>
          <w:color w:val="auto"/>
          <w:sz w:val="28"/>
          <w:szCs w:val="28"/>
        </w:rPr>
        <w:t xml:space="preserve">等级系数表  </w:t>
      </w:r>
      <w:r>
        <w:rPr>
          <w:rFonts w:ascii="Arial" w:hAnsi="Arial" w:eastAsia="仿宋_GB2312" w:cs="Arial"/>
          <w:color w:val="auto"/>
          <w:szCs w:val="24"/>
        </w:rPr>
        <w:t xml:space="preserve">                    </w:t>
      </w:r>
    </w:p>
    <w:tbl>
      <w:tblPr>
        <w:tblStyle w:val="34"/>
        <w:tblW w:w="4998"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57" w:type="dxa"/>
          <w:left w:w="28" w:type="dxa"/>
          <w:bottom w:w="57" w:type="dxa"/>
          <w:right w:w="28" w:type="dxa"/>
        </w:tblCellMar>
      </w:tblPr>
      <w:tblGrid>
        <w:gridCol w:w="2410"/>
        <w:gridCol w:w="1290"/>
        <w:gridCol w:w="1371"/>
        <w:gridCol w:w="1472"/>
        <w:gridCol w:w="1406"/>
        <w:gridCol w:w="1457"/>
      </w:tblGrid>
      <w:tr w14:paraId="7C55C45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tblHeader/>
          <w:jc w:val="center"/>
        </w:trPr>
        <w:tc>
          <w:tcPr>
            <w:tcW w:w="1280" w:type="pct"/>
            <w:tcBorders>
              <w:tl2br w:val="single" w:color="404040" w:sz="2" w:space="0"/>
            </w:tcBorders>
            <w:vAlign w:val="center"/>
          </w:tcPr>
          <w:p w14:paraId="367E8308">
            <w:pPr>
              <w:widowControl/>
              <w:adjustRightInd/>
              <w:spacing w:line="240" w:lineRule="atLeast"/>
              <w:jc w:val="right"/>
              <w:textAlignment w:val="auto"/>
              <w:rPr>
                <w:rFonts w:ascii="Arial" w:hAnsi="Arial" w:eastAsia="仿宋" w:cs="Arial"/>
                <w:color w:val="auto"/>
                <w:sz w:val="21"/>
                <w:szCs w:val="21"/>
              </w:rPr>
            </w:pPr>
            <w:r>
              <w:rPr>
                <w:rFonts w:ascii="Arial" w:hAnsi="Arial" w:eastAsia="仿宋" w:cs="Arial"/>
                <w:color w:val="auto"/>
                <w:sz w:val="21"/>
                <w:szCs w:val="21"/>
              </w:rPr>
              <w:t>等级</w:t>
            </w:r>
          </w:p>
          <w:p w14:paraId="529B72AD">
            <w:pPr>
              <w:widowControl/>
              <w:adjustRightInd/>
              <w:spacing w:line="240" w:lineRule="atLeast"/>
              <w:jc w:val="right"/>
              <w:textAlignment w:val="auto"/>
              <w:rPr>
                <w:rFonts w:ascii="Arial" w:hAnsi="Arial" w:eastAsia="仿宋" w:cs="Arial"/>
                <w:color w:val="auto"/>
                <w:sz w:val="21"/>
                <w:szCs w:val="21"/>
              </w:rPr>
            </w:pPr>
            <w:r>
              <w:rPr>
                <w:rFonts w:ascii="Arial" w:hAnsi="Arial" w:eastAsia="仿宋" w:cs="Arial"/>
                <w:color w:val="auto"/>
                <w:sz w:val="21"/>
                <w:szCs w:val="21"/>
              </w:rPr>
              <w:t xml:space="preserve">     </w:t>
            </w:r>
          </w:p>
          <w:p w14:paraId="2DEFED52">
            <w:pPr>
              <w:widowControl/>
              <w:adjustRightInd/>
              <w:spacing w:line="240" w:lineRule="atLeas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685" w:type="pct"/>
            <w:vAlign w:val="center"/>
          </w:tcPr>
          <w:p w14:paraId="1BE53FF9">
            <w:pPr>
              <w:widowControl/>
              <w:adjustRightInd/>
              <w:spacing w:line="240" w:lineRule="atLeast"/>
              <w:textAlignment w:val="auto"/>
              <w:rPr>
                <w:rFonts w:ascii="Arial" w:hAnsi="Arial" w:eastAsia="仿宋" w:cs="Arial"/>
                <w:color w:val="auto"/>
                <w:sz w:val="21"/>
                <w:szCs w:val="21"/>
              </w:rPr>
            </w:pPr>
            <w:r>
              <w:rPr>
                <w:rFonts w:ascii="Arial" w:hAnsi="Arial" w:eastAsia="仿宋" w:cs="Arial"/>
                <w:color w:val="auto"/>
                <w:sz w:val="21"/>
                <w:szCs w:val="21"/>
              </w:rPr>
              <w:t>好</w:t>
            </w:r>
          </w:p>
        </w:tc>
        <w:tc>
          <w:tcPr>
            <w:tcW w:w="728" w:type="pct"/>
            <w:vAlign w:val="center"/>
          </w:tcPr>
          <w:p w14:paraId="1E9D07BC">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较好</w:t>
            </w:r>
          </w:p>
        </w:tc>
        <w:tc>
          <w:tcPr>
            <w:tcW w:w="782" w:type="pct"/>
            <w:vAlign w:val="center"/>
          </w:tcPr>
          <w:p w14:paraId="27B91E09">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一般</w:t>
            </w:r>
          </w:p>
        </w:tc>
        <w:tc>
          <w:tcPr>
            <w:tcW w:w="747" w:type="pct"/>
            <w:vAlign w:val="center"/>
          </w:tcPr>
          <w:p w14:paraId="32818EE9">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较差</w:t>
            </w:r>
          </w:p>
        </w:tc>
        <w:tc>
          <w:tcPr>
            <w:tcW w:w="774" w:type="pct"/>
            <w:vAlign w:val="center"/>
          </w:tcPr>
          <w:p w14:paraId="7EE53057">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差</w:t>
            </w:r>
          </w:p>
        </w:tc>
      </w:tr>
      <w:tr w14:paraId="23935D2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736B6137">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商业繁华程度</w:t>
            </w:r>
          </w:p>
        </w:tc>
        <w:tc>
          <w:tcPr>
            <w:tcW w:w="685" w:type="pct"/>
            <w:vAlign w:val="center"/>
          </w:tcPr>
          <w:p w14:paraId="23FAB6E6">
            <w:pPr>
              <w:widowControl/>
              <w:adjustRightInd/>
              <w:spacing w:line="240" w:lineRule="atLeast"/>
              <w:textAlignment w:val="auto"/>
              <w:rPr>
                <w:rFonts w:ascii="Arial" w:hAnsi="Arial" w:cs="Arial"/>
                <w:color w:val="auto"/>
                <w:sz w:val="22"/>
                <w:szCs w:val="22"/>
              </w:rPr>
            </w:pPr>
            <w:r>
              <w:rPr>
                <w:rFonts w:ascii="Arial" w:hAnsi="Arial" w:cs="Arial"/>
                <w:color w:val="auto"/>
                <w:sz w:val="22"/>
                <w:szCs w:val="22"/>
              </w:rPr>
              <w:t>4.50</w:t>
            </w:r>
          </w:p>
        </w:tc>
        <w:tc>
          <w:tcPr>
            <w:tcW w:w="728" w:type="pct"/>
            <w:vAlign w:val="center"/>
          </w:tcPr>
          <w:p w14:paraId="677FD3F5">
            <w:pPr>
              <w:spacing w:line="240" w:lineRule="atLeast"/>
              <w:rPr>
                <w:rFonts w:ascii="Arial" w:hAnsi="Arial" w:cs="Arial"/>
                <w:color w:val="auto"/>
                <w:sz w:val="22"/>
                <w:szCs w:val="22"/>
              </w:rPr>
            </w:pPr>
            <w:r>
              <w:rPr>
                <w:rFonts w:ascii="Arial" w:hAnsi="Arial" w:cs="Arial"/>
                <w:color w:val="auto"/>
                <w:sz w:val="22"/>
                <w:szCs w:val="22"/>
              </w:rPr>
              <w:t>2.25</w:t>
            </w:r>
          </w:p>
        </w:tc>
        <w:tc>
          <w:tcPr>
            <w:tcW w:w="782" w:type="pct"/>
            <w:vAlign w:val="center"/>
          </w:tcPr>
          <w:p w14:paraId="28B2DDA9">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12E24891">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2.25</w:t>
            </w:r>
          </w:p>
        </w:tc>
        <w:tc>
          <w:tcPr>
            <w:tcW w:w="774" w:type="pct"/>
            <w:vAlign w:val="center"/>
          </w:tcPr>
          <w:p w14:paraId="6BC64FEA">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4.50</w:t>
            </w:r>
          </w:p>
        </w:tc>
      </w:tr>
      <w:tr w14:paraId="0831362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2FE5BC02">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交通便捷度</w:t>
            </w:r>
          </w:p>
        </w:tc>
        <w:tc>
          <w:tcPr>
            <w:tcW w:w="685" w:type="pct"/>
            <w:vAlign w:val="center"/>
          </w:tcPr>
          <w:p w14:paraId="2ADE3A03">
            <w:pPr>
              <w:spacing w:line="240" w:lineRule="atLeast"/>
              <w:rPr>
                <w:rFonts w:ascii="Arial" w:hAnsi="Arial" w:cs="Arial"/>
                <w:color w:val="auto"/>
                <w:sz w:val="22"/>
                <w:szCs w:val="22"/>
              </w:rPr>
            </w:pPr>
            <w:r>
              <w:rPr>
                <w:rFonts w:ascii="Arial" w:hAnsi="Arial" w:cs="Arial"/>
                <w:color w:val="auto"/>
                <w:sz w:val="22"/>
                <w:szCs w:val="22"/>
              </w:rPr>
              <w:t>3.30</w:t>
            </w:r>
          </w:p>
        </w:tc>
        <w:tc>
          <w:tcPr>
            <w:tcW w:w="728" w:type="pct"/>
            <w:vAlign w:val="center"/>
          </w:tcPr>
          <w:p w14:paraId="0955B37E">
            <w:pPr>
              <w:spacing w:line="240" w:lineRule="atLeast"/>
              <w:rPr>
                <w:rFonts w:ascii="Arial" w:hAnsi="Arial" w:cs="Arial"/>
                <w:color w:val="auto"/>
                <w:sz w:val="22"/>
                <w:szCs w:val="22"/>
              </w:rPr>
            </w:pPr>
            <w:r>
              <w:rPr>
                <w:rFonts w:ascii="Arial" w:hAnsi="Arial" w:cs="Arial"/>
                <w:color w:val="auto"/>
                <w:sz w:val="22"/>
                <w:szCs w:val="22"/>
              </w:rPr>
              <w:t>1.65</w:t>
            </w:r>
          </w:p>
        </w:tc>
        <w:tc>
          <w:tcPr>
            <w:tcW w:w="782" w:type="pct"/>
            <w:vAlign w:val="center"/>
          </w:tcPr>
          <w:p w14:paraId="0A973FF6">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0E6705D2">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1.65</w:t>
            </w:r>
          </w:p>
        </w:tc>
        <w:tc>
          <w:tcPr>
            <w:tcW w:w="774" w:type="pct"/>
            <w:vAlign w:val="center"/>
          </w:tcPr>
          <w:p w14:paraId="143225B4">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3.30</w:t>
            </w:r>
          </w:p>
        </w:tc>
      </w:tr>
      <w:tr w14:paraId="3B5185A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4D5E1F53">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区域土地利用方向</w:t>
            </w:r>
          </w:p>
        </w:tc>
        <w:tc>
          <w:tcPr>
            <w:tcW w:w="685" w:type="pct"/>
            <w:vAlign w:val="center"/>
          </w:tcPr>
          <w:p w14:paraId="6BC23E76">
            <w:pPr>
              <w:spacing w:line="240" w:lineRule="atLeast"/>
              <w:rPr>
                <w:rFonts w:ascii="Arial" w:hAnsi="Arial" w:cs="Arial"/>
                <w:color w:val="auto"/>
                <w:sz w:val="22"/>
                <w:szCs w:val="22"/>
              </w:rPr>
            </w:pPr>
            <w:r>
              <w:rPr>
                <w:rFonts w:ascii="Arial" w:hAnsi="Arial" w:cs="Arial"/>
                <w:color w:val="auto"/>
                <w:sz w:val="22"/>
                <w:szCs w:val="22"/>
              </w:rPr>
              <w:t>1.80</w:t>
            </w:r>
          </w:p>
        </w:tc>
        <w:tc>
          <w:tcPr>
            <w:tcW w:w="728" w:type="pct"/>
            <w:vAlign w:val="center"/>
          </w:tcPr>
          <w:p w14:paraId="7B96ED50">
            <w:pPr>
              <w:spacing w:line="240" w:lineRule="atLeast"/>
              <w:rPr>
                <w:rFonts w:ascii="Arial" w:hAnsi="Arial" w:cs="Arial"/>
                <w:color w:val="auto"/>
                <w:sz w:val="22"/>
                <w:szCs w:val="22"/>
              </w:rPr>
            </w:pPr>
            <w:r>
              <w:rPr>
                <w:rFonts w:ascii="Arial" w:hAnsi="Arial" w:cs="Arial"/>
                <w:color w:val="auto"/>
                <w:sz w:val="22"/>
                <w:szCs w:val="22"/>
              </w:rPr>
              <w:t>0.90</w:t>
            </w:r>
          </w:p>
        </w:tc>
        <w:tc>
          <w:tcPr>
            <w:tcW w:w="782" w:type="pct"/>
            <w:vAlign w:val="center"/>
          </w:tcPr>
          <w:p w14:paraId="3F0A638A">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76FD4172">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0.90</w:t>
            </w:r>
          </w:p>
        </w:tc>
        <w:tc>
          <w:tcPr>
            <w:tcW w:w="774" w:type="pct"/>
            <w:vAlign w:val="center"/>
          </w:tcPr>
          <w:p w14:paraId="661F3C4E">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1.80</w:t>
            </w:r>
          </w:p>
        </w:tc>
      </w:tr>
      <w:tr w14:paraId="3C12D78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406FFE94">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临街宽度和深度</w:t>
            </w:r>
          </w:p>
        </w:tc>
        <w:tc>
          <w:tcPr>
            <w:tcW w:w="685" w:type="pct"/>
            <w:vAlign w:val="center"/>
          </w:tcPr>
          <w:p w14:paraId="031EC0E0">
            <w:pPr>
              <w:spacing w:line="240" w:lineRule="atLeast"/>
              <w:rPr>
                <w:rFonts w:ascii="Arial" w:hAnsi="Arial" w:cs="Arial"/>
                <w:color w:val="auto"/>
                <w:sz w:val="22"/>
                <w:szCs w:val="22"/>
              </w:rPr>
            </w:pPr>
            <w:r>
              <w:rPr>
                <w:rFonts w:ascii="Arial" w:hAnsi="Arial" w:cs="Arial"/>
                <w:color w:val="auto"/>
                <w:sz w:val="22"/>
                <w:szCs w:val="22"/>
              </w:rPr>
              <w:t>0.74</w:t>
            </w:r>
          </w:p>
        </w:tc>
        <w:tc>
          <w:tcPr>
            <w:tcW w:w="728" w:type="pct"/>
            <w:vAlign w:val="center"/>
          </w:tcPr>
          <w:p w14:paraId="5B54C28F">
            <w:pPr>
              <w:spacing w:line="240" w:lineRule="atLeast"/>
              <w:rPr>
                <w:rFonts w:ascii="Arial" w:hAnsi="Arial" w:cs="Arial"/>
                <w:color w:val="auto"/>
                <w:sz w:val="22"/>
                <w:szCs w:val="22"/>
              </w:rPr>
            </w:pPr>
            <w:r>
              <w:rPr>
                <w:rFonts w:ascii="Arial" w:hAnsi="Arial" w:cs="Arial"/>
                <w:color w:val="auto"/>
                <w:sz w:val="22"/>
                <w:szCs w:val="22"/>
              </w:rPr>
              <w:t>0.37</w:t>
            </w:r>
          </w:p>
        </w:tc>
        <w:tc>
          <w:tcPr>
            <w:tcW w:w="782" w:type="pct"/>
            <w:vAlign w:val="center"/>
          </w:tcPr>
          <w:p w14:paraId="74BF456F">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4501DABE">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0.37</w:t>
            </w:r>
          </w:p>
        </w:tc>
        <w:tc>
          <w:tcPr>
            <w:tcW w:w="774" w:type="pct"/>
            <w:vAlign w:val="center"/>
          </w:tcPr>
          <w:p w14:paraId="50CF4D93">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0.74</w:t>
            </w:r>
          </w:p>
        </w:tc>
      </w:tr>
      <w:tr w14:paraId="646FD0E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227157BC">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临街道路状况</w:t>
            </w:r>
          </w:p>
        </w:tc>
        <w:tc>
          <w:tcPr>
            <w:tcW w:w="685" w:type="pct"/>
            <w:vAlign w:val="center"/>
          </w:tcPr>
          <w:p w14:paraId="7F301260">
            <w:pPr>
              <w:spacing w:line="240" w:lineRule="atLeast"/>
              <w:rPr>
                <w:rFonts w:ascii="Arial" w:hAnsi="Arial" w:cs="Arial"/>
                <w:color w:val="auto"/>
                <w:sz w:val="22"/>
                <w:szCs w:val="22"/>
              </w:rPr>
            </w:pPr>
            <w:r>
              <w:rPr>
                <w:rFonts w:ascii="Arial" w:hAnsi="Arial" w:cs="Arial"/>
                <w:color w:val="auto"/>
                <w:sz w:val="22"/>
                <w:szCs w:val="22"/>
              </w:rPr>
              <w:t>1.20</w:t>
            </w:r>
          </w:p>
        </w:tc>
        <w:tc>
          <w:tcPr>
            <w:tcW w:w="728" w:type="pct"/>
            <w:vAlign w:val="center"/>
          </w:tcPr>
          <w:p w14:paraId="06095294">
            <w:pPr>
              <w:spacing w:line="240" w:lineRule="atLeast"/>
              <w:rPr>
                <w:rFonts w:ascii="Arial" w:hAnsi="Arial" w:cs="Arial"/>
                <w:color w:val="auto"/>
                <w:sz w:val="22"/>
                <w:szCs w:val="22"/>
              </w:rPr>
            </w:pPr>
            <w:r>
              <w:rPr>
                <w:rFonts w:ascii="Arial" w:hAnsi="Arial" w:cs="Arial"/>
                <w:color w:val="auto"/>
                <w:sz w:val="22"/>
                <w:szCs w:val="22"/>
              </w:rPr>
              <w:t>0.60</w:t>
            </w:r>
          </w:p>
        </w:tc>
        <w:tc>
          <w:tcPr>
            <w:tcW w:w="782" w:type="pct"/>
            <w:vAlign w:val="center"/>
          </w:tcPr>
          <w:p w14:paraId="658FF9FD">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2A2A36DE">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0.60</w:t>
            </w:r>
          </w:p>
        </w:tc>
        <w:tc>
          <w:tcPr>
            <w:tcW w:w="774" w:type="pct"/>
            <w:vAlign w:val="center"/>
          </w:tcPr>
          <w:p w14:paraId="0265104D">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1.20</w:t>
            </w:r>
          </w:p>
        </w:tc>
      </w:tr>
      <w:tr w14:paraId="2858FC4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74994346">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685" w:type="pct"/>
            <w:vAlign w:val="center"/>
          </w:tcPr>
          <w:p w14:paraId="0746DF50">
            <w:pPr>
              <w:spacing w:line="240" w:lineRule="atLeast"/>
              <w:rPr>
                <w:rFonts w:ascii="Arial" w:hAnsi="Arial" w:cs="Arial"/>
                <w:color w:val="auto"/>
                <w:sz w:val="22"/>
                <w:szCs w:val="22"/>
              </w:rPr>
            </w:pPr>
            <w:r>
              <w:rPr>
                <w:rFonts w:ascii="Arial" w:hAnsi="Arial" w:cs="Arial"/>
                <w:color w:val="auto"/>
                <w:sz w:val="22"/>
                <w:szCs w:val="22"/>
              </w:rPr>
              <w:t>0.74</w:t>
            </w:r>
          </w:p>
        </w:tc>
        <w:tc>
          <w:tcPr>
            <w:tcW w:w="728" w:type="pct"/>
            <w:vAlign w:val="center"/>
          </w:tcPr>
          <w:p w14:paraId="3BA8E7D9">
            <w:pPr>
              <w:spacing w:line="240" w:lineRule="atLeast"/>
              <w:rPr>
                <w:rFonts w:ascii="Arial" w:hAnsi="Arial" w:cs="Arial"/>
                <w:color w:val="auto"/>
                <w:sz w:val="22"/>
                <w:szCs w:val="22"/>
              </w:rPr>
            </w:pPr>
            <w:r>
              <w:rPr>
                <w:rFonts w:ascii="Arial" w:hAnsi="Arial" w:cs="Arial"/>
                <w:color w:val="auto"/>
                <w:sz w:val="22"/>
                <w:szCs w:val="22"/>
              </w:rPr>
              <w:t>0.37</w:t>
            </w:r>
          </w:p>
        </w:tc>
        <w:tc>
          <w:tcPr>
            <w:tcW w:w="782" w:type="pct"/>
            <w:vAlign w:val="center"/>
          </w:tcPr>
          <w:p w14:paraId="3CF83304">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0611B4C8">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0.37</w:t>
            </w:r>
          </w:p>
        </w:tc>
        <w:tc>
          <w:tcPr>
            <w:tcW w:w="774" w:type="pct"/>
            <w:vAlign w:val="center"/>
          </w:tcPr>
          <w:p w14:paraId="12553839">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0.74</w:t>
            </w:r>
          </w:p>
        </w:tc>
      </w:tr>
      <w:tr w14:paraId="5852F8A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67B46240">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公共服务设施状况</w:t>
            </w:r>
          </w:p>
        </w:tc>
        <w:tc>
          <w:tcPr>
            <w:tcW w:w="685" w:type="pct"/>
            <w:vAlign w:val="center"/>
          </w:tcPr>
          <w:p w14:paraId="5ABC0200">
            <w:pPr>
              <w:spacing w:line="240" w:lineRule="atLeast"/>
              <w:rPr>
                <w:rFonts w:ascii="Arial" w:hAnsi="Arial" w:cs="Arial"/>
                <w:color w:val="auto"/>
                <w:sz w:val="22"/>
                <w:szCs w:val="22"/>
              </w:rPr>
            </w:pPr>
            <w:r>
              <w:rPr>
                <w:rFonts w:ascii="Arial" w:hAnsi="Arial" w:cs="Arial"/>
                <w:color w:val="auto"/>
                <w:sz w:val="22"/>
                <w:szCs w:val="22"/>
              </w:rPr>
              <w:t>0.74</w:t>
            </w:r>
          </w:p>
        </w:tc>
        <w:tc>
          <w:tcPr>
            <w:tcW w:w="728" w:type="pct"/>
            <w:vAlign w:val="center"/>
          </w:tcPr>
          <w:p w14:paraId="520CDAF4">
            <w:pPr>
              <w:spacing w:line="240" w:lineRule="atLeast"/>
              <w:rPr>
                <w:rFonts w:ascii="Arial" w:hAnsi="Arial" w:cs="Arial"/>
                <w:color w:val="auto"/>
                <w:sz w:val="22"/>
                <w:szCs w:val="22"/>
              </w:rPr>
            </w:pPr>
            <w:r>
              <w:rPr>
                <w:rFonts w:ascii="Arial" w:hAnsi="Arial" w:cs="Arial"/>
                <w:color w:val="auto"/>
                <w:sz w:val="22"/>
                <w:szCs w:val="22"/>
              </w:rPr>
              <w:t>0.37</w:t>
            </w:r>
          </w:p>
        </w:tc>
        <w:tc>
          <w:tcPr>
            <w:tcW w:w="782" w:type="pct"/>
            <w:vAlign w:val="center"/>
          </w:tcPr>
          <w:p w14:paraId="2D7A302A">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1E4726E0">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0.37</w:t>
            </w:r>
          </w:p>
        </w:tc>
        <w:tc>
          <w:tcPr>
            <w:tcW w:w="774" w:type="pct"/>
            <w:vAlign w:val="center"/>
          </w:tcPr>
          <w:p w14:paraId="4CEB7CAC">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0.74</w:t>
            </w:r>
          </w:p>
        </w:tc>
      </w:tr>
      <w:tr w14:paraId="24F3AD4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25A27D49">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基础设施完备状况</w:t>
            </w:r>
          </w:p>
        </w:tc>
        <w:tc>
          <w:tcPr>
            <w:tcW w:w="685" w:type="pct"/>
            <w:vAlign w:val="center"/>
          </w:tcPr>
          <w:p w14:paraId="188C358E">
            <w:pPr>
              <w:spacing w:line="240" w:lineRule="atLeast"/>
              <w:rPr>
                <w:rFonts w:ascii="Arial" w:hAnsi="Arial" w:cs="Arial"/>
                <w:color w:val="auto"/>
                <w:sz w:val="22"/>
                <w:szCs w:val="22"/>
              </w:rPr>
            </w:pPr>
            <w:r>
              <w:rPr>
                <w:rFonts w:ascii="Arial" w:hAnsi="Arial" w:cs="Arial"/>
                <w:color w:val="auto"/>
                <w:sz w:val="22"/>
                <w:szCs w:val="22"/>
              </w:rPr>
              <w:t>1.20</w:t>
            </w:r>
          </w:p>
        </w:tc>
        <w:tc>
          <w:tcPr>
            <w:tcW w:w="728" w:type="pct"/>
            <w:vAlign w:val="center"/>
          </w:tcPr>
          <w:p w14:paraId="2DC2D7C8">
            <w:pPr>
              <w:spacing w:line="240" w:lineRule="atLeast"/>
              <w:rPr>
                <w:rFonts w:ascii="Arial" w:hAnsi="Arial" w:cs="Arial"/>
                <w:color w:val="auto"/>
                <w:sz w:val="22"/>
                <w:szCs w:val="22"/>
              </w:rPr>
            </w:pPr>
            <w:r>
              <w:rPr>
                <w:rFonts w:ascii="Arial" w:hAnsi="Arial" w:cs="Arial"/>
                <w:color w:val="auto"/>
                <w:sz w:val="22"/>
                <w:szCs w:val="22"/>
              </w:rPr>
              <w:t>0.60</w:t>
            </w:r>
          </w:p>
        </w:tc>
        <w:tc>
          <w:tcPr>
            <w:tcW w:w="782" w:type="pct"/>
            <w:vAlign w:val="center"/>
          </w:tcPr>
          <w:p w14:paraId="67CE72AB">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38DE892E">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0.60</w:t>
            </w:r>
          </w:p>
        </w:tc>
        <w:tc>
          <w:tcPr>
            <w:tcW w:w="774" w:type="pct"/>
            <w:vAlign w:val="center"/>
          </w:tcPr>
          <w:p w14:paraId="69AFBFEB">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1.20</w:t>
            </w:r>
          </w:p>
        </w:tc>
      </w:tr>
      <w:tr w14:paraId="65FB4A2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6A97182C">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685" w:type="pct"/>
            <w:vAlign w:val="center"/>
          </w:tcPr>
          <w:p w14:paraId="0DDFD80A">
            <w:pPr>
              <w:spacing w:line="240" w:lineRule="atLeast"/>
              <w:rPr>
                <w:rFonts w:ascii="Arial" w:hAnsi="Arial" w:cs="Arial"/>
                <w:color w:val="auto"/>
                <w:sz w:val="22"/>
                <w:szCs w:val="22"/>
              </w:rPr>
            </w:pPr>
            <w:r>
              <w:rPr>
                <w:rFonts w:ascii="Arial" w:hAnsi="Arial" w:cs="Arial"/>
                <w:color w:val="auto"/>
                <w:sz w:val="22"/>
                <w:szCs w:val="22"/>
              </w:rPr>
              <w:t>0.74</w:t>
            </w:r>
          </w:p>
        </w:tc>
        <w:tc>
          <w:tcPr>
            <w:tcW w:w="728" w:type="pct"/>
            <w:vAlign w:val="center"/>
          </w:tcPr>
          <w:p w14:paraId="497E1F87">
            <w:pPr>
              <w:spacing w:line="240" w:lineRule="atLeast"/>
              <w:rPr>
                <w:rFonts w:ascii="Arial" w:hAnsi="Arial" w:cs="Arial"/>
                <w:color w:val="auto"/>
                <w:sz w:val="22"/>
                <w:szCs w:val="22"/>
              </w:rPr>
            </w:pPr>
            <w:r>
              <w:rPr>
                <w:rFonts w:ascii="Arial" w:hAnsi="Arial" w:cs="Arial"/>
                <w:color w:val="auto"/>
                <w:sz w:val="22"/>
                <w:szCs w:val="22"/>
              </w:rPr>
              <w:t>0.37</w:t>
            </w:r>
          </w:p>
        </w:tc>
        <w:tc>
          <w:tcPr>
            <w:tcW w:w="782" w:type="pct"/>
            <w:vAlign w:val="center"/>
          </w:tcPr>
          <w:p w14:paraId="06573A06">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723A32F6">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0.37</w:t>
            </w:r>
          </w:p>
        </w:tc>
        <w:tc>
          <w:tcPr>
            <w:tcW w:w="774" w:type="pct"/>
            <w:vAlign w:val="center"/>
          </w:tcPr>
          <w:p w14:paraId="66EE7B6B">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0.74</w:t>
            </w:r>
          </w:p>
        </w:tc>
      </w:tr>
    </w:tbl>
    <w:p w14:paraId="642DB244">
      <w:pPr>
        <w:spacing w:line="300" w:lineRule="auto"/>
        <w:ind w:firstLine="360" w:firstLineChars="200"/>
        <w:jc w:val="both"/>
        <w:rPr>
          <w:rFonts w:ascii="Arial" w:hAnsi="Arial" w:eastAsia="仿宋_GB2312" w:cs="Arial"/>
          <w:color w:val="auto"/>
          <w:sz w:val="28"/>
        </w:rPr>
      </w:pPr>
      <w:r>
        <w:rPr>
          <w:rFonts w:hint="eastAsia" w:ascii="Arial" w:hAnsi="Arial" w:eastAsia="华文细黑" w:cs="宋体"/>
          <w:color w:val="auto"/>
          <w:sz w:val="18"/>
          <w:szCs w:val="24"/>
        </w:rPr>
        <w:t>单位：%</w:t>
      </w:r>
    </w:p>
    <w:p w14:paraId="7C50760C">
      <w:pPr>
        <w:adjustRightInd/>
        <w:spacing w:line="300" w:lineRule="auto"/>
        <w:ind w:firstLine="560" w:firstLineChars="200"/>
        <w:jc w:val="both"/>
        <w:rPr>
          <w:rFonts w:ascii="Arial" w:hAnsi="Arial" w:eastAsia="仿宋" w:cs="Arial"/>
          <w:color w:val="auto"/>
          <w:sz w:val="28"/>
        </w:rPr>
      </w:pPr>
      <w:r>
        <w:rPr>
          <w:rFonts w:ascii="Arial" w:hAnsi="Arial" w:eastAsia="仿宋" w:cs="Arial"/>
          <w:color w:val="auto"/>
          <w:sz w:val="28"/>
        </w:rPr>
        <w:t>按照因素等级情况说明表、等级系数表以及估价对象的区域因素和个别因素条件，编制估价对象因素修正系数表如下：</w:t>
      </w:r>
    </w:p>
    <w:p w14:paraId="5E83D89A">
      <w:pPr>
        <w:spacing w:line="300" w:lineRule="auto"/>
        <w:jc w:val="center"/>
        <w:rPr>
          <w:rFonts w:ascii="Arial" w:hAnsi="Arial" w:eastAsia="仿宋" w:cs="Arial"/>
          <w:color w:val="auto"/>
          <w:sz w:val="28"/>
        </w:rPr>
      </w:pPr>
      <w:r>
        <w:rPr>
          <w:rFonts w:ascii="Arial" w:hAnsi="Arial" w:eastAsia="仿宋" w:cs="Arial"/>
          <w:color w:val="auto"/>
          <w:sz w:val="28"/>
        </w:rPr>
        <w:t>估价对象因素修正系数表</w:t>
      </w:r>
    </w:p>
    <w:tbl>
      <w:tblPr>
        <w:tblStyle w:val="34"/>
        <w:tblW w:w="4997"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57" w:type="dxa"/>
          <w:left w:w="28" w:type="dxa"/>
          <w:bottom w:w="57" w:type="dxa"/>
          <w:right w:w="28" w:type="dxa"/>
        </w:tblCellMar>
      </w:tblPr>
      <w:tblGrid>
        <w:gridCol w:w="425"/>
        <w:gridCol w:w="2272"/>
        <w:gridCol w:w="5168"/>
        <w:gridCol w:w="532"/>
        <w:gridCol w:w="1007"/>
      </w:tblGrid>
      <w:tr w14:paraId="2FAD1E1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blHeader/>
          <w:jc w:val="center"/>
        </w:trPr>
        <w:tc>
          <w:tcPr>
            <w:tcW w:w="226" w:type="pct"/>
            <w:vAlign w:val="center"/>
          </w:tcPr>
          <w:p w14:paraId="16A9FE66">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序号</w:t>
            </w:r>
          </w:p>
        </w:tc>
        <w:tc>
          <w:tcPr>
            <w:tcW w:w="1208" w:type="pct"/>
            <w:vAlign w:val="center"/>
          </w:tcPr>
          <w:p w14:paraId="29877D38">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影响因素</w:t>
            </w:r>
          </w:p>
        </w:tc>
        <w:tc>
          <w:tcPr>
            <w:tcW w:w="2747" w:type="pct"/>
            <w:vAlign w:val="center"/>
          </w:tcPr>
          <w:p w14:paraId="03D3FAD1">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估价对象情况</w:t>
            </w:r>
          </w:p>
        </w:tc>
        <w:tc>
          <w:tcPr>
            <w:tcW w:w="281" w:type="pct"/>
            <w:vAlign w:val="center"/>
          </w:tcPr>
          <w:p w14:paraId="421D2CF2">
            <w:pPr>
              <w:adjustRightInd/>
              <w:spacing w:line="240" w:lineRule="exact"/>
              <w:rPr>
                <w:rFonts w:ascii="Arial" w:hAnsi="Arial" w:eastAsia="仿宋" w:cs="Arial"/>
                <w:color w:val="auto"/>
                <w:sz w:val="21"/>
                <w:szCs w:val="21"/>
              </w:rPr>
            </w:pPr>
            <w:r>
              <w:rPr>
                <w:rFonts w:ascii="Arial" w:hAnsi="Arial" w:eastAsia="仿宋" w:cs="Arial"/>
                <w:color w:val="auto"/>
                <w:sz w:val="21"/>
                <w:szCs w:val="21"/>
              </w:rPr>
              <w:t>等级</w:t>
            </w:r>
          </w:p>
        </w:tc>
        <w:tc>
          <w:tcPr>
            <w:tcW w:w="535" w:type="pct"/>
            <w:vAlign w:val="center"/>
          </w:tcPr>
          <w:p w14:paraId="1E227479">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修正系数</w:t>
            </w:r>
          </w:p>
        </w:tc>
      </w:tr>
      <w:tr w14:paraId="2985258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787FE29E">
            <w:pPr>
              <w:adjustRightInd/>
              <w:spacing w:line="240" w:lineRule="exact"/>
              <w:rPr>
                <w:rFonts w:ascii="Arial" w:hAnsi="Arial" w:eastAsia="仿宋" w:cs="Arial"/>
                <w:color w:val="auto"/>
                <w:sz w:val="21"/>
                <w:szCs w:val="21"/>
              </w:rPr>
            </w:pPr>
            <w:r>
              <w:rPr>
                <w:rFonts w:ascii="Arial" w:hAnsi="Arial" w:eastAsia="仿宋" w:cs="Arial"/>
                <w:color w:val="auto"/>
                <w:sz w:val="21"/>
                <w:szCs w:val="21"/>
              </w:rPr>
              <w:t>1）</w:t>
            </w:r>
          </w:p>
        </w:tc>
        <w:tc>
          <w:tcPr>
            <w:tcW w:w="1208" w:type="pct"/>
            <w:vAlign w:val="center"/>
          </w:tcPr>
          <w:p w14:paraId="5F32B7FB">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商业繁华程度</w:t>
            </w:r>
          </w:p>
        </w:tc>
        <w:tc>
          <w:tcPr>
            <w:tcW w:w="2747" w:type="pct"/>
            <w:vAlign w:val="center"/>
          </w:tcPr>
          <w:p w14:paraId="534C8A8D">
            <w:pPr>
              <w:adjustRightInd/>
              <w:spacing w:line="240" w:lineRule="exact"/>
              <w:rPr>
                <w:rFonts w:ascii="Arial" w:hAnsi="Arial" w:eastAsia="仿宋" w:cs="Arial"/>
                <w:color w:val="auto"/>
                <w:sz w:val="21"/>
                <w:szCs w:val="21"/>
              </w:rPr>
            </w:pPr>
            <w:r>
              <w:rPr>
                <w:rFonts w:hint="eastAsia" w:ascii="Arial" w:hAnsi="Arial" w:eastAsia="仿宋" w:cs="Arial"/>
                <w:color w:val="auto"/>
                <w:sz w:val="21"/>
                <w:szCs w:val="21"/>
              </w:rPr>
              <w:t>估价对象位于北京市顺义区高丽营镇夏县营村，周边2公里范围内有社区商业街，北京超天商贸中心、隆华购物中心以及零星临街商铺，无大型购物中心，商业繁华度较差。</w:t>
            </w:r>
          </w:p>
        </w:tc>
        <w:tc>
          <w:tcPr>
            <w:tcW w:w="281" w:type="pct"/>
            <w:vAlign w:val="center"/>
          </w:tcPr>
          <w:p w14:paraId="31EB1324">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较差</w:t>
            </w:r>
          </w:p>
        </w:tc>
        <w:tc>
          <w:tcPr>
            <w:tcW w:w="535" w:type="pct"/>
            <w:vAlign w:val="center"/>
          </w:tcPr>
          <w:p w14:paraId="7E6E5C65">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w:t>
            </w:r>
            <w:r>
              <w:rPr>
                <w:rFonts w:ascii="Arial" w:hAnsi="Arial" w:eastAsia="仿宋" w:cs="Arial"/>
                <w:color w:val="auto"/>
                <w:sz w:val="21"/>
                <w:szCs w:val="21"/>
                <w:lang w:bidi="ar"/>
              </w:rPr>
              <w:t>2.25%</w:t>
            </w:r>
          </w:p>
        </w:tc>
      </w:tr>
      <w:tr w14:paraId="7B42EAD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451EEC1C">
            <w:pPr>
              <w:adjustRightInd/>
              <w:spacing w:line="240" w:lineRule="exact"/>
              <w:rPr>
                <w:rFonts w:ascii="Arial" w:hAnsi="Arial" w:eastAsia="仿宋" w:cs="Arial"/>
                <w:color w:val="auto"/>
                <w:sz w:val="21"/>
                <w:szCs w:val="21"/>
              </w:rPr>
            </w:pPr>
            <w:r>
              <w:rPr>
                <w:rFonts w:ascii="Arial" w:hAnsi="Arial" w:eastAsia="仿宋" w:cs="Arial"/>
                <w:color w:val="auto"/>
                <w:sz w:val="21"/>
                <w:szCs w:val="21"/>
              </w:rPr>
              <w:t>2）</w:t>
            </w:r>
          </w:p>
        </w:tc>
        <w:tc>
          <w:tcPr>
            <w:tcW w:w="1208" w:type="pct"/>
            <w:vAlign w:val="center"/>
          </w:tcPr>
          <w:p w14:paraId="0260F6DB">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交通便捷度</w:t>
            </w:r>
          </w:p>
        </w:tc>
        <w:tc>
          <w:tcPr>
            <w:tcW w:w="2747" w:type="pct"/>
            <w:vAlign w:val="center"/>
          </w:tcPr>
          <w:p w14:paraId="3286190E">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估价对象属于北京市顺义区高丽营镇夏县营村，估价对象紧临城市主干道——火寺路、周边1公里范围内有顺25路、顺42路、顺49路、顺69路等公交线路，区域内交通一般，区域间通达性较差，综合评价交通便捷度较差。</w:t>
            </w:r>
          </w:p>
        </w:tc>
        <w:tc>
          <w:tcPr>
            <w:tcW w:w="281" w:type="pct"/>
            <w:vAlign w:val="center"/>
          </w:tcPr>
          <w:p w14:paraId="2E65B702">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较差</w:t>
            </w:r>
          </w:p>
        </w:tc>
        <w:tc>
          <w:tcPr>
            <w:tcW w:w="535" w:type="pct"/>
            <w:vAlign w:val="center"/>
          </w:tcPr>
          <w:p w14:paraId="74F45DBB">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w:t>
            </w:r>
            <w:r>
              <w:rPr>
                <w:rFonts w:ascii="Arial" w:hAnsi="Arial" w:eastAsia="仿宋" w:cs="Arial"/>
                <w:color w:val="auto"/>
                <w:sz w:val="21"/>
                <w:szCs w:val="21"/>
                <w:lang w:bidi="ar"/>
              </w:rPr>
              <w:t>1.65 %</w:t>
            </w:r>
          </w:p>
        </w:tc>
      </w:tr>
      <w:tr w14:paraId="723F1D6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5BCCC94F">
            <w:pPr>
              <w:adjustRightInd/>
              <w:spacing w:line="240" w:lineRule="exact"/>
              <w:rPr>
                <w:rFonts w:ascii="Arial" w:hAnsi="Arial" w:eastAsia="仿宋" w:cs="Arial"/>
                <w:color w:val="auto"/>
                <w:sz w:val="21"/>
                <w:szCs w:val="21"/>
              </w:rPr>
            </w:pPr>
            <w:r>
              <w:rPr>
                <w:rFonts w:ascii="Arial" w:hAnsi="Arial" w:eastAsia="仿宋" w:cs="Arial"/>
                <w:color w:val="auto"/>
                <w:sz w:val="21"/>
                <w:szCs w:val="21"/>
              </w:rPr>
              <w:t>3）</w:t>
            </w:r>
          </w:p>
        </w:tc>
        <w:tc>
          <w:tcPr>
            <w:tcW w:w="1208" w:type="pct"/>
            <w:vAlign w:val="center"/>
          </w:tcPr>
          <w:p w14:paraId="7DBC43A3">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区域土地利用方向</w:t>
            </w:r>
          </w:p>
        </w:tc>
        <w:tc>
          <w:tcPr>
            <w:tcW w:w="2747" w:type="pct"/>
            <w:vAlign w:val="center"/>
          </w:tcPr>
          <w:p w14:paraId="059E8AB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lang w:bidi="ar"/>
              </w:rPr>
              <w:t>估价对象周边有部分其他用途用地，基本不影响本宗地。</w:t>
            </w:r>
          </w:p>
        </w:tc>
        <w:tc>
          <w:tcPr>
            <w:tcW w:w="281" w:type="pct"/>
            <w:vAlign w:val="center"/>
          </w:tcPr>
          <w:p w14:paraId="46C9762B">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较好</w:t>
            </w:r>
          </w:p>
        </w:tc>
        <w:tc>
          <w:tcPr>
            <w:tcW w:w="535" w:type="pct"/>
            <w:vAlign w:val="center"/>
          </w:tcPr>
          <w:p w14:paraId="069065E4">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0.90%</w:t>
            </w:r>
          </w:p>
        </w:tc>
      </w:tr>
      <w:tr w14:paraId="7251103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7B362599">
            <w:pPr>
              <w:adjustRightInd/>
              <w:spacing w:line="240" w:lineRule="exact"/>
              <w:rPr>
                <w:rFonts w:ascii="Arial" w:hAnsi="Arial" w:eastAsia="仿宋" w:cs="Arial"/>
                <w:color w:val="auto"/>
                <w:sz w:val="21"/>
                <w:szCs w:val="21"/>
              </w:rPr>
            </w:pPr>
            <w:r>
              <w:rPr>
                <w:rFonts w:ascii="Arial" w:hAnsi="Arial" w:eastAsia="仿宋" w:cs="Arial"/>
                <w:color w:val="auto"/>
                <w:sz w:val="21"/>
                <w:szCs w:val="21"/>
              </w:rPr>
              <w:t>4）</w:t>
            </w:r>
          </w:p>
        </w:tc>
        <w:tc>
          <w:tcPr>
            <w:tcW w:w="1208" w:type="pct"/>
            <w:vAlign w:val="center"/>
          </w:tcPr>
          <w:p w14:paraId="63221436">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临街宽度和深度</w:t>
            </w:r>
          </w:p>
        </w:tc>
        <w:tc>
          <w:tcPr>
            <w:tcW w:w="2747" w:type="pct"/>
            <w:vAlign w:val="center"/>
          </w:tcPr>
          <w:p w14:paraId="6FFBDBC3">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临街宽度及深度比例一般。</w:t>
            </w:r>
          </w:p>
        </w:tc>
        <w:tc>
          <w:tcPr>
            <w:tcW w:w="281" w:type="pct"/>
            <w:vAlign w:val="center"/>
          </w:tcPr>
          <w:p w14:paraId="744C2DF8">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rPr>
              <w:t>一般</w:t>
            </w:r>
          </w:p>
        </w:tc>
        <w:tc>
          <w:tcPr>
            <w:tcW w:w="535" w:type="pct"/>
            <w:vAlign w:val="center"/>
          </w:tcPr>
          <w:p w14:paraId="1EC5DAB1">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0.00%</w:t>
            </w:r>
          </w:p>
        </w:tc>
      </w:tr>
      <w:tr w14:paraId="5F98E6D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21A309A1">
            <w:pPr>
              <w:adjustRightInd/>
              <w:spacing w:line="240" w:lineRule="exact"/>
              <w:rPr>
                <w:rFonts w:ascii="Arial" w:hAnsi="Arial" w:eastAsia="仿宋" w:cs="Arial"/>
                <w:color w:val="auto"/>
                <w:sz w:val="21"/>
                <w:szCs w:val="21"/>
              </w:rPr>
            </w:pPr>
            <w:r>
              <w:rPr>
                <w:rFonts w:ascii="Arial" w:hAnsi="Arial" w:eastAsia="仿宋" w:cs="Arial"/>
                <w:color w:val="auto"/>
                <w:sz w:val="21"/>
                <w:szCs w:val="21"/>
              </w:rPr>
              <w:t>5）</w:t>
            </w:r>
          </w:p>
        </w:tc>
        <w:tc>
          <w:tcPr>
            <w:tcW w:w="1208" w:type="pct"/>
            <w:vAlign w:val="center"/>
          </w:tcPr>
          <w:p w14:paraId="346422EC">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临街道路状况</w:t>
            </w:r>
          </w:p>
        </w:tc>
        <w:tc>
          <w:tcPr>
            <w:tcW w:w="2747" w:type="pct"/>
            <w:vAlign w:val="center"/>
          </w:tcPr>
          <w:p w14:paraId="2493889A">
            <w:pPr>
              <w:adjustRightInd/>
              <w:spacing w:line="240" w:lineRule="exact"/>
              <w:rPr>
                <w:rFonts w:ascii="Arial" w:hAnsi="Arial" w:eastAsia="仿宋" w:cs="Arial"/>
                <w:color w:val="auto"/>
                <w:sz w:val="21"/>
                <w:szCs w:val="21"/>
              </w:rPr>
            </w:pPr>
            <w:r>
              <w:rPr>
                <w:rFonts w:ascii="Arial" w:hAnsi="Arial" w:eastAsia="仿宋" w:cs="Arial"/>
                <w:color w:val="auto"/>
                <w:sz w:val="21"/>
                <w:szCs w:val="21"/>
                <w:lang w:bidi="ar"/>
              </w:rPr>
              <w:t>估价对象毗邻</w:t>
            </w:r>
            <w:r>
              <w:rPr>
                <w:rFonts w:hint="eastAsia" w:ascii="Arial" w:hAnsi="Arial" w:eastAsia="仿宋" w:cs="Arial"/>
                <w:color w:val="auto"/>
                <w:sz w:val="21"/>
                <w:szCs w:val="21"/>
                <w:lang w:bidi="ar"/>
              </w:rPr>
              <w:t>城市主干道——火寺路</w:t>
            </w:r>
          </w:p>
        </w:tc>
        <w:tc>
          <w:tcPr>
            <w:tcW w:w="281" w:type="pct"/>
            <w:vAlign w:val="center"/>
          </w:tcPr>
          <w:p w14:paraId="13CDF1B2">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较好</w:t>
            </w:r>
          </w:p>
        </w:tc>
        <w:tc>
          <w:tcPr>
            <w:tcW w:w="535" w:type="pct"/>
            <w:vAlign w:val="center"/>
          </w:tcPr>
          <w:p w14:paraId="2B3648C3">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0.60%</w:t>
            </w:r>
          </w:p>
        </w:tc>
      </w:tr>
      <w:tr w14:paraId="722ED56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487A7A5D">
            <w:pPr>
              <w:adjustRightInd/>
              <w:spacing w:line="240" w:lineRule="exact"/>
              <w:rPr>
                <w:rFonts w:ascii="Arial" w:hAnsi="Arial" w:eastAsia="仿宋" w:cs="Arial"/>
                <w:color w:val="auto"/>
                <w:sz w:val="21"/>
                <w:szCs w:val="21"/>
              </w:rPr>
            </w:pPr>
            <w:r>
              <w:rPr>
                <w:rFonts w:ascii="Arial" w:hAnsi="Arial" w:eastAsia="仿宋" w:cs="Arial"/>
                <w:color w:val="auto"/>
                <w:sz w:val="21"/>
                <w:szCs w:val="21"/>
              </w:rPr>
              <w:t>6）</w:t>
            </w:r>
          </w:p>
        </w:tc>
        <w:tc>
          <w:tcPr>
            <w:tcW w:w="1208" w:type="pct"/>
            <w:vAlign w:val="center"/>
          </w:tcPr>
          <w:p w14:paraId="501DCE40">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747" w:type="pct"/>
            <w:vAlign w:val="center"/>
          </w:tcPr>
          <w:p w14:paraId="3C62CF33">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rPr>
              <w:t>宗地形状规则，可利用程度好</w:t>
            </w:r>
            <w:r>
              <w:rPr>
                <w:rFonts w:ascii="Arial" w:hAnsi="Arial" w:eastAsia="仿宋" w:cs="Arial"/>
                <w:color w:val="auto"/>
                <w:sz w:val="21"/>
                <w:szCs w:val="21"/>
                <w:lang w:bidi="ar"/>
              </w:rPr>
              <w:t>。</w:t>
            </w:r>
          </w:p>
        </w:tc>
        <w:tc>
          <w:tcPr>
            <w:tcW w:w="281" w:type="pct"/>
            <w:vAlign w:val="center"/>
          </w:tcPr>
          <w:p w14:paraId="4AB3A4BF">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较好</w:t>
            </w:r>
          </w:p>
        </w:tc>
        <w:tc>
          <w:tcPr>
            <w:tcW w:w="535" w:type="pct"/>
            <w:vAlign w:val="center"/>
          </w:tcPr>
          <w:p w14:paraId="0CF8BD16">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w:t>
            </w:r>
            <w:r>
              <w:rPr>
                <w:rFonts w:hint="eastAsia" w:ascii="Arial" w:hAnsi="Arial" w:eastAsia="仿宋" w:cs="Arial"/>
                <w:color w:val="auto"/>
                <w:sz w:val="21"/>
                <w:szCs w:val="21"/>
                <w:lang w:bidi="ar"/>
              </w:rPr>
              <w:t>37</w:t>
            </w:r>
            <w:r>
              <w:rPr>
                <w:rFonts w:ascii="Arial" w:hAnsi="Arial" w:eastAsia="仿宋" w:cs="Arial"/>
                <w:color w:val="auto"/>
                <w:sz w:val="21"/>
                <w:szCs w:val="21"/>
                <w:lang w:bidi="ar"/>
              </w:rPr>
              <w:t>%</w:t>
            </w:r>
          </w:p>
        </w:tc>
      </w:tr>
      <w:tr w14:paraId="4F16EB4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51996ECE">
            <w:pPr>
              <w:adjustRightInd/>
              <w:spacing w:line="240" w:lineRule="exact"/>
              <w:rPr>
                <w:rFonts w:ascii="Arial" w:hAnsi="Arial" w:eastAsia="仿宋" w:cs="Arial"/>
                <w:color w:val="auto"/>
                <w:sz w:val="21"/>
                <w:szCs w:val="21"/>
              </w:rPr>
            </w:pPr>
            <w:r>
              <w:rPr>
                <w:rFonts w:ascii="Arial" w:hAnsi="Arial" w:eastAsia="仿宋" w:cs="Arial"/>
                <w:color w:val="auto"/>
                <w:sz w:val="21"/>
                <w:szCs w:val="21"/>
              </w:rPr>
              <w:t>7）</w:t>
            </w:r>
          </w:p>
        </w:tc>
        <w:tc>
          <w:tcPr>
            <w:tcW w:w="1208" w:type="pct"/>
            <w:vAlign w:val="center"/>
          </w:tcPr>
          <w:p w14:paraId="4AB45577">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747" w:type="pct"/>
            <w:vAlign w:val="center"/>
          </w:tcPr>
          <w:p w14:paraId="772BDE50">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rPr>
              <w:t>估价对象周边2公里范围内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公共配套设施齐备情况一般。</w:t>
            </w:r>
          </w:p>
        </w:tc>
        <w:tc>
          <w:tcPr>
            <w:tcW w:w="281" w:type="pct"/>
            <w:vAlign w:val="center"/>
          </w:tcPr>
          <w:p w14:paraId="74063065">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一般</w:t>
            </w:r>
          </w:p>
        </w:tc>
        <w:tc>
          <w:tcPr>
            <w:tcW w:w="535" w:type="pct"/>
            <w:vAlign w:val="center"/>
          </w:tcPr>
          <w:p w14:paraId="4083D8E6">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0.00%</w:t>
            </w:r>
          </w:p>
        </w:tc>
      </w:tr>
      <w:tr w14:paraId="373A749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0ADD56CF">
            <w:pPr>
              <w:adjustRightInd/>
              <w:spacing w:line="240" w:lineRule="exact"/>
              <w:rPr>
                <w:rFonts w:ascii="Arial" w:hAnsi="Arial" w:eastAsia="仿宋" w:cs="Arial"/>
                <w:color w:val="auto"/>
                <w:sz w:val="21"/>
                <w:szCs w:val="21"/>
              </w:rPr>
            </w:pPr>
            <w:r>
              <w:rPr>
                <w:rFonts w:ascii="Arial" w:hAnsi="Arial" w:eastAsia="仿宋" w:cs="Arial"/>
                <w:color w:val="auto"/>
                <w:sz w:val="21"/>
                <w:szCs w:val="21"/>
              </w:rPr>
              <w:t>8）</w:t>
            </w:r>
          </w:p>
        </w:tc>
        <w:tc>
          <w:tcPr>
            <w:tcW w:w="1208" w:type="pct"/>
            <w:vAlign w:val="center"/>
          </w:tcPr>
          <w:p w14:paraId="186D5204">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747" w:type="pct"/>
            <w:vAlign w:val="center"/>
          </w:tcPr>
          <w:p w14:paraId="7706C3E8">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估价对象所在区域内基础设施配套条件达到</w:t>
            </w:r>
            <w:r>
              <w:rPr>
                <w:rFonts w:hint="eastAsia" w:ascii="Arial" w:hAnsi="Arial" w:eastAsia="仿宋" w:cs="Arial"/>
                <w:color w:val="auto"/>
                <w:sz w:val="21"/>
                <w:szCs w:val="21"/>
              </w:rPr>
              <w:t>“七通”</w:t>
            </w:r>
          </w:p>
        </w:tc>
        <w:tc>
          <w:tcPr>
            <w:tcW w:w="281" w:type="pct"/>
            <w:vAlign w:val="center"/>
          </w:tcPr>
          <w:p w14:paraId="671F0D18">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好</w:t>
            </w:r>
          </w:p>
        </w:tc>
        <w:tc>
          <w:tcPr>
            <w:tcW w:w="535" w:type="pct"/>
            <w:vAlign w:val="center"/>
          </w:tcPr>
          <w:p w14:paraId="146C16F4">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1.2%</w:t>
            </w:r>
          </w:p>
        </w:tc>
      </w:tr>
      <w:tr w14:paraId="06E070B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485DB7D0">
            <w:pPr>
              <w:adjustRightInd/>
              <w:spacing w:line="240" w:lineRule="exact"/>
              <w:rPr>
                <w:rFonts w:ascii="Arial" w:hAnsi="Arial" w:eastAsia="仿宋" w:cs="Arial"/>
                <w:color w:val="auto"/>
                <w:sz w:val="21"/>
                <w:szCs w:val="21"/>
              </w:rPr>
            </w:pPr>
            <w:r>
              <w:rPr>
                <w:rFonts w:ascii="Arial" w:hAnsi="Arial" w:eastAsia="仿宋" w:cs="Arial"/>
                <w:color w:val="auto"/>
                <w:sz w:val="21"/>
                <w:szCs w:val="21"/>
              </w:rPr>
              <w:t>9）</w:t>
            </w:r>
          </w:p>
        </w:tc>
        <w:tc>
          <w:tcPr>
            <w:tcW w:w="1208" w:type="pct"/>
            <w:vAlign w:val="center"/>
          </w:tcPr>
          <w:p w14:paraId="55A337A9">
            <w:pPr>
              <w:adjustRightInd/>
              <w:spacing w:line="240" w:lineRule="exact"/>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2747" w:type="pct"/>
            <w:vAlign w:val="center"/>
          </w:tcPr>
          <w:p w14:paraId="187EA475">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rPr>
              <w:t>估价对位于北京市顺义区高丽营镇夏县营村，周边2公里南郎中休闲公园、口袋公园、方氏渠等自然环境；无人文环境；综合评价环境状况一般。</w:t>
            </w:r>
          </w:p>
        </w:tc>
        <w:tc>
          <w:tcPr>
            <w:tcW w:w="281" w:type="pct"/>
            <w:vAlign w:val="center"/>
          </w:tcPr>
          <w:p w14:paraId="0B28FB8B">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一般</w:t>
            </w:r>
          </w:p>
        </w:tc>
        <w:tc>
          <w:tcPr>
            <w:tcW w:w="535" w:type="pct"/>
            <w:vAlign w:val="center"/>
          </w:tcPr>
          <w:p w14:paraId="21A15E9B">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0.00%</w:t>
            </w:r>
          </w:p>
        </w:tc>
      </w:tr>
      <w:tr w14:paraId="7BCD125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4464" w:type="pct"/>
            <w:gridSpan w:val="4"/>
            <w:vAlign w:val="center"/>
          </w:tcPr>
          <w:p w14:paraId="25A25D64">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合计（∑K</w:t>
            </w:r>
            <w:r>
              <w:rPr>
                <w:rFonts w:ascii="Arial" w:hAnsi="Arial" w:eastAsia="仿宋" w:cs="Arial"/>
                <w:color w:val="auto"/>
                <w:sz w:val="21"/>
                <w:szCs w:val="21"/>
                <w:vertAlign w:val="subscript"/>
              </w:rPr>
              <w:t>i</w:t>
            </w:r>
            <w:r>
              <w:rPr>
                <w:rFonts w:ascii="Arial" w:hAnsi="Arial" w:eastAsia="仿宋" w:cs="Arial"/>
                <w:color w:val="auto"/>
                <w:sz w:val="21"/>
                <w:szCs w:val="21"/>
              </w:rPr>
              <w:t>）</w:t>
            </w:r>
          </w:p>
        </w:tc>
        <w:tc>
          <w:tcPr>
            <w:tcW w:w="535" w:type="pct"/>
          </w:tcPr>
          <w:p w14:paraId="3267CB99">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w:t>
            </w:r>
            <w:r>
              <w:rPr>
                <w:rFonts w:ascii="Arial" w:hAnsi="Arial" w:eastAsia="仿宋" w:cs="Arial"/>
                <w:color w:val="auto"/>
                <w:sz w:val="21"/>
                <w:szCs w:val="21"/>
                <w:lang w:bidi="ar"/>
              </w:rPr>
              <w:t>0.</w:t>
            </w:r>
            <w:r>
              <w:rPr>
                <w:rFonts w:hint="eastAsia" w:ascii="Arial" w:hAnsi="Arial" w:eastAsia="仿宋" w:cs="Arial"/>
                <w:color w:val="auto"/>
                <w:sz w:val="21"/>
                <w:szCs w:val="21"/>
                <w:lang w:bidi="ar"/>
              </w:rPr>
              <w:t>83</w:t>
            </w:r>
            <w:r>
              <w:rPr>
                <w:rFonts w:ascii="Arial" w:hAnsi="Arial" w:eastAsia="仿宋" w:cs="Arial"/>
                <w:color w:val="auto"/>
                <w:sz w:val="21"/>
                <w:szCs w:val="21"/>
                <w:lang w:bidi="ar"/>
              </w:rPr>
              <w:t>%</w:t>
            </w:r>
          </w:p>
        </w:tc>
      </w:tr>
      <w:tr w14:paraId="2AEBAFE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4464" w:type="pct"/>
            <w:gridSpan w:val="4"/>
            <w:vAlign w:val="center"/>
          </w:tcPr>
          <w:p w14:paraId="738571B8">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因素修正系数（1</w:t>
            </w:r>
            <w:r>
              <w:rPr>
                <w:rFonts w:hint="eastAsia" w:ascii="Arial" w:hAnsi="Arial" w:eastAsia="仿宋" w:cs="Arial"/>
                <w:color w:val="auto"/>
                <w:sz w:val="21"/>
                <w:szCs w:val="21"/>
              </w:rPr>
              <w:t>＋</w:t>
            </w:r>
            <w:r>
              <w:rPr>
                <w:rFonts w:ascii="Arial" w:hAnsi="Arial" w:eastAsia="仿宋" w:cs="Arial"/>
                <w:color w:val="auto"/>
                <w:sz w:val="21"/>
                <w:szCs w:val="21"/>
              </w:rPr>
              <w:t>∑K</w:t>
            </w:r>
            <w:r>
              <w:rPr>
                <w:rFonts w:ascii="Arial" w:hAnsi="Arial" w:eastAsia="仿宋" w:cs="Arial"/>
                <w:color w:val="auto"/>
                <w:sz w:val="21"/>
                <w:szCs w:val="21"/>
                <w:vertAlign w:val="subscript"/>
              </w:rPr>
              <w:t>i</w:t>
            </w:r>
            <w:r>
              <w:rPr>
                <w:rFonts w:ascii="Arial" w:hAnsi="Arial" w:eastAsia="仿宋" w:cs="Arial"/>
                <w:color w:val="auto"/>
                <w:sz w:val="21"/>
                <w:szCs w:val="21"/>
              </w:rPr>
              <w:t>）</w:t>
            </w:r>
          </w:p>
        </w:tc>
        <w:tc>
          <w:tcPr>
            <w:tcW w:w="535" w:type="pct"/>
          </w:tcPr>
          <w:p w14:paraId="7373C700">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w:t>
            </w:r>
            <w:r>
              <w:rPr>
                <w:rFonts w:hint="eastAsia" w:ascii="Arial" w:hAnsi="Arial" w:eastAsia="仿宋" w:cs="Arial"/>
                <w:color w:val="auto"/>
                <w:sz w:val="21"/>
                <w:szCs w:val="21"/>
                <w:lang w:bidi="ar"/>
              </w:rPr>
              <w:t>.9917</w:t>
            </w:r>
          </w:p>
        </w:tc>
      </w:tr>
    </w:tbl>
    <w:p w14:paraId="7E90FFAF">
      <w:pPr>
        <w:tabs>
          <w:tab w:val="left" w:pos="1298"/>
        </w:tabs>
        <w:adjustRightInd/>
        <w:spacing w:before="120" w:before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G.估价对象</w:t>
      </w:r>
      <w:r>
        <w:rPr>
          <w:rFonts w:hint="eastAsia" w:ascii="Arial" w:hAnsi="Arial" w:eastAsia="仿宋" w:cs="Arial"/>
          <w:color w:val="auto"/>
          <w:sz w:val="28"/>
          <w:szCs w:val="28"/>
        </w:rPr>
        <w:t>楼面地价</w:t>
      </w:r>
    </w:p>
    <w:p w14:paraId="2AC2DA35">
      <w:pPr>
        <w:adjustRightInd/>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商业用途</w:t>
      </w:r>
      <w:r>
        <w:rPr>
          <w:rFonts w:hint="eastAsia" w:ascii="Arial" w:hAnsi="Arial" w:eastAsia="仿宋" w:cs="Arial"/>
          <w:color w:val="auto"/>
          <w:sz w:val="28"/>
          <w:szCs w:val="28"/>
        </w:rPr>
        <w:t>楼面地价</w:t>
      </w:r>
    </w:p>
    <w:p w14:paraId="6BAD8AA0">
      <w:pPr>
        <w:adjustRightInd/>
        <w:spacing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w:t>
      </w:r>
      <w:r>
        <w:rPr>
          <w:rFonts w:ascii="Arial" w:hAnsi="Arial" w:eastAsia="仿宋" w:cs="Arial"/>
          <w:color w:val="auto"/>
          <w:sz w:val="28"/>
          <w:szCs w:val="28"/>
        </w:rPr>
        <w:t>适用的基准地价</w:t>
      </w:r>
      <w:r>
        <w:rPr>
          <w:rFonts w:hint="eastAsia" w:ascii="Arial" w:hAnsi="Arial" w:eastAsia="仿宋" w:cs="Arial"/>
          <w:color w:val="auto"/>
          <w:sz w:val="28"/>
          <w:szCs w:val="28"/>
        </w:rPr>
        <w:t>×</w:t>
      </w:r>
      <w:r>
        <w:rPr>
          <w:rFonts w:ascii="Arial" w:hAnsi="Arial" w:eastAsia="仿宋" w:cs="Arial"/>
          <w:color w:val="auto"/>
          <w:sz w:val="28"/>
          <w:szCs w:val="28"/>
        </w:rPr>
        <w:t>用途修正系数</w:t>
      </w:r>
      <w:r>
        <w:rPr>
          <w:rFonts w:hint="eastAsia" w:ascii="Arial" w:hAnsi="Arial" w:eastAsia="仿宋" w:cs="Arial"/>
          <w:color w:val="auto"/>
          <w:sz w:val="28"/>
          <w:szCs w:val="28"/>
        </w:rPr>
        <w:t>×</w:t>
      </w:r>
      <w:r>
        <w:rPr>
          <w:rFonts w:ascii="Arial" w:hAnsi="Arial" w:eastAsia="仿宋" w:cs="Arial"/>
          <w:color w:val="auto"/>
          <w:sz w:val="28"/>
          <w:szCs w:val="28"/>
        </w:rPr>
        <w:t>期日修正系数</w:t>
      </w:r>
      <w:r>
        <w:rPr>
          <w:rFonts w:hint="eastAsia" w:ascii="Arial" w:hAnsi="Arial" w:eastAsia="仿宋" w:cs="Arial"/>
          <w:color w:val="auto"/>
          <w:sz w:val="28"/>
          <w:szCs w:val="28"/>
        </w:rPr>
        <w:t>×</w:t>
      </w:r>
      <w:r>
        <w:rPr>
          <w:rFonts w:ascii="Arial" w:hAnsi="Arial" w:eastAsia="仿宋" w:cs="Arial"/>
          <w:color w:val="auto"/>
          <w:sz w:val="28"/>
          <w:szCs w:val="28"/>
        </w:rPr>
        <w:t>年期修正系数</w:t>
      </w:r>
      <w:r>
        <w:rPr>
          <w:rFonts w:hint="eastAsia" w:ascii="Arial" w:hAnsi="Arial" w:eastAsia="仿宋" w:cs="Arial"/>
          <w:color w:val="auto"/>
          <w:sz w:val="28"/>
          <w:szCs w:val="28"/>
        </w:rPr>
        <w:t>×</w:t>
      </w:r>
      <w:r>
        <w:rPr>
          <w:rFonts w:ascii="Arial" w:hAnsi="Arial" w:eastAsia="仿宋" w:cs="Arial"/>
          <w:color w:val="auto"/>
          <w:sz w:val="28"/>
          <w:szCs w:val="28"/>
        </w:rPr>
        <w:t>容积率修正系数</w:t>
      </w:r>
      <w:r>
        <w:rPr>
          <w:rFonts w:hint="eastAsia" w:ascii="Arial" w:hAnsi="Arial" w:eastAsia="仿宋" w:cs="Arial"/>
          <w:color w:val="auto"/>
          <w:sz w:val="28"/>
          <w:szCs w:val="28"/>
        </w:rPr>
        <w:t>×</w:t>
      </w:r>
      <w:r>
        <w:rPr>
          <w:rFonts w:ascii="Arial" w:hAnsi="Arial" w:eastAsia="仿宋" w:cs="Arial"/>
          <w:color w:val="auto"/>
          <w:sz w:val="28"/>
          <w:szCs w:val="28"/>
        </w:rPr>
        <w:t>因素修正系数</w:t>
      </w:r>
    </w:p>
    <w:p w14:paraId="56900153">
      <w:pPr>
        <w:adjustRightInd/>
        <w:spacing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w:t>
      </w:r>
      <w:r>
        <w:rPr>
          <w:rFonts w:ascii="Arial" w:hAnsi="Arial" w:eastAsia="仿宋" w:cs="Arial"/>
          <w:color w:val="auto"/>
          <w:sz w:val="28"/>
          <w:szCs w:val="28"/>
        </w:rPr>
        <w:t>（5320</w:t>
      </w:r>
      <w:r>
        <w:rPr>
          <w:rFonts w:hint="eastAsia" w:ascii="Arial" w:hAnsi="Arial" w:eastAsia="仿宋" w:cs="Arial"/>
          <w:color w:val="auto"/>
          <w:sz w:val="28"/>
          <w:szCs w:val="28"/>
        </w:rPr>
        <w:t>＋35</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0.8</w:t>
      </w:r>
      <w:r>
        <w:rPr>
          <w:rFonts w:hint="eastAsia" w:ascii="Arial" w:hAnsi="Arial" w:eastAsia="仿宋" w:cs="Arial"/>
          <w:color w:val="auto"/>
          <w:sz w:val="28"/>
          <w:szCs w:val="28"/>
        </w:rPr>
        <w:t>×0.9723×</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1.1528</w:t>
      </w:r>
      <w:r>
        <w:rPr>
          <w:rFonts w:hint="eastAsia" w:ascii="Arial" w:hAnsi="Arial" w:eastAsia="仿宋" w:cs="Arial"/>
          <w:color w:val="auto"/>
          <w:sz w:val="28"/>
          <w:szCs w:val="28"/>
        </w:rPr>
        <w:t>×</w:t>
      </w:r>
      <w:r>
        <w:rPr>
          <w:rFonts w:ascii="Arial" w:hAnsi="Arial" w:eastAsia="仿宋" w:cs="Arial"/>
          <w:color w:val="auto"/>
          <w:sz w:val="28"/>
          <w:szCs w:val="28"/>
        </w:rPr>
        <w:t>0.99</w:t>
      </w:r>
      <w:r>
        <w:rPr>
          <w:rFonts w:hint="eastAsia" w:ascii="Arial" w:hAnsi="Arial" w:eastAsia="仿宋" w:cs="Arial"/>
          <w:color w:val="auto"/>
          <w:sz w:val="28"/>
          <w:szCs w:val="28"/>
        </w:rPr>
        <w:t>17</w:t>
      </w:r>
    </w:p>
    <w:p w14:paraId="418564AA">
      <w:pPr>
        <w:spacing w:line="300" w:lineRule="auto"/>
        <w:ind w:firstLine="560" w:firstLineChars="200"/>
        <w:jc w:val="both"/>
        <w:rPr>
          <w:rFonts w:ascii="Arial" w:hAnsi="Arial" w:eastAsia="仿宋_GB2312" w:cs="Arial"/>
          <w:color w:val="auto"/>
          <w:sz w:val="28"/>
        </w:rPr>
      </w:pPr>
      <w:r>
        <w:rPr>
          <w:rFonts w:hint="eastAsia" w:ascii="Arial" w:hAnsi="Arial" w:eastAsia="仿宋" w:cs="Arial"/>
          <w:color w:val="auto"/>
          <w:sz w:val="28"/>
          <w:szCs w:val="28"/>
        </w:rPr>
        <w:t>＝4762</w:t>
      </w:r>
      <w:r>
        <w:rPr>
          <w:rFonts w:ascii="Arial" w:hAnsi="Arial" w:eastAsia="仿宋" w:cs="Arial"/>
          <w:color w:val="auto"/>
          <w:sz w:val="28"/>
          <w:szCs w:val="28"/>
        </w:rPr>
        <w:t>（元/平方米）</w:t>
      </w:r>
    </w:p>
    <w:p w14:paraId="5AD13472">
      <w:pPr>
        <w:rPr>
          <w:rFonts w:ascii="Arial" w:hAnsi="Arial" w:eastAsia="仿宋" w:cs="Arial"/>
          <w:color w:val="auto"/>
          <w:sz w:val="28"/>
          <w:szCs w:val="28"/>
        </w:rPr>
      </w:pPr>
      <w:r>
        <w:rPr>
          <w:rFonts w:ascii="Arial" w:hAnsi="Arial" w:eastAsia="仿宋" w:cs="Arial"/>
          <w:color w:val="auto"/>
          <w:sz w:val="28"/>
          <w:szCs w:val="28"/>
        </w:rPr>
        <w:br w:type="page"/>
      </w:r>
    </w:p>
    <w:p w14:paraId="6A651BDF">
      <w:pPr>
        <w:adjustRightInd/>
        <w:spacing w:line="300" w:lineRule="auto"/>
        <w:ind w:firstLine="562" w:firstLineChars="200"/>
        <w:rPr>
          <w:rFonts w:ascii="Arial" w:hAnsi="Arial" w:eastAsia="仿宋" w:cs="Arial"/>
          <w:b/>
          <w:bCs/>
          <w:color w:val="auto"/>
          <w:sz w:val="28"/>
          <w:szCs w:val="28"/>
        </w:rPr>
      </w:pPr>
      <w:r>
        <w:rPr>
          <w:rFonts w:ascii="Arial" w:hAnsi="Arial" w:eastAsia="仿宋" w:cs="Arial"/>
          <w:b/>
          <w:bCs/>
          <w:color w:val="auto"/>
          <w:sz w:val="28"/>
          <w:szCs w:val="28"/>
        </w:rPr>
        <w:t>3）</w:t>
      </w:r>
      <w:r>
        <w:rPr>
          <w:rFonts w:hint="eastAsia" w:ascii="Arial" w:hAnsi="Arial" w:eastAsia="仿宋" w:cs="Arial"/>
          <w:b/>
          <w:bCs/>
          <w:color w:val="auto"/>
          <w:sz w:val="28"/>
          <w:szCs w:val="28"/>
        </w:rPr>
        <w:t>公共管理与</w:t>
      </w:r>
      <w:r>
        <w:rPr>
          <w:rFonts w:ascii="Arial" w:hAnsi="Arial" w:eastAsia="仿宋" w:cs="Arial"/>
          <w:b/>
          <w:bCs/>
          <w:color w:val="auto"/>
          <w:sz w:val="28"/>
          <w:szCs w:val="28"/>
        </w:rPr>
        <w:t>公共服务用地基准地价系数修正法测算过程</w:t>
      </w:r>
    </w:p>
    <w:p w14:paraId="58B3990F">
      <w:pPr>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A.宗地适用基准地价水平的确定</w:t>
      </w:r>
    </w:p>
    <w:p w14:paraId="5176D3C2">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（A）根据《北京市基准地价更新成果》，估价对象公共服务相应用途基准地价参照《北京市区片基准地价表》确定。估价对象位于北京市顺义区</w:t>
      </w:r>
      <w:r>
        <w:rPr>
          <w:rFonts w:hint="eastAsia" w:ascii="Arial" w:hAnsi="Arial" w:eastAsia="仿宋" w:cs="Arial"/>
          <w:color w:val="auto"/>
          <w:sz w:val="28"/>
          <w:szCs w:val="28"/>
        </w:rPr>
        <w:t>高丽营镇</w:t>
      </w:r>
      <w:r>
        <w:rPr>
          <w:rFonts w:ascii="Arial" w:hAnsi="Arial" w:eastAsia="仿宋" w:cs="Arial"/>
          <w:color w:val="auto"/>
          <w:sz w:val="28"/>
          <w:szCs w:val="28"/>
        </w:rPr>
        <w:t>夏县营</w:t>
      </w:r>
      <w:r>
        <w:rPr>
          <w:rFonts w:hint="eastAsia" w:ascii="Arial" w:hAnsi="Arial" w:eastAsia="仿宋" w:cs="Arial"/>
          <w:color w:val="auto"/>
          <w:sz w:val="28"/>
          <w:szCs w:val="28"/>
        </w:rPr>
        <w:t>村</w:t>
      </w:r>
      <w:r>
        <w:rPr>
          <w:rFonts w:ascii="Arial" w:hAnsi="Arial" w:eastAsia="仿宋" w:cs="Arial"/>
          <w:color w:val="auto"/>
          <w:sz w:val="28"/>
          <w:szCs w:val="28"/>
        </w:rPr>
        <w:t>，土地级别为公共服务类</w:t>
      </w:r>
      <w:r>
        <w:rPr>
          <w:rFonts w:hint="eastAsia" w:ascii="Arial" w:hAnsi="Arial" w:eastAsia="仿宋" w:cs="Arial"/>
          <w:color w:val="auto"/>
          <w:sz w:val="28"/>
          <w:szCs w:val="28"/>
        </w:rPr>
        <w:t>九</w:t>
      </w:r>
      <w:r>
        <w:rPr>
          <w:rFonts w:ascii="Arial" w:hAnsi="Arial" w:eastAsia="仿宋" w:cs="Arial"/>
          <w:color w:val="auto"/>
          <w:sz w:val="28"/>
          <w:szCs w:val="28"/>
        </w:rPr>
        <w:t>级地价区，属公共服务用途</w:t>
      </w:r>
      <w:r>
        <w:rPr>
          <w:rFonts w:ascii="Arial" w:hAnsi="Arial" w:eastAsia="仿宋_GB2312" w:cs="Arial"/>
          <w:color w:val="auto"/>
          <w:sz w:val="28"/>
        </w:rPr>
        <w:t>IX</w:t>
      </w:r>
      <w:r>
        <w:rPr>
          <w:rFonts w:hint="eastAsia" w:ascii="Arial" w:hAnsi="Arial" w:eastAsia="仿宋_GB2312" w:cs="Arial"/>
          <w:color w:val="auto"/>
          <w:sz w:val="28"/>
        </w:rPr>
        <w:t>－顺5</w:t>
      </w:r>
      <w:r>
        <w:rPr>
          <w:rFonts w:ascii="Arial" w:hAnsi="Arial" w:eastAsia="仿宋" w:cs="Arial"/>
          <w:color w:val="auto"/>
          <w:sz w:val="28"/>
          <w:szCs w:val="28"/>
        </w:rPr>
        <w:t>。北京市各用途</w:t>
      </w:r>
      <w:r>
        <w:rPr>
          <w:rFonts w:hint="eastAsia" w:ascii="Arial" w:hAnsi="Arial" w:eastAsia="仿宋" w:cs="Arial"/>
          <w:color w:val="auto"/>
          <w:sz w:val="28"/>
          <w:szCs w:val="28"/>
        </w:rPr>
        <w:t>九</w:t>
      </w:r>
      <w:r>
        <w:rPr>
          <w:rFonts w:ascii="Arial" w:hAnsi="Arial" w:eastAsia="仿宋" w:cs="Arial"/>
          <w:color w:val="auto"/>
          <w:sz w:val="28"/>
          <w:szCs w:val="28"/>
        </w:rPr>
        <w:t>级区片基准地价详见前述，即，估价对象所在公共服务用途</w:t>
      </w:r>
      <w:r>
        <w:rPr>
          <w:rFonts w:hint="eastAsia" w:ascii="Arial" w:hAnsi="Arial" w:eastAsia="仿宋" w:cs="Arial"/>
          <w:color w:val="auto"/>
          <w:sz w:val="28"/>
          <w:szCs w:val="28"/>
        </w:rPr>
        <w:t>九</w:t>
      </w:r>
      <w:r>
        <w:rPr>
          <w:rFonts w:ascii="Arial" w:hAnsi="Arial" w:eastAsia="仿宋" w:cs="Arial"/>
          <w:color w:val="auto"/>
          <w:sz w:val="28"/>
          <w:szCs w:val="28"/>
        </w:rPr>
        <w:t>级</w:t>
      </w:r>
      <w:r>
        <w:rPr>
          <w:rFonts w:ascii="Arial" w:hAnsi="Arial" w:eastAsia="仿宋_GB2312" w:cs="Arial"/>
          <w:color w:val="auto"/>
          <w:sz w:val="28"/>
        </w:rPr>
        <w:t>IX</w:t>
      </w:r>
      <w:r>
        <w:rPr>
          <w:rFonts w:hint="eastAsia" w:ascii="Arial" w:hAnsi="Arial" w:eastAsia="仿宋_GB2312" w:cs="Arial"/>
          <w:color w:val="auto"/>
          <w:sz w:val="28"/>
        </w:rPr>
        <w:t>－顺5</w:t>
      </w:r>
      <w:r>
        <w:rPr>
          <w:rFonts w:ascii="Arial" w:hAnsi="Arial" w:eastAsia="仿宋" w:cs="Arial"/>
          <w:color w:val="auto"/>
          <w:sz w:val="28"/>
          <w:szCs w:val="28"/>
        </w:rPr>
        <w:t>区片的区片基准地价为3170元/平方米。</w:t>
      </w:r>
    </w:p>
    <w:p w14:paraId="72279C77">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（B）土地开发程度修正</w:t>
      </w:r>
    </w:p>
    <w:p w14:paraId="7F70FE4B">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估价对象设定宗地土地开发程度为</w:t>
      </w:r>
      <w:r>
        <w:rPr>
          <w:rFonts w:hint="eastAsia" w:ascii="Arial" w:hAnsi="Arial" w:eastAsia="仿宋" w:cs="Arial"/>
          <w:color w:val="auto"/>
          <w:sz w:val="28"/>
          <w:szCs w:val="28"/>
        </w:rPr>
        <w:t>“七通”（通路、通上水（自来水、中水）、通下水（雨水、污水）、通电、通讯、通燃气、通热力）</w:t>
      </w:r>
      <w:r>
        <w:rPr>
          <w:rFonts w:ascii="Arial" w:hAnsi="Arial" w:eastAsia="仿宋" w:cs="Arial"/>
          <w:color w:val="auto"/>
          <w:sz w:val="28"/>
          <w:szCs w:val="28"/>
        </w:rPr>
        <w:t>，估价对象所在区域为</w:t>
      </w:r>
      <w:r>
        <w:rPr>
          <w:rFonts w:hint="eastAsia" w:ascii="Arial" w:hAnsi="Arial" w:eastAsia="仿宋" w:cs="Arial"/>
          <w:color w:val="auto"/>
          <w:sz w:val="28"/>
          <w:szCs w:val="28"/>
        </w:rPr>
        <w:t>九</w:t>
      </w:r>
      <w:r>
        <w:rPr>
          <w:rFonts w:ascii="Arial" w:hAnsi="Arial" w:eastAsia="仿宋" w:cs="Arial"/>
          <w:color w:val="auto"/>
          <w:sz w:val="28"/>
          <w:szCs w:val="28"/>
        </w:rPr>
        <w:t>级地价区，级别基准地价土地开发程度为</w:t>
      </w:r>
      <w:r>
        <w:rPr>
          <w:rFonts w:hint="eastAsia" w:ascii="Arial" w:hAnsi="Arial" w:eastAsia="仿宋" w:cs="Arial"/>
          <w:color w:val="auto"/>
          <w:sz w:val="28"/>
          <w:szCs w:val="28"/>
        </w:rPr>
        <w:t>“</w:t>
      </w:r>
      <w:r>
        <w:rPr>
          <w:rFonts w:ascii="Arial" w:hAnsi="Arial" w:eastAsia="仿宋" w:cs="Arial"/>
          <w:color w:val="auto"/>
          <w:sz w:val="28"/>
          <w:szCs w:val="28"/>
        </w:rPr>
        <w:t>五通一平</w:t>
      </w:r>
      <w:r>
        <w:rPr>
          <w:rFonts w:hint="eastAsia" w:ascii="Arial" w:hAnsi="Arial" w:eastAsia="仿宋" w:cs="Arial"/>
          <w:color w:val="auto"/>
          <w:sz w:val="28"/>
          <w:szCs w:val="28"/>
        </w:rPr>
        <w:t>”</w:t>
      </w:r>
      <w:r>
        <w:rPr>
          <w:rFonts w:ascii="Arial" w:hAnsi="Arial" w:eastAsia="仿宋" w:cs="Arial"/>
          <w:color w:val="auto"/>
          <w:sz w:val="28"/>
          <w:szCs w:val="28"/>
        </w:rPr>
        <w:t>（即通路、通电、通上水、通下水、通</w:t>
      </w:r>
      <w:r>
        <w:rPr>
          <w:rFonts w:hint="eastAsia" w:ascii="Arial" w:hAnsi="Arial" w:eastAsia="仿宋" w:cs="Arial"/>
          <w:color w:val="auto"/>
          <w:sz w:val="28"/>
          <w:szCs w:val="28"/>
        </w:rPr>
        <w:t>讯</w:t>
      </w:r>
      <w:r>
        <w:rPr>
          <w:rFonts w:ascii="Arial" w:hAnsi="Arial" w:eastAsia="仿宋" w:cs="Arial"/>
          <w:color w:val="auto"/>
          <w:sz w:val="28"/>
          <w:szCs w:val="28"/>
        </w:rPr>
        <w:t>），相应用途级别平均容积率为1.5。估价对象设定状况与级别开发程度不一致，需进行修正。修正表如下：</w:t>
      </w:r>
    </w:p>
    <w:p w14:paraId="5DF22C30">
      <w:pPr>
        <w:spacing w:line="240" w:lineRule="auto"/>
        <w:jc w:val="center"/>
        <w:rPr>
          <w:rFonts w:ascii="仿宋" w:hAnsi="仿宋" w:eastAsia="仿宋" w:cs="宋体"/>
          <w:bCs/>
          <w:color w:val="auto"/>
          <w:sz w:val="28"/>
          <w:szCs w:val="28"/>
        </w:rPr>
      </w:pPr>
      <w:r>
        <w:rPr>
          <w:rFonts w:hint="eastAsia" w:ascii="仿宋" w:hAnsi="仿宋" w:eastAsia="仿宋" w:cs="宋体"/>
          <w:bCs/>
          <w:color w:val="auto"/>
          <w:sz w:val="28"/>
          <w:szCs w:val="28"/>
        </w:rPr>
        <w:t>基础设施建设费（土地开发费）</w:t>
      </w:r>
    </w:p>
    <w:p w14:paraId="03D0A435">
      <w:pPr>
        <w:adjustRightInd/>
        <w:spacing w:line="240" w:lineRule="auto"/>
        <w:jc w:val="right"/>
        <w:rPr>
          <w:rFonts w:ascii="Arial" w:hAnsi="Arial"/>
          <w:color w:val="auto"/>
          <w:sz w:val="21"/>
        </w:rPr>
      </w:pPr>
      <w:r>
        <w:rPr>
          <w:rFonts w:hint="eastAsia" w:ascii="Arial" w:hAnsi="Arial" w:eastAsia="华文细黑" w:cs="宋体"/>
          <w:color w:val="auto"/>
          <w:sz w:val="18"/>
          <w:szCs w:val="24"/>
        </w:rPr>
        <w:t>单位：元/土地平方米</w:t>
      </w:r>
    </w:p>
    <w:tbl>
      <w:tblPr>
        <w:tblStyle w:val="34"/>
        <w:tblW w:w="4997" w:type="pct"/>
        <w:jc w:val="center"/>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Layout w:type="autofit"/>
        <w:tblCellMar>
          <w:top w:w="57" w:type="dxa"/>
          <w:left w:w="57" w:type="dxa"/>
          <w:bottom w:w="57" w:type="dxa"/>
          <w:right w:w="57" w:type="dxa"/>
        </w:tblCellMar>
      </w:tblPr>
      <w:tblGrid>
        <w:gridCol w:w="1630"/>
        <w:gridCol w:w="871"/>
        <w:gridCol w:w="871"/>
        <w:gridCol w:w="870"/>
        <w:gridCol w:w="870"/>
        <w:gridCol w:w="870"/>
        <w:gridCol w:w="870"/>
        <w:gridCol w:w="870"/>
        <w:gridCol w:w="870"/>
        <w:gridCol w:w="870"/>
      </w:tblGrid>
      <w:tr w14:paraId="4C3A527F">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861" w:type="pc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ign w:val="center"/>
          </w:tcPr>
          <w:p w14:paraId="7EAFD8FF">
            <w:pPr>
              <w:widowControl/>
              <w:adjustRightInd/>
              <w:spacing w:line="240" w:lineRule="exact"/>
              <w:ind w:firstLine="945" w:firstLineChars="450"/>
              <w:jc w:val="right"/>
              <w:textAlignment w:val="auto"/>
              <w:rPr>
                <w:rFonts w:ascii="Arial" w:hAnsi="Arial" w:eastAsia="仿宋" w:cs="Arial"/>
                <w:color w:val="auto"/>
                <w:sz w:val="21"/>
                <w:szCs w:val="21"/>
              </w:rPr>
            </w:pPr>
            <w:r>
              <w:rPr>
                <w:rFonts w:ascii="Arial" w:hAnsi="Arial" w:eastAsia="仿宋" w:cs="Arial"/>
                <w:color w:val="auto"/>
                <w:sz w:val="21"/>
                <w:szCs w:val="21"/>
              </w:rPr>
              <w:t>费用</w:t>
            </w:r>
          </w:p>
          <w:p w14:paraId="3B8AEB19">
            <w:pPr>
              <w:spacing w:line="240" w:lineRule="exact"/>
              <w:rPr>
                <w:rFonts w:ascii="Arial" w:hAnsi="Arial" w:eastAsia="仿宋" w:cs="Arial"/>
                <w:color w:val="auto"/>
                <w:sz w:val="21"/>
                <w:szCs w:val="21"/>
              </w:rPr>
            </w:pPr>
            <w:r>
              <w:rPr>
                <w:rFonts w:ascii="Arial" w:hAnsi="Arial" w:eastAsia="仿宋" w:cs="Arial"/>
                <w:color w:val="auto"/>
                <w:sz w:val="21"/>
                <w:szCs w:val="21"/>
              </w:rPr>
              <w:t>类别</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8E24D3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通路</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D2126F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通电</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63E9C2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通讯</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4DF789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通上水</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A95AED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通下水</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1C1B3B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通热</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E38D6F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通燃气</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4736E4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平整</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F07A29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合计</w:t>
            </w:r>
          </w:p>
        </w:tc>
      </w:tr>
      <w:tr w14:paraId="21D270CD">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86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36BCA9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一至二级</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6135AC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80</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59A216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4FF028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E4CFBD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3980EC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45</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54259B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6CD2B9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B36FFF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8D3AE5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375</w:t>
            </w:r>
          </w:p>
        </w:tc>
      </w:tr>
      <w:tr w14:paraId="6AD4E804">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86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8AF804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三至七级</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F03F55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70</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A8BBD9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9F317D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DC6C75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FE4919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B4CFC4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117F78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259D00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15</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0C0BB3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315</w:t>
            </w:r>
          </w:p>
        </w:tc>
      </w:tr>
      <w:tr w14:paraId="2414410D">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86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6FAE9A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八至十二级</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3F9C9C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60</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6011CD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7E5CBD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86132C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D086B1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35</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0826E7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348E08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A2FAD7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4BA8F8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255</w:t>
            </w:r>
          </w:p>
        </w:tc>
      </w:tr>
    </w:tbl>
    <w:p w14:paraId="12440651">
      <w:pPr>
        <w:widowControl/>
        <w:adjustRightInd/>
        <w:spacing w:line="240" w:lineRule="exact"/>
        <w:textAlignment w:val="auto"/>
        <w:rPr>
          <w:rFonts w:ascii="Arial" w:hAnsi="Arial" w:eastAsia="华文细黑" w:cs="宋体"/>
          <w:color w:val="auto"/>
          <w:sz w:val="18"/>
          <w:szCs w:val="24"/>
        </w:rPr>
      </w:pPr>
    </w:p>
    <w:p w14:paraId="148EE3C8">
      <w:pPr>
        <w:adjustRightInd/>
        <w:snapToGrid w:val="0"/>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土地开发程度修正</w:t>
      </w:r>
    </w:p>
    <w:p w14:paraId="285C66C3">
      <w:pPr>
        <w:adjustRightInd/>
        <w:snapToGrid w:val="0"/>
        <w:spacing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w:t>
      </w:r>
      <w:r>
        <w:rPr>
          <w:rFonts w:ascii="Arial" w:hAnsi="Arial" w:eastAsia="仿宋" w:cs="Arial"/>
          <w:color w:val="auto"/>
          <w:sz w:val="28"/>
          <w:szCs w:val="28"/>
        </w:rPr>
        <w:t>60</w:t>
      </w:r>
      <w:r>
        <w:rPr>
          <w:rFonts w:hint="eastAsia" w:ascii="Arial" w:hAnsi="Arial" w:eastAsia="仿宋" w:cs="Arial"/>
          <w:color w:val="auto"/>
          <w:sz w:val="28"/>
          <w:szCs w:val="28"/>
        </w:rPr>
        <w:t>＋</w:t>
      </w:r>
      <w:r>
        <w:rPr>
          <w:rFonts w:ascii="Arial" w:hAnsi="Arial" w:eastAsia="仿宋" w:cs="Arial"/>
          <w:color w:val="auto"/>
          <w:sz w:val="28"/>
          <w:szCs w:val="28"/>
        </w:rPr>
        <w:t>50</w:t>
      </w:r>
      <w:r>
        <w:rPr>
          <w:rFonts w:hint="eastAsia" w:ascii="Arial" w:hAnsi="Arial" w:eastAsia="仿宋" w:cs="Arial"/>
          <w:color w:val="auto"/>
          <w:sz w:val="28"/>
          <w:szCs w:val="28"/>
        </w:rPr>
        <w:t>＋10＋</w:t>
      </w:r>
      <w:r>
        <w:rPr>
          <w:rFonts w:ascii="Arial" w:hAnsi="Arial" w:eastAsia="仿宋" w:cs="Arial"/>
          <w:color w:val="auto"/>
          <w:sz w:val="28"/>
          <w:szCs w:val="28"/>
        </w:rPr>
        <w:t>20</w:t>
      </w:r>
      <w:r>
        <w:rPr>
          <w:rFonts w:hint="eastAsia" w:ascii="Arial" w:hAnsi="Arial" w:eastAsia="仿宋" w:cs="Arial"/>
          <w:color w:val="auto"/>
          <w:sz w:val="28"/>
          <w:szCs w:val="28"/>
        </w:rPr>
        <w:t>＋</w:t>
      </w:r>
      <w:r>
        <w:rPr>
          <w:rFonts w:ascii="Arial" w:hAnsi="Arial" w:eastAsia="仿宋" w:cs="Arial"/>
          <w:color w:val="auto"/>
          <w:sz w:val="28"/>
          <w:szCs w:val="28"/>
        </w:rPr>
        <w:t>35</w:t>
      </w:r>
      <w:r>
        <w:rPr>
          <w:rFonts w:hint="eastAsia" w:ascii="Arial" w:hAnsi="Arial" w:eastAsia="仿宋" w:cs="Arial"/>
          <w:color w:val="auto"/>
          <w:sz w:val="28"/>
          <w:szCs w:val="28"/>
        </w:rPr>
        <w:t>＋</w:t>
      </w:r>
      <w:r>
        <w:rPr>
          <w:rFonts w:ascii="Arial" w:hAnsi="Arial" w:eastAsia="仿宋" w:cs="Arial"/>
          <w:color w:val="auto"/>
          <w:sz w:val="28"/>
          <w:szCs w:val="28"/>
        </w:rPr>
        <w:t>40</w:t>
      </w:r>
      <w:r>
        <w:rPr>
          <w:rFonts w:hint="eastAsia" w:ascii="Arial" w:hAnsi="Arial" w:eastAsia="仿宋" w:cs="Arial"/>
          <w:color w:val="auto"/>
          <w:sz w:val="28"/>
          <w:szCs w:val="28"/>
        </w:rPr>
        <w:t>＋</w:t>
      </w:r>
      <w:r>
        <w:rPr>
          <w:rFonts w:ascii="Arial" w:hAnsi="Arial" w:eastAsia="仿宋" w:cs="Arial"/>
          <w:color w:val="auto"/>
          <w:sz w:val="28"/>
          <w:szCs w:val="28"/>
        </w:rPr>
        <w:t>30</w:t>
      </w:r>
      <w:r>
        <w:rPr>
          <w:rFonts w:hint="eastAsia" w:ascii="Arial" w:hAnsi="Arial" w:eastAsia="仿宋" w:cs="Arial"/>
          <w:color w:val="auto"/>
          <w:sz w:val="28"/>
          <w:szCs w:val="28"/>
        </w:rPr>
        <w:t>＋</w:t>
      </w:r>
      <w:r>
        <w:rPr>
          <w:rFonts w:ascii="Arial" w:hAnsi="Arial" w:eastAsia="仿宋" w:cs="Arial"/>
          <w:color w:val="auto"/>
          <w:sz w:val="28"/>
          <w:szCs w:val="28"/>
        </w:rPr>
        <w:t>10</w:t>
      </w:r>
      <w:r>
        <w:rPr>
          <w:rFonts w:hint="eastAsia" w:ascii="Arial" w:hAnsi="Arial" w:eastAsia="仿宋" w:cs="Arial"/>
          <w:color w:val="auto"/>
          <w:sz w:val="28"/>
          <w:szCs w:val="28"/>
        </w:rPr>
        <w:t>）－</w:t>
      </w:r>
      <w:r>
        <w:rPr>
          <w:rFonts w:ascii="Arial" w:hAnsi="Arial" w:eastAsia="仿宋" w:cs="Arial"/>
          <w:color w:val="auto"/>
          <w:sz w:val="28"/>
          <w:szCs w:val="28"/>
        </w:rPr>
        <w:t>185）</w:t>
      </w:r>
      <w:r>
        <w:rPr>
          <w:rFonts w:hint="eastAsia" w:ascii="Arial" w:hAnsi="Arial" w:eastAsia="仿宋" w:cs="Arial"/>
          <w:color w:val="auto"/>
          <w:sz w:val="28"/>
          <w:szCs w:val="28"/>
        </w:rPr>
        <w:t>÷</w:t>
      </w:r>
      <w:r>
        <w:rPr>
          <w:rFonts w:ascii="Arial" w:hAnsi="Arial" w:eastAsia="仿宋" w:cs="Arial"/>
          <w:color w:val="auto"/>
          <w:sz w:val="28"/>
          <w:szCs w:val="28"/>
        </w:rPr>
        <w:t>1.5</w:t>
      </w:r>
    </w:p>
    <w:p w14:paraId="1209F1FF">
      <w:pPr>
        <w:adjustRightInd/>
        <w:spacing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＝46.67</w:t>
      </w:r>
      <w:r>
        <w:rPr>
          <w:rFonts w:ascii="Arial" w:hAnsi="Arial" w:eastAsia="仿宋" w:cs="Arial"/>
          <w:color w:val="auto"/>
          <w:sz w:val="28"/>
          <w:szCs w:val="28"/>
        </w:rPr>
        <w:t>（元/平方米）</w:t>
      </w:r>
    </w:p>
    <w:p w14:paraId="5FAA718A">
      <w:pPr>
        <w:adjustRightInd/>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B.用途修正系数的确定</w:t>
      </w:r>
    </w:p>
    <w:p w14:paraId="10C74408">
      <w:pPr>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《北京市出让国有建设用地使用权基准地价更新成果》根据《土地利用现状分类》（GB/T21010</w:t>
      </w:r>
      <w:r>
        <w:rPr>
          <w:rFonts w:hint="eastAsia" w:ascii="Arial" w:hAnsi="Arial" w:eastAsia="仿宋" w:cs="Arial"/>
          <w:color w:val="auto"/>
          <w:sz w:val="28"/>
          <w:szCs w:val="28"/>
        </w:rPr>
        <w:t>－</w:t>
      </w:r>
      <w:r>
        <w:rPr>
          <w:rFonts w:ascii="Arial" w:hAnsi="Arial" w:eastAsia="仿宋" w:cs="Arial"/>
          <w:color w:val="auto"/>
          <w:sz w:val="28"/>
          <w:szCs w:val="28"/>
        </w:rPr>
        <w:t>2007），对现有用地按照一级分类进行归类，分为商业、办公、住宅、工业和公共服务五类用途基准地价，并按照二级分类建立了地上用途修正系数。地下部分包括地下商业、地下办公、地下仓储（及其他）、地下车库等用途，并建立了地下空间修正系数。</w:t>
      </w:r>
    </w:p>
    <w:p w14:paraId="0EA75890">
      <w:pPr>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地上部分：</w:t>
      </w:r>
    </w:p>
    <w:p w14:paraId="028CC57B">
      <w:pPr>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估价对象地上用途为公共服务——机关团体用地，需依据《北京市基准地价土地用途二级分类用地修正系数表》进行用途修正。</w:t>
      </w:r>
    </w:p>
    <w:p w14:paraId="6F71CCA4">
      <w:pPr>
        <w:overflowPunct w:val="0"/>
        <w:spacing w:line="300" w:lineRule="auto"/>
        <w:jc w:val="center"/>
        <w:textAlignment w:val="auto"/>
        <w:rPr>
          <w:rFonts w:ascii="Arial" w:hAnsi="Arial" w:eastAsia="仿宋" w:cs="Arial"/>
          <w:bCs/>
          <w:color w:val="auto"/>
          <w:sz w:val="28"/>
          <w:szCs w:val="28"/>
        </w:rPr>
      </w:pPr>
      <w:r>
        <w:rPr>
          <w:rFonts w:ascii="Arial" w:hAnsi="Arial" w:eastAsia="仿宋" w:cs="Arial"/>
          <w:bCs/>
          <w:color w:val="auto"/>
          <w:sz w:val="28"/>
          <w:szCs w:val="28"/>
        </w:rPr>
        <w:t>北京市基准地价土地用途二级分类用地修正系数表</w:t>
      </w:r>
    </w:p>
    <w:tbl>
      <w:tblPr>
        <w:tblStyle w:val="34"/>
        <w:tblW w:w="92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994"/>
        <w:gridCol w:w="1842"/>
        <w:gridCol w:w="4536"/>
        <w:gridCol w:w="1134"/>
        <w:gridCol w:w="793"/>
      </w:tblGrid>
      <w:tr w14:paraId="408A9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shd w:val="clear" w:color="auto" w:fill="auto"/>
            <w:noWrap/>
            <w:vAlign w:val="center"/>
          </w:tcPr>
          <w:p w14:paraId="7A1CF89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一级类</w:t>
            </w:r>
          </w:p>
        </w:tc>
        <w:tc>
          <w:tcPr>
            <w:tcW w:w="1842" w:type="dxa"/>
            <w:shd w:val="clear" w:color="auto" w:fill="auto"/>
            <w:noWrap/>
            <w:vAlign w:val="center"/>
          </w:tcPr>
          <w:p w14:paraId="4F7DA25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二级类</w:t>
            </w:r>
          </w:p>
        </w:tc>
        <w:tc>
          <w:tcPr>
            <w:tcW w:w="4536" w:type="dxa"/>
            <w:shd w:val="clear" w:color="auto" w:fill="auto"/>
            <w:noWrap/>
            <w:vAlign w:val="center"/>
          </w:tcPr>
          <w:p w14:paraId="74855D5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含义</w:t>
            </w:r>
          </w:p>
        </w:tc>
        <w:tc>
          <w:tcPr>
            <w:tcW w:w="1134" w:type="dxa"/>
            <w:shd w:val="clear" w:color="auto" w:fill="auto"/>
            <w:noWrap/>
            <w:vAlign w:val="center"/>
          </w:tcPr>
          <w:p w14:paraId="22CA2CC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参照基准</w:t>
            </w:r>
          </w:p>
        </w:tc>
        <w:tc>
          <w:tcPr>
            <w:tcW w:w="793" w:type="dxa"/>
            <w:shd w:val="clear" w:color="auto" w:fill="auto"/>
            <w:noWrap/>
            <w:vAlign w:val="center"/>
          </w:tcPr>
          <w:p w14:paraId="5DE459D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用途修正系数</w:t>
            </w:r>
          </w:p>
        </w:tc>
      </w:tr>
      <w:tr w14:paraId="5BBE2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restart"/>
            <w:shd w:val="clear" w:color="auto" w:fill="auto"/>
            <w:noWrap/>
            <w:vAlign w:val="center"/>
          </w:tcPr>
          <w:p w14:paraId="04205B0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w:t>
            </w:r>
          </w:p>
        </w:tc>
        <w:tc>
          <w:tcPr>
            <w:tcW w:w="1842" w:type="dxa"/>
            <w:shd w:val="clear" w:color="auto" w:fill="auto"/>
            <w:noWrap/>
            <w:vAlign w:val="center"/>
          </w:tcPr>
          <w:p w14:paraId="1B50FAD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机关团体用地</w:t>
            </w:r>
          </w:p>
        </w:tc>
        <w:tc>
          <w:tcPr>
            <w:tcW w:w="4536" w:type="dxa"/>
            <w:shd w:val="clear" w:color="auto" w:fill="auto"/>
            <w:noWrap/>
            <w:vAlign w:val="center"/>
          </w:tcPr>
          <w:p w14:paraId="10FEC61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指用于党政机关、社会团体、群众自治组织等的用地。</w:t>
            </w:r>
          </w:p>
        </w:tc>
        <w:tc>
          <w:tcPr>
            <w:tcW w:w="1134" w:type="dxa"/>
            <w:vMerge w:val="restart"/>
            <w:shd w:val="clear" w:color="auto" w:fill="auto"/>
            <w:noWrap/>
            <w:vAlign w:val="center"/>
          </w:tcPr>
          <w:p w14:paraId="00A9C26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公共服务类</w:t>
            </w:r>
          </w:p>
        </w:tc>
        <w:tc>
          <w:tcPr>
            <w:tcW w:w="793" w:type="dxa"/>
            <w:shd w:val="clear" w:color="auto" w:fill="auto"/>
            <w:noWrap/>
            <w:vAlign w:val="center"/>
          </w:tcPr>
          <w:p w14:paraId="081BF65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w:t>
            </w:r>
          </w:p>
        </w:tc>
      </w:tr>
      <w:tr w14:paraId="7E9A2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108489BB">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2C86502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新闻出版用地</w:t>
            </w:r>
          </w:p>
        </w:tc>
        <w:tc>
          <w:tcPr>
            <w:tcW w:w="4536" w:type="dxa"/>
            <w:shd w:val="clear" w:color="auto" w:fill="auto"/>
            <w:noWrap/>
            <w:vAlign w:val="center"/>
          </w:tcPr>
          <w:p w14:paraId="725EFA3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指用于广播电台、电视台、电影厂、报社、杂志社、通讯社、出版社等的用地。</w:t>
            </w:r>
          </w:p>
        </w:tc>
        <w:tc>
          <w:tcPr>
            <w:tcW w:w="1134" w:type="dxa"/>
            <w:vMerge w:val="continue"/>
            <w:shd w:val="clear" w:color="auto" w:fill="auto"/>
            <w:vAlign w:val="center"/>
          </w:tcPr>
          <w:p w14:paraId="7691C512">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3A10143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w:t>
            </w:r>
          </w:p>
        </w:tc>
      </w:tr>
      <w:tr w14:paraId="03EC7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6349FB7E">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1813468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教育用地</w:t>
            </w:r>
          </w:p>
        </w:tc>
        <w:tc>
          <w:tcPr>
            <w:tcW w:w="4536" w:type="dxa"/>
            <w:shd w:val="clear" w:color="auto" w:fill="auto"/>
            <w:noWrap/>
            <w:vAlign w:val="center"/>
          </w:tcPr>
          <w:p w14:paraId="3D7E1DF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指用于各类教育用地,包括高等院校、中等专业学校、中学、小学、幼儿园及其附属设施用地,聋、哑、盲人学校及工读学校用地,以及为学校配建的独立地段的学生生活用地。</w:t>
            </w:r>
          </w:p>
        </w:tc>
        <w:tc>
          <w:tcPr>
            <w:tcW w:w="1134" w:type="dxa"/>
            <w:vMerge w:val="continue"/>
            <w:shd w:val="clear" w:color="auto" w:fill="auto"/>
            <w:vAlign w:val="center"/>
          </w:tcPr>
          <w:p w14:paraId="15287225">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103B2E0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0.8</w:t>
            </w:r>
          </w:p>
        </w:tc>
      </w:tr>
      <w:tr w14:paraId="1194E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450" w:hRule="atLeast"/>
          <w:jc w:val="center"/>
        </w:trPr>
        <w:tc>
          <w:tcPr>
            <w:tcW w:w="994" w:type="dxa"/>
            <w:vMerge w:val="continue"/>
            <w:shd w:val="clear" w:color="auto" w:fill="auto"/>
            <w:vAlign w:val="center"/>
          </w:tcPr>
          <w:p w14:paraId="54ACDC0A">
            <w:pPr>
              <w:widowControl/>
              <w:adjustRightInd/>
              <w:spacing w:line="240" w:lineRule="exact"/>
              <w:textAlignment w:val="auto"/>
              <w:rPr>
                <w:rFonts w:ascii="Arial" w:hAnsi="Arial" w:eastAsia="仿宋" w:cs="Arial"/>
                <w:color w:val="auto"/>
                <w:sz w:val="21"/>
                <w:szCs w:val="21"/>
              </w:rPr>
            </w:pPr>
          </w:p>
        </w:tc>
        <w:tc>
          <w:tcPr>
            <w:tcW w:w="1842" w:type="dxa"/>
            <w:vMerge w:val="restart"/>
            <w:shd w:val="clear" w:color="auto" w:fill="auto"/>
            <w:noWrap/>
            <w:vAlign w:val="center"/>
          </w:tcPr>
          <w:p w14:paraId="20379FB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科研用地</w:t>
            </w:r>
          </w:p>
        </w:tc>
        <w:tc>
          <w:tcPr>
            <w:tcW w:w="4536" w:type="dxa"/>
            <w:shd w:val="clear" w:color="auto" w:fill="auto"/>
            <w:noWrap/>
            <w:vAlign w:val="center"/>
          </w:tcPr>
          <w:p w14:paraId="3E4A200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指独立的科研、勘察、研发、设计、检验检测、技术推广、环境评估与监测、科普等科研事业单位及其附属设施用地</w:t>
            </w:r>
            <w:r>
              <w:rPr>
                <w:rFonts w:hint="eastAsia" w:ascii="Arial" w:hAnsi="Arial" w:eastAsia="仿宋" w:cs="Arial"/>
                <w:color w:val="auto"/>
                <w:sz w:val="21"/>
                <w:szCs w:val="21"/>
              </w:rPr>
              <w:t>（</w:t>
            </w:r>
            <w:r>
              <w:rPr>
                <w:rFonts w:ascii="Arial" w:hAnsi="Arial" w:eastAsia="仿宋" w:cs="Arial"/>
                <w:color w:val="auto"/>
                <w:sz w:val="21"/>
                <w:szCs w:val="21"/>
              </w:rPr>
              <w:t>除 M4 工业研发用地</w:t>
            </w:r>
            <w:r>
              <w:rPr>
                <w:rFonts w:hint="eastAsia" w:ascii="Arial" w:hAnsi="Arial" w:eastAsia="仿宋" w:cs="Arial"/>
                <w:color w:val="auto"/>
                <w:sz w:val="21"/>
                <w:szCs w:val="21"/>
              </w:rPr>
              <w:t>）</w:t>
            </w:r>
            <w:r>
              <w:rPr>
                <w:rFonts w:ascii="Arial" w:hAnsi="Arial" w:eastAsia="仿宋" w:cs="Arial"/>
                <w:color w:val="auto"/>
                <w:sz w:val="21"/>
                <w:szCs w:val="21"/>
              </w:rPr>
              <w:t>。</w:t>
            </w:r>
          </w:p>
        </w:tc>
        <w:tc>
          <w:tcPr>
            <w:tcW w:w="1134" w:type="dxa"/>
            <w:vMerge w:val="continue"/>
            <w:shd w:val="clear" w:color="auto" w:fill="auto"/>
            <w:vAlign w:val="center"/>
          </w:tcPr>
          <w:p w14:paraId="72B2B8BF">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60CC9DC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0.8</w:t>
            </w:r>
          </w:p>
        </w:tc>
      </w:tr>
      <w:tr w14:paraId="6D9E5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450" w:hRule="atLeast"/>
          <w:jc w:val="center"/>
        </w:trPr>
        <w:tc>
          <w:tcPr>
            <w:tcW w:w="994" w:type="dxa"/>
            <w:vMerge w:val="continue"/>
            <w:shd w:val="clear" w:color="auto" w:fill="auto"/>
            <w:vAlign w:val="center"/>
          </w:tcPr>
          <w:p w14:paraId="7FCABE7B">
            <w:pPr>
              <w:widowControl/>
              <w:adjustRightInd/>
              <w:spacing w:line="240" w:lineRule="exact"/>
              <w:textAlignment w:val="auto"/>
              <w:rPr>
                <w:rFonts w:ascii="Arial" w:hAnsi="Arial" w:eastAsia="仿宋" w:cs="Arial"/>
                <w:color w:val="auto"/>
                <w:sz w:val="21"/>
                <w:szCs w:val="21"/>
              </w:rPr>
            </w:pPr>
          </w:p>
        </w:tc>
        <w:tc>
          <w:tcPr>
            <w:tcW w:w="1842" w:type="dxa"/>
            <w:vMerge w:val="continue"/>
            <w:shd w:val="clear" w:color="auto" w:fill="auto"/>
            <w:noWrap/>
            <w:vAlign w:val="center"/>
          </w:tcPr>
          <w:p w14:paraId="312AE99F">
            <w:pPr>
              <w:widowControl/>
              <w:adjustRightInd/>
              <w:spacing w:line="240" w:lineRule="exact"/>
              <w:textAlignment w:val="auto"/>
              <w:rPr>
                <w:rFonts w:ascii="Arial" w:hAnsi="Arial" w:eastAsia="仿宋" w:cs="Arial"/>
                <w:color w:val="auto"/>
                <w:sz w:val="21"/>
                <w:szCs w:val="21"/>
              </w:rPr>
            </w:pPr>
          </w:p>
        </w:tc>
        <w:tc>
          <w:tcPr>
            <w:tcW w:w="4536" w:type="dxa"/>
            <w:shd w:val="clear" w:color="auto" w:fill="auto"/>
            <w:noWrap/>
            <w:vAlign w:val="center"/>
          </w:tcPr>
          <w:p w14:paraId="69D3E50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工业研发用地</w:t>
            </w:r>
            <w:r>
              <w:rPr>
                <w:rFonts w:hint="eastAsia" w:ascii="Arial" w:hAnsi="Arial" w:eastAsia="仿宋" w:cs="Arial"/>
                <w:color w:val="auto"/>
                <w:sz w:val="21"/>
                <w:szCs w:val="21"/>
              </w:rPr>
              <w:t>（</w:t>
            </w:r>
            <w:r>
              <w:rPr>
                <w:rFonts w:ascii="Arial" w:hAnsi="Arial" w:eastAsia="仿宋" w:cs="Arial"/>
                <w:color w:val="auto"/>
                <w:sz w:val="21"/>
                <w:szCs w:val="21"/>
              </w:rPr>
              <w:t>M4</w:t>
            </w:r>
            <w:r>
              <w:rPr>
                <w:rFonts w:hint="eastAsia" w:ascii="Arial" w:hAnsi="Arial" w:eastAsia="仿宋" w:cs="Arial"/>
                <w:color w:val="auto"/>
                <w:sz w:val="21"/>
                <w:szCs w:val="21"/>
              </w:rPr>
              <w:t>）</w:t>
            </w:r>
            <w:r>
              <w:rPr>
                <w:rFonts w:ascii="Arial" w:hAnsi="Arial" w:eastAsia="仿宋" w:cs="Arial"/>
                <w:color w:val="auto"/>
                <w:sz w:val="21"/>
                <w:szCs w:val="21"/>
              </w:rPr>
              <w:t>指以技术研发、中试为主,兼具小规模的生产、技术服务、管理等功能的用地。</w:t>
            </w:r>
          </w:p>
        </w:tc>
        <w:tc>
          <w:tcPr>
            <w:tcW w:w="1134" w:type="dxa"/>
            <w:shd w:val="clear" w:color="auto" w:fill="auto"/>
            <w:vAlign w:val="center"/>
          </w:tcPr>
          <w:p w14:paraId="63B5527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工业类</w:t>
            </w:r>
          </w:p>
        </w:tc>
        <w:tc>
          <w:tcPr>
            <w:tcW w:w="793" w:type="dxa"/>
            <w:shd w:val="clear" w:color="auto" w:fill="auto"/>
            <w:noWrap/>
            <w:vAlign w:val="center"/>
          </w:tcPr>
          <w:p w14:paraId="510E7A5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w:t>
            </w:r>
          </w:p>
        </w:tc>
      </w:tr>
      <w:tr w14:paraId="0A7A1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5A76872A">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68F815A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医疗卫生用地</w:t>
            </w:r>
          </w:p>
        </w:tc>
        <w:tc>
          <w:tcPr>
            <w:tcW w:w="4536" w:type="dxa"/>
            <w:shd w:val="clear" w:color="auto" w:fill="auto"/>
            <w:noWrap/>
            <w:vAlign w:val="center"/>
          </w:tcPr>
          <w:p w14:paraId="14BD11A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指医疗、保健、卫生、防疫、康复和急救设施等用地,包括综合医院、专科医院、社区卫生服务中心等用地</w:t>
            </w:r>
            <w:r>
              <w:rPr>
                <w:rFonts w:hint="eastAsia" w:ascii="Arial" w:hAnsi="Arial" w:eastAsia="仿宋" w:cs="Arial"/>
                <w:color w:val="auto"/>
                <w:sz w:val="21"/>
                <w:szCs w:val="21"/>
              </w:rPr>
              <w:t>；</w:t>
            </w:r>
            <w:r>
              <w:rPr>
                <w:rFonts w:ascii="Arial" w:hAnsi="Arial" w:eastAsia="仿宋" w:cs="Arial"/>
                <w:color w:val="auto"/>
                <w:sz w:val="21"/>
                <w:szCs w:val="21"/>
              </w:rPr>
              <w:t>卫生防疫站、专科防治所、检验中心和动物检疫站等用地</w:t>
            </w:r>
            <w:r>
              <w:rPr>
                <w:rFonts w:hint="eastAsia" w:ascii="Arial" w:hAnsi="Arial" w:eastAsia="仿宋" w:cs="Arial"/>
                <w:color w:val="auto"/>
                <w:sz w:val="21"/>
                <w:szCs w:val="21"/>
              </w:rPr>
              <w:t>；</w:t>
            </w:r>
            <w:r>
              <w:rPr>
                <w:rFonts w:ascii="Arial" w:hAnsi="Arial" w:eastAsia="仿宋" w:cs="Arial"/>
                <w:color w:val="auto"/>
                <w:sz w:val="21"/>
                <w:szCs w:val="21"/>
              </w:rPr>
              <w:t>对环境有特殊要求的传染病、精神病等专科医院用地</w:t>
            </w:r>
            <w:r>
              <w:rPr>
                <w:rFonts w:hint="eastAsia" w:ascii="Arial" w:hAnsi="Arial" w:eastAsia="仿宋" w:cs="Arial"/>
                <w:color w:val="auto"/>
                <w:sz w:val="21"/>
                <w:szCs w:val="21"/>
              </w:rPr>
              <w:t>；</w:t>
            </w:r>
            <w:r>
              <w:rPr>
                <w:rFonts w:ascii="Arial" w:hAnsi="Arial" w:eastAsia="仿宋" w:cs="Arial"/>
                <w:color w:val="auto"/>
                <w:sz w:val="21"/>
                <w:szCs w:val="21"/>
              </w:rPr>
              <w:t>急救中心、血库等用地。</w:t>
            </w:r>
          </w:p>
        </w:tc>
        <w:tc>
          <w:tcPr>
            <w:tcW w:w="1134" w:type="dxa"/>
            <w:vMerge w:val="restart"/>
            <w:shd w:val="clear" w:color="auto" w:fill="auto"/>
            <w:vAlign w:val="center"/>
          </w:tcPr>
          <w:p w14:paraId="5C25F09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公共服务类</w:t>
            </w:r>
          </w:p>
        </w:tc>
        <w:tc>
          <w:tcPr>
            <w:tcW w:w="793" w:type="dxa"/>
            <w:shd w:val="clear" w:color="auto" w:fill="auto"/>
            <w:noWrap/>
            <w:vAlign w:val="center"/>
          </w:tcPr>
          <w:p w14:paraId="55BED08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0.8</w:t>
            </w:r>
          </w:p>
        </w:tc>
      </w:tr>
      <w:tr w14:paraId="3AA04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02D6F488">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05C1A42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社会福利用地</w:t>
            </w:r>
          </w:p>
        </w:tc>
        <w:tc>
          <w:tcPr>
            <w:tcW w:w="4536" w:type="dxa"/>
            <w:shd w:val="clear" w:color="auto" w:fill="auto"/>
            <w:noWrap/>
            <w:vAlign w:val="center"/>
          </w:tcPr>
          <w:p w14:paraId="7B10E46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指为社会提供福利和慈善服务的设施及其附属设施用地,包括福利院、养老院、孤儿院等用地。</w:t>
            </w:r>
          </w:p>
        </w:tc>
        <w:tc>
          <w:tcPr>
            <w:tcW w:w="1134" w:type="dxa"/>
            <w:vMerge w:val="continue"/>
            <w:shd w:val="clear" w:color="auto" w:fill="auto"/>
            <w:vAlign w:val="center"/>
          </w:tcPr>
          <w:p w14:paraId="2531074A">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51666B6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0.7</w:t>
            </w:r>
          </w:p>
        </w:tc>
      </w:tr>
      <w:tr w14:paraId="33038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3DCB57FE">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14EE4E7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文化设施用地</w:t>
            </w:r>
          </w:p>
        </w:tc>
        <w:tc>
          <w:tcPr>
            <w:tcW w:w="4536" w:type="dxa"/>
            <w:shd w:val="clear" w:color="auto" w:fill="auto"/>
            <w:noWrap/>
            <w:vAlign w:val="center"/>
          </w:tcPr>
          <w:p w14:paraId="6CE7FB0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指图书、展览等公共文化活动设施用地,包括公共图书馆、博物馆、档案馆、科技馆、纪念馆、美术馆和展览馆等设施用地</w:t>
            </w:r>
            <w:r>
              <w:rPr>
                <w:rFonts w:hint="eastAsia" w:ascii="Arial" w:hAnsi="Arial" w:eastAsia="仿宋" w:cs="Arial"/>
                <w:color w:val="auto"/>
                <w:sz w:val="21"/>
                <w:szCs w:val="21"/>
              </w:rPr>
              <w:t>；</w:t>
            </w:r>
            <w:r>
              <w:rPr>
                <w:rFonts w:ascii="Arial" w:hAnsi="Arial" w:eastAsia="仿宋" w:cs="Arial"/>
                <w:color w:val="auto"/>
                <w:sz w:val="21"/>
                <w:szCs w:val="21"/>
              </w:rPr>
              <w:t>综合文化活动中心、文化馆、青少年宫、儿童活动中心、老年活动中心等设施用地。</w:t>
            </w:r>
          </w:p>
        </w:tc>
        <w:tc>
          <w:tcPr>
            <w:tcW w:w="1134" w:type="dxa"/>
            <w:vMerge w:val="continue"/>
            <w:shd w:val="clear" w:color="auto" w:fill="auto"/>
            <w:vAlign w:val="center"/>
          </w:tcPr>
          <w:p w14:paraId="204487E0">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516B557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0.8</w:t>
            </w:r>
          </w:p>
        </w:tc>
      </w:tr>
      <w:tr w14:paraId="65937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453B6E6D">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6F98164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体育用地</w:t>
            </w:r>
          </w:p>
        </w:tc>
        <w:tc>
          <w:tcPr>
            <w:tcW w:w="4536" w:type="dxa"/>
            <w:shd w:val="clear" w:color="auto" w:fill="auto"/>
            <w:noWrap/>
            <w:vAlign w:val="center"/>
          </w:tcPr>
          <w:p w14:paraId="7D7C9D7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体育场馆和体育训练基地等用地,包括室内外体育运动用地,如体育场馆、游泳场馆、各类球场及其附属的业余体校等用地,溜冰场、跳伞场、摩托车场、射击场,以及水上运动的陆域部分等用地,以及为体育运动专设的训练基地用地,不包括学校等机构专用的体育设施用地。</w:t>
            </w:r>
          </w:p>
        </w:tc>
        <w:tc>
          <w:tcPr>
            <w:tcW w:w="1134" w:type="dxa"/>
            <w:vMerge w:val="continue"/>
            <w:shd w:val="clear" w:color="auto" w:fill="auto"/>
            <w:vAlign w:val="center"/>
          </w:tcPr>
          <w:p w14:paraId="6E9C62EB">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132A6CC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0.6</w:t>
            </w:r>
          </w:p>
        </w:tc>
      </w:tr>
      <w:tr w14:paraId="370F6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4EAC5F9E">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74F9FB2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公用设施用地</w:t>
            </w:r>
          </w:p>
        </w:tc>
        <w:tc>
          <w:tcPr>
            <w:tcW w:w="4536" w:type="dxa"/>
            <w:shd w:val="clear" w:color="auto" w:fill="auto"/>
            <w:noWrap/>
            <w:vAlign w:val="center"/>
          </w:tcPr>
          <w:p w14:paraId="2D01AB6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指用于城乡基础设施的用地,包括供水、排 水、污水处理、供电、供热、供气、邮政、电信、消防、环卫、公用设施维修等用地。</w:t>
            </w:r>
          </w:p>
        </w:tc>
        <w:tc>
          <w:tcPr>
            <w:tcW w:w="1134" w:type="dxa"/>
            <w:vMerge w:val="continue"/>
            <w:shd w:val="clear" w:color="auto" w:fill="auto"/>
            <w:vAlign w:val="center"/>
          </w:tcPr>
          <w:p w14:paraId="66C371DD">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08E0C88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0.2</w:t>
            </w:r>
          </w:p>
        </w:tc>
      </w:tr>
      <w:tr w14:paraId="635A5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24397CF7">
            <w:pPr>
              <w:widowControl/>
              <w:adjustRightInd/>
              <w:spacing w:line="240" w:lineRule="exact"/>
              <w:textAlignment w:val="auto"/>
              <w:rPr>
                <w:rFonts w:ascii="Arial" w:hAnsi="Arial" w:eastAsia="仿宋" w:cs="Arial"/>
                <w:color w:val="auto"/>
                <w:sz w:val="21"/>
                <w:szCs w:val="21"/>
              </w:rPr>
            </w:pPr>
          </w:p>
        </w:tc>
        <w:tc>
          <w:tcPr>
            <w:tcW w:w="1842" w:type="dxa"/>
            <w:shd w:val="clear" w:color="auto" w:fill="auto"/>
            <w:noWrap/>
            <w:vAlign w:val="center"/>
          </w:tcPr>
          <w:p w14:paraId="7B23FE9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公园与绿地</w:t>
            </w:r>
          </w:p>
        </w:tc>
        <w:tc>
          <w:tcPr>
            <w:tcW w:w="4536" w:type="dxa"/>
            <w:shd w:val="clear" w:color="auto" w:fill="auto"/>
            <w:noWrap/>
            <w:vAlign w:val="center"/>
          </w:tcPr>
          <w:p w14:paraId="55C703A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指城镇、村庄范围内的公园、动物园、植物园、街心花园、广场和用于休憩、美化环境及防护 的绿化用地。</w:t>
            </w:r>
          </w:p>
        </w:tc>
        <w:tc>
          <w:tcPr>
            <w:tcW w:w="1134" w:type="dxa"/>
            <w:vMerge w:val="continue"/>
            <w:shd w:val="clear" w:color="auto" w:fill="auto"/>
            <w:vAlign w:val="center"/>
          </w:tcPr>
          <w:p w14:paraId="19D2E289">
            <w:pPr>
              <w:widowControl/>
              <w:adjustRightInd/>
              <w:spacing w:line="240" w:lineRule="exact"/>
              <w:textAlignment w:val="auto"/>
              <w:rPr>
                <w:rFonts w:ascii="Arial" w:hAnsi="Arial" w:eastAsia="仿宋" w:cs="Arial"/>
                <w:color w:val="auto"/>
                <w:sz w:val="21"/>
                <w:szCs w:val="21"/>
              </w:rPr>
            </w:pPr>
          </w:p>
        </w:tc>
        <w:tc>
          <w:tcPr>
            <w:tcW w:w="793" w:type="dxa"/>
            <w:shd w:val="clear" w:color="auto" w:fill="auto"/>
            <w:noWrap/>
            <w:vAlign w:val="center"/>
          </w:tcPr>
          <w:p w14:paraId="4AFF715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0.2</w:t>
            </w:r>
          </w:p>
        </w:tc>
      </w:tr>
    </w:tbl>
    <w:p w14:paraId="1CB62C05">
      <w:pPr>
        <w:spacing w:before="120" w:beforeLines="50"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依据上表，估价对象公共服务用途修正系数为1。</w:t>
      </w:r>
    </w:p>
    <w:p w14:paraId="01C9DA3E">
      <w:pPr>
        <w:adjustRightInd/>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C.期日修正系数的确定</w:t>
      </w:r>
    </w:p>
    <w:p w14:paraId="2B62ACEC">
      <w:pPr>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《北京市出让国有建设用地使用权基准地价更新成果（二〇二一年）》规定，基准地价期日修正系数必须以北京市地价动态监测成果公布的地价增值率为准。</w:t>
      </w:r>
    </w:p>
    <w:p w14:paraId="6C842F41">
      <w:pPr>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北京市基准地价更新成果的基准日为2021年1月1日，本次评估的估价期日为</w:t>
      </w:r>
      <w:r>
        <w:rPr>
          <w:rFonts w:hint="eastAsia" w:ascii="Arial" w:hAnsi="Arial" w:eastAsia="仿宋" w:cs="Arial"/>
          <w:color w:val="auto"/>
          <w:sz w:val="28"/>
          <w:szCs w:val="28"/>
        </w:rPr>
        <w:t>2026年3月26日</w:t>
      </w:r>
      <w:r>
        <w:rPr>
          <w:rFonts w:ascii="Arial" w:hAnsi="Arial" w:eastAsia="仿宋" w:cs="Arial"/>
          <w:color w:val="auto"/>
          <w:sz w:val="28"/>
          <w:szCs w:val="28"/>
        </w:rPr>
        <w:t>，熟地价期日</w:t>
      </w:r>
      <w:r>
        <w:rPr>
          <w:rFonts w:hint="eastAsia" w:ascii="Arial" w:hAnsi="Arial" w:eastAsia="仿宋" w:cs="Arial"/>
          <w:color w:val="auto"/>
          <w:sz w:val="28"/>
          <w:szCs w:val="28"/>
        </w:rPr>
        <w:t>修正参照办公用房，</w:t>
      </w:r>
      <w:r>
        <w:rPr>
          <w:rFonts w:ascii="Arial" w:hAnsi="Arial" w:eastAsia="仿宋" w:cs="Arial"/>
          <w:color w:val="auto"/>
          <w:sz w:val="28"/>
          <w:szCs w:val="28"/>
        </w:rPr>
        <w:t>以北京市地价动态监测成果公布的地价增长率为准：</w:t>
      </w:r>
    </w:p>
    <w:p w14:paraId="662A2486">
      <w:pPr>
        <w:spacing w:line="300" w:lineRule="auto"/>
        <w:ind w:firstLine="560" w:firstLineChars="200"/>
        <w:jc w:val="center"/>
        <w:rPr>
          <w:rFonts w:ascii="Arial" w:hAnsi="Arial" w:eastAsia="仿宋" w:cs="Arial"/>
          <w:bCs/>
          <w:color w:val="auto"/>
          <w:sz w:val="28"/>
          <w:szCs w:val="28"/>
        </w:rPr>
      </w:pPr>
      <w:r>
        <w:rPr>
          <w:rFonts w:ascii="Arial" w:hAnsi="Arial" w:eastAsia="仿宋" w:cs="Arial"/>
          <w:bCs/>
          <w:color w:val="auto"/>
          <w:sz w:val="28"/>
          <w:szCs w:val="28"/>
        </w:rPr>
        <w:t>北京市地价增长率</w:t>
      </w:r>
    </w:p>
    <w:p w14:paraId="40C5DD1B">
      <w:pPr>
        <w:adjustRightInd/>
        <w:spacing w:line="240" w:lineRule="auto"/>
        <w:jc w:val="right"/>
        <w:rPr>
          <w:rFonts w:ascii="Arial" w:hAnsi="Arial" w:eastAsia="华文细黑" w:cs="宋体"/>
          <w:color w:val="auto"/>
          <w:sz w:val="18"/>
          <w:szCs w:val="24"/>
        </w:rPr>
      </w:pPr>
      <w:r>
        <w:rPr>
          <w:rFonts w:hint="eastAsia" w:ascii="Arial" w:hAnsi="Arial" w:eastAsia="华文细黑" w:cs="宋体"/>
          <w:color w:val="auto"/>
          <w:sz w:val="18"/>
          <w:szCs w:val="24"/>
        </w:rPr>
        <w:t xml:space="preserve"> 单位%</w:t>
      </w:r>
    </w:p>
    <w:tbl>
      <w:tblPr>
        <w:tblStyle w:val="34"/>
        <w:tblW w:w="9299"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57" w:type="dxa"/>
          <w:bottom w:w="57" w:type="dxa"/>
          <w:right w:w="57" w:type="dxa"/>
        </w:tblCellMar>
      </w:tblPr>
      <w:tblGrid>
        <w:gridCol w:w="1859"/>
        <w:gridCol w:w="1860"/>
        <w:gridCol w:w="1860"/>
        <w:gridCol w:w="1860"/>
        <w:gridCol w:w="1860"/>
      </w:tblGrid>
      <w:tr w14:paraId="7226A4C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tcBorders>
              <w:tl2br w:val="single" w:color="auto" w:sz="4" w:space="0"/>
            </w:tcBorders>
            <w:shd w:val="clear" w:color="auto" w:fill="auto"/>
            <w:vAlign w:val="center"/>
          </w:tcPr>
          <w:p w14:paraId="65A2EC10">
            <w:pPr>
              <w:tabs>
                <w:tab w:val="left" w:pos="2160"/>
              </w:tabs>
              <w:spacing w:line="240" w:lineRule="exact"/>
              <w:ind w:firstLine="945" w:firstLineChars="450"/>
              <w:jc w:val="right"/>
              <w:rPr>
                <w:rFonts w:ascii="Arial" w:hAnsi="Arial" w:eastAsia="仿宋" w:cs="Arial"/>
                <w:color w:val="auto"/>
                <w:sz w:val="21"/>
                <w:szCs w:val="21"/>
              </w:rPr>
            </w:pPr>
            <w:r>
              <w:rPr>
                <w:rFonts w:ascii="Arial" w:hAnsi="Arial" w:eastAsia="仿宋" w:cs="Arial"/>
                <w:color w:val="auto"/>
                <w:sz w:val="21"/>
                <w:szCs w:val="21"/>
              </w:rPr>
              <w:t>季度</w:t>
            </w:r>
          </w:p>
          <w:p w14:paraId="32121191">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年度</w:t>
            </w:r>
          </w:p>
        </w:tc>
        <w:tc>
          <w:tcPr>
            <w:tcW w:w="1860" w:type="dxa"/>
            <w:shd w:val="clear" w:color="auto" w:fill="auto"/>
            <w:vAlign w:val="center"/>
          </w:tcPr>
          <w:p w14:paraId="2FE32D65">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1季度</w:t>
            </w:r>
          </w:p>
        </w:tc>
        <w:tc>
          <w:tcPr>
            <w:tcW w:w="1860" w:type="dxa"/>
            <w:shd w:val="clear" w:color="auto" w:fill="auto"/>
            <w:vAlign w:val="center"/>
          </w:tcPr>
          <w:p w14:paraId="29ADB980">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2季度</w:t>
            </w:r>
          </w:p>
        </w:tc>
        <w:tc>
          <w:tcPr>
            <w:tcW w:w="1860" w:type="dxa"/>
            <w:shd w:val="clear" w:color="auto" w:fill="auto"/>
            <w:vAlign w:val="center"/>
          </w:tcPr>
          <w:p w14:paraId="24317AAD">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3季度</w:t>
            </w:r>
          </w:p>
        </w:tc>
        <w:tc>
          <w:tcPr>
            <w:tcW w:w="1860" w:type="dxa"/>
            <w:shd w:val="clear" w:color="auto" w:fill="auto"/>
            <w:vAlign w:val="center"/>
          </w:tcPr>
          <w:p w14:paraId="69E844A0">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4季度</w:t>
            </w:r>
          </w:p>
        </w:tc>
      </w:tr>
      <w:tr w14:paraId="051DEE3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6A311E68">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2021</w:t>
            </w:r>
          </w:p>
        </w:tc>
        <w:tc>
          <w:tcPr>
            <w:tcW w:w="1860" w:type="dxa"/>
            <w:shd w:val="clear" w:color="auto" w:fill="auto"/>
            <w:vAlign w:val="center"/>
          </w:tcPr>
          <w:p w14:paraId="037C6CD5">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0.48</w:t>
            </w:r>
          </w:p>
        </w:tc>
        <w:tc>
          <w:tcPr>
            <w:tcW w:w="1860" w:type="dxa"/>
            <w:shd w:val="clear" w:color="auto" w:fill="auto"/>
            <w:vAlign w:val="center"/>
          </w:tcPr>
          <w:p w14:paraId="793FC707">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0.46</w:t>
            </w:r>
          </w:p>
        </w:tc>
        <w:tc>
          <w:tcPr>
            <w:tcW w:w="1860" w:type="dxa"/>
            <w:shd w:val="clear" w:color="auto" w:fill="auto"/>
            <w:vAlign w:val="center"/>
          </w:tcPr>
          <w:p w14:paraId="40CA633F">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0.28</w:t>
            </w:r>
          </w:p>
        </w:tc>
        <w:tc>
          <w:tcPr>
            <w:tcW w:w="1860" w:type="dxa"/>
            <w:shd w:val="clear" w:color="auto" w:fill="auto"/>
            <w:vAlign w:val="center"/>
          </w:tcPr>
          <w:p w14:paraId="03236679">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0.08</w:t>
            </w:r>
          </w:p>
        </w:tc>
      </w:tr>
      <w:tr w14:paraId="6773D2B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7FB5ED17">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2022</w:t>
            </w:r>
          </w:p>
        </w:tc>
        <w:tc>
          <w:tcPr>
            <w:tcW w:w="1860" w:type="dxa"/>
            <w:shd w:val="clear" w:color="auto" w:fill="auto"/>
            <w:vAlign w:val="center"/>
          </w:tcPr>
          <w:p w14:paraId="7ACCD382">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0.45</w:t>
            </w:r>
          </w:p>
        </w:tc>
        <w:tc>
          <w:tcPr>
            <w:tcW w:w="1860" w:type="dxa"/>
            <w:shd w:val="clear" w:color="auto" w:fill="auto"/>
            <w:vAlign w:val="center"/>
          </w:tcPr>
          <w:p w14:paraId="1FAC7D42">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r>
              <w:rPr>
                <w:rFonts w:ascii="Arial" w:hAnsi="Arial" w:eastAsia="仿宋" w:cs="Arial"/>
                <w:color w:val="auto"/>
                <w:sz w:val="21"/>
                <w:szCs w:val="21"/>
              </w:rPr>
              <w:t>0.13</w:t>
            </w:r>
          </w:p>
        </w:tc>
        <w:tc>
          <w:tcPr>
            <w:tcW w:w="1860" w:type="dxa"/>
            <w:shd w:val="clear" w:color="auto" w:fill="auto"/>
            <w:vAlign w:val="center"/>
          </w:tcPr>
          <w:p w14:paraId="693942ED">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0.29</w:t>
            </w:r>
          </w:p>
        </w:tc>
        <w:tc>
          <w:tcPr>
            <w:tcW w:w="1860" w:type="dxa"/>
            <w:shd w:val="clear" w:color="auto" w:fill="auto"/>
            <w:vAlign w:val="center"/>
          </w:tcPr>
          <w:p w14:paraId="1DD5ABEB">
            <w:pPr>
              <w:tabs>
                <w:tab w:val="left" w:pos="2160"/>
              </w:tabs>
              <w:spacing w:line="240" w:lineRule="exact"/>
              <w:rPr>
                <w:rFonts w:ascii="Arial" w:hAnsi="Arial" w:eastAsia="仿宋" w:cs="Arial"/>
                <w:color w:val="auto"/>
                <w:sz w:val="21"/>
                <w:szCs w:val="21"/>
              </w:rPr>
            </w:pPr>
            <w:r>
              <w:rPr>
                <w:rFonts w:ascii="Arial" w:hAnsi="Arial" w:eastAsia="仿宋" w:cs="Arial"/>
                <w:color w:val="auto"/>
                <w:sz w:val="21"/>
                <w:szCs w:val="21"/>
              </w:rPr>
              <w:t>0.20</w:t>
            </w:r>
          </w:p>
        </w:tc>
      </w:tr>
      <w:tr w14:paraId="7CA4B09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711E7BE8">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2023</w:t>
            </w:r>
          </w:p>
        </w:tc>
        <w:tc>
          <w:tcPr>
            <w:tcW w:w="1860" w:type="dxa"/>
            <w:shd w:val="clear" w:color="auto" w:fill="auto"/>
            <w:vAlign w:val="center"/>
          </w:tcPr>
          <w:p w14:paraId="30B753B0">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0.59</w:t>
            </w:r>
          </w:p>
        </w:tc>
        <w:tc>
          <w:tcPr>
            <w:tcW w:w="1860" w:type="dxa"/>
            <w:shd w:val="clear" w:color="auto" w:fill="auto"/>
            <w:vAlign w:val="center"/>
          </w:tcPr>
          <w:p w14:paraId="62DB0EED">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0.45</w:t>
            </w:r>
          </w:p>
        </w:tc>
        <w:tc>
          <w:tcPr>
            <w:tcW w:w="1860" w:type="dxa"/>
            <w:shd w:val="clear" w:color="auto" w:fill="auto"/>
            <w:vAlign w:val="center"/>
          </w:tcPr>
          <w:p w14:paraId="6E30E3C5">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0.17</w:t>
            </w:r>
          </w:p>
        </w:tc>
        <w:tc>
          <w:tcPr>
            <w:tcW w:w="1860" w:type="dxa"/>
            <w:shd w:val="clear" w:color="auto" w:fill="auto"/>
            <w:vAlign w:val="center"/>
          </w:tcPr>
          <w:p w14:paraId="208ADD2F">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0.09</w:t>
            </w:r>
          </w:p>
        </w:tc>
      </w:tr>
      <w:tr w14:paraId="0A01BF1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425A4182">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2024</w:t>
            </w:r>
          </w:p>
        </w:tc>
        <w:tc>
          <w:tcPr>
            <w:tcW w:w="1860" w:type="dxa"/>
            <w:shd w:val="clear" w:color="auto" w:fill="auto"/>
            <w:vAlign w:val="center"/>
          </w:tcPr>
          <w:p w14:paraId="3C18976F">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0.40</w:t>
            </w:r>
          </w:p>
        </w:tc>
        <w:tc>
          <w:tcPr>
            <w:tcW w:w="1860" w:type="dxa"/>
            <w:shd w:val="clear" w:color="auto" w:fill="auto"/>
            <w:vAlign w:val="center"/>
          </w:tcPr>
          <w:p w14:paraId="1B374175">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－0.39</w:t>
            </w:r>
          </w:p>
        </w:tc>
        <w:tc>
          <w:tcPr>
            <w:tcW w:w="1860" w:type="dxa"/>
            <w:shd w:val="clear" w:color="auto" w:fill="auto"/>
            <w:vAlign w:val="center"/>
          </w:tcPr>
          <w:p w14:paraId="1815F593">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－0.52</w:t>
            </w:r>
          </w:p>
        </w:tc>
        <w:tc>
          <w:tcPr>
            <w:tcW w:w="1860" w:type="dxa"/>
            <w:shd w:val="clear" w:color="auto" w:fill="auto"/>
            <w:vAlign w:val="center"/>
          </w:tcPr>
          <w:p w14:paraId="0125BDD3">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－0.71</w:t>
            </w:r>
          </w:p>
        </w:tc>
      </w:tr>
      <w:tr w14:paraId="1FB3CF4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1DA8894D">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2025</w:t>
            </w:r>
          </w:p>
        </w:tc>
        <w:tc>
          <w:tcPr>
            <w:tcW w:w="1860" w:type="dxa"/>
            <w:shd w:val="clear" w:color="auto" w:fill="auto"/>
            <w:vAlign w:val="center"/>
          </w:tcPr>
          <w:p w14:paraId="30D2A20C">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－0.98</w:t>
            </w:r>
          </w:p>
        </w:tc>
        <w:tc>
          <w:tcPr>
            <w:tcW w:w="1860" w:type="dxa"/>
            <w:shd w:val="clear" w:color="auto" w:fill="auto"/>
            <w:vAlign w:val="center"/>
          </w:tcPr>
          <w:p w14:paraId="75FAB007">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－1.03</w:t>
            </w:r>
          </w:p>
        </w:tc>
        <w:tc>
          <w:tcPr>
            <w:tcW w:w="1860" w:type="dxa"/>
            <w:shd w:val="clear" w:color="auto" w:fill="auto"/>
            <w:vAlign w:val="center"/>
          </w:tcPr>
          <w:p w14:paraId="41691278">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－1.45</w:t>
            </w:r>
          </w:p>
        </w:tc>
        <w:tc>
          <w:tcPr>
            <w:tcW w:w="1860" w:type="dxa"/>
            <w:shd w:val="clear" w:color="auto" w:fill="auto"/>
            <w:vAlign w:val="center"/>
          </w:tcPr>
          <w:p w14:paraId="5C4DD63D">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－3.68</w:t>
            </w:r>
          </w:p>
        </w:tc>
      </w:tr>
      <w:tr w14:paraId="7D9B31C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76E228F2">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2026</w:t>
            </w:r>
          </w:p>
        </w:tc>
        <w:tc>
          <w:tcPr>
            <w:tcW w:w="1860" w:type="dxa"/>
            <w:shd w:val="clear" w:color="auto" w:fill="auto"/>
            <w:vAlign w:val="center"/>
          </w:tcPr>
          <w:p w14:paraId="6AC646B3">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－1.32</w:t>
            </w:r>
          </w:p>
        </w:tc>
        <w:tc>
          <w:tcPr>
            <w:tcW w:w="1860" w:type="dxa"/>
            <w:shd w:val="clear" w:color="auto" w:fill="auto"/>
            <w:vAlign w:val="center"/>
          </w:tcPr>
          <w:p w14:paraId="3B6AF77F">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p>
        </w:tc>
        <w:tc>
          <w:tcPr>
            <w:tcW w:w="1860" w:type="dxa"/>
            <w:shd w:val="clear" w:color="auto" w:fill="auto"/>
            <w:vAlign w:val="center"/>
          </w:tcPr>
          <w:p w14:paraId="1C59DCE7">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p>
        </w:tc>
        <w:tc>
          <w:tcPr>
            <w:tcW w:w="1860" w:type="dxa"/>
            <w:shd w:val="clear" w:color="auto" w:fill="auto"/>
            <w:vAlign w:val="center"/>
          </w:tcPr>
          <w:p w14:paraId="79160D08">
            <w:pPr>
              <w:tabs>
                <w:tab w:val="left" w:pos="2160"/>
              </w:tabs>
              <w:spacing w:line="240" w:lineRule="exact"/>
              <w:rPr>
                <w:rFonts w:ascii="Arial" w:hAnsi="Arial" w:eastAsia="仿宋" w:cs="Arial"/>
                <w:color w:val="auto"/>
                <w:sz w:val="21"/>
                <w:szCs w:val="21"/>
              </w:rPr>
            </w:pPr>
            <w:r>
              <w:rPr>
                <w:rFonts w:hint="eastAsia" w:ascii="Arial" w:hAnsi="Arial" w:eastAsia="仿宋" w:cs="Arial"/>
                <w:color w:val="auto"/>
                <w:sz w:val="21"/>
                <w:szCs w:val="21"/>
              </w:rPr>
              <w:t>－</w:t>
            </w:r>
          </w:p>
        </w:tc>
      </w:tr>
    </w:tbl>
    <w:p w14:paraId="23A51E76">
      <w:pPr>
        <w:spacing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采用2021年1季度至2026年1季度办公（规划新城）地价增长率的数据，本项目估价期日为 2026年3月26日，属于2026年1季度，计算过程如下：</w:t>
      </w:r>
    </w:p>
    <w:p w14:paraId="5802B318">
      <w:pPr>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期日修正系数</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48</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＋0.46</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28</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08</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45</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－0.13</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29</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.20</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59</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＋0.45</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17</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09</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＋0.40</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－0.39</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－0.52</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0.</w:t>
      </w:r>
      <w:r>
        <w:rPr>
          <w:rFonts w:hint="eastAsia" w:ascii="Arial" w:hAnsi="Arial" w:eastAsia="仿宋" w:cs="Arial"/>
          <w:color w:val="auto"/>
          <w:sz w:val="28"/>
          <w:szCs w:val="28"/>
        </w:rPr>
        <w:t>71</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－0.98</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－1</w:t>
      </w:r>
      <w:r>
        <w:rPr>
          <w:rFonts w:ascii="Arial" w:hAnsi="Arial" w:eastAsia="仿宋" w:cs="Arial"/>
          <w:color w:val="auto"/>
          <w:sz w:val="28"/>
          <w:szCs w:val="28"/>
        </w:rPr>
        <w:t>.</w:t>
      </w:r>
      <w:r>
        <w:rPr>
          <w:rFonts w:hint="eastAsia" w:ascii="Arial" w:hAnsi="Arial" w:eastAsia="仿宋" w:cs="Arial"/>
          <w:color w:val="auto"/>
          <w:sz w:val="28"/>
          <w:szCs w:val="28"/>
        </w:rPr>
        <w:t>03</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－1.45</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－3.68</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－1.32</w:t>
      </w:r>
      <w:r>
        <w:rPr>
          <w:rFonts w:ascii="Arial" w:hAnsi="Arial" w:eastAsia="仿宋" w:cs="Arial"/>
          <w:color w:val="auto"/>
          <w:sz w:val="28"/>
          <w:szCs w:val="28"/>
        </w:rPr>
        <w:t>%</w:t>
      </w:r>
      <w:r>
        <w:rPr>
          <w:rFonts w:hint="eastAsia" w:ascii="Arial" w:hAnsi="Arial" w:eastAsia="仿宋" w:cs="Arial"/>
          <w:color w:val="auto"/>
          <w:sz w:val="28"/>
          <w:szCs w:val="28"/>
        </w:rPr>
        <w:t>÷90×85</w:t>
      </w:r>
      <w:r>
        <w:rPr>
          <w:rFonts w:ascii="Arial" w:hAnsi="Arial" w:eastAsia="仿宋" w:cs="Arial"/>
          <w:color w:val="auto"/>
          <w:sz w:val="28"/>
          <w:szCs w:val="28"/>
        </w:rPr>
        <w:t>）</w:t>
      </w:r>
      <w:r>
        <w:rPr>
          <w:rFonts w:hint="eastAsia" w:ascii="Arial" w:hAnsi="Arial" w:eastAsia="仿宋" w:cs="Arial"/>
          <w:color w:val="auto"/>
          <w:sz w:val="28"/>
          <w:szCs w:val="28"/>
        </w:rPr>
        <w:t>＝0.9388</w:t>
      </w:r>
    </w:p>
    <w:p w14:paraId="255CC71C">
      <w:pPr>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D.年期修正系数的确定</w:t>
      </w:r>
    </w:p>
    <w:p w14:paraId="67F03EA5">
      <w:pPr>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年期修正系数</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（1＋r）</w:t>
      </w:r>
      <w:r>
        <w:rPr>
          <w:rFonts w:ascii="Arial" w:hAnsi="Arial" w:eastAsia="仿宋" w:cs="Arial"/>
          <w:color w:val="auto"/>
          <w:sz w:val="28"/>
          <w:szCs w:val="28"/>
          <w:vertAlign w:val="superscript"/>
        </w:rPr>
        <w:t>n</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（1＋r）</w:t>
      </w:r>
      <w:r>
        <w:rPr>
          <w:rFonts w:ascii="Arial" w:hAnsi="Arial" w:eastAsia="仿宋" w:cs="Arial"/>
          <w:color w:val="auto"/>
          <w:sz w:val="28"/>
          <w:szCs w:val="28"/>
          <w:vertAlign w:val="superscript"/>
        </w:rPr>
        <w:t>N</w:t>
      </w:r>
      <w:r>
        <w:rPr>
          <w:rFonts w:ascii="Arial" w:hAnsi="Arial" w:eastAsia="仿宋" w:cs="Arial"/>
          <w:color w:val="auto"/>
          <w:sz w:val="28"/>
          <w:szCs w:val="28"/>
        </w:rPr>
        <w:t>）</w:t>
      </w:r>
    </w:p>
    <w:p w14:paraId="53434408">
      <w:pPr>
        <w:autoSpaceDE w:val="0"/>
        <w:autoSpaceDN w:val="0"/>
        <w:spacing w:line="300" w:lineRule="auto"/>
        <w:ind w:firstLine="560" w:firstLineChars="200"/>
        <w:textAlignment w:val="auto"/>
        <w:rPr>
          <w:rFonts w:ascii="Arial" w:hAnsi="Arial" w:eastAsia="仿宋" w:cs="Arial"/>
          <w:color w:val="auto"/>
          <w:sz w:val="28"/>
          <w:szCs w:val="28"/>
        </w:rPr>
      </w:pPr>
      <w:r>
        <w:rPr>
          <w:rFonts w:ascii="Arial" w:hAnsi="Arial" w:eastAsia="仿宋" w:cs="Arial"/>
          <w:color w:val="auto"/>
          <w:sz w:val="28"/>
          <w:szCs w:val="28"/>
        </w:rPr>
        <w:t>其中：r—土地还原率</w:t>
      </w:r>
    </w:p>
    <w:p w14:paraId="162211C4">
      <w:pPr>
        <w:autoSpaceDE w:val="0"/>
        <w:autoSpaceDN w:val="0"/>
        <w:spacing w:line="300" w:lineRule="auto"/>
        <w:ind w:firstLine="1400" w:firstLineChars="500"/>
        <w:textAlignment w:val="auto"/>
        <w:rPr>
          <w:rFonts w:ascii="Arial" w:hAnsi="Arial" w:eastAsia="仿宋" w:cs="Arial"/>
          <w:color w:val="auto"/>
          <w:sz w:val="28"/>
          <w:szCs w:val="28"/>
        </w:rPr>
      </w:pPr>
      <w:r>
        <w:rPr>
          <w:rFonts w:ascii="Arial" w:hAnsi="Arial" w:eastAsia="仿宋" w:cs="Arial"/>
          <w:color w:val="auto"/>
          <w:sz w:val="28"/>
          <w:szCs w:val="28"/>
        </w:rPr>
        <w:t>n—宗地剩余土地使用年限</w:t>
      </w:r>
    </w:p>
    <w:p w14:paraId="6CD311CA">
      <w:pPr>
        <w:spacing w:line="300" w:lineRule="auto"/>
        <w:ind w:firstLine="1400" w:firstLineChars="500"/>
        <w:rPr>
          <w:rFonts w:ascii="Arial" w:hAnsi="Arial" w:eastAsia="仿宋" w:cs="Arial"/>
          <w:color w:val="auto"/>
          <w:sz w:val="28"/>
          <w:szCs w:val="28"/>
        </w:rPr>
      </w:pPr>
      <w:r>
        <w:rPr>
          <w:rFonts w:ascii="Arial" w:hAnsi="Arial" w:eastAsia="仿宋" w:cs="Arial"/>
          <w:color w:val="auto"/>
          <w:sz w:val="28"/>
          <w:szCs w:val="28"/>
        </w:rPr>
        <w:t>N—基准地价规定的相应用途土地使用年限</w:t>
      </w:r>
    </w:p>
    <w:p w14:paraId="081DCB67">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商业、办公、居住、工业、公共服务用途的土地还原率原则上按同期中国人民银行公布的一年期贷款利率分别上浮25％、20％、15％、10％、15％确定，且须分别不低于5.5％、5.5％、5％、5％、5％，不高于6.5％、6.5％、6％、6％、6％。估价对象用途为公共服务，按照上述利率计算得出的土地还原率低于所要求的的最低值。故土地还原率取</w:t>
      </w:r>
      <w:r>
        <w:rPr>
          <w:rFonts w:hint="eastAsia" w:ascii="Arial" w:hAnsi="Arial" w:eastAsia="仿宋" w:cs="Arial"/>
          <w:color w:val="auto"/>
          <w:sz w:val="28"/>
          <w:szCs w:val="28"/>
        </w:rPr>
        <w:t>公共服务</w:t>
      </w:r>
      <w:r>
        <w:rPr>
          <w:rFonts w:ascii="Arial" w:hAnsi="Arial" w:eastAsia="仿宋" w:cs="Arial"/>
          <w:color w:val="auto"/>
          <w:sz w:val="28"/>
          <w:szCs w:val="28"/>
        </w:rPr>
        <w:t>用途最低值5%。</w:t>
      </w:r>
    </w:p>
    <w:p w14:paraId="7B4CA289">
      <w:pPr>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估价对象剩余土地使用年限为50年，公共服务用途法定用途最高出让年限为50年，故不做修正。</w:t>
      </w:r>
    </w:p>
    <w:p w14:paraId="682FE5FB">
      <w:pPr>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E.容积率修正系数的确定</w:t>
      </w:r>
    </w:p>
    <w:p w14:paraId="754FE424">
      <w:pPr>
        <w:adjustRightInd/>
        <w:spacing w:line="300" w:lineRule="auto"/>
        <w:ind w:firstLine="560" w:firstLineChars="200"/>
        <w:rPr>
          <w:rFonts w:ascii="Arial" w:hAnsi="Arial" w:eastAsia="仿宋" w:cs="Arial"/>
          <w:bCs/>
          <w:color w:val="auto"/>
          <w:sz w:val="28"/>
          <w:szCs w:val="28"/>
        </w:rPr>
      </w:pPr>
      <w:r>
        <w:rPr>
          <w:rFonts w:ascii="Arial" w:hAnsi="Arial" w:eastAsia="仿宋" w:cs="Arial"/>
          <w:color w:val="auto"/>
          <w:sz w:val="28"/>
          <w:szCs w:val="28"/>
        </w:rPr>
        <w:t>依据《北京市基准地价容积率修正系数表（公共服务类）》（详见下表）。</w:t>
      </w:r>
    </w:p>
    <w:p w14:paraId="75043275">
      <w:pPr>
        <w:spacing w:line="300" w:lineRule="auto"/>
        <w:jc w:val="center"/>
        <w:rPr>
          <w:rFonts w:ascii="Arial" w:hAnsi="Arial" w:eastAsia="仿宋" w:cs="Arial"/>
          <w:color w:val="auto"/>
          <w:sz w:val="28"/>
          <w:szCs w:val="28"/>
        </w:rPr>
      </w:pPr>
      <w:r>
        <w:rPr>
          <w:rFonts w:ascii="Arial" w:hAnsi="Arial" w:eastAsia="仿宋" w:cs="Arial"/>
          <w:bCs/>
          <w:color w:val="auto"/>
          <w:sz w:val="28"/>
          <w:szCs w:val="28"/>
        </w:rPr>
        <w:t>北京市基准地价容积率修正系数表（公共服务类）</w:t>
      </w:r>
    </w:p>
    <w:tbl>
      <w:tblPr>
        <w:tblStyle w:val="34"/>
        <w:tblW w:w="9299"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28" w:type="dxa"/>
          <w:left w:w="28" w:type="dxa"/>
          <w:bottom w:w="28" w:type="dxa"/>
          <w:right w:w="28" w:type="dxa"/>
        </w:tblCellMar>
      </w:tblPr>
      <w:tblGrid>
        <w:gridCol w:w="1179"/>
        <w:gridCol w:w="1098"/>
        <w:gridCol w:w="1253"/>
        <w:gridCol w:w="1253"/>
        <w:gridCol w:w="1179"/>
        <w:gridCol w:w="979"/>
        <w:gridCol w:w="1179"/>
        <w:gridCol w:w="1179"/>
      </w:tblGrid>
      <w:tr w14:paraId="42F1135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tblHeader/>
          <w:jc w:val="center"/>
        </w:trPr>
        <w:tc>
          <w:tcPr>
            <w:tcW w:w="1179" w:type="dxa"/>
            <w:shd w:val="clear" w:color="auto" w:fill="auto"/>
            <w:noWrap/>
            <w:vAlign w:val="center"/>
          </w:tcPr>
          <w:p w14:paraId="4051992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容积率</w:t>
            </w:r>
          </w:p>
        </w:tc>
        <w:tc>
          <w:tcPr>
            <w:tcW w:w="1098" w:type="dxa"/>
            <w:shd w:val="clear" w:color="auto" w:fill="auto"/>
            <w:noWrap/>
            <w:vAlign w:val="center"/>
          </w:tcPr>
          <w:p w14:paraId="129DD65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r>
              <w:rPr>
                <w:rFonts w:hint="eastAsia" w:ascii="Arial" w:hAnsi="Arial" w:eastAsia="仿宋" w:cs="Arial"/>
                <w:color w:val="auto"/>
                <w:sz w:val="20"/>
              </w:rPr>
              <w:t>－</w:t>
            </w:r>
            <w:r>
              <w:rPr>
                <w:rFonts w:ascii="Arial" w:hAnsi="Arial" w:eastAsia="仿宋" w:cs="Arial"/>
                <w:color w:val="auto"/>
                <w:sz w:val="20"/>
              </w:rPr>
              <w:t>2级</w:t>
            </w:r>
          </w:p>
        </w:tc>
        <w:tc>
          <w:tcPr>
            <w:tcW w:w="1253" w:type="dxa"/>
            <w:shd w:val="clear" w:color="auto" w:fill="auto"/>
            <w:vAlign w:val="center"/>
          </w:tcPr>
          <w:p w14:paraId="49132E7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3</w:t>
            </w:r>
            <w:r>
              <w:rPr>
                <w:rFonts w:hint="eastAsia" w:ascii="Arial" w:hAnsi="Arial" w:eastAsia="仿宋" w:cs="Arial"/>
                <w:color w:val="auto"/>
                <w:sz w:val="20"/>
              </w:rPr>
              <w:t>－</w:t>
            </w:r>
            <w:r>
              <w:rPr>
                <w:rFonts w:ascii="Arial" w:hAnsi="Arial" w:eastAsia="仿宋" w:cs="Arial"/>
                <w:color w:val="auto"/>
                <w:sz w:val="20"/>
              </w:rPr>
              <w:t>7级</w:t>
            </w:r>
          </w:p>
        </w:tc>
        <w:tc>
          <w:tcPr>
            <w:tcW w:w="1253" w:type="dxa"/>
            <w:shd w:val="clear" w:color="auto" w:fill="auto"/>
            <w:vAlign w:val="center"/>
          </w:tcPr>
          <w:p w14:paraId="0FD13E0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8</w:t>
            </w:r>
            <w:r>
              <w:rPr>
                <w:rFonts w:hint="eastAsia" w:ascii="Arial" w:hAnsi="Arial" w:eastAsia="仿宋" w:cs="Arial"/>
                <w:color w:val="auto"/>
                <w:sz w:val="20"/>
              </w:rPr>
              <w:t>－</w:t>
            </w:r>
            <w:r>
              <w:rPr>
                <w:rFonts w:ascii="Arial" w:hAnsi="Arial" w:eastAsia="仿宋" w:cs="Arial"/>
                <w:color w:val="auto"/>
                <w:sz w:val="20"/>
              </w:rPr>
              <w:t>12级</w:t>
            </w:r>
          </w:p>
        </w:tc>
        <w:tc>
          <w:tcPr>
            <w:tcW w:w="1179" w:type="dxa"/>
            <w:shd w:val="clear" w:color="auto" w:fill="auto"/>
            <w:noWrap/>
            <w:vAlign w:val="center"/>
          </w:tcPr>
          <w:p w14:paraId="51271EE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容积率</w:t>
            </w:r>
          </w:p>
        </w:tc>
        <w:tc>
          <w:tcPr>
            <w:tcW w:w="979" w:type="dxa"/>
            <w:shd w:val="clear" w:color="auto" w:fill="auto"/>
            <w:noWrap/>
            <w:vAlign w:val="center"/>
          </w:tcPr>
          <w:p w14:paraId="214B172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r>
              <w:rPr>
                <w:rFonts w:hint="eastAsia" w:ascii="Arial" w:hAnsi="Arial" w:eastAsia="仿宋" w:cs="Arial"/>
                <w:color w:val="auto"/>
                <w:sz w:val="20"/>
              </w:rPr>
              <w:t>－</w:t>
            </w:r>
            <w:r>
              <w:rPr>
                <w:rFonts w:ascii="Arial" w:hAnsi="Arial" w:eastAsia="仿宋" w:cs="Arial"/>
                <w:color w:val="auto"/>
                <w:sz w:val="20"/>
              </w:rPr>
              <w:t>2级</w:t>
            </w:r>
          </w:p>
        </w:tc>
        <w:tc>
          <w:tcPr>
            <w:tcW w:w="1179" w:type="dxa"/>
            <w:shd w:val="clear" w:color="auto" w:fill="auto"/>
            <w:vAlign w:val="center"/>
          </w:tcPr>
          <w:p w14:paraId="0B294D0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3</w:t>
            </w:r>
            <w:r>
              <w:rPr>
                <w:rFonts w:hint="eastAsia" w:ascii="Arial" w:hAnsi="Arial" w:eastAsia="仿宋" w:cs="Arial"/>
                <w:color w:val="auto"/>
                <w:sz w:val="20"/>
              </w:rPr>
              <w:t>－</w:t>
            </w:r>
            <w:r>
              <w:rPr>
                <w:rFonts w:ascii="Arial" w:hAnsi="Arial" w:eastAsia="仿宋" w:cs="Arial"/>
                <w:color w:val="auto"/>
                <w:sz w:val="20"/>
              </w:rPr>
              <w:t>7级</w:t>
            </w:r>
          </w:p>
        </w:tc>
        <w:tc>
          <w:tcPr>
            <w:tcW w:w="1179" w:type="dxa"/>
            <w:shd w:val="clear" w:color="auto" w:fill="auto"/>
            <w:vAlign w:val="center"/>
          </w:tcPr>
          <w:p w14:paraId="4C98FE4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8</w:t>
            </w:r>
            <w:r>
              <w:rPr>
                <w:rFonts w:hint="eastAsia" w:ascii="Arial" w:hAnsi="Arial" w:eastAsia="仿宋" w:cs="Arial"/>
                <w:color w:val="auto"/>
                <w:sz w:val="20"/>
              </w:rPr>
              <w:t>－</w:t>
            </w:r>
            <w:r>
              <w:rPr>
                <w:rFonts w:ascii="Arial" w:hAnsi="Arial" w:eastAsia="仿宋" w:cs="Arial"/>
                <w:color w:val="auto"/>
                <w:sz w:val="20"/>
              </w:rPr>
              <w:t>12级</w:t>
            </w:r>
          </w:p>
        </w:tc>
      </w:tr>
      <w:tr w14:paraId="3C2689B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D591A3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1.0 </w:t>
            </w:r>
          </w:p>
        </w:tc>
        <w:tc>
          <w:tcPr>
            <w:tcW w:w="1098" w:type="dxa"/>
            <w:shd w:val="clear" w:color="auto" w:fill="auto"/>
            <w:noWrap/>
            <w:vAlign w:val="center"/>
          </w:tcPr>
          <w:p w14:paraId="43B0809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1.184</w:t>
            </w:r>
          </w:p>
        </w:tc>
        <w:tc>
          <w:tcPr>
            <w:tcW w:w="1253" w:type="dxa"/>
            <w:shd w:val="clear" w:color="auto" w:fill="auto"/>
            <w:noWrap/>
            <w:vAlign w:val="center"/>
          </w:tcPr>
          <w:p w14:paraId="589DE35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1.1565</w:t>
            </w:r>
          </w:p>
        </w:tc>
        <w:tc>
          <w:tcPr>
            <w:tcW w:w="1253" w:type="dxa"/>
            <w:shd w:val="clear" w:color="auto" w:fill="auto"/>
            <w:noWrap/>
            <w:vAlign w:val="center"/>
          </w:tcPr>
          <w:p w14:paraId="6AF9AF9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1.1199</w:t>
            </w:r>
          </w:p>
        </w:tc>
        <w:tc>
          <w:tcPr>
            <w:tcW w:w="1179" w:type="dxa"/>
            <w:shd w:val="clear" w:color="auto" w:fill="auto"/>
            <w:vAlign w:val="center"/>
          </w:tcPr>
          <w:p w14:paraId="008BC0E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5.5 </w:t>
            </w:r>
          </w:p>
        </w:tc>
        <w:tc>
          <w:tcPr>
            <w:tcW w:w="979" w:type="dxa"/>
            <w:shd w:val="clear" w:color="auto" w:fill="auto"/>
            <w:noWrap/>
            <w:vAlign w:val="center"/>
          </w:tcPr>
          <w:p w14:paraId="0A93F89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0.8996</w:t>
            </w:r>
          </w:p>
        </w:tc>
        <w:tc>
          <w:tcPr>
            <w:tcW w:w="1179" w:type="dxa"/>
            <w:shd w:val="clear" w:color="auto" w:fill="auto"/>
            <w:noWrap/>
            <w:vAlign w:val="center"/>
          </w:tcPr>
          <w:p w14:paraId="7A7740D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0.8381</w:t>
            </w:r>
          </w:p>
        </w:tc>
        <w:tc>
          <w:tcPr>
            <w:tcW w:w="1179" w:type="dxa"/>
            <w:shd w:val="clear" w:color="auto" w:fill="auto"/>
            <w:noWrap/>
            <w:vAlign w:val="center"/>
          </w:tcPr>
          <w:p w14:paraId="1E79801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0.6906</w:t>
            </w:r>
          </w:p>
        </w:tc>
      </w:tr>
      <w:tr w14:paraId="7F1B495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1BCA50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1.1 </w:t>
            </w:r>
          </w:p>
        </w:tc>
        <w:tc>
          <w:tcPr>
            <w:tcW w:w="1098" w:type="dxa"/>
            <w:shd w:val="clear" w:color="auto" w:fill="auto"/>
            <w:noWrap/>
            <w:vAlign w:val="center"/>
          </w:tcPr>
          <w:p w14:paraId="7132744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1.1659</w:t>
            </w:r>
          </w:p>
        </w:tc>
        <w:tc>
          <w:tcPr>
            <w:tcW w:w="1253" w:type="dxa"/>
            <w:shd w:val="clear" w:color="auto" w:fill="auto"/>
            <w:noWrap/>
            <w:vAlign w:val="center"/>
          </w:tcPr>
          <w:p w14:paraId="749576B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1.1364</w:t>
            </w:r>
          </w:p>
        </w:tc>
        <w:tc>
          <w:tcPr>
            <w:tcW w:w="1253" w:type="dxa"/>
            <w:shd w:val="clear" w:color="auto" w:fill="auto"/>
            <w:noWrap/>
            <w:vAlign w:val="center"/>
          </w:tcPr>
          <w:p w14:paraId="554C6D3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1.0931</w:t>
            </w:r>
          </w:p>
        </w:tc>
        <w:tc>
          <w:tcPr>
            <w:tcW w:w="1179" w:type="dxa"/>
            <w:shd w:val="clear" w:color="auto" w:fill="auto"/>
            <w:vAlign w:val="center"/>
          </w:tcPr>
          <w:p w14:paraId="0F4604A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5.6 </w:t>
            </w:r>
          </w:p>
        </w:tc>
        <w:tc>
          <w:tcPr>
            <w:tcW w:w="979" w:type="dxa"/>
            <w:shd w:val="clear" w:color="auto" w:fill="auto"/>
            <w:noWrap/>
            <w:vAlign w:val="center"/>
          </w:tcPr>
          <w:p w14:paraId="39EAAF0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0.8978</w:t>
            </w:r>
          </w:p>
        </w:tc>
        <w:tc>
          <w:tcPr>
            <w:tcW w:w="1179" w:type="dxa"/>
            <w:shd w:val="clear" w:color="auto" w:fill="auto"/>
            <w:noWrap/>
            <w:vAlign w:val="center"/>
          </w:tcPr>
          <w:p w14:paraId="2E5F9E1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0.836</w:t>
            </w:r>
          </w:p>
        </w:tc>
        <w:tc>
          <w:tcPr>
            <w:tcW w:w="1179" w:type="dxa"/>
            <w:shd w:val="clear" w:color="auto" w:fill="auto"/>
            <w:noWrap/>
            <w:vAlign w:val="center"/>
          </w:tcPr>
          <w:p w14:paraId="28D5D51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0.6881</w:t>
            </w:r>
          </w:p>
        </w:tc>
      </w:tr>
      <w:tr w14:paraId="500AF0C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8DCAB5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1.2 </w:t>
            </w:r>
          </w:p>
        </w:tc>
        <w:tc>
          <w:tcPr>
            <w:tcW w:w="1098" w:type="dxa"/>
            <w:shd w:val="clear" w:color="auto" w:fill="auto"/>
            <w:noWrap/>
            <w:vAlign w:val="center"/>
          </w:tcPr>
          <w:p w14:paraId="0813132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1.1489</w:t>
            </w:r>
          </w:p>
        </w:tc>
        <w:tc>
          <w:tcPr>
            <w:tcW w:w="1253" w:type="dxa"/>
            <w:shd w:val="clear" w:color="auto" w:fill="auto"/>
            <w:noWrap/>
            <w:vAlign w:val="center"/>
          </w:tcPr>
          <w:p w14:paraId="0B2F913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1.1175</w:t>
            </w:r>
          </w:p>
        </w:tc>
        <w:tc>
          <w:tcPr>
            <w:tcW w:w="1253" w:type="dxa"/>
            <w:shd w:val="clear" w:color="auto" w:fill="auto"/>
            <w:noWrap/>
            <w:vAlign w:val="center"/>
          </w:tcPr>
          <w:p w14:paraId="3C13C0D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1.0678</w:t>
            </w:r>
          </w:p>
        </w:tc>
        <w:tc>
          <w:tcPr>
            <w:tcW w:w="1179" w:type="dxa"/>
            <w:shd w:val="clear" w:color="auto" w:fill="auto"/>
            <w:vAlign w:val="center"/>
          </w:tcPr>
          <w:p w14:paraId="1812857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5.7 </w:t>
            </w:r>
          </w:p>
        </w:tc>
        <w:tc>
          <w:tcPr>
            <w:tcW w:w="979" w:type="dxa"/>
            <w:shd w:val="clear" w:color="auto" w:fill="auto"/>
            <w:noWrap/>
            <w:vAlign w:val="center"/>
          </w:tcPr>
          <w:p w14:paraId="68E1AA7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0.896</w:t>
            </w:r>
          </w:p>
        </w:tc>
        <w:tc>
          <w:tcPr>
            <w:tcW w:w="1179" w:type="dxa"/>
            <w:shd w:val="clear" w:color="auto" w:fill="auto"/>
            <w:noWrap/>
            <w:vAlign w:val="center"/>
          </w:tcPr>
          <w:p w14:paraId="24D425D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0.8339</w:t>
            </w:r>
          </w:p>
        </w:tc>
        <w:tc>
          <w:tcPr>
            <w:tcW w:w="1179" w:type="dxa"/>
            <w:shd w:val="clear" w:color="auto" w:fill="auto"/>
            <w:noWrap/>
            <w:vAlign w:val="center"/>
          </w:tcPr>
          <w:p w14:paraId="3BA34B6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0.6857</w:t>
            </w:r>
          </w:p>
        </w:tc>
      </w:tr>
      <w:tr w14:paraId="43B8004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24FED9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1.3 </w:t>
            </w:r>
          </w:p>
        </w:tc>
        <w:tc>
          <w:tcPr>
            <w:tcW w:w="1098" w:type="dxa"/>
            <w:shd w:val="clear" w:color="auto" w:fill="auto"/>
            <w:noWrap/>
            <w:vAlign w:val="center"/>
          </w:tcPr>
          <w:p w14:paraId="00A5DB7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1.1328</w:t>
            </w:r>
          </w:p>
        </w:tc>
        <w:tc>
          <w:tcPr>
            <w:tcW w:w="1253" w:type="dxa"/>
            <w:shd w:val="clear" w:color="auto" w:fill="auto"/>
            <w:noWrap/>
            <w:vAlign w:val="center"/>
          </w:tcPr>
          <w:p w14:paraId="4E9AE43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1.0996</w:t>
            </w:r>
          </w:p>
        </w:tc>
        <w:tc>
          <w:tcPr>
            <w:tcW w:w="1253" w:type="dxa"/>
            <w:shd w:val="clear" w:color="auto" w:fill="auto"/>
            <w:noWrap/>
            <w:vAlign w:val="center"/>
          </w:tcPr>
          <w:p w14:paraId="1A04409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1.044</w:t>
            </w:r>
          </w:p>
        </w:tc>
        <w:tc>
          <w:tcPr>
            <w:tcW w:w="1179" w:type="dxa"/>
            <w:shd w:val="clear" w:color="auto" w:fill="auto"/>
            <w:vAlign w:val="center"/>
          </w:tcPr>
          <w:p w14:paraId="4DEEF17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5.8 </w:t>
            </w:r>
          </w:p>
        </w:tc>
        <w:tc>
          <w:tcPr>
            <w:tcW w:w="979" w:type="dxa"/>
            <w:shd w:val="clear" w:color="auto" w:fill="auto"/>
            <w:noWrap/>
            <w:vAlign w:val="center"/>
          </w:tcPr>
          <w:p w14:paraId="3ACBF02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0.8942</w:t>
            </w:r>
          </w:p>
        </w:tc>
        <w:tc>
          <w:tcPr>
            <w:tcW w:w="1179" w:type="dxa"/>
            <w:shd w:val="clear" w:color="auto" w:fill="auto"/>
            <w:noWrap/>
            <w:vAlign w:val="center"/>
          </w:tcPr>
          <w:p w14:paraId="36C86AA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0.8319</w:t>
            </w:r>
          </w:p>
        </w:tc>
        <w:tc>
          <w:tcPr>
            <w:tcW w:w="1179" w:type="dxa"/>
            <w:shd w:val="clear" w:color="auto" w:fill="auto"/>
            <w:noWrap/>
            <w:vAlign w:val="center"/>
          </w:tcPr>
          <w:p w14:paraId="70D896D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0.6832</w:t>
            </w:r>
          </w:p>
        </w:tc>
      </w:tr>
      <w:tr w14:paraId="2C956DB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8CD97A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1.4 </w:t>
            </w:r>
          </w:p>
        </w:tc>
        <w:tc>
          <w:tcPr>
            <w:tcW w:w="1098" w:type="dxa"/>
            <w:shd w:val="clear" w:color="auto" w:fill="auto"/>
            <w:noWrap/>
            <w:vAlign w:val="center"/>
          </w:tcPr>
          <w:p w14:paraId="71BF875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1.1176</w:t>
            </w:r>
          </w:p>
        </w:tc>
        <w:tc>
          <w:tcPr>
            <w:tcW w:w="1253" w:type="dxa"/>
            <w:shd w:val="clear" w:color="auto" w:fill="auto"/>
            <w:noWrap/>
            <w:vAlign w:val="center"/>
          </w:tcPr>
          <w:p w14:paraId="40FCCEE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1.0827</w:t>
            </w:r>
          </w:p>
        </w:tc>
        <w:tc>
          <w:tcPr>
            <w:tcW w:w="1253" w:type="dxa"/>
            <w:shd w:val="clear" w:color="auto" w:fill="auto"/>
            <w:noWrap/>
            <w:vAlign w:val="center"/>
          </w:tcPr>
          <w:p w14:paraId="5EFA95E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1.0214</w:t>
            </w:r>
          </w:p>
        </w:tc>
        <w:tc>
          <w:tcPr>
            <w:tcW w:w="1179" w:type="dxa"/>
            <w:shd w:val="clear" w:color="auto" w:fill="auto"/>
            <w:vAlign w:val="center"/>
          </w:tcPr>
          <w:p w14:paraId="3F0C165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5.9 </w:t>
            </w:r>
          </w:p>
        </w:tc>
        <w:tc>
          <w:tcPr>
            <w:tcW w:w="979" w:type="dxa"/>
            <w:shd w:val="clear" w:color="auto" w:fill="auto"/>
            <w:noWrap/>
            <w:vAlign w:val="center"/>
          </w:tcPr>
          <w:p w14:paraId="76AF6C0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0.8924</w:t>
            </w:r>
          </w:p>
        </w:tc>
        <w:tc>
          <w:tcPr>
            <w:tcW w:w="1179" w:type="dxa"/>
            <w:shd w:val="clear" w:color="auto" w:fill="auto"/>
            <w:noWrap/>
            <w:vAlign w:val="center"/>
          </w:tcPr>
          <w:p w14:paraId="42961B3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0.8299</w:t>
            </w:r>
          </w:p>
        </w:tc>
        <w:tc>
          <w:tcPr>
            <w:tcW w:w="1179" w:type="dxa"/>
            <w:shd w:val="clear" w:color="auto" w:fill="auto"/>
            <w:noWrap/>
            <w:vAlign w:val="center"/>
          </w:tcPr>
          <w:p w14:paraId="5AE7CC5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0.6807</w:t>
            </w:r>
          </w:p>
        </w:tc>
      </w:tr>
      <w:tr w14:paraId="2DA75A6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D97CDD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1.5 </w:t>
            </w:r>
          </w:p>
        </w:tc>
        <w:tc>
          <w:tcPr>
            <w:tcW w:w="1098" w:type="dxa"/>
            <w:shd w:val="clear" w:color="auto" w:fill="auto"/>
            <w:noWrap/>
            <w:vAlign w:val="center"/>
          </w:tcPr>
          <w:p w14:paraId="0D0FD0F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1.1033</w:t>
            </w:r>
          </w:p>
        </w:tc>
        <w:tc>
          <w:tcPr>
            <w:tcW w:w="1253" w:type="dxa"/>
            <w:shd w:val="clear" w:color="auto" w:fill="auto"/>
            <w:noWrap/>
            <w:vAlign w:val="center"/>
          </w:tcPr>
          <w:p w14:paraId="4347959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1.0668</w:t>
            </w:r>
          </w:p>
        </w:tc>
        <w:tc>
          <w:tcPr>
            <w:tcW w:w="1253" w:type="dxa"/>
            <w:shd w:val="clear" w:color="auto" w:fill="auto"/>
            <w:noWrap/>
            <w:vAlign w:val="center"/>
          </w:tcPr>
          <w:p w14:paraId="7E133F5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p>
        </w:tc>
        <w:tc>
          <w:tcPr>
            <w:tcW w:w="1179" w:type="dxa"/>
            <w:shd w:val="clear" w:color="auto" w:fill="auto"/>
            <w:vAlign w:val="center"/>
          </w:tcPr>
          <w:p w14:paraId="6568ACA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6.0 </w:t>
            </w:r>
          </w:p>
        </w:tc>
        <w:tc>
          <w:tcPr>
            <w:tcW w:w="979" w:type="dxa"/>
            <w:shd w:val="clear" w:color="auto" w:fill="auto"/>
            <w:noWrap/>
            <w:vAlign w:val="center"/>
          </w:tcPr>
          <w:p w14:paraId="7F3F0F8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0.8907</w:t>
            </w:r>
          </w:p>
        </w:tc>
        <w:tc>
          <w:tcPr>
            <w:tcW w:w="1179" w:type="dxa"/>
            <w:shd w:val="clear" w:color="auto" w:fill="auto"/>
            <w:noWrap/>
            <w:vAlign w:val="center"/>
          </w:tcPr>
          <w:p w14:paraId="237DA7E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0.8279</w:t>
            </w:r>
          </w:p>
        </w:tc>
        <w:tc>
          <w:tcPr>
            <w:tcW w:w="1179" w:type="dxa"/>
            <w:shd w:val="clear" w:color="auto" w:fill="auto"/>
            <w:noWrap/>
            <w:vAlign w:val="center"/>
          </w:tcPr>
          <w:p w14:paraId="013E70C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0.6784</w:t>
            </w:r>
          </w:p>
        </w:tc>
      </w:tr>
      <w:tr w14:paraId="3DAB20D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3E0C87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1.6 </w:t>
            </w:r>
          </w:p>
        </w:tc>
        <w:tc>
          <w:tcPr>
            <w:tcW w:w="1098" w:type="dxa"/>
            <w:shd w:val="clear" w:color="auto" w:fill="auto"/>
            <w:noWrap/>
            <w:vAlign w:val="center"/>
          </w:tcPr>
          <w:p w14:paraId="13D8CF7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1.0899</w:t>
            </w:r>
          </w:p>
        </w:tc>
        <w:tc>
          <w:tcPr>
            <w:tcW w:w="1253" w:type="dxa"/>
            <w:shd w:val="clear" w:color="auto" w:fill="auto"/>
            <w:noWrap/>
            <w:vAlign w:val="center"/>
          </w:tcPr>
          <w:p w14:paraId="770CF49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1.0517</w:t>
            </w:r>
          </w:p>
        </w:tc>
        <w:tc>
          <w:tcPr>
            <w:tcW w:w="1253" w:type="dxa"/>
            <w:shd w:val="clear" w:color="auto" w:fill="auto"/>
            <w:noWrap/>
            <w:vAlign w:val="center"/>
          </w:tcPr>
          <w:p w14:paraId="0AA64E5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0.9799</w:t>
            </w:r>
          </w:p>
        </w:tc>
        <w:tc>
          <w:tcPr>
            <w:tcW w:w="1179" w:type="dxa"/>
            <w:shd w:val="clear" w:color="auto" w:fill="auto"/>
            <w:vAlign w:val="center"/>
          </w:tcPr>
          <w:p w14:paraId="2D76B52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6.1 </w:t>
            </w:r>
          </w:p>
        </w:tc>
        <w:tc>
          <w:tcPr>
            <w:tcW w:w="979" w:type="dxa"/>
            <w:shd w:val="clear" w:color="auto" w:fill="auto"/>
            <w:noWrap/>
            <w:vAlign w:val="center"/>
          </w:tcPr>
          <w:p w14:paraId="04DAC88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0.889</w:t>
            </w:r>
          </w:p>
        </w:tc>
        <w:tc>
          <w:tcPr>
            <w:tcW w:w="1179" w:type="dxa"/>
            <w:shd w:val="clear" w:color="auto" w:fill="auto"/>
            <w:noWrap/>
            <w:vAlign w:val="center"/>
          </w:tcPr>
          <w:p w14:paraId="7647686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0.8259</w:t>
            </w:r>
          </w:p>
        </w:tc>
        <w:tc>
          <w:tcPr>
            <w:tcW w:w="1179" w:type="dxa"/>
            <w:shd w:val="clear" w:color="auto" w:fill="auto"/>
            <w:noWrap/>
            <w:vAlign w:val="center"/>
          </w:tcPr>
          <w:p w14:paraId="7F539A8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0.676</w:t>
            </w:r>
          </w:p>
        </w:tc>
      </w:tr>
      <w:tr w14:paraId="6A1F4FF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3965A7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1.7 </w:t>
            </w:r>
          </w:p>
        </w:tc>
        <w:tc>
          <w:tcPr>
            <w:tcW w:w="1098" w:type="dxa"/>
            <w:shd w:val="clear" w:color="auto" w:fill="auto"/>
            <w:noWrap/>
            <w:vAlign w:val="center"/>
          </w:tcPr>
          <w:p w14:paraId="5C692C0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1.0772</w:t>
            </w:r>
          </w:p>
        </w:tc>
        <w:tc>
          <w:tcPr>
            <w:tcW w:w="1253" w:type="dxa"/>
            <w:shd w:val="clear" w:color="auto" w:fill="auto"/>
            <w:noWrap/>
            <w:vAlign w:val="center"/>
          </w:tcPr>
          <w:p w14:paraId="6EC7ECD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1.0376</w:t>
            </w:r>
          </w:p>
        </w:tc>
        <w:tc>
          <w:tcPr>
            <w:tcW w:w="1253" w:type="dxa"/>
            <w:shd w:val="clear" w:color="auto" w:fill="auto"/>
            <w:noWrap/>
            <w:vAlign w:val="center"/>
          </w:tcPr>
          <w:p w14:paraId="085E8E1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0.9609</w:t>
            </w:r>
          </w:p>
        </w:tc>
        <w:tc>
          <w:tcPr>
            <w:tcW w:w="1179" w:type="dxa"/>
            <w:shd w:val="clear" w:color="auto" w:fill="auto"/>
            <w:vAlign w:val="center"/>
          </w:tcPr>
          <w:p w14:paraId="56AD1C1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6.2 </w:t>
            </w:r>
          </w:p>
        </w:tc>
        <w:tc>
          <w:tcPr>
            <w:tcW w:w="979" w:type="dxa"/>
            <w:shd w:val="clear" w:color="auto" w:fill="auto"/>
            <w:noWrap/>
            <w:vAlign w:val="center"/>
          </w:tcPr>
          <w:p w14:paraId="42E2170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0.8873</w:t>
            </w:r>
          </w:p>
        </w:tc>
        <w:tc>
          <w:tcPr>
            <w:tcW w:w="1179" w:type="dxa"/>
            <w:shd w:val="clear" w:color="auto" w:fill="auto"/>
            <w:noWrap/>
            <w:vAlign w:val="center"/>
          </w:tcPr>
          <w:p w14:paraId="1AEB2BA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0.8239</w:t>
            </w:r>
          </w:p>
        </w:tc>
        <w:tc>
          <w:tcPr>
            <w:tcW w:w="1179" w:type="dxa"/>
            <w:shd w:val="clear" w:color="auto" w:fill="auto"/>
            <w:noWrap/>
            <w:vAlign w:val="center"/>
          </w:tcPr>
          <w:p w14:paraId="403E04F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0.6736</w:t>
            </w:r>
          </w:p>
        </w:tc>
      </w:tr>
      <w:tr w14:paraId="2D1F717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A63A2A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1.8 </w:t>
            </w:r>
          </w:p>
        </w:tc>
        <w:tc>
          <w:tcPr>
            <w:tcW w:w="1098" w:type="dxa"/>
            <w:shd w:val="clear" w:color="auto" w:fill="auto"/>
            <w:noWrap/>
            <w:vAlign w:val="center"/>
          </w:tcPr>
          <w:p w14:paraId="2BAD84B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1.0653</w:t>
            </w:r>
          </w:p>
        </w:tc>
        <w:tc>
          <w:tcPr>
            <w:tcW w:w="1253" w:type="dxa"/>
            <w:shd w:val="clear" w:color="auto" w:fill="auto"/>
            <w:noWrap/>
            <w:vAlign w:val="center"/>
          </w:tcPr>
          <w:p w14:paraId="7101DD3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1.0243</w:t>
            </w:r>
          </w:p>
        </w:tc>
        <w:tc>
          <w:tcPr>
            <w:tcW w:w="1253" w:type="dxa"/>
            <w:shd w:val="clear" w:color="auto" w:fill="auto"/>
            <w:noWrap/>
            <w:vAlign w:val="center"/>
          </w:tcPr>
          <w:p w14:paraId="084D8A5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0.943</w:t>
            </w:r>
          </w:p>
        </w:tc>
        <w:tc>
          <w:tcPr>
            <w:tcW w:w="1179" w:type="dxa"/>
            <w:shd w:val="clear" w:color="auto" w:fill="auto"/>
            <w:vAlign w:val="center"/>
          </w:tcPr>
          <w:p w14:paraId="502E06E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6.3 </w:t>
            </w:r>
          </w:p>
        </w:tc>
        <w:tc>
          <w:tcPr>
            <w:tcW w:w="979" w:type="dxa"/>
            <w:shd w:val="clear" w:color="auto" w:fill="auto"/>
            <w:noWrap/>
            <w:vAlign w:val="center"/>
          </w:tcPr>
          <w:p w14:paraId="05C2F39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0.8856</w:t>
            </w:r>
          </w:p>
        </w:tc>
        <w:tc>
          <w:tcPr>
            <w:tcW w:w="1179" w:type="dxa"/>
            <w:shd w:val="clear" w:color="auto" w:fill="auto"/>
            <w:noWrap/>
            <w:vAlign w:val="center"/>
          </w:tcPr>
          <w:p w14:paraId="6F6C1B9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0.8219</w:t>
            </w:r>
          </w:p>
        </w:tc>
        <w:tc>
          <w:tcPr>
            <w:tcW w:w="1179" w:type="dxa"/>
            <w:shd w:val="clear" w:color="auto" w:fill="auto"/>
            <w:noWrap/>
            <w:vAlign w:val="center"/>
          </w:tcPr>
          <w:p w14:paraId="0BEEE98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0.6713</w:t>
            </w:r>
          </w:p>
        </w:tc>
      </w:tr>
      <w:tr w14:paraId="3A688CC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83B881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1.9 </w:t>
            </w:r>
          </w:p>
        </w:tc>
        <w:tc>
          <w:tcPr>
            <w:tcW w:w="1098" w:type="dxa"/>
            <w:shd w:val="clear" w:color="auto" w:fill="auto"/>
            <w:noWrap/>
            <w:vAlign w:val="center"/>
          </w:tcPr>
          <w:p w14:paraId="10E8067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1.054</w:t>
            </w:r>
          </w:p>
        </w:tc>
        <w:tc>
          <w:tcPr>
            <w:tcW w:w="1253" w:type="dxa"/>
            <w:shd w:val="clear" w:color="auto" w:fill="auto"/>
            <w:noWrap/>
            <w:vAlign w:val="center"/>
          </w:tcPr>
          <w:p w14:paraId="63D52C5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1.0118</w:t>
            </w:r>
          </w:p>
        </w:tc>
        <w:tc>
          <w:tcPr>
            <w:tcW w:w="1253" w:type="dxa"/>
            <w:shd w:val="clear" w:color="auto" w:fill="auto"/>
            <w:noWrap/>
            <w:vAlign w:val="center"/>
          </w:tcPr>
          <w:p w14:paraId="3FB31ED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0.9262</w:t>
            </w:r>
          </w:p>
        </w:tc>
        <w:tc>
          <w:tcPr>
            <w:tcW w:w="1179" w:type="dxa"/>
            <w:shd w:val="clear" w:color="auto" w:fill="auto"/>
            <w:vAlign w:val="center"/>
          </w:tcPr>
          <w:p w14:paraId="59BB5AC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6.4 </w:t>
            </w:r>
          </w:p>
        </w:tc>
        <w:tc>
          <w:tcPr>
            <w:tcW w:w="979" w:type="dxa"/>
            <w:shd w:val="clear" w:color="auto" w:fill="auto"/>
            <w:noWrap/>
            <w:vAlign w:val="center"/>
          </w:tcPr>
          <w:p w14:paraId="0BBB7EC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0.8839</w:t>
            </w:r>
          </w:p>
        </w:tc>
        <w:tc>
          <w:tcPr>
            <w:tcW w:w="1179" w:type="dxa"/>
            <w:shd w:val="clear" w:color="auto" w:fill="auto"/>
            <w:noWrap/>
            <w:vAlign w:val="center"/>
          </w:tcPr>
          <w:p w14:paraId="51F554F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w:t>
            </w:r>
          </w:p>
        </w:tc>
        <w:tc>
          <w:tcPr>
            <w:tcW w:w="1179" w:type="dxa"/>
            <w:shd w:val="clear" w:color="auto" w:fill="auto"/>
            <w:noWrap/>
            <w:vAlign w:val="center"/>
          </w:tcPr>
          <w:p w14:paraId="19BB000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0.6689</w:t>
            </w:r>
          </w:p>
        </w:tc>
      </w:tr>
      <w:tr w14:paraId="05ABF93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229906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2.0 </w:t>
            </w:r>
          </w:p>
        </w:tc>
        <w:tc>
          <w:tcPr>
            <w:tcW w:w="1098" w:type="dxa"/>
            <w:shd w:val="clear" w:color="auto" w:fill="auto"/>
            <w:noWrap/>
            <w:vAlign w:val="center"/>
          </w:tcPr>
          <w:p w14:paraId="7385A69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1.0435</w:t>
            </w:r>
          </w:p>
        </w:tc>
        <w:tc>
          <w:tcPr>
            <w:tcW w:w="1253" w:type="dxa"/>
            <w:shd w:val="clear" w:color="auto" w:fill="auto"/>
            <w:noWrap/>
            <w:vAlign w:val="center"/>
          </w:tcPr>
          <w:p w14:paraId="7601F46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p>
        </w:tc>
        <w:tc>
          <w:tcPr>
            <w:tcW w:w="1253" w:type="dxa"/>
            <w:shd w:val="clear" w:color="auto" w:fill="auto"/>
            <w:noWrap/>
            <w:vAlign w:val="center"/>
          </w:tcPr>
          <w:p w14:paraId="45D0B84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0.9103</w:t>
            </w:r>
          </w:p>
        </w:tc>
        <w:tc>
          <w:tcPr>
            <w:tcW w:w="1179" w:type="dxa"/>
            <w:shd w:val="clear" w:color="auto" w:fill="auto"/>
            <w:vAlign w:val="center"/>
          </w:tcPr>
          <w:p w14:paraId="2E56D4B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6.5 </w:t>
            </w:r>
          </w:p>
        </w:tc>
        <w:tc>
          <w:tcPr>
            <w:tcW w:w="979" w:type="dxa"/>
            <w:shd w:val="clear" w:color="auto" w:fill="auto"/>
            <w:noWrap/>
            <w:vAlign w:val="center"/>
          </w:tcPr>
          <w:p w14:paraId="6BE3880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0.8823</w:t>
            </w:r>
          </w:p>
        </w:tc>
        <w:tc>
          <w:tcPr>
            <w:tcW w:w="1179" w:type="dxa"/>
            <w:shd w:val="clear" w:color="auto" w:fill="auto"/>
            <w:noWrap/>
            <w:vAlign w:val="center"/>
          </w:tcPr>
          <w:p w14:paraId="4563737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0.8181</w:t>
            </w:r>
          </w:p>
        </w:tc>
        <w:tc>
          <w:tcPr>
            <w:tcW w:w="1179" w:type="dxa"/>
            <w:shd w:val="clear" w:color="auto" w:fill="auto"/>
            <w:noWrap/>
            <w:vAlign w:val="center"/>
          </w:tcPr>
          <w:p w14:paraId="711FB2A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0.6666</w:t>
            </w:r>
          </w:p>
        </w:tc>
      </w:tr>
      <w:tr w14:paraId="519FF2F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742736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2.1 </w:t>
            </w:r>
          </w:p>
        </w:tc>
        <w:tc>
          <w:tcPr>
            <w:tcW w:w="1098" w:type="dxa"/>
            <w:shd w:val="clear" w:color="auto" w:fill="auto"/>
            <w:noWrap/>
            <w:vAlign w:val="center"/>
          </w:tcPr>
          <w:p w14:paraId="78C7A20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1.0336</w:t>
            </w:r>
          </w:p>
        </w:tc>
        <w:tc>
          <w:tcPr>
            <w:tcW w:w="1253" w:type="dxa"/>
            <w:shd w:val="clear" w:color="auto" w:fill="auto"/>
            <w:noWrap/>
            <w:vAlign w:val="center"/>
          </w:tcPr>
          <w:p w14:paraId="111EF8B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0.989</w:t>
            </w:r>
          </w:p>
        </w:tc>
        <w:tc>
          <w:tcPr>
            <w:tcW w:w="1253" w:type="dxa"/>
            <w:shd w:val="clear" w:color="auto" w:fill="auto"/>
            <w:noWrap/>
            <w:vAlign w:val="center"/>
          </w:tcPr>
          <w:p w14:paraId="7EC3531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0.8954</w:t>
            </w:r>
          </w:p>
        </w:tc>
        <w:tc>
          <w:tcPr>
            <w:tcW w:w="1179" w:type="dxa"/>
            <w:shd w:val="clear" w:color="auto" w:fill="auto"/>
            <w:vAlign w:val="center"/>
          </w:tcPr>
          <w:p w14:paraId="382F322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6.6 </w:t>
            </w:r>
          </w:p>
        </w:tc>
        <w:tc>
          <w:tcPr>
            <w:tcW w:w="979" w:type="dxa"/>
            <w:shd w:val="clear" w:color="auto" w:fill="auto"/>
            <w:noWrap/>
            <w:vAlign w:val="center"/>
          </w:tcPr>
          <w:p w14:paraId="3A5F4C1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0.8807</w:t>
            </w:r>
          </w:p>
        </w:tc>
        <w:tc>
          <w:tcPr>
            <w:tcW w:w="1179" w:type="dxa"/>
            <w:shd w:val="clear" w:color="auto" w:fill="auto"/>
            <w:noWrap/>
            <w:vAlign w:val="center"/>
          </w:tcPr>
          <w:p w14:paraId="40C7ADF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0.8162</w:t>
            </w:r>
          </w:p>
        </w:tc>
        <w:tc>
          <w:tcPr>
            <w:tcW w:w="1179" w:type="dxa"/>
            <w:shd w:val="clear" w:color="auto" w:fill="auto"/>
            <w:noWrap/>
            <w:vAlign w:val="center"/>
          </w:tcPr>
          <w:p w14:paraId="2562A17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0.6644</w:t>
            </w:r>
          </w:p>
        </w:tc>
      </w:tr>
      <w:tr w14:paraId="2C6AE70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113CDF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2.2 </w:t>
            </w:r>
          </w:p>
        </w:tc>
        <w:tc>
          <w:tcPr>
            <w:tcW w:w="1098" w:type="dxa"/>
            <w:shd w:val="clear" w:color="auto" w:fill="auto"/>
            <w:noWrap/>
            <w:vAlign w:val="center"/>
          </w:tcPr>
          <w:p w14:paraId="4F980B6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1.0243</w:t>
            </w:r>
          </w:p>
        </w:tc>
        <w:tc>
          <w:tcPr>
            <w:tcW w:w="1253" w:type="dxa"/>
            <w:shd w:val="clear" w:color="auto" w:fill="auto"/>
            <w:noWrap/>
            <w:vAlign w:val="center"/>
          </w:tcPr>
          <w:p w14:paraId="04325C1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0.9786</w:t>
            </w:r>
          </w:p>
        </w:tc>
        <w:tc>
          <w:tcPr>
            <w:tcW w:w="1253" w:type="dxa"/>
            <w:shd w:val="clear" w:color="auto" w:fill="auto"/>
            <w:noWrap/>
            <w:vAlign w:val="center"/>
          </w:tcPr>
          <w:p w14:paraId="28C9AA7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0.8814</w:t>
            </w:r>
          </w:p>
        </w:tc>
        <w:tc>
          <w:tcPr>
            <w:tcW w:w="1179" w:type="dxa"/>
            <w:shd w:val="clear" w:color="auto" w:fill="auto"/>
            <w:vAlign w:val="center"/>
          </w:tcPr>
          <w:p w14:paraId="5F04834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6.7 </w:t>
            </w:r>
          </w:p>
        </w:tc>
        <w:tc>
          <w:tcPr>
            <w:tcW w:w="979" w:type="dxa"/>
            <w:shd w:val="clear" w:color="auto" w:fill="auto"/>
            <w:noWrap/>
            <w:vAlign w:val="center"/>
          </w:tcPr>
          <w:p w14:paraId="1C48BA2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0.879</w:t>
            </w:r>
          </w:p>
        </w:tc>
        <w:tc>
          <w:tcPr>
            <w:tcW w:w="1179" w:type="dxa"/>
            <w:shd w:val="clear" w:color="auto" w:fill="auto"/>
            <w:noWrap/>
            <w:vAlign w:val="center"/>
          </w:tcPr>
          <w:p w14:paraId="1225DF1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0.8143</w:t>
            </w:r>
          </w:p>
        </w:tc>
        <w:tc>
          <w:tcPr>
            <w:tcW w:w="1179" w:type="dxa"/>
            <w:shd w:val="clear" w:color="auto" w:fill="auto"/>
            <w:noWrap/>
            <w:vAlign w:val="center"/>
          </w:tcPr>
          <w:p w14:paraId="0037613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0.6621</w:t>
            </w:r>
          </w:p>
        </w:tc>
      </w:tr>
      <w:tr w14:paraId="591E1FA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5508B2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2.3 </w:t>
            </w:r>
          </w:p>
        </w:tc>
        <w:tc>
          <w:tcPr>
            <w:tcW w:w="1098" w:type="dxa"/>
            <w:shd w:val="clear" w:color="auto" w:fill="auto"/>
            <w:noWrap/>
            <w:vAlign w:val="center"/>
          </w:tcPr>
          <w:p w14:paraId="221F203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1.0157</w:t>
            </w:r>
          </w:p>
        </w:tc>
        <w:tc>
          <w:tcPr>
            <w:tcW w:w="1253" w:type="dxa"/>
            <w:shd w:val="clear" w:color="auto" w:fill="auto"/>
            <w:noWrap/>
            <w:vAlign w:val="center"/>
          </w:tcPr>
          <w:p w14:paraId="7D2589A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0.9689</w:t>
            </w:r>
          </w:p>
        </w:tc>
        <w:tc>
          <w:tcPr>
            <w:tcW w:w="1253" w:type="dxa"/>
            <w:shd w:val="clear" w:color="auto" w:fill="auto"/>
            <w:noWrap/>
            <w:vAlign w:val="center"/>
          </w:tcPr>
          <w:p w14:paraId="5D051C3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0.8682</w:t>
            </w:r>
          </w:p>
        </w:tc>
        <w:tc>
          <w:tcPr>
            <w:tcW w:w="1179" w:type="dxa"/>
            <w:shd w:val="clear" w:color="auto" w:fill="auto"/>
            <w:vAlign w:val="center"/>
          </w:tcPr>
          <w:p w14:paraId="4BB638D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6.8 </w:t>
            </w:r>
          </w:p>
        </w:tc>
        <w:tc>
          <w:tcPr>
            <w:tcW w:w="979" w:type="dxa"/>
            <w:shd w:val="clear" w:color="auto" w:fill="auto"/>
            <w:noWrap/>
            <w:vAlign w:val="center"/>
          </w:tcPr>
          <w:p w14:paraId="2DDCD39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0.8774</w:t>
            </w:r>
          </w:p>
        </w:tc>
        <w:tc>
          <w:tcPr>
            <w:tcW w:w="1179" w:type="dxa"/>
            <w:shd w:val="clear" w:color="auto" w:fill="auto"/>
            <w:noWrap/>
            <w:vAlign w:val="center"/>
          </w:tcPr>
          <w:p w14:paraId="1D6F19C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0.8124</w:t>
            </w:r>
          </w:p>
        </w:tc>
        <w:tc>
          <w:tcPr>
            <w:tcW w:w="1179" w:type="dxa"/>
            <w:shd w:val="clear" w:color="auto" w:fill="auto"/>
            <w:noWrap/>
            <w:vAlign w:val="center"/>
          </w:tcPr>
          <w:p w14:paraId="2447D79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0.6598</w:t>
            </w:r>
          </w:p>
        </w:tc>
      </w:tr>
      <w:tr w14:paraId="4B0EB5A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BF22A2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2.4 </w:t>
            </w:r>
          </w:p>
        </w:tc>
        <w:tc>
          <w:tcPr>
            <w:tcW w:w="1098" w:type="dxa"/>
            <w:shd w:val="clear" w:color="auto" w:fill="auto"/>
            <w:noWrap/>
            <w:vAlign w:val="center"/>
          </w:tcPr>
          <w:p w14:paraId="31197A0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1.0076</w:t>
            </w:r>
          </w:p>
        </w:tc>
        <w:tc>
          <w:tcPr>
            <w:tcW w:w="1253" w:type="dxa"/>
            <w:shd w:val="clear" w:color="auto" w:fill="auto"/>
            <w:noWrap/>
            <w:vAlign w:val="center"/>
          </w:tcPr>
          <w:p w14:paraId="54B81C2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0.9598</w:t>
            </w:r>
          </w:p>
        </w:tc>
        <w:tc>
          <w:tcPr>
            <w:tcW w:w="1253" w:type="dxa"/>
            <w:shd w:val="clear" w:color="auto" w:fill="auto"/>
            <w:noWrap/>
            <w:vAlign w:val="center"/>
          </w:tcPr>
          <w:p w14:paraId="0C51C18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0.8558</w:t>
            </w:r>
          </w:p>
        </w:tc>
        <w:tc>
          <w:tcPr>
            <w:tcW w:w="1179" w:type="dxa"/>
            <w:shd w:val="clear" w:color="auto" w:fill="auto"/>
            <w:vAlign w:val="center"/>
          </w:tcPr>
          <w:p w14:paraId="1ADE455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6.9 </w:t>
            </w:r>
          </w:p>
        </w:tc>
        <w:tc>
          <w:tcPr>
            <w:tcW w:w="979" w:type="dxa"/>
            <w:shd w:val="clear" w:color="auto" w:fill="auto"/>
            <w:noWrap/>
            <w:vAlign w:val="center"/>
          </w:tcPr>
          <w:p w14:paraId="413BD68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0.8758</w:t>
            </w:r>
          </w:p>
        </w:tc>
        <w:tc>
          <w:tcPr>
            <w:tcW w:w="1179" w:type="dxa"/>
            <w:shd w:val="clear" w:color="auto" w:fill="auto"/>
            <w:noWrap/>
            <w:vAlign w:val="center"/>
          </w:tcPr>
          <w:p w14:paraId="01458B8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0.8105</w:t>
            </w:r>
          </w:p>
        </w:tc>
        <w:tc>
          <w:tcPr>
            <w:tcW w:w="1179" w:type="dxa"/>
            <w:shd w:val="clear" w:color="auto" w:fill="auto"/>
            <w:noWrap/>
            <w:vAlign w:val="center"/>
          </w:tcPr>
          <w:p w14:paraId="50833E6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0.6575</w:t>
            </w:r>
          </w:p>
        </w:tc>
      </w:tr>
      <w:tr w14:paraId="043C475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55FB1B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2.5 </w:t>
            </w:r>
          </w:p>
        </w:tc>
        <w:tc>
          <w:tcPr>
            <w:tcW w:w="1098" w:type="dxa"/>
            <w:shd w:val="clear" w:color="auto" w:fill="auto"/>
            <w:noWrap/>
            <w:vAlign w:val="center"/>
          </w:tcPr>
          <w:p w14:paraId="334EED8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1</w:t>
            </w:r>
          </w:p>
        </w:tc>
        <w:tc>
          <w:tcPr>
            <w:tcW w:w="1253" w:type="dxa"/>
            <w:shd w:val="clear" w:color="auto" w:fill="auto"/>
            <w:noWrap/>
            <w:vAlign w:val="center"/>
          </w:tcPr>
          <w:p w14:paraId="6D24CDF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0.9512</w:t>
            </w:r>
          </w:p>
        </w:tc>
        <w:tc>
          <w:tcPr>
            <w:tcW w:w="1253" w:type="dxa"/>
            <w:shd w:val="clear" w:color="auto" w:fill="auto"/>
            <w:noWrap/>
            <w:vAlign w:val="center"/>
          </w:tcPr>
          <w:p w14:paraId="1C258F6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0.8442</w:t>
            </w:r>
          </w:p>
        </w:tc>
        <w:tc>
          <w:tcPr>
            <w:tcW w:w="1179" w:type="dxa"/>
            <w:shd w:val="clear" w:color="auto" w:fill="auto"/>
            <w:vAlign w:val="center"/>
          </w:tcPr>
          <w:p w14:paraId="7FD6019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7.0 </w:t>
            </w:r>
          </w:p>
        </w:tc>
        <w:tc>
          <w:tcPr>
            <w:tcW w:w="979" w:type="dxa"/>
            <w:shd w:val="clear" w:color="auto" w:fill="auto"/>
            <w:noWrap/>
            <w:vAlign w:val="center"/>
          </w:tcPr>
          <w:p w14:paraId="061B325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0.8742</w:t>
            </w:r>
          </w:p>
        </w:tc>
        <w:tc>
          <w:tcPr>
            <w:tcW w:w="1179" w:type="dxa"/>
            <w:shd w:val="clear" w:color="auto" w:fill="auto"/>
            <w:noWrap/>
            <w:vAlign w:val="center"/>
          </w:tcPr>
          <w:p w14:paraId="0C7D40B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0.8087</w:t>
            </w:r>
          </w:p>
        </w:tc>
        <w:tc>
          <w:tcPr>
            <w:tcW w:w="1179" w:type="dxa"/>
            <w:shd w:val="clear" w:color="auto" w:fill="auto"/>
            <w:noWrap/>
            <w:vAlign w:val="center"/>
          </w:tcPr>
          <w:p w14:paraId="24DB4FD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0.6553</w:t>
            </w:r>
          </w:p>
        </w:tc>
      </w:tr>
      <w:tr w14:paraId="22EECE7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709124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2.6 </w:t>
            </w:r>
          </w:p>
        </w:tc>
        <w:tc>
          <w:tcPr>
            <w:tcW w:w="1098" w:type="dxa"/>
            <w:shd w:val="clear" w:color="auto" w:fill="auto"/>
            <w:noWrap/>
            <w:vAlign w:val="center"/>
          </w:tcPr>
          <w:p w14:paraId="36F08C7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0.9929</w:t>
            </w:r>
          </w:p>
        </w:tc>
        <w:tc>
          <w:tcPr>
            <w:tcW w:w="1253" w:type="dxa"/>
            <w:shd w:val="clear" w:color="auto" w:fill="auto"/>
            <w:noWrap/>
            <w:vAlign w:val="center"/>
          </w:tcPr>
          <w:p w14:paraId="27D2E05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0.9432</w:t>
            </w:r>
          </w:p>
        </w:tc>
        <w:tc>
          <w:tcPr>
            <w:tcW w:w="1253" w:type="dxa"/>
            <w:shd w:val="clear" w:color="auto" w:fill="auto"/>
            <w:noWrap/>
            <w:vAlign w:val="center"/>
          </w:tcPr>
          <w:p w14:paraId="4908E2A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0.8333</w:t>
            </w:r>
          </w:p>
        </w:tc>
        <w:tc>
          <w:tcPr>
            <w:tcW w:w="1179" w:type="dxa"/>
            <w:shd w:val="clear" w:color="auto" w:fill="auto"/>
            <w:vAlign w:val="center"/>
          </w:tcPr>
          <w:p w14:paraId="2E5F01A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7.1 </w:t>
            </w:r>
          </w:p>
        </w:tc>
        <w:tc>
          <w:tcPr>
            <w:tcW w:w="979" w:type="dxa"/>
            <w:shd w:val="clear" w:color="auto" w:fill="auto"/>
            <w:noWrap/>
            <w:vAlign w:val="center"/>
          </w:tcPr>
          <w:p w14:paraId="5D84001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0.8727</w:t>
            </w:r>
          </w:p>
        </w:tc>
        <w:tc>
          <w:tcPr>
            <w:tcW w:w="1179" w:type="dxa"/>
            <w:shd w:val="clear" w:color="auto" w:fill="auto"/>
            <w:noWrap/>
            <w:vAlign w:val="center"/>
          </w:tcPr>
          <w:p w14:paraId="010AE29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0.8069</w:t>
            </w:r>
          </w:p>
        </w:tc>
        <w:tc>
          <w:tcPr>
            <w:tcW w:w="1179" w:type="dxa"/>
            <w:shd w:val="clear" w:color="auto" w:fill="auto"/>
            <w:noWrap/>
            <w:vAlign w:val="center"/>
          </w:tcPr>
          <w:p w14:paraId="72A2D84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0.6532</w:t>
            </w:r>
          </w:p>
        </w:tc>
      </w:tr>
      <w:tr w14:paraId="4A0B56E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17AB94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2.7 </w:t>
            </w:r>
          </w:p>
        </w:tc>
        <w:tc>
          <w:tcPr>
            <w:tcW w:w="1098" w:type="dxa"/>
            <w:shd w:val="clear" w:color="auto" w:fill="auto"/>
            <w:noWrap/>
            <w:vAlign w:val="center"/>
          </w:tcPr>
          <w:p w14:paraId="3595ECA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0.9863</w:t>
            </w:r>
          </w:p>
        </w:tc>
        <w:tc>
          <w:tcPr>
            <w:tcW w:w="1253" w:type="dxa"/>
            <w:shd w:val="clear" w:color="auto" w:fill="auto"/>
            <w:noWrap/>
            <w:vAlign w:val="center"/>
          </w:tcPr>
          <w:p w14:paraId="726F7F0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0.9357</w:t>
            </w:r>
          </w:p>
        </w:tc>
        <w:tc>
          <w:tcPr>
            <w:tcW w:w="1253" w:type="dxa"/>
            <w:shd w:val="clear" w:color="auto" w:fill="auto"/>
            <w:noWrap/>
            <w:vAlign w:val="center"/>
          </w:tcPr>
          <w:p w14:paraId="5CB2030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0.8232</w:t>
            </w:r>
          </w:p>
        </w:tc>
        <w:tc>
          <w:tcPr>
            <w:tcW w:w="1179" w:type="dxa"/>
            <w:shd w:val="clear" w:color="auto" w:fill="auto"/>
            <w:vAlign w:val="center"/>
          </w:tcPr>
          <w:p w14:paraId="47E356E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7.2 </w:t>
            </w:r>
          </w:p>
        </w:tc>
        <w:tc>
          <w:tcPr>
            <w:tcW w:w="979" w:type="dxa"/>
            <w:shd w:val="clear" w:color="auto" w:fill="auto"/>
            <w:noWrap/>
            <w:vAlign w:val="center"/>
          </w:tcPr>
          <w:p w14:paraId="202BE93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0.8712</w:t>
            </w:r>
          </w:p>
        </w:tc>
        <w:tc>
          <w:tcPr>
            <w:tcW w:w="1179" w:type="dxa"/>
            <w:shd w:val="clear" w:color="auto" w:fill="auto"/>
            <w:noWrap/>
            <w:vAlign w:val="center"/>
          </w:tcPr>
          <w:p w14:paraId="488C6AF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0.8051</w:t>
            </w:r>
          </w:p>
        </w:tc>
        <w:tc>
          <w:tcPr>
            <w:tcW w:w="1179" w:type="dxa"/>
            <w:shd w:val="clear" w:color="auto" w:fill="auto"/>
            <w:noWrap/>
            <w:vAlign w:val="center"/>
          </w:tcPr>
          <w:p w14:paraId="2119C30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0.651</w:t>
            </w:r>
          </w:p>
        </w:tc>
      </w:tr>
      <w:tr w14:paraId="1ADE71D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613825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2.8 </w:t>
            </w:r>
          </w:p>
        </w:tc>
        <w:tc>
          <w:tcPr>
            <w:tcW w:w="1098" w:type="dxa"/>
            <w:shd w:val="clear" w:color="auto" w:fill="auto"/>
            <w:noWrap/>
            <w:vAlign w:val="center"/>
          </w:tcPr>
          <w:p w14:paraId="601C23D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0.9801</w:t>
            </w:r>
          </w:p>
        </w:tc>
        <w:tc>
          <w:tcPr>
            <w:tcW w:w="1253" w:type="dxa"/>
            <w:shd w:val="clear" w:color="auto" w:fill="auto"/>
            <w:noWrap/>
            <w:vAlign w:val="center"/>
          </w:tcPr>
          <w:p w14:paraId="7DD3C96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0.9288</w:t>
            </w:r>
          </w:p>
        </w:tc>
        <w:tc>
          <w:tcPr>
            <w:tcW w:w="1253" w:type="dxa"/>
            <w:shd w:val="clear" w:color="auto" w:fill="auto"/>
            <w:noWrap/>
            <w:vAlign w:val="center"/>
          </w:tcPr>
          <w:p w14:paraId="28DBD05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0.8136</w:t>
            </w:r>
          </w:p>
        </w:tc>
        <w:tc>
          <w:tcPr>
            <w:tcW w:w="1179" w:type="dxa"/>
            <w:shd w:val="clear" w:color="auto" w:fill="auto"/>
            <w:vAlign w:val="center"/>
          </w:tcPr>
          <w:p w14:paraId="72FC50B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7.3 </w:t>
            </w:r>
          </w:p>
        </w:tc>
        <w:tc>
          <w:tcPr>
            <w:tcW w:w="979" w:type="dxa"/>
            <w:shd w:val="clear" w:color="auto" w:fill="auto"/>
            <w:noWrap/>
            <w:vAlign w:val="center"/>
          </w:tcPr>
          <w:p w14:paraId="5697C3F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0.8697</w:t>
            </w:r>
          </w:p>
        </w:tc>
        <w:tc>
          <w:tcPr>
            <w:tcW w:w="1179" w:type="dxa"/>
            <w:shd w:val="clear" w:color="auto" w:fill="auto"/>
            <w:noWrap/>
            <w:vAlign w:val="center"/>
          </w:tcPr>
          <w:p w14:paraId="6C0063F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0.8033</w:t>
            </w:r>
          </w:p>
        </w:tc>
        <w:tc>
          <w:tcPr>
            <w:tcW w:w="1179" w:type="dxa"/>
            <w:shd w:val="clear" w:color="auto" w:fill="auto"/>
            <w:noWrap/>
            <w:vAlign w:val="center"/>
          </w:tcPr>
          <w:p w14:paraId="241AB50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0.6488</w:t>
            </w:r>
          </w:p>
        </w:tc>
      </w:tr>
      <w:tr w14:paraId="396466F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17F867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2.9 </w:t>
            </w:r>
          </w:p>
        </w:tc>
        <w:tc>
          <w:tcPr>
            <w:tcW w:w="1098" w:type="dxa"/>
            <w:shd w:val="clear" w:color="auto" w:fill="auto"/>
            <w:noWrap/>
            <w:vAlign w:val="center"/>
          </w:tcPr>
          <w:p w14:paraId="4F2A09D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0.9743</w:t>
            </w:r>
          </w:p>
        </w:tc>
        <w:tc>
          <w:tcPr>
            <w:tcW w:w="1253" w:type="dxa"/>
            <w:shd w:val="clear" w:color="auto" w:fill="auto"/>
            <w:noWrap/>
            <w:vAlign w:val="center"/>
          </w:tcPr>
          <w:p w14:paraId="0381293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0.9222</w:t>
            </w:r>
          </w:p>
        </w:tc>
        <w:tc>
          <w:tcPr>
            <w:tcW w:w="1253" w:type="dxa"/>
            <w:shd w:val="clear" w:color="auto" w:fill="auto"/>
            <w:noWrap/>
            <w:vAlign w:val="center"/>
          </w:tcPr>
          <w:p w14:paraId="004CD9E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0.8046</w:t>
            </w:r>
          </w:p>
        </w:tc>
        <w:tc>
          <w:tcPr>
            <w:tcW w:w="1179" w:type="dxa"/>
            <w:shd w:val="clear" w:color="auto" w:fill="auto"/>
            <w:vAlign w:val="center"/>
          </w:tcPr>
          <w:p w14:paraId="34C66A2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7.4 </w:t>
            </w:r>
          </w:p>
        </w:tc>
        <w:tc>
          <w:tcPr>
            <w:tcW w:w="979" w:type="dxa"/>
            <w:shd w:val="clear" w:color="auto" w:fill="auto"/>
            <w:noWrap/>
            <w:vAlign w:val="center"/>
          </w:tcPr>
          <w:p w14:paraId="63D0BB7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0.8682</w:t>
            </w:r>
          </w:p>
        </w:tc>
        <w:tc>
          <w:tcPr>
            <w:tcW w:w="1179" w:type="dxa"/>
            <w:shd w:val="clear" w:color="auto" w:fill="auto"/>
            <w:noWrap/>
            <w:vAlign w:val="center"/>
          </w:tcPr>
          <w:p w14:paraId="71212C1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0.8015</w:t>
            </w:r>
          </w:p>
        </w:tc>
        <w:tc>
          <w:tcPr>
            <w:tcW w:w="1179" w:type="dxa"/>
            <w:shd w:val="clear" w:color="auto" w:fill="auto"/>
            <w:noWrap/>
            <w:vAlign w:val="center"/>
          </w:tcPr>
          <w:p w14:paraId="0E20C59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0.6466</w:t>
            </w:r>
          </w:p>
        </w:tc>
      </w:tr>
      <w:tr w14:paraId="34CE7E5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06A6CF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3.0 </w:t>
            </w:r>
          </w:p>
        </w:tc>
        <w:tc>
          <w:tcPr>
            <w:tcW w:w="1098" w:type="dxa"/>
            <w:shd w:val="clear" w:color="auto" w:fill="auto"/>
            <w:noWrap/>
            <w:vAlign w:val="center"/>
          </w:tcPr>
          <w:p w14:paraId="70A466B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0.9689</w:t>
            </w:r>
          </w:p>
        </w:tc>
        <w:tc>
          <w:tcPr>
            <w:tcW w:w="1253" w:type="dxa"/>
            <w:shd w:val="clear" w:color="auto" w:fill="auto"/>
            <w:noWrap/>
            <w:vAlign w:val="center"/>
          </w:tcPr>
          <w:p w14:paraId="0D166E9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0.9161</w:t>
            </w:r>
          </w:p>
        </w:tc>
        <w:tc>
          <w:tcPr>
            <w:tcW w:w="1253" w:type="dxa"/>
            <w:shd w:val="clear" w:color="auto" w:fill="auto"/>
            <w:noWrap/>
            <w:vAlign w:val="center"/>
          </w:tcPr>
          <w:p w14:paraId="71A1303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0.7962</w:t>
            </w:r>
          </w:p>
        </w:tc>
        <w:tc>
          <w:tcPr>
            <w:tcW w:w="1179" w:type="dxa"/>
            <w:shd w:val="clear" w:color="auto" w:fill="auto"/>
            <w:vAlign w:val="center"/>
          </w:tcPr>
          <w:p w14:paraId="4F9D9C2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7.5 </w:t>
            </w:r>
          </w:p>
        </w:tc>
        <w:tc>
          <w:tcPr>
            <w:tcW w:w="979" w:type="dxa"/>
            <w:shd w:val="clear" w:color="auto" w:fill="auto"/>
            <w:noWrap/>
            <w:vAlign w:val="center"/>
          </w:tcPr>
          <w:p w14:paraId="7D0CD43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0.8666</w:t>
            </w:r>
          </w:p>
        </w:tc>
        <w:tc>
          <w:tcPr>
            <w:tcW w:w="1179" w:type="dxa"/>
            <w:shd w:val="clear" w:color="auto" w:fill="auto"/>
            <w:noWrap/>
            <w:vAlign w:val="center"/>
          </w:tcPr>
          <w:p w14:paraId="44C44BD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0.7997</w:t>
            </w:r>
          </w:p>
        </w:tc>
        <w:tc>
          <w:tcPr>
            <w:tcW w:w="1179" w:type="dxa"/>
            <w:shd w:val="clear" w:color="auto" w:fill="auto"/>
            <w:noWrap/>
            <w:vAlign w:val="center"/>
          </w:tcPr>
          <w:p w14:paraId="50EEB45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0.6445</w:t>
            </w:r>
          </w:p>
        </w:tc>
      </w:tr>
      <w:tr w14:paraId="4942FB4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8EE27B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3.1 </w:t>
            </w:r>
          </w:p>
        </w:tc>
        <w:tc>
          <w:tcPr>
            <w:tcW w:w="1098" w:type="dxa"/>
            <w:shd w:val="clear" w:color="auto" w:fill="auto"/>
            <w:noWrap/>
            <w:vAlign w:val="center"/>
          </w:tcPr>
          <w:p w14:paraId="0BE8AC0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0.9639</w:t>
            </w:r>
          </w:p>
        </w:tc>
        <w:tc>
          <w:tcPr>
            <w:tcW w:w="1253" w:type="dxa"/>
            <w:shd w:val="clear" w:color="auto" w:fill="auto"/>
            <w:noWrap/>
            <w:vAlign w:val="center"/>
          </w:tcPr>
          <w:p w14:paraId="6CF2225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0.9104</w:t>
            </w:r>
          </w:p>
        </w:tc>
        <w:tc>
          <w:tcPr>
            <w:tcW w:w="1253" w:type="dxa"/>
            <w:shd w:val="clear" w:color="auto" w:fill="auto"/>
            <w:noWrap/>
            <w:vAlign w:val="center"/>
          </w:tcPr>
          <w:p w14:paraId="442A09F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0.7883</w:t>
            </w:r>
          </w:p>
        </w:tc>
        <w:tc>
          <w:tcPr>
            <w:tcW w:w="1179" w:type="dxa"/>
            <w:shd w:val="clear" w:color="auto" w:fill="auto"/>
            <w:vAlign w:val="center"/>
          </w:tcPr>
          <w:p w14:paraId="69CAAFD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7.6</w:t>
            </w:r>
          </w:p>
        </w:tc>
        <w:tc>
          <w:tcPr>
            <w:tcW w:w="979" w:type="dxa"/>
            <w:shd w:val="clear" w:color="auto" w:fill="auto"/>
            <w:noWrap/>
            <w:vAlign w:val="center"/>
          </w:tcPr>
          <w:p w14:paraId="29AF98A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0.8651</w:t>
            </w:r>
          </w:p>
        </w:tc>
        <w:tc>
          <w:tcPr>
            <w:tcW w:w="1179" w:type="dxa"/>
            <w:shd w:val="clear" w:color="auto" w:fill="auto"/>
            <w:noWrap/>
            <w:vAlign w:val="center"/>
          </w:tcPr>
          <w:p w14:paraId="5DD4A7F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0.798</w:t>
            </w:r>
          </w:p>
        </w:tc>
        <w:tc>
          <w:tcPr>
            <w:tcW w:w="1179" w:type="dxa"/>
            <w:shd w:val="clear" w:color="auto" w:fill="auto"/>
            <w:noWrap/>
            <w:vAlign w:val="center"/>
          </w:tcPr>
          <w:p w14:paraId="32344CF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0.6424</w:t>
            </w:r>
          </w:p>
        </w:tc>
      </w:tr>
      <w:tr w14:paraId="50CC61D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92E45F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3.2 </w:t>
            </w:r>
          </w:p>
        </w:tc>
        <w:tc>
          <w:tcPr>
            <w:tcW w:w="1098" w:type="dxa"/>
            <w:shd w:val="clear" w:color="auto" w:fill="auto"/>
            <w:noWrap/>
            <w:vAlign w:val="center"/>
          </w:tcPr>
          <w:p w14:paraId="087716F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0.9593</w:t>
            </w:r>
          </w:p>
        </w:tc>
        <w:tc>
          <w:tcPr>
            <w:tcW w:w="1253" w:type="dxa"/>
            <w:shd w:val="clear" w:color="auto" w:fill="auto"/>
            <w:noWrap/>
            <w:vAlign w:val="center"/>
          </w:tcPr>
          <w:p w14:paraId="4E4C7E0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0.9052</w:t>
            </w:r>
          </w:p>
        </w:tc>
        <w:tc>
          <w:tcPr>
            <w:tcW w:w="1253" w:type="dxa"/>
            <w:shd w:val="clear" w:color="auto" w:fill="auto"/>
            <w:noWrap/>
            <w:vAlign w:val="center"/>
          </w:tcPr>
          <w:p w14:paraId="7716F61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0.7809</w:t>
            </w:r>
          </w:p>
        </w:tc>
        <w:tc>
          <w:tcPr>
            <w:tcW w:w="1179" w:type="dxa"/>
            <w:shd w:val="clear" w:color="auto" w:fill="auto"/>
            <w:vAlign w:val="center"/>
          </w:tcPr>
          <w:p w14:paraId="49202BA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7.7 </w:t>
            </w:r>
          </w:p>
        </w:tc>
        <w:tc>
          <w:tcPr>
            <w:tcW w:w="979" w:type="dxa"/>
            <w:shd w:val="clear" w:color="auto" w:fill="auto"/>
            <w:noWrap/>
            <w:vAlign w:val="center"/>
          </w:tcPr>
          <w:p w14:paraId="24940AA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0.8637</w:t>
            </w:r>
          </w:p>
        </w:tc>
        <w:tc>
          <w:tcPr>
            <w:tcW w:w="1179" w:type="dxa"/>
            <w:shd w:val="clear" w:color="auto" w:fill="auto"/>
            <w:noWrap/>
            <w:vAlign w:val="center"/>
          </w:tcPr>
          <w:p w14:paraId="673EDE0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0.7963</w:t>
            </w:r>
          </w:p>
        </w:tc>
        <w:tc>
          <w:tcPr>
            <w:tcW w:w="1179" w:type="dxa"/>
            <w:shd w:val="clear" w:color="auto" w:fill="auto"/>
            <w:noWrap/>
            <w:vAlign w:val="center"/>
          </w:tcPr>
          <w:p w14:paraId="186622C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0.6403</w:t>
            </w:r>
          </w:p>
        </w:tc>
      </w:tr>
      <w:tr w14:paraId="3CF87BB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052096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3.3 </w:t>
            </w:r>
          </w:p>
        </w:tc>
        <w:tc>
          <w:tcPr>
            <w:tcW w:w="1098" w:type="dxa"/>
            <w:shd w:val="clear" w:color="auto" w:fill="auto"/>
            <w:noWrap/>
            <w:vAlign w:val="center"/>
          </w:tcPr>
          <w:p w14:paraId="0A552E4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0.9549</w:t>
            </w:r>
          </w:p>
        </w:tc>
        <w:tc>
          <w:tcPr>
            <w:tcW w:w="1253" w:type="dxa"/>
            <w:shd w:val="clear" w:color="auto" w:fill="auto"/>
            <w:noWrap/>
            <w:vAlign w:val="center"/>
          </w:tcPr>
          <w:p w14:paraId="2989544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0.9002</w:t>
            </w:r>
          </w:p>
        </w:tc>
        <w:tc>
          <w:tcPr>
            <w:tcW w:w="1253" w:type="dxa"/>
            <w:shd w:val="clear" w:color="auto" w:fill="auto"/>
            <w:noWrap/>
            <w:vAlign w:val="center"/>
          </w:tcPr>
          <w:p w14:paraId="47A1698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0.7741</w:t>
            </w:r>
          </w:p>
        </w:tc>
        <w:tc>
          <w:tcPr>
            <w:tcW w:w="1179" w:type="dxa"/>
            <w:shd w:val="clear" w:color="auto" w:fill="auto"/>
            <w:vAlign w:val="center"/>
          </w:tcPr>
          <w:p w14:paraId="6437D5A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7.8 </w:t>
            </w:r>
          </w:p>
        </w:tc>
        <w:tc>
          <w:tcPr>
            <w:tcW w:w="979" w:type="dxa"/>
            <w:shd w:val="clear" w:color="auto" w:fill="auto"/>
            <w:noWrap/>
            <w:vAlign w:val="center"/>
          </w:tcPr>
          <w:p w14:paraId="49D2874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0.8623</w:t>
            </w:r>
          </w:p>
        </w:tc>
        <w:tc>
          <w:tcPr>
            <w:tcW w:w="1179" w:type="dxa"/>
            <w:shd w:val="clear" w:color="auto" w:fill="auto"/>
            <w:noWrap/>
            <w:vAlign w:val="center"/>
          </w:tcPr>
          <w:p w14:paraId="7E8CE43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0.7945</w:t>
            </w:r>
          </w:p>
        </w:tc>
        <w:tc>
          <w:tcPr>
            <w:tcW w:w="1179" w:type="dxa"/>
            <w:shd w:val="clear" w:color="auto" w:fill="auto"/>
            <w:noWrap/>
            <w:vAlign w:val="center"/>
          </w:tcPr>
          <w:p w14:paraId="37D3699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0.6382</w:t>
            </w:r>
          </w:p>
        </w:tc>
      </w:tr>
      <w:tr w14:paraId="4D33C1E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528E05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3.4 </w:t>
            </w:r>
          </w:p>
        </w:tc>
        <w:tc>
          <w:tcPr>
            <w:tcW w:w="1098" w:type="dxa"/>
            <w:shd w:val="clear" w:color="auto" w:fill="auto"/>
            <w:noWrap/>
            <w:vAlign w:val="center"/>
          </w:tcPr>
          <w:p w14:paraId="359BFA4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0.9509</w:t>
            </w:r>
          </w:p>
        </w:tc>
        <w:tc>
          <w:tcPr>
            <w:tcW w:w="1253" w:type="dxa"/>
            <w:shd w:val="clear" w:color="auto" w:fill="auto"/>
            <w:noWrap/>
            <w:vAlign w:val="center"/>
          </w:tcPr>
          <w:p w14:paraId="60FBC52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0.8956</w:t>
            </w:r>
          </w:p>
        </w:tc>
        <w:tc>
          <w:tcPr>
            <w:tcW w:w="1253" w:type="dxa"/>
            <w:shd w:val="clear" w:color="auto" w:fill="auto"/>
            <w:noWrap/>
            <w:vAlign w:val="center"/>
          </w:tcPr>
          <w:p w14:paraId="3D3AAFF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0.7676</w:t>
            </w:r>
          </w:p>
        </w:tc>
        <w:tc>
          <w:tcPr>
            <w:tcW w:w="1179" w:type="dxa"/>
            <w:shd w:val="clear" w:color="auto" w:fill="auto"/>
            <w:vAlign w:val="center"/>
          </w:tcPr>
          <w:p w14:paraId="71B938E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7.9 </w:t>
            </w:r>
          </w:p>
        </w:tc>
        <w:tc>
          <w:tcPr>
            <w:tcW w:w="979" w:type="dxa"/>
            <w:shd w:val="clear" w:color="auto" w:fill="auto"/>
            <w:noWrap/>
            <w:vAlign w:val="center"/>
          </w:tcPr>
          <w:p w14:paraId="1DC6D31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0.8609</w:t>
            </w:r>
          </w:p>
        </w:tc>
        <w:tc>
          <w:tcPr>
            <w:tcW w:w="1179" w:type="dxa"/>
            <w:shd w:val="clear" w:color="auto" w:fill="auto"/>
            <w:noWrap/>
            <w:vAlign w:val="center"/>
          </w:tcPr>
          <w:p w14:paraId="43CC33F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0.7928</w:t>
            </w:r>
          </w:p>
        </w:tc>
        <w:tc>
          <w:tcPr>
            <w:tcW w:w="1179" w:type="dxa"/>
            <w:shd w:val="clear" w:color="auto" w:fill="auto"/>
            <w:noWrap/>
            <w:vAlign w:val="center"/>
          </w:tcPr>
          <w:p w14:paraId="4C034AB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0.6361</w:t>
            </w:r>
          </w:p>
        </w:tc>
      </w:tr>
      <w:tr w14:paraId="1217D36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70A230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3.5 </w:t>
            </w:r>
          </w:p>
        </w:tc>
        <w:tc>
          <w:tcPr>
            <w:tcW w:w="1098" w:type="dxa"/>
            <w:shd w:val="clear" w:color="auto" w:fill="auto"/>
            <w:noWrap/>
            <w:vAlign w:val="center"/>
          </w:tcPr>
          <w:p w14:paraId="0A03626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0.9471</w:t>
            </w:r>
          </w:p>
        </w:tc>
        <w:tc>
          <w:tcPr>
            <w:tcW w:w="1253" w:type="dxa"/>
            <w:shd w:val="clear" w:color="auto" w:fill="auto"/>
            <w:noWrap/>
            <w:vAlign w:val="center"/>
          </w:tcPr>
          <w:p w14:paraId="24A177A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0.8913</w:t>
            </w:r>
          </w:p>
        </w:tc>
        <w:tc>
          <w:tcPr>
            <w:tcW w:w="1253" w:type="dxa"/>
            <w:shd w:val="clear" w:color="auto" w:fill="auto"/>
            <w:noWrap/>
            <w:vAlign w:val="center"/>
          </w:tcPr>
          <w:p w14:paraId="38E239F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0.7616</w:t>
            </w:r>
          </w:p>
        </w:tc>
        <w:tc>
          <w:tcPr>
            <w:tcW w:w="1179" w:type="dxa"/>
            <w:shd w:val="clear" w:color="auto" w:fill="auto"/>
            <w:vAlign w:val="center"/>
          </w:tcPr>
          <w:p w14:paraId="39435CD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8.0 </w:t>
            </w:r>
          </w:p>
        </w:tc>
        <w:tc>
          <w:tcPr>
            <w:tcW w:w="979" w:type="dxa"/>
            <w:shd w:val="clear" w:color="auto" w:fill="auto"/>
            <w:noWrap/>
            <w:vAlign w:val="center"/>
          </w:tcPr>
          <w:p w14:paraId="79A7CB8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0.8594</w:t>
            </w:r>
          </w:p>
        </w:tc>
        <w:tc>
          <w:tcPr>
            <w:tcW w:w="1179" w:type="dxa"/>
            <w:shd w:val="clear" w:color="auto" w:fill="auto"/>
            <w:noWrap/>
            <w:vAlign w:val="center"/>
          </w:tcPr>
          <w:p w14:paraId="0C9BB98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0.7911</w:t>
            </w:r>
          </w:p>
        </w:tc>
        <w:tc>
          <w:tcPr>
            <w:tcW w:w="1179" w:type="dxa"/>
            <w:shd w:val="clear" w:color="auto" w:fill="auto"/>
            <w:noWrap/>
            <w:vAlign w:val="center"/>
          </w:tcPr>
          <w:p w14:paraId="0120885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0.6341</w:t>
            </w:r>
          </w:p>
        </w:tc>
      </w:tr>
      <w:tr w14:paraId="09B8195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2140D6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3.6 </w:t>
            </w:r>
          </w:p>
        </w:tc>
        <w:tc>
          <w:tcPr>
            <w:tcW w:w="1098" w:type="dxa"/>
            <w:shd w:val="clear" w:color="auto" w:fill="auto"/>
            <w:noWrap/>
            <w:vAlign w:val="center"/>
          </w:tcPr>
          <w:p w14:paraId="30508C1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0.9436</w:t>
            </w:r>
          </w:p>
        </w:tc>
        <w:tc>
          <w:tcPr>
            <w:tcW w:w="1253" w:type="dxa"/>
            <w:shd w:val="clear" w:color="auto" w:fill="auto"/>
            <w:noWrap/>
            <w:vAlign w:val="center"/>
          </w:tcPr>
          <w:p w14:paraId="2051AEE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0.8873</w:t>
            </w:r>
          </w:p>
        </w:tc>
        <w:tc>
          <w:tcPr>
            <w:tcW w:w="1253" w:type="dxa"/>
            <w:shd w:val="clear" w:color="auto" w:fill="auto"/>
            <w:noWrap/>
            <w:vAlign w:val="center"/>
          </w:tcPr>
          <w:p w14:paraId="1F40FE8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0.7559</w:t>
            </w:r>
          </w:p>
        </w:tc>
        <w:tc>
          <w:tcPr>
            <w:tcW w:w="1179" w:type="dxa"/>
            <w:shd w:val="clear" w:color="auto" w:fill="auto"/>
            <w:vAlign w:val="center"/>
          </w:tcPr>
          <w:p w14:paraId="4CC600B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8.1 </w:t>
            </w:r>
          </w:p>
        </w:tc>
        <w:tc>
          <w:tcPr>
            <w:tcW w:w="979" w:type="dxa"/>
            <w:shd w:val="clear" w:color="auto" w:fill="auto"/>
            <w:noWrap/>
            <w:vAlign w:val="center"/>
          </w:tcPr>
          <w:p w14:paraId="178586B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0.858</w:t>
            </w:r>
          </w:p>
        </w:tc>
        <w:tc>
          <w:tcPr>
            <w:tcW w:w="1179" w:type="dxa"/>
            <w:shd w:val="clear" w:color="auto" w:fill="auto"/>
            <w:noWrap/>
            <w:vAlign w:val="center"/>
          </w:tcPr>
          <w:p w14:paraId="54FEE2C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0.7894</w:t>
            </w:r>
          </w:p>
        </w:tc>
        <w:tc>
          <w:tcPr>
            <w:tcW w:w="1179" w:type="dxa"/>
            <w:shd w:val="clear" w:color="auto" w:fill="auto"/>
            <w:noWrap/>
            <w:vAlign w:val="center"/>
          </w:tcPr>
          <w:p w14:paraId="63A358D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0.6321</w:t>
            </w:r>
          </w:p>
        </w:tc>
      </w:tr>
      <w:tr w14:paraId="7CCFAF1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499A4C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3.7 </w:t>
            </w:r>
          </w:p>
        </w:tc>
        <w:tc>
          <w:tcPr>
            <w:tcW w:w="1098" w:type="dxa"/>
            <w:shd w:val="clear" w:color="auto" w:fill="auto"/>
            <w:noWrap/>
            <w:vAlign w:val="center"/>
          </w:tcPr>
          <w:p w14:paraId="51470C6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0.9404</w:t>
            </w:r>
          </w:p>
        </w:tc>
        <w:tc>
          <w:tcPr>
            <w:tcW w:w="1253" w:type="dxa"/>
            <w:shd w:val="clear" w:color="auto" w:fill="auto"/>
            <w:noWrap/>
            <w:vAlign w:val="center"/>
          </w:tcPr>
          <w:p w14:paraId="2940A25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0.8835</w:t>
            </w:r>
          </w:p>
        </w:tc>
        <w:tc>
          <w:tcPr>
            <w:tcW w:w="1253" w:type="dxa"/>
            <w:shd w:val="clear" w:color="auto" w:fill="auto"/>
            <w:noWrap/>
            <w:vAlign w:val="center"/>
          </w:tcPr>
          <w:p w14:paraId="5AC741B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0.7507</w:t>
            </w:r>
          </w:p>
        </w:tc>
        <w:tc>
          <w:tcPr>
            <w:tcW w:w="1179" w:type="dxa"/>
            <w:shd w:val="clear" w:color="auto" w:fill="auto"/>
            <w:vAlign w:val="center"/>
          </w:tcPr>
          <w:p w14:paraId="5F998DC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8.2 </w:t>
            </w:r>
          </w:p>
        </w:tc>
        <w:tc>
          <w:tcPr>
            <w:tcW w:w="979" w:type="dxa"/>
            <w:shd w:val="clear" w:color="auto" w:fill="auto"/>
            <w:noWrap/>
            <w:vAlign w:val="center"/>
          </w:tcPr>
          <w:p w14:paraId="2E58ABC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0.8566</w:t>
            </w:r>
          </w:p>
        </w:tc>
        <w:tc>
          <w:tcPr>
            <w:tcW w:w="1179" w:type="dxa"/>
            <w:shd w:val="clear" w:color="auto" w:fill="auto"/>
            <w:noWrap/>
            <w:vAlign w:val="center"/>
          </w:tcPr>
          <w:p w14:paraId="1799759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0.7878</w:t>
            </w:r>
          </w:p>
        </w:tc>
        <w:tc>
          <w:tcPr>
            <w:tcW w:w="1179" w:type="dxa"/>
            <w:shd w:val="clear" w:color="auto" w:fill="auto"/>
            <w:noWrap/>
            <w:vAlign w:val="center"/>
          </w:tcPr>
          <w:p w14:paraId="73B5139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0.6301</w:t>
            </w:r>
          </w:p>
        </w:tc>
      </w:tr>
      <w:tr w14:paraId="29A6F68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444176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3.8 </w:t>
            </w:r>
          </w:p>
        </w:tc>
        <w:tc>
          <w:tcPr>
            <w:tcW w:w="1098" w:type="dxa"/>
            <w:shd w:val="clear" w:color="auto" w:fill="auto"/>
            <w:noWrap/>
            <w:vAlign w:val="center"/>
          </w:tcPr>
          <w:p w14:paraId="36B7998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0.9374</w:t>
            </w:r>
          </w:p>
        </w:tc>
        <w:tc>
          <w:tcPr>
            <w:tcW w:w="1253" w:type="dxa"/>
            <w:shd w:val="clear" w:color="auto" w:fill="auto"/>
            <w:noWrap/>
            <w:vAlign w:val="center"/>
          </w:tcPr>
          <w:p w14:paraId="3244C77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0.8801</w:t>
            </w:r>
          </w:p>
        </w:tc>
        <w:tc>
          <w:tcPr>
            <w:tcW w:w="1253" w:type="dxa"/>
            <w:shd w:val="clear" w:color="auto" w:fill="auto"/>
            <w:noWrap/>
            <w:vAlign w:val="center"/>
          </w:tcPr>
          <w:p w14:paraId="4D2B649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0.7457</w:t>
            </w:r>
          </w:p>
        </w:tc>
        <w:tc>
          <w:tcPr>
            <w:tcW w:w="1179" w:type="dxa"/>
            <w:shd w:val="clear" w:color="auto" w:fill="auto"/>
            <w:vAlign w:val="center"/>
          </w:tcPr>
          <w:p w14:paraId="7E1B646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8.3 </w:t>
            </w:r>
          </w:p>
        </w:tc>
        <w:tc>
          <w:tcPr>
            <w:tcW w:w="979" w:type="dxa"/>
            <w:shd w:val="clear" w:color="auto" w:fill="auto"/>
            <w:noWrap/>
            <w:vAlign w:val="center"/>
          </w:tcPr>
          <w:p w14:paraId="759FC79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0.8553</w:t>
            </w:r>
          </w:p>
        </w:tc>
        <w:tc>
          <w:tcPr>
            <w:tcW w:w="1179" w:type="dxa"/>
            <w:shd w:val="clear" w:color="auto" w:fill="auto"/>
            <w:noWrap/>
            <w:vAlign w:val="center"/>
          </w:tcPr>
          <w:p w14:paraId="7F1FD15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0.7862</w:t>
            </w:r>
          </w:p>
        </w:tc>
        <w:tc>
          <w:tcPr>
            <w:tcW w:w="1179" w:type="dxa"/>
            <w:shd w:val="clear" w:color="auto" w:fill="auto"/>
            <w:noWrap/>
            <w:vAlign w:val="center"/>
          </w:tcPr>
          <w:p w14:paraId="0CAD57C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0.6281</w:t>
            </w:r>
          </w:p>
        </w:tc>
      </w:tr>
      <w:tr w14:paraId="1A1902D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F589C5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3.9 </w:t>
            </w:r>
          </w:p>
        </w:tc>
        <w:tc>
          <w:tcPr>
            <w:tcW w:w="1098" w:type="dxa"/>
            <w:shd w:val="clear" w:color="auto" w:fill="auto"/>
            <w:noWrap/>
            <w:vAlign w:val="center"/>
          </w:tcPr>
          <w:p w14:paraId="182958D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0.9346</w:t>
            </w:r>
          </w:p>
        </w:tc>
        <w:tc>
          <w:tcPr>
            <w:tcW w:w="1253" w:type="dxa"/>
            <w:shd w:val="clear" w:color="auto" w:fill="auto"/>
            <w:noWrap/>
            <w:vAlign w:val="center"/>
          </w:tcPr>
          <w:p w14:paraId="78C5AE3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0.8768</w:t>
            </w:r>
          </w:p>
        </w:tc>
        <w:tc>
          <w:tcPr>
            <w:tcW w:w="1253" w:type="dxa"/>
            <w:shd w:val="clear" w:color="auto" w:fill="auto"/>
            <w:noWrap/>
            <w:vAlign w:val="center"/>
          </w:tcPr>
          <w:p w14:paraId="7234695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0.7411</w:t>
            </w:r>
          </w:p>
        </w:tc>
        <w:tc>
          <w:tcPr>
            <w:tcW w:w="1179" w:type="dxa"/>
            <w:shd w:val="clear" w:color="auto" w:fill="auto"/>
            <w:vAlign w:val="center"/>
          </w:tcPr>
          <w:p w14:paraId="3EEA512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8.4 </w:t>
            </w:r>
          </w:p>
        </w:tc>
        <w:tc>
          <w:tcPr>
            <w:tcW w:w="979" w:type="dxa"/>
            <w:shd w:val="clear" w:color="auto" w:fill="auto"/>
            <w:noWrap/>
            <w:vAlign w:val="center"/>
          </w:tcPr>
          <w:p w14:paraId="5666318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0.8539</w:t>
            </w:r>
          </w:p>
        </w:tc>
        <w:tc>
          <w:tcPr>
            <w:tcW w:w="1179" w:type="dxa"/>
            <w:shd w:val="clear" w:color="auto" w:fill="auto"/>
            <w:noWrap/>
            <w:vAlign w:val="center"/>
          </w:tcPr>
          <w:p w14:paraId="748FC68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0.7846</w:t>
            </w:r>
          </w:p>
        </w:tc>
        <w:tc>
          <w:tcPr>
            <w:tcW w:w="1179" w:type="dxa"/>
            <w:shd w:val="clear" w:color="auto" w:fill="auto"/>
            <w:noWrap/>
            <w:vAlign w:val="center"/>
          </w:tcPr>
          <w:p w14:paraId="6BC70FC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0.6261</w:t>
            </w:r>
          </w:p>
        </w:tc>
      </w:tr>
      <w:tr w14:paraId="6B5B086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C79C46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4.0 </w:t>
            </w:r>
          </w:p>
        </w:tc>
        <w:tc>
          <w:tcPr>
            <w:tcW w:w="1098" w:type="dxa"/>
            <w:shd w:val="clear" w:color="auto" w:fill="auto"/>
            <w:noWrap/>
            <w:vAlign w:val="center"/>
          </w:tcPr>
          <w:p w14:paraId="60C782E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0.9318</w:t>
            </w:r>
          </w:p>
        </w:tc>
        <w:tc>
          <w:tcPr>
            <w:tcW w:w="1253" w:type="dxa"/>
            <w:shd w:val="clear" w:color="auto" w:fill="auto"/>
            <w:noWrap/>
            <w:vAlign w:val="center"/>
          </w:tcPr>
          <w:p w14:paraId="6E18C77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0.8738</w:t>
            </w:r>
          </w:p>
        </w:tc>
        <w:tc>
          <w:tcPr>
            <w:tcW w:w="1253" w:type="dxa"/>
            <w:shd w:val="clear" w:color="auto" w:fill="auto"/>
            <w:noWrap/>
            <w:vAlign w:val="center"/>
          </w:tcPr>
          <w:p w14:paraId="4DDCE59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0.7368</w:t>
            </w:r>
          </w:p>
        </w:tc>
        <w:tc>
          <w:tcPr>
            <w:tcW w:w="1179" w:type="dxa"/>
            <w:shd w:val="clear" w:color="auto" w:fill="auto"/>
            <w:vAlign w:val="center"/>
          </w:tcPr>
          <w:p w14:paraId="30E19FC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8.5 </w:t>
            </w:r>
          </w:p>
        </w:tc>
        <w:tc>
          <w:tcPr>
            <w:tcW w:w="979" w:type="dxa"/>
            <w:shd w:val="clear" w:color="auto" w:fill="auto"/>
            <w:noWrap/>
            <w:vAlign w:val="center"/>
          </w:tcPr>
          <w:p w14:paraId="193511C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0.8526</w:t>
            </w:r>
          </w:p>
        </w:tc>
        <w:tc>
          <w:tcPr>
            <w:tcW w:w="1179" w:type="dxa"/>
            <w:shd w:val="clear" w:color="auto" w:fill="auto"/>
            <w:noWrap/>
            <w:vAlign w:val="center"/>
          </w:tcPr>
          <w:p w14:paraId="262C064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0.7829</w:t>
            </w:r>
          </w:p>
        </w:tc>
        <w:tc>
          <w:tcPr>
            <w:tcW w:w="1179" w:type="dxa"/>
            <w:shd w:val="clear" w:color="auto" w:fill="auto"/>
            <w:noWrap/>
            <w:vAlign w:val="center"/>
          </w:tcPr>
          <w:p w14:paraId="76CE0E7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0.6242</w:t>
            </w:r>
          </w:p>
        </w:tc>
      </w:tr>
      <w:tr w14:paraId="7B6FD7B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CF8F24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4.1 </w:t>
            </w:r>
          </w:p>
        </w:tc>
        <w:tc>
          <w:tcPr>
            <w:tcW w:w="1098" w:type="dxa"/>
            <w:shd w:val="clear" w:color="auto" w:fill="auto"/>
            <w:noWrap/>
            <w:vAlign w:val="center"/>
          </w:tcPr>
          <w:p w14:paraId="5961712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0.9292</w:t>
            </w:r>
          </w:p>
        </w:tc>
        <w:tc>
          <w:tcPr>
            <w:tcW w:w="1253" w:type="dxa"/>
            <w:shd w:val="clear" w:color="auto" w:fill="auto"/>
            <w:noWrap/>
            <w:vAlign w:val="center"/>
          </w:tcPr>
          <w:p w14:paraId="78FD4C3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0.8709</w:t>
            </w:r>
          </w:p>
        </w:tc>
        <w:tc>
          <w:tcPr>
            <w:tcW w:w="1253" w:type="dxa"/>
            <w:shd w:val="clear" w:color="auto" w:fill="auto"/>
            <w:noWrap/>
            <w:vAlign w:val="center"/>
          </w:tcPr>
          <w:p w14:paraId="47D3E85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0.7327</w:t>
            </w:r>
          </w:p>
        </w:tc>
        <w:tc>
          <w:tcPr>
            <w:tcW w:w="1179" w:type="dxa"/>
            <w:shd w:val="clear" w:color="auto" w:fill="auto"/>
            <w:vAlign w:val="center"/>
          </w:tcPr>
          <w:p w14:paraId="34FF53E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8.6 </w:t>
            </w:r>
          </w:p>
        </w:tc>
        <w:tc>
          <w:tcPr>
            <w:tcW w:w="979" w:type="dxa"/>
            <w:shd w:val="clear" w:color="auto" w:fill="auto"/>
            <w:noWrap/>
            <w:vAlign w:val="center"/>
          </w:tcPr>
          <w:p w14:paraId="5A4A75C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0.8513</w:t>
            </w:r>
          </w:p>
        </w:tc>
        <w:tc>
          <w:tcPr>
            <w:tcW w:w="1179" w:type="dxa"/>
            <w:shd w:val="clear" w:color="auto" w:fill="auto"/>
            <w:noWrap/>
            <w:vAlign w:val="center"/>
          </w:tcPr>
          <w:p w14:paraId="63D55B1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0.7813</w:t>
            </w:r>
          </w:p>
        </w:tc>
        <w:tc>
          <w:tcPr>
            <w:tcW w:w="1179" w:type="dxa"/>
            <w:shd w:val="clear" w:color="auto" w:fill="auto"/>
            <w:noWrap/>
            <w:vAlign w:val="center"/>
          </w:tcPr>
          <w:p w14:paraId="548A5D3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0.6223</w:t>
            </w:r>
          </w:p>
        </w:tc>
      </w:tr>
      <w:tr w14:paraId="7ED3F41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F38512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4.2 </w:t>
            </w:r>
          </w:p>
        </w:tc>
        <w:tc>
          <w:tcPr>
            <w:tcW w:w="1098" w:type="dxa"/>
            <w:shd w:val="clear" w:color="auto" w:fill="auto"/>
            <w:noWrap/>
            <w:vAlign w:val="center"/>
          </w:tcPr>
          <w:p w14:paraId="730EE7A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0.9266</w:t>
            </w:r>
          </w:p>
        </w:tc>
        <w:tc>
          <w:tcPr>
            <w:tcW w:w="1253" w:type="dxa"/>
            <w:shd w:val="clear" w:color="auto" w:fill="auto"/>
            <w:noWrap/>
            <w:vAlign w:val="center"/>
          </w:tcPr>
          <w:p w14:paraId="2426E3B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0.8682</w:t>
            </w:r>
          </w:p>
        </w:tc>
        <w:tc>
          <w:tcPr>
            <w:tcW w:w="1253" w:type="dxa"/>
            <w:shd w:val="clear" w:color="auto" w:fill="auto"/>
            <w:noWrap/>
            <w:vAlign w:val="center"/>
          </w:tcPr>
          <w:p w14:paraId="7EF3BA4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0.7288</w:t>
            </w:r>
          </w:p>
        </w:tc>
        <w:tc>
          <w:tcPr>
            <w:tcW w:w="1179" w:type="dxa"/>
            <w:shd w:val="clear" w:color="auto" w:fill="auto"/>
            <w:vAlign w:val="center"/>
          </w:tcPr>
          <w:p w14:paraId="7A893BE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8.7 </w:t>
            </w:r>
          </w:p>
        </w:tc>
        <w:tc>
          <w:tcPr>
            <w:tcW w:w="979" w:type="dxa"/>
            <w:shd w:val="clear" w:color="auto" w:fill="auto"/>
            <w:noWrap/>
            <w:vAlign w:val="center"/>
          </w:tcPr>
          <w:p w14:paraId="51B9C1B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w:t>
            </w:r>
          </w:p>
        </w:tc>
        <w:tc>
          <w:tcPr>
            <w:tcW w:w="1179" w:type="dxa"/>
            <w:shd w:val="clear" w:color="auto" w:fill="auto"/>
            <w:noWrap/>
            <w:vAlign w:val="center"/>
          </w:tcPr>
          <w:p w14:paraId="7B812BF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0.7797</w:t>
            </w:r>
          </w:p>
        </w:tc>
        <w:tc>
          <w:tcPr>
            <w:tcW w:w="1179" w:type="dxa"/>
            <w:shd w:val="clear" w:color="auto" w:fill="auto"/>
            <w:noWrap/>
            <w:vAlign w:val="center"/>
          </w:tcPr>
          <w:p w14:paraId="0DE7240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0.6204</w:t>
            </w:r>
          </w:p>
        </w:tc>
      </w:tr>
      <w:tr w14:paraId="1FBDF37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CFF0D1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4.3 </w:t>
            </w:r>
          </w:p>
        </w:tc>
        <w:tc>
          <w:tcPr>
            <w:tcW w:w="1098" w:type="dxa"/>
            <w:shd w:val="clear" w:color="auto" w:fill="auto"/>
            <w:noWrap/>
            <w:vAlign w:val="center"/>
          </w:tcPr>
          <w:p w14:paraId="0603C96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0.9241</w:t>
            </w:r>
          </w:p>
        </w:tc>
        <w:tc>
          <w:tcPr>
            <w:tcW w:w="1253" w:type="dxa"/>
            <w:shd w:val="clear" w:color="auto" w:fill="auto"/>
            <w:noWrap/>
            <w:vAlign w:val="center"/>
          </w:tcPr>
          <w:p w14:paraId="72788A0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0.8655</w:t>
            </w:r>
          </w:p>
        </w:tc>
        <w:tc>
          <w:tcPr>
            <w:tcW w:w="1253" w:type="dxa"/>
            <w:shd w:val="clear" w:color="auto" w:fill="auto"/>
            <w:noWrap/>
            <w:vAlign w:val="center"/>
          </w:tcPr>
          <w:p w14:paraId="08E54E4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0.7251</w:t>
            </w:r>
          </w:p>
        </w:tc>
        <w:tc>
          <w:tcPr>
            <w:tcW w:w="1179" w:type="dxa"/>
            <w:shd w:val="clear" w:color="auto" w:fill="auto"/>
            <w:vAlign w:val="center"/>
          </w:tcPr>
          <w:p w14:paraId="6DE6F29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8.8 </w:t>
            </w:r>
          </w:p>
        </w:tc>
        <w:tc>
          <w:tcPr>
            <w:tcW w:w="979" w:type="dxa"/>
            <w:shd w:val="clear" w:color="auto" w:fill="auto"/>
            <w:noWrap/>
            <w:vAlign w:val="center"/>
          </w:tcPr>
          <w:p w14:paraId="700814C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0.8486</w:t>
            </w:r>
          </w:p>
        </w:tc>
        <w:tc>
          <w:tcPr>
            <w:tcW w:w="1179" w:type="dxa"/>
            <w:shd w:val="clear" w:color="auto" w:fill="auto"/>
            <w:noWrap/>
            <w:vAlign w:val="center"/>
          </w:tcPr>
          <w:p w14:paraId="53CCCA5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0.7782</w:t>
            </w:r>
          </w:p>
        </w:tc>
        <w:tc>
          <w:tcPr>
            <w:tcW w:w="1179" w:type="dxa"/>
            <w:shd w:val="clear" w:color="auto" w:fill="auto"/>
            <w:noWrap/>
            <w:vAlign w:val="center"/>
          </w:tcPr>
          <w:p w14:paraId="2397391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0.6185</w:t>
            </w:r>
          </w:p>
        </w:tc>
      </w:tr>
      <w:tr w14:paraId="55FE3D5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C38B4F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4.4 </w:t>
            </w:r>
          </w:p>
        </w:tc>
        <w:tc>
          <w:tcPr>
            <w:tcW w:w="1098" w:type="dxa"/>
            <w:shd w:val="clear" w:color="auto" w:fill="auto"/>
            <w:noWrap/>
            <w:vAlign w:val="center"/>
          </w:tcPr>
          <w:p w14:paraId="2A99EB0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0.9218</w:t>
            </w:r>
          </w:p>
        </w:tc>
        <w:tc>
          <w:tcPr>
            <w:tcW w:w="1253" w:type="dxa"/>
            <w:shd w:val="clear" w:color="auto" w:fill="auto"/>
            <w:noWrap/>
            <w:vAlign w:val="center"/>
          </w:tcPr>
          <w:p w14:paraId="13D8841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0.8629</w:t>
            </w:r>
          </w:p>
        </w:tc>
        <w:tc>
          <w:tcPr>
            <w:tcW w:w="1253" w:type="dxa"/>
            <w:shd w:val="clear" w:color="auto" w:fill="auto"/>
            <w:noWrap/>
            <w:vAlign w:val="center"/>
          </w:tcPr>
          <w:p w14:paraId="6C89913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0.7215</w:t>
            </w:r>
          </w:p>
        </w:tc>
        <w:tc>
          <w:tcPr>
            <w:tcW w:w="1179" w:type="dxa"/>
            <w:shd w:val="clear" w:color="auto" w:fill="auto"/>
            <w:vAlign w:val="center"/>
          </w:tcPr>
          <w:p w14:paraId="7BDFE8E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8.9 </w:t>
            </w:r>
          </w:p>
        </w:tc>
        <w:tc>
          <w:tcPr>
            <w:tcW w:w="979" w:type="dxa"/>
            <w:shd w:val="clear" w:color="auto" w:fill="auto"/>
            <w:noWrap/>
            <w:vAlign w:val="center"/>
          </w:tcPr>
          <w:p w14:paraId="0BF6C22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0.8474</w:t>
            </w:r>
          </w:p>
        </w:tc>
        <w:tc>
          <w:tcPr>
            <w:tcW w:w="1179" w:type="dxa"/>
            <w:shd w:val="clear" w:color="auto" w:fill="auto"/>
            <w:noWrap/>
            <w:vAlign w:val="center"/>
          </w:tcPr>
          <w:p w14:paraId="740FD1D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0.7767</w:t>
            </w:r>
          </w:p>
        </w:tc>
        <w:tc>
          <w:tcPr>
            <w:tcW w:w="1179" w:type="dxa"/>
            <w:shd w:val="clear" w:color="auto" w:fill="auto"/>
            <w:noWrap/>
            <w:vAlign w:val="center"/>
          </w:tcPr>
          <w:p w14:paraId="0B12CB0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0.6167</w:t>
            </w:r>
          </w:p>
        </w:tc>
      </w:tr>
      <w:tr w14:paraId="7B49340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6C9700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4.5 </w:t>
            </w:r>
          </w:p>
        </w:tc>
        <w:tc>
          <w:tcPr>
            <w:tcW w:w="1098" w:type="dxa"/>
            <w:shd w:val="clear" w:color="auto" w:fill="auto"/>
            <w:noWrap/>
            <w:vAlign w:val="center"/>
          </w:tcPr>
          <w:p w14:paraId="45145A0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0.9195</w:t>
            </w:r>
          </w:p>
        </w:tc>
        <w:tc>
          <w:tcPr>
            <w:tcW w:w="1253" w:type="dxa"/>
            <w:shd w:val="clear" w:color="auto" w:fill="auto"/>
            <w:noWrap/>
            <w:vAlign w:val="center"/>
          </w:tcPr>
          <w:p w14:paraId="1227E6F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0.8605</w:t>
            </w:r>
          </w:p>
        </w:tc>
        <w:tc>
          <w:tcPr>
            <w:tcW w:w="1253" w:type="dxa"/>
            <w:shd w:val="clear" w:color="auto" w:fill="auto"/>
            <w:noWrap/>
            <w:vAlign w:val="center"/>
          </w:tcPr>
          <w:p w14:paraId="12E42F8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0.7182</w:t>
            </w:r>
          </w:p>
        </w:tc>
        <w:tc>
          <w:tcPr>
            <w:tcW w:w="1179" w:type="dxa"/>
            <w:shd w:val="clear" w:color="auto" w:fill="auto"/>
            <w:vAlign w:val="center"/>
          </w:tcPr>
          <w:p w14:paraId="7D99A79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9.0 </w:t>
            </w:r>
          </w:p>
        </w:tc>
        <w:tc>
          <w:tcPr>
            <w:tcW w:w="979" w:type="dxa"/>
            <w:shd w:val="clear" w:color="auto" w:fill="auto"/>
            <w:noWrap/>
            <w:vAlign w:val="center"/>
          </w:tcPr>
          <w:p w14:paraId="50CC13B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0.8462</w:t>
            </w:r>
          </w:p>
        </w:tc>
        <w:tc>
          <w:tcPr>
            <w:tcW w:w="1179" w:type="dxa"/>
            <w:shd w:val="clear" w:color="auto" w:fill="auto"/>
            <w:noWrap/>
            <w:vAlign w:val="center"/>
          </w:tcPr>
          <w:p w14:paraId="3EC8A27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0.7751</w:t>
            </w:r>
          </w:p>
        </w:tc>
        <w:tc>
          <w:tcPr>
            <w:tcW w:w="1179" w:type="dxa"/>
            <w:shd w:val="clear" w:color="auto" w:fill="auto"/>
            <w:noWrap/>
            <w:vAlign w:val="center"/>
          </w:tcPr>
          <w:p w14:paraId="1C3E457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0.6148</w:t>
            </w:r>
          </w:p>
        </w:tc>
      </w:tr>
      <w:tr w14:paraId="01DA12F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4937CD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4.6 </w:t>
            </w:r>
          </w:p>
        </w:tc>
        <w:tc>
          <w:tcPr>
            <w:tcW w:w="1098" w:type="dxa"/>
            <w:shd w:val="clear" w:color="auto" w:fill="auto"/>
            <w:noWrap/>
            <w:vAlign w:val="center"/>
          </w:tcPr>
          <w:p w14:paraId="2D90567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0.9173</w:t>
            </w:r>
          </w:p>
        </w:tc>
        <w:tc>
          <w:tcPr>
            <w:tcW w:w="1253" w:type="dxa"/>
            <w:shd w:val="clear" w:color="auto" w:fill="auto"/>
            <w:noWrap/>
            <w:vAlign w:val="center"/>
          </w:tcPr>
          <w:p w14:paraId="3424837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0.8581</w:t>
            </w:r>
          </w:p>
        </w:tc>
        <w:tc>
          <w:tcPr>
            <w:tcW w:w="1253" w:type="dxa"/>
            <w:shd w:val="clear" w:color="auto" w:fill="auto"/>
            <w:noWrap/>
            <w:vAlign w:val="center"/>
          </w:tcPr>
          <w:p w14:paraId="7DF2091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0.715</w:t>
            </w:r>
          </w:p>
        </w:tc>
        <w:tc>
          <w:tcPr>
            <w:tcW w:w="1179" w:type="dxa"/>
            <w:shd w:val="clear" w:color="auto" w:fill="auto"/>
            <w:vAlign w:val="center"/>
          </w:tcPr>
          <w:p w14:paraId="0B31B51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9.1 </w:t>
            </w:r>
          </w:p>
        </w:tc>
        <w:tc>
          <w:tcPr>
            <w:tcW w:w="979" w:type="dxa"/>
            <w:shd w:val="clear" w:color="auto" w:fill="auto"/>
            <w:noWrap/>
            <w:vAlign w:val="center"/>
          </w:tcPr>
          <w:p w14:paraId="1B6C99F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0.845</w:t>
            </w:r>
          </w:p>
        </w:tc>
        <w:tc>
          <w:tcPr>
            <w:tcW w:w="1179" w:type="dxa"/>
            <w:shd w:val="clear" w:color="auto" w:fill="auto"/>
            <w:noWrap/>
            <w:vAlign w:val="center"/>
          </w:tcPr>
          <w:p w14:paraId="184AF75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0.7736</w:t>
            </w:r>
          </w:p>
        </w:tc>
        <w:tc>
          <w:tcPr>
            <w:tcW w:w="1179" w:type="dxa"/>
            <w:shd w:val="clear" w:color="auto" w:fill="auto"/>
            <w:noWrap/>
            <w:vAlign w:val="center"/>
          </w:tcPr>
          <w:p w14:paraId="5AB5E79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0.613</w:t>
            </w:r>
          </w:p>
        </w:tc>
      </w:tr>
      <w:tr w14:paraId="661783A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4D76BB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4.7 </w:t>
            </w:r>
          </w:p>
        </w:tc>
        <w:tc>
          <w:tcPr>
            <w:tcW w:w="1098" w:type="dxa"/>
            <w:shd w:val="clear" w:color="auto" w:fill="auto"/>
            <w:noWrap/>
            <w:vAlign w:val="center"/>
          </w:tcPr>
          <w:p w14:paraId="602AA12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0.9152</w:t>
            </w:r>
          </w:p>
        </w:tc>
        <w:tc>
          <w:tcPr>
            <w:tcW w:w="1253" w:type="dxa"/>
            <w:shd w:val="clear" w:color="auto" w:fill="auto"/>
            <w:noWrap/>
            <w:vAlign w:val="center"/>
          </w:tcPr>
          <w:p w14:paraId="47B1586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0.8557</w:t>
            </w:r>
          </w:p>
        </w:tc>
        <w:tc>
          <w:tcPr>
            <w:tcW w:w="1253" w:type="dxa"/>
            <w:shd w:val="clear" w:color="auto" w:fill="auto"/>
            <w:noWrap/>
            <w:vAlign w:val="center"/>
          </w:tcPr>
          <w:p w14:paraId="529F3BA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0.712</w:t>
            </w:r>
          </w:p>
        </w:tc>
        <w:tc>
          <w:tcPr>
            <w:tcW w:w="1179" w:type="dxa"/>
            <w:shd w:val="clear" w:color="auto" w:fill="auto"/>
            <w:vAlign w:val="center"/>
          </w:tcPr>
          <w:p w14:paraId="221F7D2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9.2 </w:t>
            </w:r>
          </w:p>
        </w:tc>
        <w:tc>
          <w:tcPr>
            <w:tcW w:w="979" w:type="dxa"/>
            <w:shd w:val="clear" w:color="auto" w:fill="auto"/>
            <w:noWrap/>
            <w:vAlign w:val="center"/>
          </w:tcPr>
          <w:p w14:paraId="69111F0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0.8437</w:t>
            </w:r>
          </w:p>
        </w:tc>
        <w:tc>
          <w:tcPr>
            <w:tcW w:w="1179" w:type="dxa"/>
            <w:shd w:val="clear" w:color="auto" w:fill="auto"/>
            <w:noWrap/>
            <w:vAlign w:val="center"/>
          </w:tcPr>
          <w:p w14:paraId="59B25D2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0.7721</w:t>
            </w:r>
          </w:p>
        </w:tc>
        <w:tc>
          <w:tcPr>
            <w:tcW w:w="1179" w:type="dxa"/>
            <w:shd w:val="clear" w:color="auto" w:fill="auto"/>
            <w:noWrap/>
            <w:vAlign w:val="center"/>
          </w:tcPr>
          <w:p w14:paraId="606A9A5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0.6112</w:t>
            </w:r>
          </w:p>
        </w:tc>
      </w:tr>
      <w:tr w14:paraId="62571C7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91E887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4.8 </w:t>
            </w:r>
          </w:p>
        </w:tc>
        <w:tc>
          <w:tcPr>
            <w:tcW w:w="1098" w:type="dxa"/>
            <w:shd w:val="clear" w:color="auto" w:fill="auto"/>
            <w:noWrap/>
            <w:vAlign w:val="center"/>
          </w:tcPr>
          <w:p w14:paraId="0584F7F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0.9131</w:t>
            </w:r>
          </w:p>
        </w:tc>
        <w:tc>
          <w:tcPr>
            <w:tcW w:w="1253" w:type="dxa"/>
            <w:shd w:val="clear" w:color="auto" w:fill="auto"/>
            <w:noWrap/>
            <w:vAlign w:val="center"/>
          </w:tcPr>
          <w:p w14:paraId="44AF686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0.8534</w:t>
            </w:r>
          </w:p>
        </w:tc>
        <w:tc>
          <w:tcPr>
            <w:tcW w:w="1253" w:type="dxa"/>
            <w:shd w:val="clear" w:color="auto" w:fill="auto"/>
            <w:noWrap/>
            <w:vAlign w:val="center"/>
          </w:tcPr>
          <w:p w14:paraId="75A8174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0.7091</w:t>
            </w:r>
          </w:p>
        </w:tc>
        <w:tc>
          <w:tcPr>
            <w:tcW w:w="1179" w:type="dxa"/>
            <w:shd w:val="clear" w:color="auto" w:fill="auto"/>
            <w:vAlign w:val="center"/>
          </w:tcPr>
          <w:p w14:paraId="64B7C77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9.3 </w:t>
            </w:r>
          </w:p>
        </w:tc>
        <w:tc>
          <w:tcPr>
            <w:tcW w:w="979" w:type="dxa"/>
            <w:shd w:val="clear" w:color="auto" w:fill="auto"/>
            <w:noWrap/>
            <w:vAlign w:val="center"/>
          </w:tcPr>
          <w:p w14:paraId="544F7E5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0.8425</w:t>
            </w:r>
          </w:p>
        </w:tc>
        <w:tc>
          <w:tcPr>
            <w:tcW w:w="1179" w:type="dxa"/>
            <w:shd w:val="clear" w:color="auto" w:fill="auto"/>
            <w:noWrap/>
            <w:vAlign w:val="center"/>
          </w:tcPr>
          <w:p w14:paraId="3DBC8F8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0.7706</w:t>
            </w:r>
          </w:p>
        </w:tc>
        <w:tc>
          <w:tcPr>
            <w:tcW w:w="1179" w:type="dxa"/>
            <w:shd w:val="clear" w:color="auto" w:fill="auto"/>
            <w:noWrap/>
            <w:vAlign w:val="center"/>
          </w:tcPr>
          <w:p w14:paraId="130A202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0.6094</w:t>
            </w:r>
          </w:p>
        </w:tc>
      </w:tr>
      <w:tr w14:paraId="58DAF39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1340B4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4.9 </w:t>
            </w:r>
          </w:p>
        </w:tc>
        <w:tc>
          <w:tcPr>
            <w:tcW w:w="1098" w:type="dxa"/>
            <w:shd w:val="clear" w:color="auto" w:fill="auto"/>
            <w:noWrap/>
            <w:vAlign w:val="center"/>
          </w:tcPr>
          <w:p w14:paraId="694A881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0.9112</w:t>
            </w:r>
          </w:p>
        </w:tc>
        <w:tc>
          <w:tcPr>
            <w:tcW w:w="1253" w:type="dxa"/>
            <w:shd w:val="clear" w:color="auto" w:fill="auto"/>
            <w:noWrap/>
            <w:vAlign w:val="center"/>
          </w:tcPr>
          <w:p w14:paraId="13708F0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0.8511</w:t>
            </w:r>
          </w:p>
        </w:tc>
        <w:tc>
          <w:tcPr>
            <w:tcW w:w="1253" w:type="dxa"/>
            <w:shd w:val="clear" w:color="auto" w:fill="auto"/>
            <w:noWrap/>
            <w:vAlign w:val="center"/>
          </w:tcPr>
          <w:p w14:paraId="347F7D2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0.7062</w:t>
            </w:r>
          </w:p>
        </w:tc>
        <w:tc>
          <w:tcPr>
            <w:tcW w:w="1179" w:type="dxa"/>
            <w:shd w:val="clear" w:color="auto" w:fill="auto"/>
            <w:vAlign w:val="center"/>
          </w:tcPr>
          <w:p w14:paraId="013D785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9.4 </w:t>
            </w:r>
          </w:p>
        </w:tc>
        <w:tc>
          <w:tcPr>
            <w:tcW w:w="979" w:type="dxa"/>
            <w:shd w:val="clear" w:color="auto" w:fill="auto"/>
            <w:noWrap/>
            <w:vAlign w:val="center"/>
          </w:tcPr>
          <w:p w14:paraId="3A6582D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0.8413</w:t>
            </w:r>
          </w:p>
        </w:tc>
        <w:tc>
          <w:tcPr>
            <w:tcW w:w="1179" w:type="dxa"/>
            <w:shd w:val="clear" w:color="auto" w:fill="auto"/>
            <w:noWrap/>
            <w:vAlign w:val="center"/>
          </w:tcPr>
          <w:p w14:paraId="64E1197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0.769</w:t>
            </w:r>
          </w:p>
        </w:tc>
        <w:tc>
          <w:tcPr>
            <w:tcW w:w="1179" w:type="dxa"/>
            <w:shd w:val="clear" w:color="auto" w:fill="auto"/>
            <w:noWrap/>
            <w:vAlign w:val="center"/>
          </w:tcPr>
          <w:p w14:paraId="3FB361E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0.6076</w:t>
            </w:r>
          </w:p>
        </w:tc>
      </w:tr>
      <w:tr w14:paraId="18F0CA5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D4F82F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5.0</w:t>
            </w:r>
          </w:p>
        </w:tc>
        <w:tc>
          <w:tcPr>
            <w:tcW w:w="1098" w:type="dxa"/>
            <w:shd w:val="clear" w:color="auto" w:fill="auto"/>
            <w:noWrap/>
            <w:vAlign w:val="center"/>
          </w:tcPr>
          <w:p w14:paraId="285ABC6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0.9092</w:t>
            </w:r>
          </w:p>
        </w:tc>
        <w:tc>
          <w:tcPr>
            <w:tcW w:w="1253" w:type="dxa"/>
            <w:shd w:val="clear" w:color="auto" w:fill="auto"/>
            <w:noWrap/>
            <w:vAlign w:val="center"/>
          </w:tcPr>
          <w:p w14:paraId="32B3C3A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0.8489</w:t>
            </w:r>
          </w:p>
        </w:tc>
        <w:tc>
          <w:tcPr>
            <w:tcW w:w="1253" w:type="dxa"/>
            <w:shd w:val="clear" w:color="auto" w:fill="auto"/>
            <w:noWrap/>
            <w:vAlign w:val="center"/>
          </w:tcPr>
          <w:p w14:paraId="2326743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0.7035</w:t>
            </w:r>
          </w:p>
        </w:tc>
        <w:tc>
          <w:tcPr>
            <w:tcW w:w="1179" w:type="dxa"/>
            <w:shd w:val="clear" w:color="auto" w:fill="auto"/>
            <w:vAlign w:val="center"/>
          </w:tcPr>
          <w:p w14:paraId="6D4EAB8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9.5 </w:t>
            </w:r>
          </w:p>
        </w:tc>
        <w:tc>
          <w:tcPr>
            <w:tcW w:w="979" w:type="dxa"/>
            <w:shd w:val="clear" w:color="auto" w:fill="auto"/>
            <w:noWrap/>
            <w:vAlign w:val="center"/>
          </w:tcPr>
          <w:p w14:paraId="38559FC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0.8401</w:t>
            </w:r>
          </w:p>
        </w:tc>
        <w:tc>
          <w:tcPr>
            <w:tcW w:w="1179" w:type="dxa"/>
            <w:shd w:val="clear" w:color="auto" w:fill="auto"/>
            <w:noWrap/>
            <w:vAlign w:val="center"/>
          </w:tcPr>
          <w:p w14:paraId="5F1DBC7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0.7676</w:t>
            </w:r>
          </w:p>
        </w:tc>
        <w:tc>
          <w:tcPr>
            <w:tcW w:w="1179" w:type="dxa"/>
            <w:shd w:val="clear" w:color="auto" w:fill="auto"/>
            <w:noWrap/>
            <w:vAlign w:val="center"/>
          </w:tcPr>
          <w:p w14:paraId="53BF592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0.6058</w:t>
            </w:r>
          </w:p>
        </w:tc>
      </w:tr>
      <w:tr w14:paraId="25F8CB4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BC3DFC1">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5.1 </w:t>
            </w:r>
          </w:p>
        </w:tc>
        <w:tc>
          <w:tcPr>
            <w:tcW w:w="1098" w:type="dxa"/>
            <w:shd w:val="clear" w:color="auto" w:fill="auto"/>
            <w:noWrap/>
            <w:vAlign w:val="center"/>
          </w:tcPr>
          <w:p w14:paraId="543D7A6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0.9072</w:t>
            </w:r>
          </w:p>
        </w:tc>
        <w:tc>
          <w:tcPr>
            <w:tcW w:w="1253" w:type="dxa"/>
            <w:shd w:val="clear" w:color="auto" w:fill="auto"/>
            <w:noWrap/>
            <w:vAlign w:val="center"/>
          </w:tcPr>
          <w:p w14:paraId="07EE934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0.8467</w:t>
            </w:r>
          </w:p>
        </w:tc>
        <w:tc>
          <w:tcPr>
            <w:tcW w:w="1253" w:type="dxa"/>
            <w:shd w:val="clear" w:color="auto" w:fill="auto"/>
            <w:noWrap/>
            <w:vAlign w:val="center"/>
          </w:tcPr>
          <w:p w14:paraId="3D47F39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0.7009</w:t>
            </w:r>
          </w:p>
        </w:tc>
        <w:tc>
          <w:tcPr>
            <w:tcW w:w="1179" w:type="dxa"/>
            <w:shd w:val="clear" w:color="auto" w:fill="auto"/>
            <w:vAlign w:val="center"/>
          </w:tcPr>
          <w:p w14:paraId="4394844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9.6 </w:t>
            </w:r>
          </w:p>
        </w:tc>
        <w:tc>
          <w:tcPr>
            <w:tcW w:w="979" w:type="dxa"/>
            <w:shd w:val="clear" w:color="auto" w:fill="auto"/>
            <w:noWrap/>
            <w:vAlign w:val="center"/>
          </w:tcPr>
          <w:p w14:paraId="3241C8C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0.839</w:t>
            </w:r>
          </w:p>
        </w:tc>
        <w:tc>
          <w:tcPr>
            <w:tcW w:w="1179" w:type="dxa"/>
            <w:shd w:val="clear" w:color="auto" w:fill="auto"/>
            <w:noWrap/>
            <w:vAlign w:val="center"/>
          </w:tcPr>
          <w:p w14:paraId="601CB8A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0.7662</w:t>
            </w:r>
          </w:p>
        </w:tc>
        <w:tc>
          <w:tcPr>
            <w:tcW w:w="1179" w:type="dxa"/>
            <w:shd w:val="clear" w:color="auto" w:fill="auto"/>
            <w:noWrap/>
            <w:vAlign w:val="center"/>
          </w:tcPr>
          <w:p w14:paraId="7835539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0.6041</w:t>
            </w:r>
          </w:p>
        </w:tc>
      </w:tr>
      <w:tr w14:paraId="64522E2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D7E4B62">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5.2 </w:t>
            </w:r>
          </w:p>
        </w:tc>
        <w:tc>
          <w:tcPr>
            <w:tcW w:w="1098" w:type="dxa"/>
            <w:shd w:val="clear" w:color="auto" w:fill="auto"/>
            <w:noWrap/>
            <w:vAlign w:val="center"/>
          </w:tcPr>
          <w:p w14:paraId="6AA9963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0.9053</w:t>
            </w:r>
          </w:p>
        </w:tc>
        <w:tc>
          <w:tcPr>
            <w:tcW w:w="1253" w:type="dxa"/>
            <w:shd w:val="clear" w:color="auto" w:fill="auto"/>
            <w:noWrap/>
            <w:vAlign w:val="center"/>
          </w:tcPr>
          <w:p w14:paraId="49445CF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0.8445</w:t>
            </w:r>
          </w:p>
        </w:tc>
        <w:tc>
          <w:tcPr>
            <w:tcW w:w="1253" w:type="dxa"/>
            <w:shd w:val="clear" w:color="auto" w:fill="auto"/>
            <w:noWrap/>
            <w:vAlign w:val="center"/>
          </w:tcPr>
          <w:p w14:paraId="3FF7A35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0.6982</w:t>
            </w:r>
          </w:p>
        </w:tc>
        <w:tc>
          <w:tcPr>
            <w:tcW w:w="1179" w:type="dxa"/>
            <w:shd w:val="clear" w:color="auto" w:fill="auto"/>
            <w:vAlign w:val="center"/>
          </w:tcPr>
          <w:p w14:paraId="1441599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9.7 </w:t>
            </w:r>
          </w:p>
        </w:tc>
        <w:tc>
          <w:tcPr>
            <w:tcW w:w="979" w:type="dxa"/>
            <w:shd w:val="clear" w:color="auto" w:fill="auto"/>
            <w:noWrap/>
            <w:vAlign w:val="center"/>
          </w:tcPr>
          <w:p w14:paraId="3C9E0135">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0.8378</w:t>
            </w:r>
          </w:p>
        </w:tc>
        <w:tc>
          <w:tcPr>
            <w:tcW w:w="1179" w:type="dxa"/>
            <w:shd w:val="clear" w:color="auto" w:fill="auto"/>
            <w:noWrap/>
            <w:vAlign w:val="center"/>
          </w:tcPr>
          <w:p w14:paraId="2BAFF53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0.7648</w:t>
            </w:r>
          </w:p>
        </w:tc>
        <w:tc>
          <w:tcPr>
            <w:tcW w:w="1179" w:type="dxa"/>
            <w:shd w:val="clear" w:color="auto" w:fill="auto"/>
            <w:noWrap/>
            <w:vAlign w:val="center"/>
          </w:tcPr>
          <w:p w14:paraId="16DBD53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0.6024</w:t>
            </w:r>
          </w:p>
        </w:tc>
      </w:tr>
      <w:tr w14:paraId="0353EC8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99C485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5.3 </w:t>
            </w:r>
          </w:p>
        </w:tc>
        <w:tc>
          <w:tcPr>
            <w:tcW w:w="1098" w:type="dxa"/>
            <w:shd w:val="clear" w:color="auto" w:fill="auto"/>
            <w:noWrap/>
            <w:vAlign w:val="center"/>
          </w:tcPr>
          <w:p w14:paraId="322C8B78">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0.9034</w:t>
            </w:r>
          </w:p>
        </w:tc>
        <w:tc>
          <w:tcPr>
            <w:tcW w:w="1253" w:type="dxa"/>
            <w:shd w:val="clear" w:color="auto" w:fill="auto"/>
            <w:noWrap/>
            <w:vAlign w:val="center"/>
          </w:tcPr>
          <w:p w14:paraId="042D3949">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0.8423</w:t>
            </w:r>
          </w:p>
        </w:tc>
        <w:tc>
          <w:tcPr>
            <w:tcW w:w="1253" w:type="dxa"/>
            <w:shd w:val="clear" w:color="auto" w:fill="auto"/>
            <w:noWrap/>
            <w:vAlign w:val="center"/>
          </w:tcPr>
          <w:p w14:paraId="1783A2DC">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0.6957</w:t>
            </w:r>
          </w:p>
        </w:tc>
        <w:tc>
          <w:tcPr>
            <w:tcW w:w="1179" w:type="dxa"/>
            <w:shd w:val="clear" w:color="auto" w:fill="auto"/>
            <w:vAlign w:val="center"/>
          </w:tcPr>
          <w:p w14:paraId="18439CDE">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9.8 </w:t>
            </w:r>
          </w:p>
        </w:tc>
        <w:tc>
          <w:tcPr>
            <w:tcW w:w="979" w:type="dxa"/>
            <w:shd w:val="clear" w:color="auto" w:fill="auto"/>
            <w:noWrap/>
            <w:vAlign w:val="center"/>
          </w:tcPr>
          <w:p w14:paraId="1AC8C2D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0.8367</w:t>
            </w:r>
          </w:p>
        </w:tc>
        <w:tc>
          <w:tcPr>
            <w:tcW w:w="1179" w:type="dxa"/>
            <w:shd w:val="clear" w:color="auto" w:fill="auto"/>
            <w:noWrap/>
            <w:vAlign w:val="center"/>
          </w:tcPr>
          <w:p w14:paraId="2FBD97C0">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0.7633</w:t>
            </w:r>
          </w:p>
        </w:tc>
        <w:tc>
          <w:tcPr>
            <w:tcW w:w="1179" w:type="dxa"/>
            <w:shd w:val="clear" w:color="auto" w:fill="auto"/>
            <w:noWrap/>
            <w:vAlign w:val="center"/>
          </w:tcPr>
          <w:p w14:paraId="717745CA">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0.6006</w:t>
            </w:r>
          </w:p>
        </w:tc>
      </w:tr>
      <w:tr w14:paraId="41A8104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vAlign w:val="center"/>
          </w:tcPr>
          <w:p w14:paraId="36198CDD">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 xml:space="preserve">5.4 </w:t>
            </w:r>
          </w:p>
        </w:tc>
        <w:tc>
          <w:tcPr>
            <w:tcW w:w="1098" w:type="dxa"/>
            <w:shd w:val="clear" w:color="auto" w:fill="auto"/>
            <w:noWrap/>
            <w:vAlign w:val="center"/>
          </w:tcPr>
          <w:p w14:paraId="294C52E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0.9015</w:t>
            </w:r>
          </w:p>
        </w:tc>
        <w:tc>
          <w:tcPr>
            <w:tcW w:w="1253" w:type="dxa"/>
            <w:shd w:val="clear" w:color="auto" w:fill="auto"/>
            <w:noWrap/>
            <w:vAlign w:val="center"/>
          </w:tcPr>
          <w:p w14:paraId="0692ED7B">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0.8402</w:t>
            </w:r>
          </w:p>
        </w:tc>
        <w:tc>
          <w:tcPr>
            <w:tcW w:w="1253" w:type="dxa"/>
            <w:shd w:val="clear" w:color="auto" w:fill="auto"/>
            <w:noWrap/>
            <w:vAlign w:val="center"/>
          </w:tcPr>
          <w:p w14:paraId="18DEBFB3">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0.6931</w:t>
            </w:r>
          </w:p>
        </w:tc>
        <w:tc>
          <w:tcPr>
            <w:tcW w:w="1179" w:type="dxa"/>
            <w:shd w:val="clear" w:color="auto" w:fill="auto"/>
            <w:vAlign w:val="center"/>
          </w:tcPr>
          <w:p w14:paraId="3B334F07">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9.9</w:t>
            </w:r>
          </w:p>
        </w:tc>
        <w:tc>
          <w:tcPr>
            <w:tcW w:w="979" w:type="dxa"/>
            <w:shd w:val="clear" w:color="auto" w:fill="auto"/>
            <w:noWrap/>
            <w:vAlign w:val="center"/>
          </w:tcPr>
          <w:p w14:paraId="7B86DF84">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0.8356</w:t>
            </w:r>
          </w:p>
        </w:tc>
        <w:tc>
          <w:tcPr>
            <w:tcW w:w="1179" w:type="dxa"/>
            <w:shd w:val="clear" w:color="auto" w:fill="auto"/>
            <w:noWrap/>
            <w:vAlign w:val="center"/>
          </w:tcPr>
          <w:p w14:paraId="13E3D536">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0.7619</w:t>
            </w:r>
          </w:p>
        </w:tc>
        <w:tc>
          <w:tcPr>
            <w:tcW w:w="1179" w:type="dxa"/>
            <w:shd w:val="clear" w:color="auto" w:fill="auto"/>
            <w:noWrap/>
            <w:vAlign w:val="center"/>
          </w:tcPr>
          <w:p w14:paraId="1D2AF91F">
            <w:pPr>
              <w:widowControl/>
              <w:adjustRightInd/>
              <w:spacing w:line="200" w:lineRule="exact"/>
              <w:textAlignment w:val="auto"/>
              <w:rPr>
                <w:rFonts w:ascii="Arial" w:hAnsi="Arial" w:eastAsia="仿宋" w:cs="Arial"/>
                <w:color w:val="auto"/>
                <w:sz w:val="20"/>
              </w:rPr>
            </w:pPr>
            <w:r>
              <w:rPr>
                <w:rFonts w:ascii="Arial" w:hAnsi="Arial" w:eastAsia="仿宋" w:cs="Arial"/>
                <w:color w:val="auto"/>
                <w:sz w:val="20"/>
              </w:rPr>
              <w:t>0.5989</w:t>
            </w:r>
          </w:p>
        </w:tc>
      </w:tr>
      <w:tr w14:paraId="550BD88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9299" w:type="dxa"/>
            <w:gridSpan w:val="8"/>
            <w:shd w:val="clear" w:color="auto" w:fill="auto"/>
            <w:vAlign w:val="center"/>
          </w:tcPr>
          <w:p w14:paraId="06EBA9BF">
            <w:pPr>
              <w:widowControl/>
              <w:adjustRightInd/>
              <w:spacing w:line="220" w:lineRule="exact"/>
              <w:textAlignment w:val="auto"/>
              <w:rPr>
                <w:rFonts w:ascii="Arial" w:hAnsi="Arial" w:eastAsia="仿宋" w:cs="Arial"/>
                <w:color w:val="auto"/>
                <w:sz w:val="20"/>
              </w:rPr>
            </w:pPr>
            <w:r>
              <w:rPr>
                <w:rFonts w:ascii="Arial" w:hAnsi="Arial" w:eastAsia="仿宋" w:cs="Arial"/>
                <w:color w:val="auto"/>
                <w:sz w:val="20"/>
              </w:rPr>
              <w:t>说明：容积率大于等于10时的容积率修正系数按照以下公式计算：1～2级：X</w:t>
            </w:r>
            <w:r>
              <w:rPr>
                <w:rFonts w:ascii="Arial" w:hAnsi="Arial" w:eastAsia="仿宋" w:cs="Arial"/>
                <w:color w:val="auto"/>
                <w:sz w:val="20"/>
                <w:vertAlign w:val="subscript"/>
              </w:rPr>
              <w:t>R</w:t>
            </w:r>
            <w:r>
              <w:rPr>
                <w:rFonts w:hint="eastAsia" w:ascii="Arial" w:hAnsi="Arial" w:eastAsia="仿宋" w:cs="Arial"/>
                <w:color w:val="auto"/>
                <w:sz w:val="20"/>
              </w:rPr>
              <w:t>＝</w:t>
            </w:r>
            <w:r>
              <w:rPr>
                <w:rFonts w:ascii="Arial" w:hAnsi="Arial" w:eastAsia="仿宋" w:cs="Arial"/>
                <w:color w:val="auto"/>
                <w:sz w:val="20"/>
              </w:rPr>
              <w:t>0.9404－0.0106R；3～7级：X</w:t>
            </w:r>
            <w:r>
              <w:rPr>
                <w:rFonts w:ascii="Arial" w:hAnsi="Arial" w:eastAsia="仿宋" w:cs="Arial"/>
                <w:color w:val="auto"/>
                <w:sz w:val="20"/>
                <w:vertAlign w:val="subscript"/>
              </w:rPr>
              <w:t>R</w:t>
            </w:r>
            <w:r>
              <w:rPr>
                <w:rFonts w:hint="eastAsia" w:ascii="Arial" w:hAnsi="Arial" w:eastAsia="仿宋" w:cs="Arial"/>
                <w:color w:val="auto"/>
                <w:sz w:val="20"/>
              </w:rPr>
              <w:t>＝</w:t>
            </w:r>
            <w:r>
              <w:rPr>
                <w:rFonts w:ascii="Arial" w:hAnsi="Arial" w:eastAsia="仿宋" w:cs="Arial"/>
                <w:color w:val="auto"/>
                <w:sz w:val="20"/>
              </w:rPr>
              <w:t>0.8955－0.0135R；8～12级：X</w:t>
            </w:r>
            <w:r>
              <w:rPr>
                <w:rFonts w:ascii="Arial" w:hAnsi="Arial" w:eastAsia="仿宋" w:cs="Arial"/>
                <w:color w:val="auto"/>
                <w:sz w:val="20"/>
                <w:vertAlign w:val="subscript"/>
              </w:rPr>
              <w:t>R</w:t>
            </w:r>
            <w:r>
              <w:rPr>
                <w:rFonts w:hint="eastAsia" w:ascii="Arial" w:hAnsi="Arial" w:eastAsia="仿宋" w:cs="Arial"/>
                <w:color w:val="auto"/>
                <w:sz w:val="20"/>
              </w:rPr>
              <w:t>＝</w:t>
            </w:r>
            <w:r>
              <w:rPr>
                <w:rFonts w:ascii="Arial" w:hAnsi="Arial" w:eastAsia="仿宋" w:cs="Arial"/>
                <w:color w:val="auto"/>
                <w:sz w:val="20"/>
              </w:rPr>
              <w:t>0.7632－0.0166R。</w:t>
            </w:r>
          </w:p>
        </w:tc>
      </w:tr>
    </w:tbl>
    <w:p w14:paraId="69943F56">
      <w:pPr>
        <w:spacing w:before="240" w:beforeLines="100"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估价对象容积率R为1.20，根据上表可知，容积率修正系数为1.0678</w:t>
      </w:r>
    </w:p>
    <w:p w14:paraId="1BC1999B">
      <w:pPr>
        <w:adjustRightInd/>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F.因素修正系数的确定</w:t>
      </w:r>
    </w:p>
    <w:p w14:paraId="2DAEB1EC">
      <w:pPr>
        <w:adjustRightInd/>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因素修正系数是指除容积率（楼层）、期日、年期、用途之外的其它地价影响因素的综合修正系数。参照《北京市基准地价因素修正系数说明表》（详见下表），根据估价对象用途对应的宗地各种因素情况确定每种因素的修正系数，应用以下公式测算宗地因素修正系数：</w:t>
      </w:r>
    </w:p>
    <w:p w14:paraId="57F122D3">
      <w:pPr>
        <w:adjustRightInd/>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因素修正系数</w:t>
      </w:r>
      <w:r>
        <w:rPr>
          <w:rFonts w:hint="eastAsia" w:ascii="Arial" w:hAnsi="Arial" w:eastAsia="仿宋" w:cs="Arial"/>
          <w:color w:val="auto"/>
          <w:sz w:val="28"/>
          <w:szCs w:val="28"/>
        </w:rPr>
        <w:t>＝</w:t>
      </w:r>
      <w:r>
        <w:rPr>
          <w:rFonts w:ascii="Arial" w:hAnsi="Arial" w:eastAsia="仿宋" w:cs="Arial"/>
          <w:color w:val="auto"/>
          <w:sz w:val="28"/>
          <w:szCs w:val="28"/>
        </w:rPr>
        <w:t>1＋</w:t>
      </w:r>
      <w:r>
        <w:rPr>
          <w:rFonts w:ascii="Arial" w:hAnsi="Arial" w:eastAsia="仿宋" w:cs="Arial"/>
          <w:color w:val="auto"/>
          <w:sz w:val="28"/>
          <w:szCs w:val="28"/>
        </w:rPr>
        <w:fldChar w:fldCharType="begin"/>
      </w:r>
      <w:r>
        <w:rPr>
          <w:rFonts w:ascii="Arial" w:hAnsi="Arial" w:eastAsia="仿宋" w:cs="Arial"/>
          <w:color w:val="auto"/>
          <w:sz w:val="28"/>
          <w:szCs w:val="28"/>
        </w:rPr>
        <w:instrText xml:space="preserve"> QUOTE </w:instrText>
      </w:r>
      <w:r>
        <w:rPr>
          <w:rFonts w:ascii="Arial" w:hAnsi="Arial" w:eastAsia="仿宋" w:cs="Arial"/>
          <w:color w:val="auto"/>
          <w:sz w:val="28"/>
          <w:szCs w:val="28"/>
        </w:rPr>
        <w:pict>
          <v:shape id="_x0000_i1029" o:spt="75" type="#_x0000_t75" style="height:18.75pt;width:30.75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bordersDontSurroundHeader/&gt;&lt;w:bordersDontSurroundFooter/&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06111&quot;/&gt;&lt;wsp:rsid wsp:val=&quot;000178EB&quot;/&gt;&lt;wsp:rsid wsp:val=&quot;00032366&quot;/&gt;&lt;wsp:rsid wsp:val=&quot;00032528&quot;/&gt;&lt;wsp:rsid wsp:val=&quot;0005644A&quot;/&gt;&lt;wsp:rsid wsp:val=&quot;000870BF&quot;/&gt;&lt;wsp:rsid wsp:val=&quot;000A2CE2&quot;/&gt;&lt;wsp:rsid wsp:val=&quot;000A35BB&quot;/&gt;&lt;wsp:rsid wsp:val=&quot;000C479B&quot;/&gt;&lt;wsp:rsid wsp:val=&quot;000F7E94&quot;/&gt;&lt;wsp:rsid wsp:val=&quot;00100E36&quot;/&gt;&lt;wsp:rsid wsp:val=&quot;0010754D&quot;/&gt;&lt;wsp:rsid wsp:val=&quot;0011058E&quot;/&gt;&lt;wsp:rsid wsp:val=&quot;00115E7E&quot;/&gt;&lt;wsp:rsid wsp:val=&quot;00115F67&quot;/&gt;&lt;wsp:rsid wsp:val=&quot;00136655&quot;/&gt;&lt;wsp:rsid wsp:val=&quot;001709EB&quot;/&gt;&lt;wsp:rsid wsp:val=&quot;00175821&quot;/&gt;&lt;wsp:rsid wsp:val=&quot;00180DC9&quot;/&gt;&lt;wsp:rsid wsp:val=&quot;001A4628&quot;/&gt;&lt;wsp:rsid wsp:val=&quot;001A66E5&quot;/&gt;&lt;wsp:rsid wsp:val=&quot;001C2E50&quot;/&gt;&lt;wsp:rsid wsp:val=&quot;001D78E4&quot;/&gt;&lt;wsp:rsid wsp:val=&quot;001E3E70&quot;/&gt;&lt;wsp:rsid wsp:val=&quot;001F4C0A&quot;/&gt;&lt;wsp:rsid wsp:val=&quot;00251D66&quot;/&gt;&lt;wsp:rsid wsp:val=&quot;0025382F&quot;/&gt;&lt;wsp:rsid wsp:val=&quot;00263EFC&quot;/&gt;&lt;wsp:rsid wsp:val=&quot;00283C27&quot;/&gt;&lt;wsp:rsid wsp:val=&quot;002A32A6&quot;/&gt;&lt;wsp:rsid wsp:val=&quot;002D1E84&quot;/&gt;&lt;wsp:rsid wsp:val=&quot;002E011B&quot;/&gt;&lt;wsp:rsid wsp:val=&quot;00315E7C&quot;/&gt;&lt;wsp:rsid wsp:val=&quot;003451F1&quot;/&gt;&lt;wsp:rsid wsp:val=&quot;00350A39&quot;/&gt;&lt;wsp:rsid wsp:val=&quot;00366E0F&quot;/&gt;&lt;wsp:rsid wsp:val=&quot;00374477&quot;/&gt;&lt;wsp:rsid wsp:val=&quot;003860EA&quot;/&gt;&lt;wsp:rsid wsp:val=&quot;00386735&quot;/&gt;&lt;wsp:rsid wsp:val=&quot;003972C2&quot;/&gt;&lt;wsp:rsid wsp:val=&quot;003B064A&quot;/&gt;&lt;wsp:rsid wsp:val=&quot;003F0E81&quot;/&gt;&lt;wsp:rsid wsp:val=&quot;003F732B&quot;/&gt;&lt;wsp:rsid wsp:val=&quot;003F7CA6&quot;/&gt;&lt;wsp:rsid wsp:val=&quot;0040135C&quot;/&gt;&lt;wsp:rsid wsp:val=&quot;00402AED&quot;/&gt;&lt;wsp:rsid wsp:val=&quot;00407162&quot;/&gt;&lt;wsp:rsid wsp:val=&quot;00415EB6&quot;/&gt;&lt;wsp:rsid wsp:val=&quot;0043011E&quot;/&gt;&lt;wsp:rsid wsp:val=&quot;004763B8&quot;/&gt;&lt;wsp:rsid wsp:val=&quot;00476BC3&quot;/&gt;&lt;wsp:rsid wsp:val=&quot;00484DC2&quot;/&gt;&lt;wsp:rsid wsp:val=&quot;00494499&quot;/&gt;&lt;wsp:rsid wsp:val=&quot;004B0921&quot;/&gt;&lt;wsp:rsid wsp:val=&quot;004C41B7&quot;/&gt;&lt;wsp:rsid wsp:val=&quot;004D09B2&quot;/&gt;&lt;wsp:rsid wsp:val=&quot;004D62F4&quot;/&gt;&lt;wsp:rsid wsp:val=&quot;004F047C&quot;/&gt;&lt;wsp:rsid wsp:val=&quot;004F7667&quot;/&gt;&lt;wsp:rsid wsp:val=&quot;00520321&quot;/&gt;&lt;wsp:rsid wsp:val=&quot;0052196E&quot;/&gt;&lt;wsp:rsid wsp:val=&quot;00527117&quot;/&gt;&lt;wsp:rsid wsp:val=&quot;00540322&quot;/&gt;&lt;wsp:rsid wsp:val=&quot;0054126B&quot;/&gt;&lt;wsp:rsid wsp:val=&quot;00544B04&quot;/&gt;&lt;wsp:rsid wsp:val=&quot;005461A4&quot;/&gt;&lt;wsp:rsid wsp:val=&quot;005463D8&quot;/&gt;&lt;wsp:rsid wsp:val=&quot;00555428&quot;/&gt;&lt;wsp:rsid wsp:val=&quot;005720BD&quot;/&gt;&lt;wsp:rsid wsp:val=&quot;00573ADF&quot;/&gt;&lt;wsp:rsid wsp:val=&quot;0059084C&quot;/&gt;&lt;wsp:rsid wsp:val=&quot;00595FD5&quot;/&gt;&lt;wsp:rsid wsp:val=&quot;005C4E0A&quot;/&gt;&lt;wsp:rsid wsp:val=&quot;005E4003&quot;/&gt;&lt;wsp:rsid wsp:val=&quot;005E6723&quot;/&gt;&lt;wsp:rsid wsp:val=&quot;005F50F1&quot;/&gt;&lt;wsp:rsid wsp:val=&quot;005F62DB&quot;/&gt;&lt;wsp:rsid wsp:val=&quot;00606EB6&quot;/&gt;&lt;wsp:rsid wsp:val=&quot;0066211E&quot;/&gt;&lt;wsp:rsid wsp:val=&quot;00674429&quot;/&gt;&lt;wsp:rsid wsp:val=&quot;00693C97&quot;/&gt;&lt;wsp:rsid wsp:val=&quot;006A2172&quot;/&gt;&lt;wsp:rsid wsp:val=&quot;006B115C&quot;/&gt;&lt;wsp:rsid wsp:val=&quot;006C10A9&quot;/&gt;&lt;wsp:rsid wsp:val=&quot;006C4B16&quot;/&gt;&lt;wsp:rsid wsp:val=&quot;006C6FD5&quot;/&gt;&lt;wsp:rsid wsp:val=&quot;006D6A01&quot;/&gt;&lt;wsp:rsid wsp:val=&quot;006E085F&quot;/&gt;&lt;wsp:rsid wsp:val=&quot;0070342C&quot;/&gt;&lt;wsp:rsid wsp:val=&quot;007110DA&quot;/&gt;&lt;wsp:rsid wsp:val=&quot;00717B83&quot;/&gt;&lt;wsp:rsid wsp:val=&quot;0072188B&quot;/&gt;&lt;wsp:rsid wsp:val=&quot;00737685&quot;/&gt;&lt;wsp:rsid wsp:val=&quot;00745264&quot;/&gt;&lt;wsp:rsid wsp:val=&quot;0075544E&quot;/&gt;&lt;wsp:rsid wsp:val=&quot;00770CC2&quot;/&gt;&lt;wsp:rsid wsp:val=&quot;007814F0&quot;/&gt;&lt;wsp:rsid wsp:val=&quot;007B0B09&quot;/&gt;&lt;wsp:rsid wsp:val=&quot;007D5727&quot;/&gt;&lt;wsp:rsid wsp:val=&quot;007E4BAE&quot;/&gt;&lt;wsp:rsid wsp:val=&quot;007F20BD&quot;/&gt;&lt;wsp:rsid wsp:val=&quot;007F50E3&quot;/&gt;&lt;wsp:rsid wsp:val=&quot;00801168&quot;/&gt;&lt;wsp:rsid wsp:val=&quot;0080787A&quot;/&gt;&lt;wsp:rsid wsp:val=&quot;0081738E&quot;/&gt;&lt;wsp:rsid wsp:val=&quot;00842756&quot;/&gt;&lt;wsp:rsid wsp:val=&quot;008460C7&quot;/&gt;&lt;wsp:rsid wsp:val=&quot;00853369&quot;/&gt;&lt;wsp:rsid wsp:val=&quot;0086014E&quot;/&gt;&lt;wsp:rsid wsp:val=&quot;008748FA&quot;/&gt;&lt;wsp:rsid wsp:val=&quot;00876DB8&quot;/&gt;&lt;wsp:rsid wsp:val=&quot;00885618&quot;/&gt;&lt;wsp:rsid wsp:val=&quot;008912CE&quot;/&gt;&lt;wsp:rsid wsp:val=&quot;00892CA1&quot;/&gt;&lt;wsp:rsid wsp:val=&quot;008964F9&quot;/&gt;&lt;wsp:rsid wsp:val=&quot;008C05F0&quot;/&gt;&lt;wsp:rsid wsp:val=&quot;008C5FB1&quot;/&gt;&lt;wsp:rsid wsp:val=&quot;00903EA0&quot;/&gt;&lt;wsp:rsid wsp:val=&quot;00904D7B&quot;/&gt;&lt;wsp:rsid wsp:val=&quot;009114BC&quot;/&gt;&lt;wsp:rsid wsp:val=&quot;00925B66&quot;/&gt;&lt;wsp:rsid wsp:val=&quot;00991AA7&quot;/&gt;&lt;wsp:rsid wsp:val=&quot;009B77EB&quot;/&gt;&lt;wsp:rsid wsp:val=&quot;009C0C04&quot;/&gt;&lt;wsp:rsid wsp:val=&quot;009D4318&quot;/&gt;&lt;wsp:rsid wsp:val=&quot;009E40CF&quot;/&gt;&lt;wsp:rsid wsp:val=&quot;009E7A21&quot;/&gt;&lt;wsp:rsid wsp:val=&quot;009F0002&quot;/&gt;&lt;wsp:rsid wsp:val=&quot;009F19B4&quot;/&gt;&lt;wsp:rsid wsp:val=&quot;009F3D1B&quot;/&gt;&lt;wsp:rsid wsp:val=&quot;009F5784&quot;/&gt;&lt;wsp:rsid wsp:val=&quot;00A000A5&quot;/&gt;&lt;wsp:rsid wsp:val=&quot;00A30125&quot;/&gt;&lt;wsp:rsid wsp:val=&quot;00A4446F&quot;/&gt;&lt;wsp:rsid wsp:val=&quot;00A9245E&quot;/&gt;&lt;wsp:rsid wsp:val=&quot;00AB2EB5&quot;/&gt;&lt;wsp:rsid wsp:val=&quot;00AB732E&quot;/&gt;&lt;wsp:rsid wsp:val=&quot;00B37A59&quot;/&gt;&lt;wsp:rsid wsp:val=&quot;00B4144C&quot;/&gt;&lt;wsp:rsid wsp:val=&quot;00B710BE&quot;/&gt;&lt;wsp:rsid wsp:val=&quot;00B71F8D&quot;/&gt;&lt;wsp:rsid wsp:val=&quot;00B77F8C&quot;/&gt;&lt;wsp:rsid wsp:val=&quot;00B80305&quot;/&gt;&lt;wsp:rsid wsp:val=&quot;00BB3E24&quot;/&gt;&lt;wsp:rsid wsp:val=&quot;00BD5A39&quot;/&gt;&lt;wsp:rsid wsp:val=&quot;00BE455C&quot;/&gt;&lt;wsp:rsid wsp:val=&quot;00C00443&quot;/&gt;&lt;wsp:rsid wsp:val=&quot;00C06111&quot;/&gt;&lt;wsp:rsid wsp:val=&quot;00C30BDE&quot;/&gt;&lt;wsp:rsid wsp:val=&quot;00C318EE&quot;/&gt;&lt;wsp:rsid wsp:val=&quot;00C34759&quot;/&gt;&lt;wsp:rsid wsp:val=&quot;00C63F54&quot;/&gt;&lt;wsp:rsid wsp:val=&quot;00C6608D&quot;/&gt;&lt;wsp:rsid wsp:val=&quot;00C67050&quot;/&gt;&lt;wsp:rsid wsp:val=&quot;00C67B4C&quot;/&gt;&lt;wsp:rsid wsp:val=&quot;00CB1FDF&quot;/&gt;&lt;wsp:rsid wsp:val=&quot;00CB2087&quot;/&gt;&lt;wsp:rsid wsp:val=&quot;00CB462D&quot;/&gt;&lt;wsp:rsid wsp:val=&quot;00CC0C2B&quot;/&gt;&lt;wsp:rsid wsp:val=&quot;00CF570A&quot;/&gt;&lt;wsp:rsid wsp:val=&quot;00D0526F&quot;/&gt;&lt;wsp:rsid wsp:val=&quot;00D05315&quot;/&gt;&lt;wsp:rsid wsp:val=&quot;00D12154&quot;/&gt;&lt;wsp:rsid wsp:val=&quot;00D3073A&quot;/&gt;&lt;wsp:rsid wsp:val=&quot;00D55D42&quot;/&gt;&lt;wsp:rsid wsp:val=&quot;00D57F54&quot;/&gt;&lt;wsp:rsid wsp:val=&quot;00D6621D&quot;/&gt;&lt;wsp:rsid wsp:val=&quot;00D67934&quot;/&gt;&lt;wsp:rsid wsp:val=&quot;00D72ABD&quot;/&gt;&lt;wsp:rsid wsp:val=&quot;00D85F94&quot;/&gt;&lt;wsp:rsid wsp:val=&quot;00D87ECA&quot;/&gt;&lt;wsp:rsid wsp:val=&quot;00D93266&quot;/&gt;&lt;wsp:rsid wsp:val=&quot;00DA647C&quot;/&gt;&lt;wsp:rsid wsp:val=&quot;00DC1B1F&quot;/&gt;&lt;wsp:rsid wsp:val=&quot;00DC4EEA&quot;/&gt;&lt;wsp:rsid wsp:val=&quot;00DD4129&quot;/&gt;&lt;wsp:rsid wsp:val=&quot;00E03316&quot;/&gt;&lt;wsp:rsid wsp:val=&quot;00E1325A&quot;/&gt;&lt;wsp:rsid wsp:val=&quot;00E153AD&quot;/&gt;&lt;wsp:rsid wsp:val=&quot;00E23EBA&quot;/&gt;&lt;wsp:rsid wsp:val=&quot;00E3382F&quot;/&gt;&lt;wsp:rsid wsp:val=&quot;00E465CC&quot;/&gt;&lt;wsp:rsid wsp:val=&quot;00E570A0&quot;/&gt;&lt;wsp:rsid wsp:val=&quot;00E673F4&quot;/&gt;&lt;wsp:rsid wsp:val=&quot;00E71617&quot;/&gt;&lt;wsp:rsid wsp:val=&quot;00E75437&quot;/&gt;&lt;wsp:rsid wsp:val=&quot;00E834C5&quot;/&gt;&lt;wsp:rsid wsp:val=&quot;00E84EDF&quot;/&gt;&lt;wsp:rsid wsp:val=&quot;00E851C3&quot;/&gt;&lt;wsp:rsid wsp:val=&quot;00E93297&quot;/&gt;&lt;wsp:rsid wsp:val=&quot;00EB0014&quot;/&gt;&lt;wsp:rsid wsp:val=&quot;00EB48BC&quot;/&gt;&lt;wsp:rsid wsp:val=&quot;00EC022A&quot;/&gt;&lt;wsp:rsid wsp:val=&quot;00EC3E5E&quot;/&gt;&lt;wsp:rsid wsp:val=&quot;00EE0575&quot;/&gt;&lt;wsp:rsid wsp:val=&quot;00EF2DBB&quot;/&gt;&lt;wsp:rsid wsp:val=&quot;00F257B5&quot;/&gt;&lt;wsp:rsid wsp:val=&quot;00F579DB&quot;/&gt;&lt;wsp:rsid wsp:val=&quot;00F710E8&quot;/&gt;&lt;wsp:rsid wsp:val=&quot;00F75CD4&quot;/&gt;&lt;wsp:rsid wsp:val=&quot;00F76DFB&quot;/&gt;&lt;wsp:rsid wsp:val=&quot;00FA00ED&quot;/&gt;&lt;wsp:rsid wsp:val=&quot;00FD146F&quot;/&gt;&lt;wsp:rsid wsp:val=&quot;00FD3BB6&quot;/&gt;&lt;wsp:rsid wsp:val=&quot;00FE695F&quot;/&gt;&lt;/wsp:rsids&gt;&lt;/w:docPr&gt;&lt;w:body&gt;&lt;wx:sect&gt;&lt;w:p wsp:rsidR=&quot;00000000&quot; wsp:rsidRDefault=&quot;00573ADF&quot; wsp:rsidP=&quot;00573ADF&quot;&gt;&lt;m:oMathPara&gt;&lt;m:oMath&gt;&lt;m:nary&gt;&lt;m:naryPr&gt;&lt;m:chr m:val=&quot;∑&quot;/&gt;&lt;m:limLoc m:val=&quot;undO////////////vr&quot;/&gt;&lt;m:ctrlPr&gt;&lt;w:rPr&gt;&lt;w:rFonts w:ascii=&quot;Cambria Math&quot; w:h-ansi=&quot;Cambria Math&quot; w:cs=&quot;仿宋_GB2312&quot;/&gt;&lt;wx:font wx:val=&quot;Cambria Math&quot;/&gt;&lt;w:sz w:val=&quot;21&quot;/&gt;&lt;w:sz-cs w:val=&quot;29&quot;/&gt;&lt;/w:rPr&gt;&lt;/m:ctrlPr&gt;&lt;/m:naryPr&gt;&lt;m:sub&gt;&lt;m:r&gt;&lt;w:rPr&gt;&lt;w:rFonts w:ascii=&quot;CambriO/aO/ O/MO/aO/tO/hO/&quot;O/ O/wO/:O/hO/-ansi=&quot;Cambria Math&quot; w:cs=&quot;仿宋_GB2312&quot;/&gt;&lt;wx:font wx:val=&quot;Cambria Math&quot;/&gt;&lt;w:i/&gt;&lt;w:sz w:val=&quot;21&quot;/&gt;&lt;w:sz-cs w:val=&quot;29&quot;/&gt;&lt;/w:rPr&gt;&lt;m:t&gt;i=1&lt;/m:t&gt;&lt;/m:r&gt;&lt;/m:sub&gt;&lt;m:sup&gt;&lt;m:r&gt;&lt;w:rPr&gt;&lt;w:rFonts w:ascii=&quot;Cambria Math&quot; w:h-ansi=&quot;CambriO/a MO/athO/&quot; wO/:csO/=&quot;?O/滤蝨hO/_GBh&quot;O/231&quot; O/2&quot;/ wO/&gt;&lt;ww:O/x:f:hO/ont wx:val=&quot;Cambria Math&quot;/&gt;&lt;w:i/&gt;&lt;w:sz w:val=&quot;21&quot;/&gt;&lt;w:sz-cs w:val=&quot;29&quot;/&gt;&lt;/w:rPr&gt;&lt;m:t&gt;n&lt;/m:t&gt;&lt;/m:r&gt;&lt;/m:sup&gt;&lt;m:e&gt;&lt;m:r&gt;&lt;w:rPr&gt;&lt;w:rFonts w:ascii=&quot;Cambria Math&quot; w:h-ansi=&quot;Cambria Math&quot; w:cs=&quot;仿iO/宋_GB MO/2312&quot;thO//&gt;&lt;wx wO/:fontcsO/ wx:v&quot;?O/al=&quot;CamO/bria MaO/th&quot;/&gt;&lt;wO/:i/&gt;&lt;w:O/sz w:vaO/l=&quot;21&quot;/O/&gt;&lt;w:sz-cs w:val=&quot;29&quot;/&gt;&lt;/w:rPr&gt;&lt;m:t&gt;ki&lt;/m:t&gt;&lt;/m:r&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65" chromakey="#FFFFFF" o:title=""/>
            <o:lock v:ext="edit" aspectratio="t"/>
            <w10:wrap type="none"/>
            <w10:anchorlock/>
          </v:shape>
        </w:pict>
      </w:r>
      <w:r>
        <w:rPr>
          <w:rFonts w:ascii="Arial" w:hAnsi="Arial" w:eastAsia="仿宋" w:cs="Arial"/>
          <w:color w:val="auto"/>
          <w:sz w:val="28"/>
          <w:szCs w:val="28"/>
        </w:rPr>
        <w:instrText xml:space="preserve"> </w:instrText>
      </w:r>
      <w:r>
        <w:rPr>
          <w:rFonts w:ascii="Arial" w:hAnsi="Arial" w:eastAsia="仿宋" w:cs="Arial"/>
          <w:color w:val="auto"/>
          <w:sz w:val="28"/>
          <w:szCs w:val="28"/>
        </w:rPr>
        <w:fldChar w:fldCharType="separate"/>
      </w:r>
      <w:r>
        <w:rPr>
          <w:rFonts w:ascii="Arial" w:hAnsi="Arial" w:eastAsia="仿宋" w:cs="Arial"/>
          <w:color w:val="auto"/>
          <w:sz w:val="28"/>
          <w:szCs w:val="28"/>
        </w:rPr>
        <w:pict>
          <v:shape id="_x0000_i1030" o:spt="75" type="#_x0000_t75" style="height:18.75pt;width:30.75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bordersDontSurroundHeader/&gt;&lt;w:bordersDontSurroundFooter/&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06111&quot;/&gt;&lt;wsp:rsid wsp:val=&quot;000178EB&quot;/&gt;&lt;wsp:rsid wsp:val=&quot;00032366&quot;/&gt;&lt;wsp:rsid wsp:val=&quot;00032528&quot;/&gt;&lt;wsp:rsid wsp:val=&quot;0005644A&quot;/&gt;&lt;wsp:rsid wsp:val=&quot;000870BF&quot;/&gt;&lt;wsp:rsid wsp:val=&quot;000A2CE2&quot;/&gt;&lt;wsp:rsid wsp:val=&quot;000A35BB&quot;/&gt;&lt;wsp:rsid wsp:val=&quot;000C479B&quot;/&gt;&lt;wsp:rsid wsp:val=&quot;000F7E94&quot;/&gt;&lt;wsp:rsid wsp:val=&quot;00100E36&quot;/&gt;&lt;wsp:rsid wsp:val=&quot;0010754D&quot;/&gt;&lt;wsp:rsid wsp:val=&quot;0011058E&quot;/&gt;&lt;wsp:rsid wsp:val=&quot;00115E7E&quot;/&gt;&lt;wsp:rsid wsp:val=&quot;00115F67&quot;/&gt;&lt;wsp:rsid wsp:val=&quot;00136655&quot;/&gt;&lt;wsp:rsid wsp:val=&quot;001709EB&quot;/&gt;&lt;wsp:rsid wsp:val=&quot;00175821&quot;/&gt;&lt;wsp:rsid wsp:val=&quot;00180DC9&quot;/&gt;&lt;wsp:rsid wsp:val=&quot;001A4628&quot;/&gt;&lt;wsp:rsid wsp:val=&quot;001A66E5&quot;/&gt;&lt;wsp:rsid wsp:val=&quot;001C2E50&quot;/&gt;&lt;wsp:rsid wsp:val=&quot;001D78E4&quot;/&gt;&lt;wsp:rsid wsp:val=&quot;001E3E70&quot;/&gt;&lt;wsp:rsid wsp:val=&quot;001F4C0A&quot;/&gt;&lt;wsp:rsid wsp:val=&quot;00251D66&quot;/&gt;&lt;wsp:rsid wsp:val=&quot;0025382F&quot;/&gt;&lt;wsp:rsid wsp:val=&quot;00263EFC&quot;/&gt;&lt;wsp:rsid wsp:val=&quot;00283C27&quot;/&gt;&lt;wsp:rsid wsp:val=&quot;002A32A6&quot;/&gt;&lt;wsp:rsid wsp:val=&quot;002D1E84&quot;/&gt;&lt;wsp:rsid wsp:val=&quot;002E011B&quot;/&gt;&lt;wsp:rsid wsp:val=&quot;00315E7C&quot;/&gt;&lt;wsp:rsid wsp:val=&quot;003451F1&quot;/&gt;&lt;wsp:rsid wsp:val=&quot;00350A39&quot;/&gt;&lt;wsp:rsid wsp:val=&quot;00366E0F&quot;/&gt;&lt;wsp:rsid wsp:val=&quot;00374477&quot;/&gt;&lt;wsp:rsid wsp:val=&quot;003860EA&quot;/&gt;&lt;wsp:rsid wsp:val=&quot;00386735&quot;/&gt;&lt;wsp:rsid wsp:val=&quot;003972C2&quot;/&gt;&lt;wsp:rsid wsp:val=&quot;003B064A&quot;/&gt;&lt;wsp:rsid wsp:val=&quot;003F0E81&quot;/&gt;&lt;wsp:rsid wsp:val=&quot;003F732B&quot;/&gt;&lt;wsp:rsid wsp:val=&quot;003F7CA6&quot;/&gt;&lt;wsp:rsid wsp:val=&quot;0040135C&quot;/&gt;&lt;wsp:rsid wsp:val=&quot;00402AED&quot;/&gt;&lt;wsp:rsid wsp:val=&quot;00407162&quot;/&gt;&lt;wsp:rsid wsp:val=&quot;00415EB6&quot;/&gt;&lt;wsp:rsid wsp:val=&quot;0043011E&quot;/&gt;&lt;wsp:rsid wsp:val=&quot;004763B8&quot;/&gt;&lt;wsp:rsid wsp:val=&quot;00476BC3&quot;/&gt;&lt;wsp:rsid wsp:val=&quot;00484DC2&quot;/&gt;&lt;wsp:rsid wsp:val=&quot;00494499&quot;/&gt;&lt;wsp:rsid wsp:val=&quot;004B0921&quot;/&gt;&lt;wsp:rsid wsp:val=&quot;004C41B7&quot;/&gt;&lt;wsp:rsid wsp:val=&quot;004D09B2&quot;/&gt;&lt;wsp:rsid wsp:val=&quot;004D62F4&quot;/&gt;&lt;wsp:rsid wsp:val=&quot;004F047C&quot;/&gt;&lt;wsp:rsid wsp:val=&quot;004F7667&quot;/&gt;&lt;wsp:rsid wsp:val=&quot;00520321&quot;/&gt;&lt;wsp:rsid wsp:val=&quot;0052196E&quot;/&gt;&lt;wsp:rsid wsp:val=&quot;00527117&quot;/&gt;&lt;wsp:rsid wsp:val=&quot;00540322&quot;/&gt;&lt;wsp:rsid wsp:val=&quot;0054126B&quot;/&gt;&lt;wsp:rsid wsp:val=&quot;00544B04&quot;/&gt;&lt;wsp:rsid wsp:val=&quot;005461A4&quot;/&gt;&lt;wsp:rsid wsp:val=&quot;005463D8&quot;/&gt;&lt;wsp:rsid wsp:val=&quot;00555428&quot;/&gt;&lt;wsp:rsid wsp:val=&quot;005720BD&quot;/&gt;&lt;wsp:rsid wsp:val=&quot;00573ADF&quot;/&gt;&lt;wsp:rsid wsp:val=&quot;0059084C&quot;/&gt;&lt;wsp:rsid wsp:val=&quot;00595FD5&quot;/&gt;&lt;wsp:rsid wsp:val=&quot;005C4E0A&quot;/&gt;&lt;wsp:rsid wsp:val=&quot;005E4003&quot;/&gt;&lt;wsp:rsid wsp:val=&quot;005E6723&quot;/&gt;&lt;wsp:rsid wsp:val=&quot;005F50F1&quot;/&gt;&lt;wsp:rsid wsp:val=&quot;005F62DB&quot;/&gt;&lt;wsp:rsid wsp:val=&quot;00606EB6&quot;/&gt;&lt;wsp:rsid wsp:val=&quot;0066211E&quot;/&gt;&lt;wsp:rsid wsp:val=&quot;00674429&quot;/&gt;&lt;wsp:rsid wsp:val=&quot;00693C97&quot;/&gt;&lt;wsp:rsid wsp:val=&quot;006A2172&quot;/&gt;&lt;wsp:rsid wsp:val=&quot;006B115C&quot;/&gt;&lt;wsp:rsid wsp:val=&quot;006C10A9&quot;/&gt;&lt;wsp:rsid wsp:val=&quot;006C4B16&quot;/&gt;&lt;wsp:rsid wsp:val=&quot;006C6FD5&quot;/&gt;&lt;wsp:rsid wsp:val=&quot;006D6A01&quot;/&gt;&lt;wsp:rsid wsp:val=&quot;006E085F&quot;/&gt;&lt;wsp:rsid wsp:val=&quot;0070342C&quot;/&gt;&lt;wsp:rsid wsp:val=&quot;007110DA&quot;/&gt;&lt;wsp:rsid wsp:val=&quot;00717B83&quot;/&gt;&lt;wsp:rsid wsp:val=&quot;0072188B&quot;/&gt;&lt;wsp:rsid wsp:val=&quot;00737685&quot;/&gt;&lt;wsp:rsid wsp:val=&quot;00745264&quot;/&gt;&lt;wsp:rsid wsp:val=&quot;0075544E&quot;/&gt;&lt;wsp:rsid wsp:val=&quot;00770CC2&quot;/&gt;&lt;wsp:rsid wsp:val=&quot;007814F0&quot;/&gt;&lt;wsp:rsid wsp:val=&quot;007B0B09&quot;/&gt;&lt;wsp:rsid wsp:val=&quot;007D5727&quot;/&gt;&lt;wsp:rsid wsp:val=&quot;007E4BAE&quot;/&gt;&lt;wsp:rsid wsp:val=&quot;007F20BD&quot;/&gt;&lt;wsp:rsid wsp:val=&quot;007F50E3&quot;/&gt;&lt;wsp:rsid wsp:val=&quot;00801168&quot;/&gt;&lt;wsp:rsid wsp:val=&quot;0080787A&quot;/&gt;&lt;wsp:rsid wsp:val=&quot;0081738E&quot;/&gt;&lt;wsp:rsid wsp:val=&quot;00842756&quot;/&gt;&lt;wsp:rsid wsp:val=&quot;008460C7&quot;/&gt;&lt;wsp:rsid wsp:val=&quot;00853369&quot;/&gt;&lt;wsp:rsid wsp:val=&quot;0086014E&quot;/&gt;&lt;wsp:rsid wsp:val=&quot;008748FA&quot;/&gt;&lt;wsp:rsid wsp:val=&quot;00876DB8&quot;/&gt;&lt;wsp:rsid wsp:val=&quot;00885618&quot;/&gt;&lt;wsp:rsid wsp:val=&quot;008912CE&quot;/&gt;&lt;wsp:rsid wsp:val=&quot;00892CA1&quot;/&gt;&lt;wsp:rsid wsp:val=&quot;008964F9&quot;/&gt;&lt;wsp:rsid wsp:val=&quot;008C05F0&quot;/&gt;&lt;wsp:rsid wsp:val=&quot;008C5FB1&quot;/&gt;&lt;wsp:rsid wsp:val=&quot;00903EA0&quot;/&gt;&lt;wsp:rsid wsp:val=&quot;00904D7B&quot;/&gt;&lt;wsp:rsid wsp:val=&quot;009114BC&quot;/&gt;&lt;wsp:rsid wsp:val=&quot;00925B66&quot;/&gt;&lt;wsp:rsid wsp:val=&quot;00991AA7&quot;/&gt;&lt;wsp:rsid wsp:val=&quot;009B77EB&quot;/&gt;&lt;wsp:rsid wsp:val=&quot;009C0C04&quot;/&gt;&lt;wsp:rsid wsp:val=&quot;009D4318&quot;/&gt;&lt;wsp:rsid wsp:val=&quot;009E40CF&quot;/&gt;&lt;wsp:rsid wsp:val=&quot;009E7A21&quot;/&gt;&lt;wsp:rsid wsp:val=&quot;009F0002&quot;/&gt;&lt;wsp:rsid wsp:val=&quot;009F19B4&quot;/&gt;&lt;wsp:rsid wsp:val=&quot;009F3D1B&quot;/&gt;&lt;wsp:rsid wsp:val=&quot;009F5784&quot;/&gt;&lt;wsp:rsid wsp:val=&quot;00A000A5&quot;/&gt;&lt;wsp:rsid wsp:val=&quot;00A30125&quot;/&gt;&lt;wsp:rsid wsp:val=&quot;00A4446F&quot;/&gt;&lt;wsp:rsid wsp:val=&quot;00A9245E&quot;/&gt;&lt;wsp:rsid wsp:val=&quot;00AB2EB5&quot;/&gt;&lt;wsp:rsid wsp:val=&quot;00AB732E&quot;/&gt;&lt;wsp:rsid wsp:val=&quot;00B37A59&quot;/&gt;&lt;wsp:rsid wsp:val=&quot;00B4144C&quot;/&gt;&lt;wsp:rsid wsp:val=&quot;00B710BE&quot;/&gt;&lt;wsp:rsid wsp:val=&quot;00B71F8D&quot;/&gt;&lt;wsp:rsid wsp:val=&quot;00B77F8C&quot;/&gt;&lt;wsp:rsid wsp:val=&quot;00B80305&quot;/&gt;&lt;wsp:rsid wsp:val=&quot;00BB3E24&quot;/&gt;&lt;wsp:rsid wsp:val=&quot;00BD5A39&quot;/&gt;&lt;wsp:rsid wsp:val=&quot;00BE455C&quot;/&gt;&lt;wsp:rsid wsp:val=&quot;00C00443&quot;/&gt;&lt;wsp:rsid wsp:val=&quot;00C06111&quot;/&gt;&lt;wsp:rsid wsp:val=&quot;00C30BDE&quot;/&gt;&lt;wsp:rsid wsp:val=&quot;00C318EE&quot;/&gt;&lt;wsp:rsid wsp:val=&quot;00C34759&quot;/&gt;&lt;wsp:rsid wsp:val=&quot;00C63F54&quot;/&gt;&lt;wsp:rsid wsp:val=&quot;00C6608D&quot;/&gt;&lt;wsp:rsid wsp:val=&quot;00C67050&quot;/&gt;&lt;wsp:rsid wsp:val=&quot;00C67B4C&quot;/&gt;&lt;wsp:rsid wsp:val=&quot;00CB1FDF&quot;/&gt;&lt;wsp:rsid wsp:val=&quot;00CB2087&quot;/&gt;&lt;wsp:rsid wsp:val=&quot;00CB462D&quot;/&gt;&lt;wsp:rsid wsp:val=&quot;00CC0C2B&quot;/&gt;&lt;wsp:rsid wsp:val=&quot;00CF570A&quot;/&gt;&lt;wsp:rsid wsp:val=&quot;00D0526F&quot;/&gt;&lt;wsp:rsid wsp:val=&quot;00D05315&quot;/&gt;&lt;wsp:rsid wsp:val=&quot;00D12154&quot;/&gt;&lt;wsp:rsid wsp:val=&quot;00D3073A&quot;/&gt;&lt;wsp:rsid wsp:val=&quot;00D55D42&quot;/&gt;&lt;wsp:rsid wsp:val=&quot;00D57F54&quot;/&gt;&lt;wsp:rsid wsp:val=&quot;00D6621D&quot;/&gt;&lt;wsp:rsid wsp:val=&quot;00D67934&quot;/&gt;&lt;wsp:rsid wsp:val=&quot;00D72ABD&quot;/&gt;&lt;wsp:rsid wsp:val=&quot;00D85F94&quot;/&gt;&lt;wsp:rsid wsp:val=&quot;00D87ECA&quot;/&gt;&lt;wsp:rsid wsp:val=&quot;00D93266&quot;/&gt;&lt;wsp:rsid wsp:val=&quot;00DA647C&quot;/&gt;&lt;wsp:rsid wsp:val=&quot;00DC1B1F&quot;/&gt;&lt;wsp:rsid wsp:val=&quot;00DC4EEA&quot;/&gt;&lt;wsp:rsid wsp:val=&quot;00DD4129&quot;/&gt;&lt;wsp:rsid wsp:val=&quot;00E03316&quot;/&gt;&lt;wsp:rsid wsp:val=&quot;00E1325A&quot;/&gt;&lt;wsp:rsid wsp:val=&quot;00E153AD&quot;/&gt;&lt;wsp:rsid wsp:val=&quot;00E23EBA&quot;/&gt;&lt;wsp:rsid wsp:val=&quot;00E3382F&quot;/&gt;&lt;wsp:rsid wsp:val=&quot;00E465CC&quot;/&gt;&lt;wsp:rsid wsp:val=&quot;00E570A0&quot;/&gt;&lt;wsp:rsid wsp:val=&quot;00E673F4&quot;/&gt;&lt;wsp:rsid wsp:val=&quot;00E71617&quot;/&gt;&lt;wsp:rsid wsp:val=&quot;00E75437&quot;/&gt;&lt;wsp:rsid wsp:val=&quot;00E834C5&quot;/&gt;&lt;wsp:rsid wsp:val=&quot;00E84EDF&quot;/&gt;&lt;wsp:rsid wsp:val=&quot;00E851C3&quot;/&gt;&lt;wsp:rsid wsp:val=&quot;00E93297&quot;/&gt;&lt;wsp:rsid wsp:val=&quot;00EB0014&quot;/&gt;&lt;wsp:rsid wsp:val=&quot;00EB48BC&quot;/&gt;&lt;wsp:rsid wsp:val=&quot;00EC022A&quot;/&gt;&lt;wsp:rsid wsp:val=&quot;00EC3E5E&quot;/&gt;&lt;wsp:rsid wsp:val=&quot;00EE0575&quot;/&gt;&lt;wsp:rsid wsp:val=&quot;00EF2DBB&quot;/&gt;&lt;wsp:rsid wsp:val=&quot;00F257B5&quot;/&gt;&lt;wsp:rsid wsp:val=&quot;00F579DB&quot;/&gt;&lt;wsp:rsid wsp:val=&quot;00F710E8&quot;/&gt;&lt;wsp:rsid wsp:val=&quot;00F75CD4&quot;/&gt;&lt;wsp:rsid wsp:val=&quot;00F76DFB&quot;/&gt;&lt;wsp:rsid wsp:val=&quot;00FA00ED&quot;/&gt;&lt;wsp:rsid wsp:val=&quot;00FD146F&quot;/&gt;&lt;wsp:rsid wsp:val=&quot;00FD3BB6&quot;/&gt;&lt;wsp:rsid wsp:val=&quot;00FE695F&quot;/&gt;&lt;/wsp:rsids&gt;&lt;/w:docPr&gt;&lt;w:body&gt;&lt;wx:sect&gt;&lt;w:p wsp:rsidR=&quot;00000000&quot; wsp:rsidRDefault=&quot;00573ADF&quot; wsp:rsidP=&quot;00573ADF&quot;&gt;&lt;m:oMathPara&gt;&lt;m:oMath&gt;&lt;m:nary&gt;&lt;m:naryPr&gt;&lt;m:chr m:val=&quot;∑&quot;/&gt;&lt;m:limLoc m:val=&quot;undO////////////vr&quot;/&gt;&lt;m:ctrlPr&gt;&lt;w:rPr&gt;&lt;w:rFonts w:ascii=&quot;Cambria Math&quot; w:h-ansi=&quot;Cambria Math&quot; w:cs=&quot;仿宋_GB2312&quot;/&gt;&lt;wx:font wx:val=&quot;Cambria Math&quot;/&gt;&lt;w:sz w:val=&quot;21&quot;/&gt;&lt;w:sz-cs w:val=&quot;29&quot;/&gt;&lt;/w:rPr&gt;&lt;/m:ctrlPr&gt;&lt;/m:naryPr&gt;&lt;m:sub&gt;&lt;m:r&gt;&lt;w:rPr&gt;&lt;w:rFonts w:ascii=&quot;CambriO/aO/ O/MO/aO/tO/hO/&quot;O/ O/wO/:O/hO/-ansi=&quot;Cambria Math&quot; w:cs=&quot;仿宋_GB2312&quot;/&gt;&lt;wx:font wx:val=&quot;Cambria Math&quot;/&gt;&lt;w:i/&gt;&lt;w:sz w:val=&quot;21&quot;/&gt;&lt;w:sz-cs w:val=&quot;29&quot;/&gt;&lt;/w:rPr&gt;&lt;m:t&gt;i=1&lt;/m:t&gt;&lt;/m:r&gt;&lt;/m:sub&gt;&lt;m:sup&gt;&lt;m:r&gt;&lt;w:rPr&gt;&lt;w:rFonts w:ascii=&quot;Cambria Math&quot; w:h-ansi=&quot;CambriO/a MO/athO/&quot; wO/:csO/=&quot;?O/滤蝨hO/_GBh&quot;O/231&quot; O/2&quot;/ wO/&gt;&lt;ww:O/x:f:hO/ont wx:val=&quot;Cambria Math&quot;/&gt;&lt;w:i/&gt;&lt;w:sz w:val=&quot;21&quot;/&gt;&lt;w:sz-cs w:val=&quot;29&quot;/&gt;&lt;/w:rPr&gt;&lt;m:t&gt;n&lt;/m:t&gt;&lt;/m:r&gt;&lt;/m:sup&gt;&lt;m:e&gt;&lt;m:r&gt;&lt;w:rPr&gt;&lt;w:rFonts w:ascii=&quot;Cambria Math&quot; w:h-ansi=&quot;Cambria Math&quot; w:cs=&quot;仿iO/宋_GB MO/2312&quot;thO//&gt;&lt;wx wO/:fontcsO/ wx:v&quot;?O/al=&quot;CamO/bria MaO/th&quot;/&gt;&lt;wO/:i/&gt;&lt;w:O/sz w:vaO/l=&quot;21&quot;/O/&gt;&lt;w:sz-cs w:val=&quot;29&quot;/&gt;&lt;/w:rPr&gt;&lt;m:t&gt;ki&lt;/m:t&gt;&lt;/m:r&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65" chromakey="#FFFFFF" o:title=""/>
            <o:lock v:ext="edit" aspectratio="t"/>
            <w10:wrap type="none"/>
            <w10:anchorlock/>
          </v:shape>
        </w:pict>
      </w:r>
      <w:r>
        <w:rPr>
          <w:rFonts w:ascii="Arial" w:hAnsi="Arial" w:eastAsia="仿宋" w:cs="Arial"/>
          <w:color w:val="auto"/>
          <w:sz w:val="28"/>
          <w:szCs w:val="28"/>
        </w:rPr>
        <w:fldChar w:fldCharType="end"/>
      </w:r>
    </w:p>
    <w:p w14:paraId="125A21F7">
      <w:pPr>
        <w:adjustRightInd/>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其中ki：第i种因素的修正系数</w:t>
      </w:r>
    </w:p>
    <w:p w14:paraId="46716920">
      <w:pPr>
        <w:adjustRightInd/>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各因素的修正系数根据影响地价的因素权重和因素总修正幅度确定。</w:t>
      </w:r>
    </w:p>
    <w:p w14:paraId="03E579DD">
      <w:pPr>
        <w:rPr>
          <w:rFonts w:ascii="Arial" w:hAnsi="Arial" w:eastAsia="仿宋" w:cs="Arial"/>
          <w:bCs/>
          <w:color w:val="auto"/>
          <w:sz w:val="28"/>
          <w:szCs w:val="28"/>
        </w:rPr>
      </w:pPr>
      <w:r>
        <w:rPr>
          <w:rFonts w:ascii="Arial" w:hAnsi="Arial" w:eastAsia="仿宋" w:cs="Arial"/>
          <w:bCs/>
          <w:color w:val="auto"/>
          <w:sz w:val="28"/>
          <w:szCs w:val="28"/>
        </w:rPr>
        <w:br w:type="page"/>
      </w:r>
    </w:p>
    <w:p w14:paraId="399478CD">
      <w:pPr>
        <w:spacing w:line="300" w:lineRule="auto"/>
        <w:jc w:val="center"/>
        <w:rPr>
          <w:rFonts w:ascii="Arial" w:hAnsi="Arial" w:eastAsia="仿宋" w:cs="Arial"/>
          <w:color w:val="auto"/>
          <w:sz w:val="28"/>
          <w:szCs w:val="28"/>
        </w:rPr>
      </w:pPr>
      <w:r>
        <w:rPr>
          <w:rFonts w:ascii="Arial" w:hAnsi="Arial" w:eastAsia="仿宋" w:cs="Arial"/>
          <w:bCs/>
          <w:color w:val="auto"/>
          <w:sz w:val="28"/>
          <w:szCs w:val="28"/>
        </w:rPr>
        <w:t>北京市基准地价因素权重表</w:t>
      </w:r>
    </w:p>
    <w:tbl>
      <w:tblPr>
        <w:tblStyle w:val="34"/>
        <w:tblW w:w="4998" w:type="pct"/>
        <w:jc w:val="center"/>
        <w:tblLayout w:type="autofit"/>
        <w:tblCellMar>
          <w:top w:w="57" w:type="dxa"/>
          <w:left w:w="28" w:type="dxa"/>
          <w:bottom w:w="57" w:type="dxa"/>
          <w:right w:w="28" w:type="dxa"/>
        </w:tblCellMar>
      </w:tblPr>
      <w:tblGrid>
        <w:gridCol w:w="1415"/>
        <w:gridCol w:w="504"/>
        <w:gridCol w:w="1398"/>
        <w:gridCol w:w="502"/>
        <w:gridCol w:w="1378"/>
        <w:gridCol w:w="504"/>
        <w:gridCol w:w="1359"/>
        <w:gridCol w:w="502"/>
        <w:gridCol w:w="1341"/>
        <w:gridCol w:w="503"/>
      </w:tblGrid>
      <w:tr w14:paraId="33DCC81E">
        <w:tblPrEx>
          <w:tblCellMar>
            <w:top w:w="57" w:type="dxa"/>
            <w:left w:w="28" w:type="dxa"/>
            <w:bottom w:w="57" w:type="dxa"/>
            <w:right w:w="28" w:type="dxa"/>
          </w:tblCellMar>
        </w:tblPrEx>
        <w:trPr>
          <w:cantSplit/>
          <w:jc w:val="center"/>
        </w:trPr>
        <w:tc>
          <w:tcPr>
            <w:tcW w:w="1020" w:type="pct"/>
            <w:gridSpan w:val="2"/>
            <w:tcBorders>
              <w:top w:val="single" w:color="404040" w:sz="8" w:space="0"/>
              <w:left w:val="single" w:color="404040" w:sz="8" w:space="0"/>
              <w:bottom w:val="single" w:color="404040" w:sz="8" w:space="0"/>
              <w:right w:val="single" w:color="404040" w:sz="8" w:space="0"/>
            </w:tcBorders>
            <w:shd w:val="clear" w:color="auto" w:fill="auto"/>
            <w:noWrap/>
            <w:vAlign w:val="center"/>
          </w:tcPr>
          <w:p w14:paraId="52262EE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商业类</w:t>
            </w:r>
          </w:p>
        </w:tc>
        <w:tc>
          <w:tcPr>
            <w:tcW w:w="1010" w:type="pct"/>
            <w:gridSpan w:val="2"/>
            <w:tcBorders>
              <w:top w:val="single" w:color="404040" w:sz="8" w:space="0"/>
              <w:left w:val="nil"/>
              <w:bottom w:val="single" w:color="404040" w:sz="8" w:space="0"/>
              <w:right w:val="single" w:color="404040" w:sz="8" w:space="0"/>
            </w:tcBorders>
            <w:shd w:val="clear" w:color="auto" w:fill="auto"/>
            <w:noWrap/>
            <w:vAlign w:val="center"/>
          </w:tcPr>
          <w:p w14:paraId="12EB892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办公类</w:t>
            </w:r>
          </w:p>
        </w:tc>
        <w:tc>
          <w:tcPr>
            <w:tcW w:w="1000" w:type="pct"/>
            <w:gridSpan w:val="2"/>
            <w:tcBorders>
              <w:top w:val="single" w:color="404040" w:sz="8" w:space="0"/>
              <w:left w:val="nil"/>
              <w:bottom w:val="single" w:color="404040" w:sz="8" w:space="0"/>
              <w:right w:val="single" w:color="404040" w:sz="8" w:space="0"/>
            </w:tcBorders>
            <w:shd w:val="clear" w:color="auto" w:fill="auto"/>
            <w:noWrap/>
            <w:vAlign w:val="center"/>
          </w:tcPr>
          <w:p w14:paraId="481B4ED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住宅类</w:t>
            </w:r>
          </w:p>
        </w:tc>
        <w:tc>
          <w:tcPr>
            <w:tcW w:w="989" w:type="pct"/>
            <w:gridSpan w:val="2"/>
            <w:tcBorders>
              <w:top w:val="single" w:color="404040" w:sz="8" w:space="0"/>
              <w:left w:val="nil"/>
              <w:bottom w:val="single" w:color="404040" w:sz="8" w:space="0"/>
              <w:right w:val="single" w:color="404040" w:sz="8" w:space="0"/>
            </w:tcBorders>
            <w:shd w:val="clear" w:color="auto" w:fill="auto"/>
            <w:noWrap/>
            <w:vAlign w:val="center"/>
          </w:tcPr>
          <w:p w14:paraId="32BD4E3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工业类</w:t>
            </w:r>
          </w:p>
        </w:tc>
        <w:tc>
          <w:tcPr>
            <w:tcW w:w="979" w:type="pct"/>
            <w:gridSpan w:val="2"/>
            <w:tcBorders>
              <w:top w:val="single" w:color="404040" w:sz="8" w:space="0"/>
              <w:left w:val="nil"/>
              <w:bottom w:val="single" w:color="404040" w:sz="8" w:space="0"/>
              <w:right w:val="single" w:color="404040" w:sz="8" w:space="0"/>
            </w:tcBorders>
            <w:shd w:val="clear" w:color="auto" w:fill="auto"/>
            <w:noWrap/>
            <w:vAlign w:val="center"/>
          </w:tcPr>
          <w:p w14:paraId="74B060B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公共服务类</w:t>
            </w:r>
          </w:p>
        </w:tc>
      </w:tr>
      <w:tr w14:paraId="0BDE2880">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noWrap/>
            <w:vAlign w:val="center"/>
          </w:tcPr>
          <w:p w14:paraId="3C1CEF1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526ECEF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743" w:type="pct"/>
            <w:tcBorders>
              <w:top w:val="nil"/>
              <w:left w:val="nil"/>
              <w:bottom w:val="single" w:color="404040" w:sz="8" w:space="0"/>
              <w:right w:val="single" w:color="404040" w:sz="8" w:space="0"/>
            </w:tcBorders>
            <w:shd w:val="clear" w:color="auto" w:fill="auto"/>
            <w:noWrap/>
            <w:vAlign w:val="center"/>
          </w:tcPr>
          <w:p w14:paraId="0DE9194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08ADCF1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732" w:type="pct"/>
            <w:tcBorders>
              <w:top w:val="nil"/>
              <w:left w:val="nil"/>
              <w:bottom w:val="single" w:color="404040" w:sz="8" w:space="0"/>
              <w:right w:val="single" w:color="404040" w:sz="8" w:space="0"/>
            </w:tcBorders>
            <w:shd w:val="clear" w:color="auto" w:fill="auto"/>
            <w:noWrap/>
            <w:vAlign w:val="center"/>
          </w:tcPr>
          <w:p w14:paraId="0A8642E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69B2A2E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722" w:type="pct"/>
            <w:tcBorders>
              <w:top w:val="nil"/>
              <w:left w:val="nil"/>
              <w:bottom w:val="single" w:color="404040" w:sz="8" w:space="0"/>
              <w:right w:val="single" w:color="404040" w:sz="8" w:space="0"/>
            </w:tcBorders>
            <w:shd w:val="clear" w:color="auto" w:fill="auto"/>
            <w:noWrap/>
            <w:vAlign w:val="center"/>
          </w:tcPr>
          <w:p w14:paraId="3E5DF0B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266" w:type="pct"/>
            <w:tcBorders>
              <w:top w:val="nil"/>
              <w:left w:val="nil"/>
              <w:bottom w:val="single" w:color="404040" w:sz="8" w:space="0"/>
              <w:right w:val="single" w:color="404040" w:sz="8" w:space="0"/>
            </w:tcBorders>
            <w:shd w:val="clear" w:color="auto" w:fill="auto"/>
            <w:noWrap/>
            <w:vAlign w:val="center"/>
          </w:tcPr>
          <w:p w14:paraId="1F57F11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c>
          <w:tcPr>
            <w:tcW w:w="712" w:type="pct"/>
            <w:tcBorders>
              <w:top w:val="nil"/>
              <w:left w:val="nil"/>
              <w:bottom w:val="single" w:color="404040" w:sz="8" w:space="0"/>
              <w:right w:val="single" w:color="404040" w:sz="8" w:space="0"/>
            </w:tcBorders>
            <w:shd w:val="clear" w:color="auto" w:fill="auto"/>
            <w:noWrap/>
            <w:vAlign w:val="center"/>
          </w:tcPr>
          <w:p w14:paraId="4842109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024911E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权重</w:t>
            </w:r>
          </w:p>
        </w:tc>
      </w:tr>
      <w:tr w14:paraId="28D1385B">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4364B0D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商业繁华程度</w:t>
            </w:r>
          </w:p>
        </w:tc>
        <w:tc>
          <w:tcPr>
            <w:tcW w:w="267" w:type="pct"/>
            <w:tcBorders>
              <w:top w:val="nil"/>
              <w:left w:val="nil"/>
              <w:bottom w:val="single" w:color="404040" w:sz="8" w:space="0"/>
              <w:right w:val="single" w:color="404040" w:sz="8" w:space="0"/>
            </w:tcBorders>
            <w:shd w:val="clear" w:color="auto" w:fill="auto"/>
            <w:vAlign w:val="center"/>
          </w:tcPr>
          <w:p w14:paraId="651B4C9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743" w:type="pct"/>
            <w:tcBorders>
              <w:top w:val="nil"/>
              <w:left w:val="nil"/>
              <w:bottom w:val="single" w:color="404040" w:sz="8" w:space="0"/>
              <w:right w:val="single" w:color="404040" w:sz="8" w:space="0"/>
            </w:tcBorders>
            <w:shd w:val="clear" w:color="auto" w:fill="auto"/>
            <w:vAlign w:val="center"/>
          </w:tcPr>
          <w:p w14:paraId="267D4BB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办公集聚程度</w:t>
            </w:r>
          </w:p>
        </w:tc>
        <w:tc>
          <w:tcPr>
            <w:tcW w:w="267" w:type="pct"/>
            <w:tcBorders>
              <w:top w:val="nil"/>
              <w:left w:val="nil"/>
              <w:bottom w:val="single" w:color="404040" w:sz="8" w:space="0"/>
              <w:right w:val="single" w:color="404040" w:sz="8" w:space="0"/>
            </w:tcBorders>
            <w:shd w:val="clear" w:color="auto" w:fill="auto"/>
            <w:vAlign w:val="center"/>
          </w:tcPr>
          <w:p w14:paraId="03675FB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c>
          <w:tcPr>
            <w:tcW w:w="732" w:type="pct"/>
            <w:tcBorders>
              <w:top w:val="nil"/>
              <w:left w:val="nil"/>
              <w:bottom w:val="single" w:color="404040" w:sz="8" w:space="0"/>
              <w:right w:val="single" w:color="404040" w:sz="8" w:space="0"/>
            </w:tcBorders>
            <w:shd w:val="clear" w:color="auto" w:fill="auto"/>
            <w:vAlign w:val="center"/>
          </w:tcPr>
          <w:p w14:paraId="6C5FDE4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住宅社区成熟度</w:t>
            </w:r>
          </w:p>
        </w:tc>
        <w:tc>
          <w:tcPr>
            <w:tcW w:w="267" w:type="pct"/>
            <w:tcBorders>
              <w:top w:val="nil"/>
              <w:left w:val="nil"/>
              <w:bottom w:val="single" w:color="404040" w:sz="8" w:space="0"/>
              <w:right w:val="single" w:color="404040" w:sz="8" w:space="0"/>
            </w:tcBorders>
            <w:shd w:val="clear" w:color="auto" w:fill="auto"/>
            <w:vAlign w:val="center"/>
          </w:tcPr>
          <w:p w14:paraId="7833A16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20%</w:t>
            </w:r>
          </w:p>
        </w:tc>
        <w:tc>
          <w:tcPr>
            <w:tcW w:w="722" w:type="pct"/>
            <w:tcBorders>
              <w:top w:val="nil"/>
              <w:left w:val="nil"/>
              <w:bottom w:val="single" w:color="404040" w:sz="8" w:space="0"/>
              <w:right w:val="single" w:color="404040" w:sz="8" w:space="0"/>
            </w:tcBorders>
            <w:shd w:val="clear" w:color="auto" w:fill="auto"/>
            <w:vAlign w:val="center"/>
          </w:tcPr>
          <w:p w14:paraId="2C9984E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产业集聚程度</w:t>
            </w:r>
          </w:p>
        </w:tc>
        <w:tc>
          <w:tcPr>
            <w:tcW w:w="266" w:type="pct"/>
            <w:tcBorders>
              <w:top w:val="nil"/>
              <w:left w:val="nil"/>
              <w:bottom w:val="single" w:color="404040" w:sz="8" w:space="0"/>
              <w:right w:val="single" w:color="404040" w:sz="8" w:space="0"/>
            </w:tcBorders>
            <w:shd w:val="clear" w:color="auto" w:fill="auto"/>
            <w:vAlign w:val="center"/>
          </w:tcPr>
          <w:p w14:paraId="3425B2F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c>
          <w:tcPr>
            <w:tcW w:w="712" w:type="pct"/>
            <w:tcBorders>
              <w:top w:val="nil"/>
              <w:left w:val="nil"/>
              <w:bottom w:val="single" w:color="404040" w:sz="8" w:space="0"/>
              <w:right w:val="single" w:color="404040" w:sz="8" w:space="0"/>
            </w:tcBorders>
            <w:shd w:val="clear" w:color="auto" w:fill="auto"/>
            <w:vAlign w:val="center"/>
          </w:tcPr>
          <w:p w14:paraId="4220EF8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物业集聚程度</w:t>
            </w:r>
          </w:p>
        </w:tc>
        <w:tc>
          <w:tcPr>
            <w:tcW w:w="267" w:type="pct"/>
            <w:tcBorders>
              <w:top w:val="nil"/>
              <w:left w:val="nil"/>
              <w:bottom w:val="single" w:color="404040" w:sz="8" w:space="0"/>
              <w:right w:val="single" w:color="404040" w:sz="8" w:space="0"/>
            </w:tcBorders>
            <w:shd w:val="clear" w:color="auto" w:fill="auto"/>
            <w:vAlign w:val="center"/>
          </w:tcPr>
          <w:p w14:paraId="1D88244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25%</w:t>
            </w:r>
          </w:p>
        </w:tc>
      </w:tr>
      <w:tr w14:paraId="1E3A0F3B">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032D8F6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267" w:type="pct"/>
            <w:tcBorders>
              <w:top w:val="nil"/>
              <w:left w:val="nil"/>
              <w:bottom w:val="single" w:color="404040" w:sz="8" w:space="0"/>
              <w:right w:val="single" w:color="404040" w:sz="8" w:space="0"/>
            </w:tcBorders>
            <w:shd w:val="clear" w:color="auto" w:fill="auto"/>
            <w:vAlign w:val="center"/>
          </w:tcPr>
          <w:p w14:paraId="5E0C33D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22%</w:t>
            </w:r>
          </w:p>
        </w:tc>
        <w:tc>
          <w:tcPr>
            <w:tcW w:w="743" w:type="pct"/>
            <w:tcBorders>
              <w:top w:val="nil"/>
              <w:left w:val="nil"/>
              <w:bottom w:val="single" w:color="404040" w:sz="8" w:space="0"/>
              <w:right w:val="single" w:color="404040" w:sz="8" w:space="0"/>
            </w:tcBorders>
            <w:shd w:val="clear" w:color="auto" w:fill="auto"/>
            <w:vAlign w:val="center"/>
          </w:tcPr>
          <w:p w14:paraId="6488114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267" w:type="pct"/>
            <w:tcBorders>
              <w:top w:val="nil"/>
              <w:left w:val="nil"/>
              <w:bottom w:val="single" w:color="404040" w:sz="8" w:space="0"/>
              <w:right w:val="single" w:color="404040" w:sz="8" w:space="0"/>
            </w:tcBorders>
            <w:shd w:val="clear" w:color="auto" w:fill="auto"/>
            <w:vAlign w:val="center"/>
          </w:tcPr>
          <w:p w14:paraId="19E6C7C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c>
          <w:tcPr>
            <w:tcW w:w="732" w:type="pct"/>
            <w:tcBorders>
              <w:top w:val="nil"/>
              <w:left w:val="nil"/>
              <w:bottom w:val="single" w:color="404040" w:sz="8" w:space="0"/>
              <w:right w:val="single" w:color="404040" w:sz="8" w:space="0"/>
            </w:tcBorders>
            <w:shd w:val="clear" w:color="auto" w:fill="auto"/>
            <w:vAlign w:val="center"/>
          </w:tcPr>
          <w:p w14:paraId="4A969AF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267" w:type="pct"/>
            <w:tcBorders>
              <w:top w:val="nil"/>
              <w:left w:val="nil"/>
              <w:bottom w:val="single" w:color="404040" w:sz="8" w:space="0"/>
              <w:right w:val="single" w:color="404040" w:sz="8" w:space="0"/>
            </w:tcBorders>
            <w:shd w:val="clear" w:color="auto" w:fill="auto"/>
            <w:vAlign w:val="center"/>
          </w:tcPr>
          <w:p w14:paraId="5922910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c>
          <w:tcPr>
            <w:tcW w:w="722" w:type="pct"/>
            <w:tcBorders>
              <w:top w:val="nil"/>
              <w:left w:val="nil"/>
              <w:bottom w:val="single" w:color="404040" w:sz="8" w:space="0"/>
              <w:right w:val="single" w:color="404040" w:sz="8" w:space="0"/>
            </w:tcBorders>
            <w:shd w:val="clear" w:color="auto" w:fill="auto"/>
            <w:vAlign w:val="center"/>
          </w:tcPr>
          <w:p w14:paraId="54BFBCB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266" w:type="pct"/>
            <w:tcBorders>
              <w:top w:val="nil"/>
              <w:left w:val="nil"/>
              <w:bottom w:val="single" w:color="404040" w:sz="8" w:space="0"/>
              <w:right w:val="single" w:color="404040" w:sz="8" w:space="0"/>
            </w:tcBorders>
            <w:shd w:val="clear" w:color="auto" w:fill="auto"/>
            <w:vAlign w:val="center"/>
          </w:tcPr>
          <w:p w14:paraId="204E851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30%</w:t>
            </w:r>
          </w:p>
        </w:tc>
        <w:tc>
          <w:tcPr>
            <w:tcW w:w="712" w:type="pct"/>
            <w:tcBorders>
              <w:top w:val="nil"/>
              <w:left w:val="nil"/>
              <w:bottom w:val="single" w:color="404040" w:sz="8" w:space="0"/>
              <w:right w:val="single" w:color="404040" w:sz="8" w:space="0"/>
            </w:tcBorders>
            <w:shd w:val="clear" w:color="auto" w:fill="auto"/>
            <w:vAlign w:val="center"/>
          </w:tcPr>
          <w:p w14:paraId="6608874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交通便捷度</w:t>
            </w:r>
          </w:p>
        </w:tc>
        <w:tc>
          <w:tcPr>
            <w:tcW w:w="267" w:type="pct"/>
            <w:tcBorders>
              <w:top w:val="nil"/>
              <w:left w:val="nil"/>
              <w:bottom w:val="single" w:color="404040" w:sz="8" w:space="0"/>
              <w:right w:val="single" w:color="404040" w:sz="8" w:space="0"/>
            </w:tcBorders>
            <w:shd w:val="clear" w:color="auto" w:fill="auto"/>
            <w:vAlign w:val="center"/>
          </w:tcPr>
          <w:p w14:paraId="32E2D38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26%</w:t>
            </w:r>
          </w:p>
        </w:tc>
      </w:tr>
      <w:tr w14:paraId="79A5A212">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2E8464B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696BC11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12%</w:t>
            </w:r>
          </w:p>
        </w:tc>
        <w:tc>
          <w:tcPr>
            <w:tcW w:w="743" w:type="pct"/>
            <w:tcBorders>
              <w:top w:val="nil"/>
              <w:left w:val="nil"/>
              <w:bottom w:val="single" w:color="404040" w:sz="8" w:space="0"/>
              <w:right w:val="single" w:color="404040" w:sz="8" w:space="0"/>
            </w:tcBorders>
            <w:shd w:val="clear" w:color="auto" w:fill="auto"/>
            <w:vAlign w:val="center"/>
          </w:tcPr>
          <w:p w14:paraId="34C82BF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47AC2BF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w:t>
            </w:r>
          </w:p>
        </w:tc>
        <w:tc>
          <w:tcPr>
            <w:tcW w:w="732" w:type="pct"/>
            <w:tcBorders>
              <w:top w:val="nil"/>
              <w:left w:val="nil"/>
              <w:bottom w:val="single" w:color="404040" w:sz="8" w:space="0"/>
              <w:right w:val="single" w:color="404040" w:sz="8" w:space="0"/>
            </w:tcBorders>
            <w:shd w:val="clear" w:color="auto" w:fill="auto"/>
            <w:vAlign w:val="center"/>
          </w:tcPr>
          <w:p w14:paraId="02104E3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79EDE8D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722" w:type="pct"/>
            <w:tcBorders>
              <w:top w:val="nil"/>
              <w:left w:val="nil"/>
              <w:bottom w:val="single" w:color="404040" w:sz="8" w:space="0"/>
              <w:right w:val="single" w:color="404040" w:sz="8" w:space="0"/>
            </w:tcBorders>
            <w:shd w:val="clear" w:color="auto" w:fill="auto"/>
            <w:vAlign w:val="center"/>
          </w:tcPr>
          <w:p w14:paraId="4D04733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266" w:type="pct"/>
            <w:tcBorders>
              <w:top w:val="nil"/>
              <w:left w:val="nil"/>
              <w:bottom w:val="single" w:color="404040" w:sz="8" w:space="0"/>
              <w:right w:val="single" w:color="404040" w:sz="8" w:space="0"/>
            </w:tcBorders>
            <w:shd w:val="clear" w:color="auto" w:fill="auto"/>
            <w:vAlign w:val="center"/>
          </w:tcPr>
          <w:p w14:paraId="2443175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10%</w:t>
            </w:r>
          </w:p>
        </w:tc>
        <w:tc>
          <w:tcPr>
            <w:tcW w:w="712" w:type="pct"/>
            <w:tcBorders>
              <w:top w:val="nil"/>
              <w:left w:val="nil"/>
              <w:bottom w:val="single" w:color="404040" w:sz="8" w:space="0"/>
              <w:right w:val="single" w:color="404040" w:sz="8" w:space="0"/>
            </w:tcBorders>
            <w:shd w:val="clear" w:color="auto" w:fill="auto"/>
            <w:vAlign w:val="center"/>
          </w:tcPr>
          <w:p w14:paraId="7F0D131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2719104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11%</w:t>
            </w:r>
          </w:p>
        </w:tc>
      </w:tr>
      <w:tr w14:paraId="4FFB3B18">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2762746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临街宽度和深度</w:t>
            </w:r>
          </w:p>
        </w:tc>
        <w:tc>
          <w:tcPr>
            <w:tcW w:w="267" w:type="pct"/>
            <w:tcBorders>
              <w:top w:val="nil"/>
              <w:left w:val="nil"/>
              <w:bottom w:val="single" w:color="404040" w:sz="8" w:space="0"/>
              <w:right w:val="single" w:color="404040" w:sz="8" w:space="0"/>
            </w:tcBorders>
            <w:shd w:val="clear" w:color="auto" w:fill="auto"/>
            <w:vAlign w:val="center"/>
          </w:tcPr>
          <w:p w14:paraId="74F2295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43" w:type="pct"/>
            <w:tcBorders>
              <w:top w:val="nil"/>
              <w:left w:val="nil"/>
              <w:bottom w:val="single" w:color="404040" w:sz="8" w:space="0"/>
              <w:right w:val="single" w:color="404040" w:sz="8" w:space="0"/>
            </w:tcBorders>
            <w:shd w:val="clear" w:color="auto" w:fill="auto"/>
            <w:vAlign w:val="center"/>
          </w:tcPr>
          <w:p w14:paraId="7B9AE58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临街宽度和深度</w:t>
            </w:r>
          </w:p>
        </w:tc>
        <w:tc>
          <w:tcPr>
            <w:tcW w:w="267" w:type="pct"/>
            <w:tcBorders>
              <w:top w:val="nil"/>
              <w:left w:val="nil"/>
              <w:bottom w:val="single" w:color="404040" w:sz="8" w:space="0"/>
              <w:right w:val="single" w:color="404040" w:sz="8" w:space="0"/>
            </w:tcBorders>
            <w:shd w:val="clear" w:color="auto" w:fill="auto"/>
            <w:vAlign w:val="center"/>
          </w:tcPr>
          <w:p w14:paraId="7472042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32" w:type="pct"/>
            <w:tcBorders>
              <w:top w:val="nil"/>
              <w:left w:val="nil"/>
              <w:bottom w:val="single" w:color="404040" w:sz="8" w:space="0"/>
              <w:right w:val="single" w:color="404040" w:sz="8" w:space="0"/>
            </w:tcBorders>
            <w:shd w:val="clear" w:color="auto" w:fill="auto"/>
            <w:vAlign w:val="center"/>
          </w:tcPr>
          <w:p w14:paraId="0E849DF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临路状况</w:t>
            </w:r>
          </w:p>
        </w:tc>
        <w:tc>
          <w:tcPr>
            <w:tcW w:w="267" w:type="pct"/>
            <w:tcBorders>
              <w:top w:val="nil"/>
              <w:left w:val="nil"/>
              <w:bottom w:val="single" w:color="404040" w:sz="8" w:space="0"/>
              <w:right w:val="single" w:color="404040" w:sz="8" w:space="0"/>
            </w:tcBorders>
            <w:shd w:val="clear" w:color="auto" w:fill="auto"/>
            <w:vAlign w:val="center"/>
          </w:tcPr>
          <w:p w14:paraId="268EC92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22" w:type="pct"/>
            <w:tcBorders>
              <w:top w:val="nil"/>
              <w:left w:val="nil"/>
              <w:bottom w:val="single" w:color="404040" w:sz="8" w:space="0"/>
              <w:right w:val="single" w:color="404040" w:sz="8" w:space="0"/>
            </w:tcBorders>
            <w:shd w:val="clear" w:color="auto" w:fill="auto"/>
            <w:vAlign w:val="center"/>
          </w:tcPr>
          <w:p w14:paraId="310C053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临路状况</w:t>
            </w:r>
          </w:p>
        </w:tc>
        <w:tc>
          <w:tcPr>
            <w:tcW w:w="266" w:type="pct"/>
            <w:tcBorders>
              <w:top w:val="nil"/>
              <w:left w:val="nil"/>
              <w:bottom w:val="single" w:color="404040" w:sz="8" w:space="0"/>
              <w:right w:val="single" w:color="404040" w:sz="8" w:space="0"/>
            </w:tcBorders>
            <w:shd w:val="clear" w:color="auto" w:fill="auto"/>
            <w:vAlign w:val="center"/>
          </w:tcPr>
          <w:p w14:paraId="5E2E533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12" w:type="pct"/>
            <w:tcBorders>
              <w:top w:val="nil"/>
              <w:left w:val="nil"/>
              <w:bottom w:val="single" w:color="404040" w:sz="8" w:space="0"/>
              <w:right w:val="single" w:color="404040" w:sz="8" w:space="0"/>
            </w:tcBorders>
            <w:shd w:val="clear" w:color="auto" w:fill="auto"/>
            <w:vAlign w:val="center"/>
          </w:tcPr>
          <w:p w14:paraId="2857CD0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临街宽度和深度</w:t>
            </w:r>
          </w:p>
        </w:tc>
        <w:tc>
          <w:tcPr>
            <w:tcW w:w="267" w:type="pct"/>
            <w:tcBorders>
              <w:top w:val="nil"/>
              <w:left w:val="nil"/>
              <w:bottom w:val="single" w:color="404040" w:sz="8" w:space="0"/>
              <w:right w:val="single" w:color="404040" w:sz="8" w:space="0"/>
            </w:tcBorders>
            <w:shd w:val="clear" w:color="auto" w:fill="auto"/>
            <w:vAlign w:val="center"/>
          </w:tcPr>
          <w:p w14:paraId="119BE0B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r>
      <w:tr w14:paraId="107E5E11">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069DA89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临街道路状况</w:t>
            </w:r>
          </w:p>
        </w:tc>
        <w:tc>
          <w:tcPr>
            <w:tcW w:w="267" w:type="pct"/>
            <w:tcBorders>
              <w:top w:val="nil"/>
              <w:left w:val="nil"/>
              <w:bottom w:val="single" w:color="404040" w:sz="8" w:space="0"/>
              <w:right w:val="single" w:color="404040" w:sz="8" w:space="0"/>
            </w:tcBorders>
            <w:shd w:val="clear" w:color="auto" w:fill="auto"/>
            <w:vAlign w:val="center"/>
          </w:tcPr>
          <w:p w14:paraId="11EB6E9A">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w:t>
            </w:r>
          </w:p>
        </w:tc>
        <w:tc>
          <w:tcPr>
            <w:tcW w:w="743" w:type="pct"/>
            <w:tcBorders>
              <w:top w:val="nil"/>
              <w:left w:val="nil"/>
              <w:bottom w:val="single" w:color="404040" w:sz="8" w:space="0"/>
              <w:right w:val="single" w:color="404040" w:sz="8" w:space="0"/>
            </w:tcBorders>
            <w:shd w:val="clear" w:color="auto" w:fill="auto"/>
            <w:vAlign w:val="center"/>
          </w:tcPr>
          <w:p w14:paraId="484E342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临街道路状况</w:t>
            </w:r>
          </w:p>
        </w:tc>
        <w:tc>
          <w:tcPr>
            <w:tcW w:w="267" w:type="pct"/>
            <w:tcBorders>
              <w:top w:val="nil"/>
              <w:left w:val="nil"/>
              <w:bottom w:val="single" w:color="404040" w:sz="8" w:space="0"/>
              <w:right w:val="single" w:color="404040" w:sz="8" w:space="0"/>
            </w:tcBorders>
            <w:shd w:val="clear" w:color="auto" w:fill="auto"/>
            <w:vAlign w:val="center"/>
          </w:tcPr>
          <w:p w14:paraId="1CC8244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32" w:type="pct"/>
            <w:tcBorders>
              <w:top w:val="nil"/>
              <w:left w:val="nil"/>
              <w:bottom w:val="single" w:color="404040" w:sz="8" w:space="0"/>
              <w:right w:val="single" w:color="404040" w:sz="8" w:space="0"/>
            </w:tcBorders>
            <w:shd w:val="clear" w:color="auto" w:fill="auto"/>
            <w:vAlign w:val="center"/>
          </w:tcPr>
          <w:p w14:paraId="21BDB25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41EF1B5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w:t>
            </w:r>
          </w:p>
        </w:tc>
        <w:tc>
          <w:tcPr>
            <w:tcW w:w="722" w:type="pct"/>
            <w:tcBorders>
              <w:top w:val="nil"/>
              <w:left w:val="nil"/>
              <w:bottom w:val="single" w:color="404040" w:sz="8" w:space="0"/>
              <w:right w:val="single" w:color="404040" w:sz="8" w:space="0"/>
            </w:tcBorders>
            <w:shd w:val="clear" w:color="auto" w:fill="auto"/>
            <w:vAlign w:val="center"/>
          </w:tcPr>
          <w:p w14:paraId="1AA6DF6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66" w:type="pct"/>
            <w:tcBorders>
              <w:top w:val="nil"/>
              <w:left w:val="nil"/>
              <w:bottom w:val="single" w:color="404040" w:sz="8" w:space="0"/>
              <w:right w:val="single" w:color="404040" w:sz="8" w:space="0"/>
            </w:tcBorders>
            <w:shd w:val="clear" w:color="auto" w:fill="auto"/>
            <w:vAlign w:val="center"/>
          </w:tcPr>
          <w:p w14:paraId="4E52399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712" w:type="pct"/>
            <w:tcBorders>
              <w:top w:val="nil"/>
              <w:left w:val="nil"/>
              <w:bottom w:val="single" w:color="404040" w:sz="8" w:space="0"/>
              <w:right w:val="single" w:color="404040" w:sz="8" w:space="0"/>
            </w:tcBorders>
            <w:shd w:val="clear" w:color="auto" w:fill="auto"/>
            <w:vAlign w:val="center"/>
          </w:tcPr>
          <w:p w14:paraId="2152050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临街道路状况</w:t>
            </w:r>
          </w:p>
        </w:tc>
        <w:tc>
          <w:tcPr>
            <w:tcW w:w="267" w:type="pct"/>
            <w:tcBorders>
              <w:top w:val="nil"/>
              <w:left w:val="nil"/>
              <w:bottom w:val="single" w:color="404040" w:sz="8" w:space="0"/>
              <w:right w:val="single" w:color="404040" w:sz="8" w:space="0"/>
            </w:tcBorders>
            <w:shd w:val="clear" w:color="auto" w:fill="auto"/>
            <w:vAlign w:val="center"/>
          </w:tcPr>
          <w:p w14:paraId="6D166E8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r>
      <w:tr w14:paraId="02659BDD">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1AB02D8D">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342B71B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43" w:type="pct"/>
            <w:tcBorders>
              <w:top w:val="nil"/>
              <w:left w:val="nil"/>
              <w:bottom w:val="single" w:color="404040" w:sz="8" w:space="0"/>
              <w:right w:val="single" w:color="404040" w:sz="8" w:space="0"/>
            </w:tcBorders>
            <w:shd w:val="clear" w:color="auto" w:fill="auto"/>
            <w:vAlign w:val="center"/>
          </w:tcPr>
          <w:p w14:paraId="11F6539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45C79CC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732" w:type="pct"/>
            <w:tcBorders>
              <w:top w:val="nil"/>
              <w:left w:val="nil"/>
              <w:bottom w:val="single" w:color="404040" w:sz="8" w:space="0"/>
              <w:right w:val="single" w:color="404040" w:sz="8" w:space="0"/>
            </w:tcBorders>
            <w:shd w:val="clear" w:color="auto" w:fill="auto"/>
            <w:vAlign w:val="center"/>
          </w:tcPr>
          <w:p w14:paraId="73F127E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65B0C92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22" w:type="pct"/>
            <w:tcBorders>
              <w:top w:val="nil"/>
              <w:left w:val="nil"/>
              <w:bottom w:val="single" w:color="404040" w:sz="8" w:space="0"/>
              <w:right w:val="single" w:color="404040" w:sz="8" w:space="0"/>
            </w:tcBorders>
            <w:shd w:val="clear" w:color="auto" w:fill="auto"/>
            <w:vAlign w:val="center"/>
          </w:tcPr>
          <w:p w14:paraId="048FF7C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66" w:type="pct"/>
            <w:tcBorders>
              <w:top w:val="nil"/>
              <w:left w:val="nil"/>
              <w:bottom w:val="single" w:color="404040" w:sz="8" w:space="0"/>
              <w:right w:val="single" w:color="404040" w:sz="8" w:space="0"/>
            </w:tcBorders>
            <w:shd w:val="clear" w:color="auto" w:fill="auto"/>
            <w:vAlign w:val="center"/>
          </w:tcPr>
          <w:p w14:paraId="7D53784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712" w:type="pct"/>
            <w:tcBorders>
              <w:top w:val="nil"/>
              <w:left w:val="nil"/>
              <w:bottom w:val="single" w:color="404040" w:sz="8" w:space="0"/>
              <w:right w:val="single" w:color="404040" w:sz="8" w:space="0"/>
            </w:tcBorders>
            <w:shd w:val="clear" w:color="auto" w:fill="auto"/>
            <w:vAlign w:val="center"/>
          </w:tcPr>
          <w:p w14:paraId="03DE5FF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5C4A0AA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r>
      <w:tr w14:paraId="00A73E97">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565A5ED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29B9880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43" w:type="pct"/>
            <w:tcBorders>
              <w:top w:val="nil"/>
              <w:left w:val="nil"/>
              <w:bottom w:val="single" w:color="404040" w:sz="8" w:space="0"/>
              <w:right w:val="single" w:color="404040" w:sz="8" w:space="0"/>
            </w:tcBorders>
            <w:shd w:val="clear" w:color="auto" w:fill="auto"/>
            <w:vAlign w:val="center"/>
          </w:tcPr>
          <w:p w14:paraId="160DCE7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3F6CF829">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c>
          <w:tcPr>
            <w:tcW w:w="732" w:type="pct"/>
            <w:tcBorders>
              <w:top w:val="nil"/>
              <w:left w:val="nil"/>
              <w:bottom w:val="single" w:color="404040" w:sz="8" w:space="0"/>
              <w:right w:val="single" w:color="404040" w:sz="8" w:space="0"/>
            </w:tcBorders>
            <w:shd w:val="clear" w:color="auto" w:fill="auto"/>
            <w:vAlign w:val="center"/>
          </w:tcPr>
          <w:p w14:paraId="3C6E391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5309155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9%</w:t>
            </w:r>
          </w:p>
        </w:tc>
        <w:tc>
          <w:tcPr>
            <w:tcW w:w="722" w:type="pct"/>
            <w:tcBorders>
              <w:top w:val="nil"/>
              <w:left w:val="nil"/>
              <w:bottom w:val="single" w:color="404040" w:sz="8" w:space="0"/>
              <w:right w:val="single" w:color="404040" w:sz="8" w:space="0"/>
            </w:tcBorders>
            <w:shd w:val="clear" w:color="auto" w:fill="auto"/>
            <w:vAlign w:val="center"/>
          </w:tcPr>
          <w:p w14:paraId="3D5E342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66" w:type="pct"/>
            <w:tcBorders>
              <w:top w:val="nil"/>
              <w:left w:val="nil"/>
              <w:bottom w:val="single" w:color="404040" w:sz="8" w:space="0"/>
              <w:right w:val="single" w:color="404040" w:sz="8" w:space="0"/>
            </w:tcBorders>
            <w:shd w:val="clear" w:color="auto" w:fill="auto"/>
            <w:vAlign w:val="center"/>
          </w:tcPr>
          <w:p w14:paraId="4D0E5EA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12%</w:t>
            </w:r>
          </w:p>
        </w:tc>
        <w:tc>
          <w:tcPr>
            <w:tcW w:w="712" w:type="pct"/>
            <w:tcBorders>
              <w:top w:val="nil"/>
              <w:left w:val="nil"/>
              <w:bottom w:val="single" w:color="404040" w:sz="8" w:space="0"/>
              <w:right w:val="single" w:color="404040" w:sz="8" w:space="0"/>
            </w:tcBorders>
            <w:shd w:val="clear" w:color="auto" w:fill="auto"/>
            <w:vAlign w:val="center"/>
          </w:tcPr>
          <w:p w14:paraId="0E32D24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1A22AD7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6%</w:t>
            </w:r>
          </w:p>
        </w:tc>
      </w:tr>
      <w:tr w14:paraId="02F4129A">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18C65DF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2DE72E1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8%</w:t>
            </w:r>
          </w:p>
        </w:tc>
        <w:tc>
          <w:tcPr>
            <w:tcW w:w="743" w:type="pct"/>
            <w:tcBorders>
              <w:top w:val="nil"/>
              <w:left w:val="nil"/>
              <w:bottom w:val="single" w:color="404040" w:sz="8" w:space="0"/>
              <w:right w:val="single" w:color="404040" w:sz="8" w:space="0"/>
            </w:tcBorders>
            <w:shd w:val="clear" w:color="auto" w:fill="auto"/>
            <w:vAlign w:val="center"/>
          </w:tcPr>
          <w:p w14:paraId="41F372F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004DB90F">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9%</w:t>
            </w:r>
          </w:p>
        </w:tc>
        <w:tc>
          <w:tcPr>
            <w:tcW w:w="732" w:type="pct"/>
            <w:tcBorders>
              <w:top w:val="nil"/>
              <w:left w:val="nil"/>
              <w:bottom w:val="single" w:color="404040" w:sz="8" w:space="0"/>
              <w:right w:val="single" w:color="404040" w:sz="8" w:space="0"/>
            </w:tcBorders>
            <w:shd w:val="clear" w:color="auto" w:fill="auto"/>
            <w:vAlign w:val="center"/>
          </w:tcPr>
          <w:p w14:paraId="1B86164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0D219D0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12%</w:t>
            </w:r>
          </w:p>
        </w:tc>
        <w:tc>
          <w:tcPr>
            <w:tcW w:w="722" w:type="pct"/>
            <w:tcBorders>
              <w:top w:val="nil"/>
              <w:left w:val="nil"/>
              <w:bottom w:val="single" w:color="404040" w:sz="8" w:space="0"/>
              <w:right w:val="single" w:color="404040" w:sz="8" w:space="0"/>
            </w:tcBorders>
            <w:shd w:val="clear" w:color="auto" w:fill="auto"/>
            <w:vAlign w:val="center"/>
          </w:tcPr>
          <w:p w14:paraId="6340AC4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环境状况</w:t>
            </w:r>
          </w:p>
        </w:tc>
        <w:tc>
          <w:tcPr>
            <w:tcW w:w="266" w:type="pct"/>
            <w:tcBorders>
              <w:top w:val="nil"/>
              <w:left w:val="nil"/>
              <w:bottom w:val="single" w:color="404040" w:sz="8" w:space="0"/>
              <w:right w:val="single" w:color="404040" w:sz="8" w:space="0"/>
            </w:tcBorders>
            <w:shd w:val="clear" w:color="auto" w:fill="auto"/>
            <w:vAlign w:val="center"/>
          </w:tcPr>
          <w:p w14:paraId="399D80C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12" w:type="pct"/>
            <w:tcBorders>
              <w:top w:val="nil"/>
              <w:left w:val="nil"/>
              <w:bottom w:val="single" w:color="404040" w:sz="8" w:space="0"/>
              <w:right w:val="single" w:color="404040" w:sz="8" w:space="0"/>
            </w:tcBorders>
            <w:shd w:val="clear" w:color="auto" w:fill="auto"/>
            <w:vAlign w:val="center"/>
          </w:tcPr>
          <w:p w14:paraId="279E721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265EFCC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9%</w:t>
            </w:r>
          </w:p>
        </w:tc>
      </w:tr>
      <w:tr w14:paraId="65B83AE5">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4236917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11074E7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43" w:type="pct"/>
            <w:tcBorders>
              <w:top w:val="nil"/>
              <w:left w:val="nil"/>
              <w:bottom w:val="single" w:color="404040" w:sz="8" w:space="0"/>
              <w:right w:val="single" w:color="404040" w:sz="8" w:space="0"/>
            </w:tcBorders>
            <w:shd w:val="clear" w:color="auto" w:fill="auto"/>
            <w:vAlign w:val="center"/>
          </w:tcPr>
          <w:p w14:paraId="6332505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575BD1C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w:t>
            </w:r>
          </w:p>
        </w:tc>
        <w:tc>
          <w:tcPr>
            <w:tcW w:w="732" w:type="pct"/>
            <w:tcBorders>
              <w:top w:val="nil"/>
              <w:left w:val="nil"/>
              <w:bottom w:val="single" w:color="404040" w:sz="8" w:space="0"/>
              <w:right w:val="single" w:color="404040" w:sz="8" w:space="0"/>
            </w:tcBorders>
            <w:shd w:val="clear" w:color="auto" w:fill="auto"/>
            <w:vAlign w:val="center"/>
          </w:tcPr>
          <w:p w14:paraId="24B24A3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与区域中心的接近程度</w:t>
            </w:r>
          </w:p>
        </w:tc>
        <w:tc>
          <w:tcPr>
            <w:tcW w:w="267" w:type="pct"/>
            <w:tcBorders>
              <w:top w:val="nil"/>
              <w:left w:val="nil"/>
              <w:bottom w:val="single" w:color="404040" w:sz="8" w:space="0"/>
              <w:right w:val="single" w:color="404040" w:sz="8" w:space="0"/>
            </w:tcBorders>
            <w:shd w:val="clear" w:color="auto" w:fill="auto"/>
            <w:vAlign w:val="center"/>
          </w:tcPr>
          <w:p w14:paraId="1166444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722" w:type="pct"/>
            <w:tcBorders>
              <w:top w:val="nil"/>
              <w:left w:val="nil"/>
              <w:bottom w:val="single" w:color="404040" w:sz="8" w:space="0"/>
              <w:right w:val="single" w:color="404040" w:sz="8" w:space="0"/>
            </w:tcBorders>
            <w:shd w:val="clear" w:color="auto" w:fill="auto"/>
            <w:vAlign w:val="center"/>
          </w:tcPr>
          <w:p w14:paraId="7820DC2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266" w:type="pct"/>
            <w:tcBorders>
              <w:top w:val="nil"/>
              <w:left w:val="nil"/>
              <w:bottom w:val="single" w:color="404040" w:sz="8" w:space="0"/>
              <w:right w:val="single" w:color="404040" w:sz="8" w:space="0"/>
            </w:tcBorders>
            <w:shd w:val="clear" w:color="auto" w:fill="auto"/>
            <w:vAlign w:val="center"/>
          </w:tcPr>
          <w:p w14:paraId="4CDD52D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712" w:type="pct"/>
            <w:tcBorders>
              <w:top w:val="nil"/>
              <w:left w:val="nil"/>
              <w:bottom w:val="single" w:color="404040" w:sz="8" w:space="0"/>
              <w:right w:val="single" w:color="404040" w:sz="8" w:space="0"/>
            </w:tcBorders>
            <w:shd w:val="clear" w:color="auto" w:fill="auto"/>
            <w:vAlign w:val="center"/>
          </w:tcPr>
          <w:p w14:paraId="4CE4324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27DCBBC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7%</w:t>
            </w:r>
          </w:p>
        </w:tc>
      </w:tr>
    </w:tbl>
    <w:p w14:paraId="59F15884">
      <w:pPr>
        <w:widowControl/>
        <w:adjustRightInd/>
        <w:spacing w:line="240" w:lineRule="exact"/>
        <w:textAlignment w:val="auto"/>
        <w:rPr>
          <w:rFonts w:ascii="Arial" w:hAnsi="Arial" w:eastAsia="华文细黑" w:cs="宋体"/>
          <w:color w:val="auto"/>
          <w:sz w:val="18"/>
          <w:szCs w:val="24"/>
        </w:rPr>
      </w:pPr>
    </w:p>
    <w:p w14:paraId="7B88E53D">
      <w:pPr>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估价对象位于公共服务类</w:t>
      </w:r>
      <w:r>
        <w:rPr>
          <w:rFonts w:hint="eastAsia" w:ascii="Arial" w:hAnsi="Arial" w:eastAsia="仿宋" w:cs="Arial"/>
          <w:color w:val="auto"/>
          <w:sz w:val="28"/>
          <w:szCs w:val="28"/>
        </w:rPr>
        <w:t>九</w:t>
      </w:r>
      <w:r>
        <w:rPr>
          <w:rFonts w:ascii="Arial" w:hAnsi="Arial" w:eastAsia="仿宋" w:cs="Arial"/>
          <w:color w:val="auto"/>
          <w:sz w:val="28"/>
          <w:szCs w:val="28"/>
        </w:rPr>
        <w:t>级地价区，该级别《区片基准地价因素总修正幅度表》如下：</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5"/>
        <w:gridCol w:w="2021"/>
        <w:gridCol w:w="1290"/>
        <w:gridCol w:w="1290"/>
        <w:gridCol w:w="1290"/>
        <w:gridCol w:w="1139"/>
        <w:gridCol w:w="1439"/>
      </w:tblGrid>
      <w:tr w14:paraId="59CBE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0" w:hRule="atLeast"/>
          <w:tblHeader/>
          <w:jc w:val="center"/>
        </w:trPr>
        <w:tc>
          <w:tcPr>
            <w:tcW w:w="572" w:type="pct"/>
            <w:shd w:val="clear" w:color="auto" w:fill="auto"/>
            <w:vAlign w:val="center"/>
          </w:tcPr>
          <w:p w14:paraId="5F1D7A1F">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级别</w:t>
            </w:r>
          </w:p>
        </w:tc>
        <w:tc>
          <w:tcPr>
            <w:tcW w:w="1056" w:type="pct"/>
            <w:shd w:val="clear" w:color="auto" w:fill="auto"/>
            <w:vAlign w:val="center"/>
          </w:tcPr>
          <w:p w14:paraId="507F76B0">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区片编号</w:t>
            </w:r>
          </w:p>
        </w:tc>
        <w:tc>
          <w:tcPr>
            <w:tcW w:w="674" w:type="pct"/>
            <w:shd w:val="clear" w:color="auto" w:fill="auto"/>
            <w:vAlign w:val="center"/>
          </w:tcPr>
          <w:p w14:paraId="1D765F35">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商业类</w:t>
            </w:r>
          </w:p>
        </w:tc>
        <w:tc>
          <w:tcPr>
            <w:tcW w:w="674" w:type="pct"/>
            <w:shd w:val="clear" w:color="auto" w:fill="auto"/>
            <w:vAlign w:val="center"/>
          </w:tcPr>
          <w:p w14:paraId="0B15C676">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办公类</w:t>
            </w:r>
          </w:p>
        </w:tc>
        <w:tc>
          <w:tcPr>
            <w:tcW w:w="674" w:type="pct"/>
            <w:shd w:val="clear" w:color="auto" w:fill="auto"/>
            <w:vAlign w:val="center"/>
          </w:tcPr>
          <w:p w14:paraId="0B6D6427">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住宅类</w:t>
            </w:r>
          </w:p>
        </w:tc>
        <w:tc>
          <w:tcPr>
            <w:tcW w:w="595" w:type="pct"/>
            <w:shd w:val="clear" w:color="auto" w:fill="auto"/>
            <w:vAlign w:val="center"/>
          </w:tcPr>
          <w:p w14:paraId="6C0A3C5F">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工业类</w:t>
            </w:r>
          </w:p>
        </w:tc>
        <w:tc>
          <w:tcPr>
            <w:tcW w:w="752" w:type="pct"/>
            <w:shd w:val="clear" w:color="auto" w:fill="auto"/>
            <w:vAlign w:val="center"/>
          </w:tcPr>
          <w:p w14:paraId="1BC6D204">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公共服务类</w:t>
            </w:r>
          </w:p>
        </w:tc>
      </w:tr>
      <w:tr w14:paraId="6BA4B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restart"/>
            <w:shd w:val="clear" w:color="auto" w:fill="auto"/>
            <w:vAlign w:val="center"/>
          </w:tcPr>
          <w:p w14:paraId="55AEACA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九级</w:t>
            </w:r>
          </w:p>
        </w:tc>
        <w:tc>
          <w:tcPr>
            <w:tcW w:w="1056" w:type="pct"/>
            <w:shd w:val="clear" w:color="auto" w:fill="auto"/>
            <w:vAlign w:val="center"/>
          </w:tcPr>
          <w:p w14:paraId="64F577B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Ⅸ－01</w:t>
            </w:r>
          </w:p>
        </w:tc>
        <w:tc>
          <w:tcPr>
            <w:tcW w:w="674" w:type="pct"/>
            <w:shd w:val="clear" w:color="auto" w:fill="auto"/>
            <w:vAlign w:val="center"/>
          </w:tcPr>
          <w:p w14:paraId="198FE1D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094B04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29A26F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43C56C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085AD5C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BDF4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B1E17AD">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92871F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Ⅸ－02</w:t>
            </w:r>
          </w:p>
        </w:tc>
        <w:tc>
          <w:tcPr>
            <w:tcW w:w="674" w:type="pct"/>
            <w:shd w:val="clear" w:color="auto" w:fill="auto"/>
            <w:vAlign w:val="center"/>
          </w:tcPr>
          <w:p w14:paraId="7020413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78FF4D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F34C35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49DBB4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06B0F33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7FDA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8983762">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57AB89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Ⅸ－门1</w:t>
            </w:r>
          </w:p>
        </w:tc>
        <w:tc>
          <w:tcPr>
            <w:tcW w:w="674" w:type="pct"/>
            <w:shd w:val="clear" w:color="auto" w:fill="auto"/>
            <w:vAlign w:val="center"/>
          </w:tcPr>
          <w:p w14:paraId="27228F4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22791B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CAF650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AB5355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77976F1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BEB4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8A97472">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EB2C1F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Ⅸ－门2</w:t>
            </w:r>
          </w:p>
        </w:tc>
        <w:tc>
          <w:tcPr>
            <w:tcW w:w="674" w:type="pct"/>
            <w:shd w:val="clear" w:color="auto" w:fill="auto"/>
            <w:vAlign w:val="center"/>
          </w:tcPr>
          <w:p w14:paraId="2702271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288676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904013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6646BE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5A19DA1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66C2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5DBE5D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70B4F4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Ⅸ－门潭</w:t>
            </w:r>
          </w:p>
        </w:tc>
        <w:tc>
          <w:tcPr>
            <w:tcW w:w="674" w:type="pct"/>
            <w:shd w:val="clear" w:color="auto" w:fill="auto"/>
            <w:vAlign w:val="center"/>
          </w:tcPr>
          <w:p w14:paraId="76E21DD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4D8941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DD481C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3008614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6C4BC7C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4A4B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CF5B33C">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681CB0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Ⅸ－房1</w:t>
            </w:r>
          </w:p>
        </w:tc>
        <w:tc>
          <w:tcPr>
            <w:tcW w:w="674" w:type="pct"/>
            <w:shd w:val="clear" w:color="auto" w:fill="auto"/>
            <w:vAlign w:val="center"/>
          </w:tcPr>
          <w:p w14:paraId="0112A80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4CD775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4F4750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4890AE0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0DAB045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7896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D391CB4">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61E40F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Ⅸ－房2</w:t>
            </w:r>
          </w:p>
        </w:tc>
        <w:tc>
          <w:tcPr>
            <w:tcW w:w="674" w:type="pct"/>
            <w:shd w:val="clear" w:color="auto" w:fill="auto"/>
            <w:vAlign w:val="center"/>
          </w:tcPr>
          <w:p w14:paraId="3F880B6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CB7F21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B663A9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175956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75F0744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4F20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4184331">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D19583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Ⅸ－房3</w:t>
            </w:r>
          </w:p>
        </w:tc>
        <w:tc>
          <w:tcPr>
            <w:tcW w:w="674" w:type="pct"/>
            <w:shd w:val="clear" w:color="auto" w:fill="auto"/>
            <w:vAlign w:val="center"/>
          </w:tcPr>
          <w:p w14:paraId="7DF9377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9DF9D3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458707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2DD18A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185165D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F93C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90A247D">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9DB740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Ⅸ－房4</w:t>
            </w:r>
          </w:p>
        </w:tc>
        <w:tc>
          <w:tcPr>
            <w:tcW w:w="674" w:type="pct"/>
            <w:shd w:val="clear" w:color="auto" w:fill="auto"/>
            <w:vAlign w:val="center"/>
          </w:tcPr>
          <w:p w14:paraId="23CC1AE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DE6AA5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C7112D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3E98B57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2F1A75A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27C03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1F703C3">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C24E90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Ⅸ－房5</w:t>
            </w:r>
          </w:p>
        </w:tc>
        <w:tc>
          <w:tcPr>
            <w:tcW w:w="674" w:type="pct"/>
            <w:shd w:val="clear" w:color="auto" w:fill="auto"/>
            <w:vAlign w:val="center"/>
          </w:tcPr>
          <w:p w14:paraId="11AEADE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674" w:type="pct"/>
            <w:shd w:val="clear" w:color="auto" w:fill="auto"/>
            <w:vAlign w:val="center"/>
          </w:tcPr>
          <w:p w14:paraId="24C4759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674" w:type="pct"/>
            <w:shd w:val="clear" w:color="auto" w:fill="auto"/>
            <w:vAlign w:val="center"/>
          </w:tcPr>
          <w:p w14:paraId="7C834EC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B54895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752" w:type="pct"/>
            <w:shd w:val="clear" w:color="auto" w:fill="auto"/>
            <w:vAlign w:val="center"/>
          </w:tcPr>
          <w:p w14:paraId="5DD1930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r>
      <w:tr w14:paraId="4FE3B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ADE3582">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7E841A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Ⅸ－通1</w:t>
            </w:r>
          </w:p>
        </w:tc>
        <w:tc>
          <w:tcPr>
            <w:tcW w:w="674" w:type="pct"/>
            <w:shd w:val="clear" w:color="auto" w:fill="auto"/>
            <w:vAlign w:val="center"/>
          </w:tcPr>
          <w:p w14:paraId="04CC1D7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11.00%</w:t>
            </w:r>
          </w:p>
        </w:tc>
        <w:tc>
          <w:tcPr>
            <w:tcW w:w="674" w:type="pct"/>
            <w:shd w:val="clear" w:color="auto" w:fill="auto"/>
            <w:vAlign w:val="center"/>
          </w:tcPr>
          <w:p w14:paraId="1C5B6C4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11.10%</w:t>
            </w:r>
          </w:p>
        </w:tc>
        <w:tc>
          <w:tcPr>
            <w:tcW w:w="674" w:type="pct"/>
            <w:shd w:val="clear" w:color="auto" w:fill="auto"/>
            <w:vAlign w:val="center"/>
          </w:tcPr>
          <w:p w14:paraId="6FE7EFD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595" w:type="pct"/>
            <w:shd w:val="clear" w:color="auto" w:fill="auto"/>
            <w:vAlign w:val="center"/>
          </w:tcPr>
          <w:p w14:paraId="274150F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11.00%</w:t>
            </w:r>
          </w:p>
        </w:tc>
        <w:tc>
          <w:tcPr>
            <w:tcW w:w="752" w:type="pct"/>
            <w:shd w:val="clear" w:color="auto" w:fill="auto"/>
            <w:vAlign w:val="center"/>
          </w:tcPr>
          <w:p w14:paraId="3069275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12.00%</w:t>
            </w:r>
          </w:p>
        </w:tc>
      </w:tr>
      <w:tr w14:paraId="2CE9A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D0F3887">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CAD925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Ⅸ－通2</w:t>
            </w:r>
          </w:p>
        </w:tc>
        <w:tc>
          <w:tcPr>
            <w:tcW w:w="674" w:type="pct"/>
            <w:shd w:val="clear" w:color="auto" w:fill="auto"/>
            <w:vAlign w:val="center"/>
          </w:tcPr>
          <w:p w14:paraId="0ADAEF4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674" w:type="pct"/>
            <w:shd w:val="clear" w:color="auto" w:fill="auto"/>
            <w:vAlign w:val="center"/>
          </w:tcPr>
          <w:p w14:paraId="7FD631E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14.30%</w:t>
            </w:r>
          </w:p>
        </w:tc>
        <w:tc>
          <w:tcPr>
            <w:tcW w:w="674" w:type="pct"/>
            <w:shd w:val="clear" w:color="auto" w:fill="auto"/>
            <w:vAlign w:val="center"/>
          </w:tcPr>
          <w:p w14:paraId="7438014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06A28B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06FDC43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r>
      <w:tr w14:paraId="49B2E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231913E">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1AD4EA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Ⅸ－顺1</w:t>
            </w:r>
          </w:p>
        </w:tc>
        <w:tc>
          <w:tcPr>
            <w:tcW w:w="674" w:type="pct"/>
            <w:shd w:val="clear" w:color="auto" w:fill="auto"/>
            <w:vAlign w:val="center"/>
          </w:tcPr>
          <w:p w14:paraId="1E65B22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14.30%</w:t>
            </w:r>
          </w:p>
        </w:tc>
        <w:tc>
          <w:tcPr>
            <w:tcW w:w="674" w:type="pct"/>
            <w:shd w:val="clear" w:color="auto" w:fill="auto"/>
            <w:vAlign w:val="center"/>
          </w:tcPr>
          <w:p w14:paraId="42139F2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14.30%</w:t>
            </w:r>
          </w:p>
        </w:tc>
        <w:tc>
          <w:tcPr>
            <w:tcW w:w="674" w:type="pct"/>
            <w:shd w:val="clear" w:color="auto" w:fill="auto"/>
            <w:vAlign w:val="center"/>
          </w:tcPr>
          <w:p w14:paraId="57A638D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14.80%</w:t>
            </w:r>
          </w:p>
        </w:tc>
        <w:tc>
          <w:tcPr>
            <w:tcW w:w="595" w:type="pct"/>
            <w:shd w:val="clear" w:color="auto" w:fill="auto"/>
            <w:vAlign w:val="center"/>
          </w:tcPr>
          <w:p w14:paraId="7408715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24443EE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r>
      <w:tr w14:paraId="72D04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3A529B5">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DE242B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Ⅸ－顺2</w:t>
            </w:r>
          </w:p>
        </w:tc>
        <w:tc>
          <w:tcPr>
            <w:tcW w:w="674" w:type="pct"/>
            <w:shd w:val="clear" w:color="auto" w:fill="auto"/>
            <w:vAlign w:val="center"/>
          </w:tcPr>
          <w:p w14:paraId="157179C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14.80%</w:t>
            </w:r>
          </w:p>
        </w:tc>
        <w:tc>
          <w:tcPr>
            <w:tcW w:w="674" w:type="pct"/>
            <w:shd w:val="clear" w:color="auto" w:fill="auto"/>
            <w:vAlign w:val="center"/>
          </w:tcPr>
          <w:p w14:paraId="2D45831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674" w:type="pct"/>
            <w:shd w:val="clear" w:color="auto" w:fill="auto"/>
            <w:vAlign w:val="center"/>
          </w:tcPr>
          <w:p w14:paraId="4A1323E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62FC04B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12.70%</w:t>
            </w:r>
          </w:p>
        </w:tc>
        <w:tc>
          <w:tcPr>
            <w:tcW w:w="752" w:type="pct"/>
            <w:shd w:val="clear" w:color="auto" w:fill="auto"/>
            <w:vAlign w:val="center"/>
          </w:tcPr>
          <w:p w14:paraId="53B417F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133D80D9">
        <w:tblPrEx>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48807B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34EA28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Ⅸ－顺3</w:t>
            </w:r>
          </w:p>
        </w:tc>
        <w:tc>
          <w:tcPr>
            <w:tcW w:w="674" w:type="pct"/>
            <w:shd w:val="clear" w:color="auto" w:fill="auto"/>
            <w:vAlign w:val="center"/>
          </w:tcPr>
          <w:p w14:paraId="568E336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77A7A5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C15C12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D3C84D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752" w:type="pct"/>
            <w:shd w:val="clear" w:color="auto" w:fill="auto"/>
            <w:vAlign w:val="center"/>
          </w:tcPr>
          <w:p w14:paraId="5E16074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2FCC5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49BD97C">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920C5F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Ⅸ－顺4</w:t>
            </w:r>
          </w:p>
        </w:tc>
        <w:tc>
          <w:tcPr>
            <w:tcW w:w="674" w:type="pct"/>
            <w:shd w:val="clear" w:color="auto" w:fill="auto"/>
            <w:vAlign w:val="center"/>
          </w:tcPr>
          <w:p w14:paraId="1AB36E8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76200C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E1F0C0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A4D31F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29D914B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684CA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A99BD2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FFE185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Ⅸ－顺5</w:t>
            </w:r>
          </w:p>
        </w:tc>
        <w:tc>
          <w:tcPr>
            <w:tcW w:w="674" w:type="pct"/>
            <w:shd w:val="clear" w:color="auto" w:fill="auto"/>
            <w:vAlign w:val="center"/>
          </w:tcPr>
          <w:p w14:paraId="25D2F93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6F643A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E095A5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6AE8EBC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36B575C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561A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F61F5B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12FDDF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Ⅸ－昌1</w:t>
            </w:r>
          </w:p>
        </w:tc>
        <w:tc>
          <w:tcPr>
            <w:tcW w:w="674" w:type="pct"/>
            <w:shd w:val="clear" w:color="auto" w:fill="auto"/>
            <w:vAlign w:val="center"/>
          </w:tcPr>
          <w:p w14:paraId="72F31E0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90261E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B0714E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01590C1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752" w:type="pct"/>
            <w:shd w:val="clear" w:color="auto" w:fill="auto"/>
            <w:vAlign w:val="center"/>
          </w:tcPr>
          <w:p w14:paraId="0C58237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675D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A8EF93E">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DA68B7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Ⅸ－昌2</w:t>
            </w:r>
          </w:p>
        </w:tc>
        <w:tc>
          <w:tcPr>
            <w:tcW w:w="674" w:type="pct"/>
            <w:shd w:val="clear" w:color="auto" w:fill="auto"/>
            <w:vAlign w:val="center"/>
          </w:tcPr>
          <w:p w14:paraId="5E1EB26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F7451E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5093C3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7AF35F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14.80%</w:t>
            </w:r>
          </w:p>
        </w:tc>
        <w:tc>
          <w:tcPr>
            <w:tcW w:w="752" w:type="pct"/>
            <w:shd w:val="clear" w:color="auto" w:fill="auto"/>
            <w:vAlign w:val="center"/>
          </w:tcPr>
          <w:p w14:paraId="1783B44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43C5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A88A317">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0AAD97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Ⅸ－昌3</w:t>
            </w:r>
          </w:p>
        </w:tc>
        <w:tc>
          <w:tcPr>
            <w:tcW w:w="674" w:type="pct"/>
            <w:shd w:val="clear" w:color="auto" w:fill="auto"/>
            <w:vAlign w:val="center"/>
          </w:tcPr>
          <w:p w14:paraId="1CC98DD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1A54B7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746828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843EF4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4FB856F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2DC6F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C898B0D">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A21193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Ⅸ－昌4</w:t>
            </w:r>
          </w:p>
        </w:tc>
        <w:tc>
          <w:tcPr>
            <w:tcW w:w="674" w:type="pct"/>
            <w:shd w:val="clear" w:color="auto" w:fill="auto"/>
            <w:vAlign w:val="center"/>
          </w:tcPr>
          <w:p w14:paraId="4040B8A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400BAE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665C68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4A86400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797BBAC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2D544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D836799">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33DBF71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Ⅸ－昌5</w:t>
            </w:r>
          </w:p>
        </w:tc>
        <w:tc>
          <w:tcPr>
            <w:tcW w:w="674" w:type="pct"/>
            <w:shd w:val="clear" w:color="auto" w:fill="auto"/>
            <w:vAlign w:val="center"/>
          </w:tcPr>
          <w:p w14:paraId="5113E1C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4B719E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746C07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63A43DE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128C9E6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BD61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20F967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3327521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Ⅸ－兴1</w:t>
            </w:r>
          </w:p>
        </w:tc>
        <w:tc>
          <w:tcPr>
            <w:tcW w:w="674" w:type="pct"/>
            <w:shd w:val="clear" w:color="auto" w:fill="auto"/>
            <w:vAlign w:val="center"/>
          </w:tcPr>
          <w:p w14:paraId="1FF1D6D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B814E0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B41C27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26CB26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06E1224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16E55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B03432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1BB8F5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Ⅸ－兴2</w:t>
            </w:r>
          </w:p>
        </w:tc>
        <w:tc>
          <w:tcPr>
            <w:tcW w:w="674" w:type="pct"/>
            <w:shd w:val="clear" w:color="auto" w:fill="auto"/>
            <w:vAlign w:val="center"/>
          </w:tcPr>
          <w:p w14:paraId="357A4CC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AE6B71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9328DF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16ABED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14.60%</w:t>
            </w:r>
          </w:p>
        </w:tc>
        <w:tc>
          <w:tcPr>
            <w:tcW w:w="752" w:type="pct"/>
            <w:shd w:val="clear" w:color="auto" w:fill="auto"/>
            <w:vAlign w:val="center"/>
          </w:tcPr>
          <w:p w14:paraId="6997A6B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004F8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3B2B98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4FCC58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Ⅸ－兴3</w:t>
            </w:r>
          </w:p>
        </w:tc>
        <w:tc>
          <w:tcPr>
            <w:tcW w:w="674" w:type="pct"/>
            <w:shd w:val="clear" w:color="auto" w:fill="auto"/>
            <w:vAlign w:val="center"/>
          </w:tcPr>
          <w:p w14:paraId="2A43BEE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12.60%</w:t>
            </w:r>
          </w:p>
        </w:tc>
        <w:tc>
          <w:tcPr>
            <w:tcW w:w="674" w:type="pct"/>
            <w:shd w:val="clear" w:color="auto" w:fill="auto"/>
            <w:vAlign w:val="center"/>
          </w:tcPr>
          <w:p w14:paraId="33A518D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12.40%</w:t>
            </w:r>
          </w:p>
        </w:tc>
        <w:tc>
          <w:tcPr>
            <w:tcW w:w="674" w:type="pct"/>
            <w:shd w:val="clear" w:color="auto" w:fill="auto"/>
            <w:vAlign w:val="center"/>
          </w:tcPr>
          <w:p w14:paraId="5CB9648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595" w:type="pct"/>
            <w:shd w:val="clear" w:color="auto" w:fill="auto"/>
            <w:vAlign w:val="center"/>
          </w:tcPr>
          <w:p w14:paraId="3BD5CBA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752" w:type="pct"/>
            <w:shd w:val="clear" w:color="auto" w:fill="auto"/>
            <w:vAlign w:val="center"/>
          </w:tcPr>
          <w:p w14:paraId="212A87F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13.00%</w:t>
            </w:r>
          </w:p>
        </w:tc>
      </w:tr>
      <w:tr w14:paraId="61D7E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4663213">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4F8A76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Ⅸ－怀1</w:t>
            </w:r>
          </w:p>
        </w:tc>
        <w:tc>
          <w:tcPr>
            <w:tcW w:w="674" w:type="pct"/>
            <w:shd w:val="clear" w:color="auto" w:fill="auto"/>
            <w:vAlign w:val="center"/>
          </w:tcPr>
          <w:p w14:paraId="3FCEA70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59F66D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112F89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7E0CEF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14.70%</w:t>
            </w:r>
          </w:p>
        </w:tc>
        <w:tc>
          <w:tcPr>
            <w:tcW w:w="752" w:type="pct"/>
            <w:shd w:val="clear" w:color="auto" w:fill="auto"/>
            <w:vAlign w:val="center"/>
          </w:tcPr>
          <w:p w14:paraId="3D65C4D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C560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CC3E5AD">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A20E5C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Ⅸ－怀2</w:t>
            </w:r>
          </w:p>
        </w:tc>
        <w:tc>
          <w:tcPr>
            <w:tcW w:w="674" w:type="pct"/>
            <w:shd w:val="clear" w:color="auto" w:fill="auto"/>
            <w:vAlign w:val="center"/>
          </w:tcPr>
          <w:p w14:paraId="21D9CDA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2AE8F5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12B4133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FD86D7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2E3097F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4950F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3E98175">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CD1CA1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Ⅸ－怀3</w:t>
            </w:r>
          </w:p>
        </w:tc>
        <w:tc>
          <w:tcPr>
            <w:tcW w:w="674" w:type="pct"/>
            <w:shd w:val="clear" w:color="auto" w:fill="auto"/>
            <w:vAlign w:val="center"/>
          </w:tcPr>
          <w:p w14:paraId="212B84A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F3CBE0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62ED5CB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A155CC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752" w:type="pct"/>
            <w:shd w:val="clear" w:color="auto" w:fill="auto"/>
            <w:vAlign w:val="center"/>
          </w:tcPr>
          <w:p w14:paraId="113F88A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2CFC6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B0324B2">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F85637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Ⅸ－怀4</w:t>
            </w:r>
          </w:p>
        </w:tc>
        <w:tc>
          <w:tcPr>
            <w:tcW w:w="674" w:type="pct"/>
            <w:shd w:val="clear" w:color="auto" w:fill="auto"/>
            <w:vAlign w:val="center"/>
          </w:tcPr>
          <w:p w14:paraId="0BD235E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9425FE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B11126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3E91EE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11.10%</w:t>
            </w:r>
          </w:p>
        </w:tc>
        <w:tc>
          <w:tcPr>
            <w:tcW w:w="752" w:type="pct"/>
            <w:shd w:val="clear" w:color="auto" w:fill="auto"/>
            <w:vAlign w:val="center"/>
          </w:tcPr>
          <w:p w14:paraId="559E633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122F6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933494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0D7621A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Ⅸ－平1</w:t>
            </w:r>
          </w:p>
        </w:tc>
        <w:tc>
          <w:tcPr>
            <w:tcW w:w="674" w:type="pct"/>
            <w:shd w:val="clear" w:color="auto" w:fill="auto"/>
            <w:vAlign w:val="center"/>
          </w:tcPr>
          <w:p w14:paraId="45452E6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07CC31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033E5A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3125A74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12.60%</w:t>
            </w:r>
          </w:p>
        </w:tc>
        <w:tc>
          <w:tcPr>
            <w:tcW w:w="752" w:type="pct"/>
            <w:shd w:val="clear" w:color="auto" w:fill="auto"/>
            <w:vAlign w:val="center"/>
          </w:tcPr>
          <w:p w14:paraId="12FA029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2B41B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8927E2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421940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Ⅸ－平2</w:t>
            </w:r>
          </w:p>
        </w:tc>
        <w:tc>
          <w:tcPr>
            <w:tcW w:w="674" w:type="pct"/>
            <w:shd w:val="clear" w:color="auto" w:fill="auto"/>
            <w:vAlign w:val="center"/>
          </w:tcPr>
          <w:p w14:paraId="032C1AE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066A8C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3CAA597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5562A69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12.00%</w:t>
            </w:r>
          </w:p>
        </w:tc>
        <w:tc>
          <w:tcPr>
            <w:tcW w:w="752" w:type="pct"/>
            <w:shd w:val="clear" w:color="auto" w:fill="auto"/>
            <w:vAlign w:val="center"/>
          </w:tcPr>
          <w:p w14:paraId="656ADF8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7C74F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2FD67DD">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CA75A6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Ⅸ－密1</w:t>
            </w:r>
          </w:p>
        </w:tc>
        <w:tc>
          <w:tcPr>
            <w:tcW w:w="674" w:type="pct"/>
            <w:shd w:val="clear" w:color="auto" w:fill="auto"/>
            <w:vAlign w:val="center"/>
          </w:tcPr>
          <w:p w14:paraId="2ABFE01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57AED05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7190380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75B388E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13.00%</w:t>
            </w:r>
          </w:p>
        </w:tc>
        <w:tc>
          <w:tcPr>
            <w:tcW w:w="752" w:type="pct"/>
            <w:shd w:val="clear" w:color="auto" w:fill="auto"/>
            <w:vAlign w:val="center"/>
          </w:tcPr>
          <w:p w14:paraId="627EE53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3C499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CC4B871">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11FE79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Ⅸ－延1</w:t>
            </w:r>
          </w:p>
        </w:tc>
        <w:tc>
          <w:tcPr>
            <w:tcW w:w="674" w:type="pct"/>
            <w:shd w:val="clear" w:color="auto" w:fill="auto"/>
            <w:vAlign w:val="center"/>
          </w:tcPr>
          <w:p w14:paraId="66A9713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A45C33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0512BAE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1929627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14.10%</w:t>
            </w:r>
          </w:p>
        </w:tc>
        <w:tc>
          <w:tcPr>
            <w:tcW w:w="752" w:type="pct"/>
            <w:shd w:val="clear" w:color="auto" w:fill="auto"/>
            <w:vAlign w:val="center"/>
          </w:tcPr>
          <w:p w14:paraId="65A889F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64AE9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065BF4A">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951EB8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Ⅸ－延2</w:t>
            </w:r>
          </w:p>
        </w:tc>
        <w:tc>
          <w:tcPr>
            <w:tcW w:w="674" w:type="pct"/>
            <w:shd w:val="clear" w:color="auto" w:fill="auto"/>
            <w:vAlign w:val="center"/>
          </w:tcPr>
          <w:p w14:paraId="4354A70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477D16C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674" w:type="pct"/>
            <w:shd w:val="clear" w:color="auto" w:fill="auto"/>
            <w:vAlign w:val="center"/>
          </w:tcPr>
          <w:p w14:paraId="2D37DEA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595" w:type="pct"/>
            <w:shd w:val="clear" w:color="auto" w:fill="auto"/>
            <w:vAlign w:val="center"/>
          </w:tcPr>
          <w:p w14:paraId="2B4CCE2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c>
          <w:tcPr>
            <w:tcW w:w="752" w:type="pct"/>
            <w:shd w:val="clear" w:color="auto" w:fill="auto"/>
            <w:vAlign w:val="center"/>
          </w:tcPr>
          <w:p w14:paraId="3588A67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15.00%</w:t>
            </w:r>
          </w:p>
        </w:tc>
      </w:tr>
      <w:tr w14:paraId="5D257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E891634">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0D8B07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Ⅸ－亦1</w:t>
            </w:r>
          </w:p>
        </w:tc>
        <w:tc>
          <w:tcPr>
            <w:tcW w:w="674" w:type="pct"/>
            <w:shd w:val="clear" w:color="auto" w:fill="auto"/>
            <w:vAlign w:val="center"/>
          </w:tcPr>
          <w:p w14:paraId="1872564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13.20%</w:t>
            </w:r>
          </w:p>
        </w:tc>
        <w:tc>
          <w:tcPr>
            <w:tcW w:w="674" w:type="pct"/>
            <w:shd w:val="clear" w:color="auto" w:fill="auto"/>
            <w:vAlign w:val="center"/>
          </w:tcPr>
          <w:p w14:paraId="3B84523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13.30%</w:t>
            </w:r>
          </w:p>
        </w:tc>
        <w:tc>
          <w:tcPr>
            <w:tcW w:w="674" w:type="pct"/>
            <w:shd w:val="clear" w:color="auto" w:fill="auto"/>
            <w:vAlign w:val="center"/>
          </w:tcPr>
          <w:p w14:paraId="511AD6E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14.50%</w:t>
            </w:r>
          </w:p>
        </w:tc>
        <w:tc>
          <w:tcPr>
            <w:tcW w:w="595" w:type="pct"/>
            <w:shd w:val="clear" w:color="auto" w:fill="auto"/>
            <w:vAlign w:val="center"/>
          </w:tcPr>
          <w:p w14:paraId="27BECF1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c>
          <w:tcPr>
            <w:tcW w:w="752" w:type="pct"/>
            <w:shd w:val="clear" w:color="auto" w:fill="auto"/>
            <w:vAlign w:val="center"/>
          </w:tcPr>
          <w:p w14:paraId="3A65076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14.00%</w:t>
            </w:r>
          </w:p>
        </w:tc>
      </w:tr>
      <w:tr w14:paraId="5EA6F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90EA79E">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7103C44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Ⅸ－亦2</w:t>
            </w:r>
          </w:p>
        </w:tc>
        <w:tc>
          <w:tcPr>
            <w:tcW w:w="674" w:type="pct"/>
            <w:shd w:val="clear" w:color="auto" w:fill="auto"/>
            <w:vAlign w:val="center"/>
          </w:tcPr>
          <w:p w14:paraId="0F6EB4A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13.80%</w:t>
            </w:r>
          </w:p>
        </w:tc>
        <w:tc>
          <w:tcPr>
            <w:tcW w:w="674" w:type="pct"/>
            <w:shd w:val="clear" w:color="auto" w:fill="auto"/>
            <w:vAlign w:val="center"/>
          </w:tcPr>
          <w:p w14:paraId="0A6B20E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14.00%</w:t>
            </w:r>
          </w:p>
        </w:tc>
        <w:tc>
          <w:tcPr>
            <w:tcW w:w="674" w:type="pct"/>
            <w:shd w:val="clear" w:color="auto" w:fill="auto"/>
            <w:vAlign w:val="center"/>
          </w:tcPr>
          <w:p w14:paraId="18C0802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14.60%</w:t>
            </w:r>
          </w:p>
        </w:tc>
        <w:tc>
          <w:tcPr>
            <w:tcW w:w="595" w:type="pct"/>
            <w:shd w:val="clear" w:color="auto" w:fill="auto"/>
            <w:vAlign w:val="center"/>
          </w:tcPr>
          <w:p w14:paraId="3FFDE20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14.90%</w:t>
            </w:r>
          </w:p>
        </w:tc>
        <w:tc>
          <w:tcPr>
            <w:tcW w:w="752" w:type="pct"/>
            <w:shd w:val="clear" w:color="auto" w:fill="auto"/>
            <w:vAlign w:val="center"/>
          </w:tcPr>
          <w:p w14:paraId="0B31A7B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14.20%</w:t>
            </w:r>
          </w:p>
        </w:tc>
      </w:tr>
      <w:tr w14:paraId="0E717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94F0AC1">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53DFB7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Ⅸ－亦3</w:t>
            </w:r>
          </w:p>
        </w:tc>
        <w:tc>
          <w:tcPr>
            <w:tcW w:w="674" w:type="pct"/>
            <w:shd w:val="clear" w:color="auto" w:fill="auto"/>
            <w:vAlign w:val="center"/>
          </w:tcPr>
          <w:p w14:paraId="5EB8944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12.50%</w:t>
            </w:r>
          </w:p>
        </w:tc>
        <w:tc>
          <w:tcPr>
            <w:tcW w:w="674" w:type="pct"/>
            <w:shd w:val="clear" w:color="auto" w:fill="auto"/>
            <w:vAlign w:val="center"/>
          </w:tcPr>
          <w:p w14:paraId="6F23DB8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12.70%</w:t>
            </w:r>
          </w:p>
        </w:tc>
        <w:tc>
          <w:tcPr>
            <w:tcW w:w="674" w:type="pct"/>
            <w:shd w:val="clear" w:color="auto" w:fill="auto"/>
            <w:vAlign w:val="center"/>
          </w:tcPr>
          <w:p w14:paraId="4FDB05E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14.40%</w:t>
            </w:r>
          </w:p>
        </w:tc>
        <w:tc>
          <w:tcPr>
            <w:tcW w:w="595" w:type="pct"/>
            <w:shd w:val="clear" w:color="auto" w:fill="auto"/>
            <w:vAlign w:val="center"/>
          </w:tcPr>
          <w:p w14:paraId="4F0757C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11.50%</w:t>
            </w:r>
          </w:p>
        </w:tc>
        <w:tc>
          <w:tcPr>
            <w:tcW w:w="752" w:type="pct"/>
            <w:shd w:val="clear" w:color="auto" w:fill="auto"/>
            <w:vAlign w:val="center"/>
          </w:tcPr>
          <w:p w14:paraId="5451B17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13.60%</w:t>
            </w:r>
          </w:p>
        </w:tc>
      </w:tr>
      <w:tr w14:paraId="5A6EB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10A2B0F">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E479F9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Ⅸ－房山工业园西</w:t>
            </w:r>
          </w:p>
        </w:tc>
        <w:tc>
          <w:tcPr>
            <w:tcW w:w="674" w:type="pct"/>
            <w:shd w:val="clear" w:color="auto" w:fill="auto"/>
            <w:vAlign w:val="center"/>
          </w:tcPr>
          <w:p w14:paraId="0AA85FCE">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5AAB0827">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5C6BABF8">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595" w:type="pct"/>
            <w:shd w:val="clear" w:color="auto" w:fill="auto"/>
            <w:vAlign w:val="center"/>
          </w:tcPr>
          <w:p w14:paraId="6E6BAAA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375FE559">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7D98A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3EABAF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B92BD1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Ⅸ－房山工业园东</w:t>
            </w:r>
          </w:p>
        </w:tc>
        <w:tc>
          <w:tcPr>
            <w:tcW w:w="674" w:type="pct"/>
            <w:shd w:val="clear" w:color="auto" w:fill="auto"/>
            <w:vAlign w:val="center"/>
          </w:tcPr>
          <w:p w14:paraId="4B5EB56C">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09C1D4D7">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674" w:type="pct"/>
            <w:shd w:val="clear" w:color="auto" w:fill="auto"/>
            <w:vAlign w:val="center"/>
          </w:tcPr>
          <w:p w14:paraId="5384E0A9">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c>
          <w:tcPr>
            <w:tcW w:w="595" w:type="pct"/>
            <w:shd w:val="clear" w:color="auto" w:fill="auto"/>
            <w:vAlign w:val="center"/>
          </w:tcPr>
          <w:p w14:paraId="35D7AB7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5CA0F73B">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7AF66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327AE2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6F9AF2B">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Ⅸ－永乐开发区</w:t>
            </w:r>
          </w:p>
        </w:tc>
        <w:tc>
          <w:tcPr>
            <w:tcW w:w="674" w:type="pct"/>
            <w:shd w:val="clear" w:color="auto" w:fill="auto"/>
            <w:noWrap/>
            <w:vAlign w:val="center"/>
          </w:tcPr>
          <w:p w14:paraId="3AB3CF5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1CF96A4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649EE9D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05CDE49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3668C811">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56EEC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24218AE">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7BC5FA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Ⅸ－采育开发区</w:t>
            </w:r>
          </w:p>
        </w:tc>
        <w:tc>
          <w:tcPr>
            <w:tcW w:w="674" w:type="pct"/>
            <w:shd w:val="clear" w:color="auto" w:fill="auto"/>
            <w:noWrap/>
            <w:vAlign w:val="center"/>
          </w:tcPr>
          <w:p w14:paraId="531720A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21856B7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64FEB7D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42687B2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323E716D">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5950A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C8C09A1">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42B7C6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Ⅸ－雁栖开发区A</w:t>
            </w:r>
          </w:p>
        </w:tc>
        <w:tc>
          <w:tcPr>
            <w:tcW w:w="674" w:type="pct"/>
            <w:shd w:val="clear" w:color="auto" w:fill="auto"/>
            <w:noWrap/>
            <w:vAlign w:val="center"/>
          </w:tcPr>
          <w:p w14:paraId="43B0BE61">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4E039C6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764A2B0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1CD45E7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55F36DBD">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6EF3E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BC637EE">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4B106DB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Ⅸ－雁栖开发区B</w:t>
            </w:r>
          </w:p>
        </w:tc>
        <w:tc>
          <w:tcPr>
            <w:tcW w:w="674" w:type="pct"/>
            <w:shd w:val="clear" w:color="auto" w:fill="auto"/>
            <w:noWrap/>
            <w:vAlign w:val="center"/>
          </w:tcPr>
          <w:p w14:paraId="2011E8C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0CB8D49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5B3E1CF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6848923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008BE022">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62B7F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79A7CDD">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006E1F0">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Ⅸ－雁栖开发区C</w:t>
            </w:r>
          </w:p>
        </w:tc>
        <w:tc>
          <w:tcPr>
            <w:tcW w:w="674" w:type="pct"/>
            <w:shd w:val="clear" w:color="auto" w:fill="auto"/>
            <w:noWrap/>
            <w:vAlign w:val="center"/>
          </w:tcPr>
          <w:p w14:paraId="47FF3C9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7321333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61C73E7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6EACB98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15354C89">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5FA27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AEEEE08">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E1F827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Ⅸ－兴谷开发区A</w:t>
            </w:r>
          </w:p>
        </w:tc>
        <w:tc>
          <w:tcPr>
            <w:tcW w:w="674" w:type="pct"/>
            <w:shd w:val="clear" w:color="auto" w:fill="auto"/>
            <w:noWrap/>
            <w:vAlign w:val="center"/>
          </w:tcPr>
          <w:p w14:paraId="56535ED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79E8FE6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05456A9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241014C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61B6EA3C">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73C26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155A2E0">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1D6FE21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Ⅸ－兴谷开发区B</w:t>
            </w:r>
          </w:p>
        </w:tc>
        <w:tc>
          <w:tcPr>
            <w:tcW w:w="674" w:type="pct"/>
            <w:shd w:val="clear" w:color="auto" w:fill="auto"/>
            <w:noWrap/>
            <w:vAlign w:val="center"/>
          </w:tcPr>
          <w:p w14:paraId="0A8CFE6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47524FB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1DC9E0D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7B8798D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21F13C69">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05FAE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620A441">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597C040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Ⅸ－马坊工业园</w:t>
            </w:r>
          </w:p>
        </w:tc>
        <w:tc>
          <w:tcPr>
            <w:tcW w:w="674" w:type="pct"/>
            <w:shd w:val="clear" w:color="auto" w:fill="auto"/>
            <w:noWrap/>
            <w:vAlign w:val="center"/>
          </w:tcPr>
          <w:p w14:paraId="318586B5">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0A99784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06F20596">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57279E1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3A9820BC">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66DF3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FD46B7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A0347F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Ⅸ－密云开发区</w:t>
            </w:r>
          </w:p>
        </w:tc>
        <w:tc>
          <w:tcPr>
            <w:tcW w:w="674" w:type="pct"/>
            <w:shd w:val="clear" w:color="auto" w:fill="auto"/>
            <w:noWrap/>
            <w:vAlign w:val="center"/>
          </w:tcPr>
          <w:p w14:paraId="2794331E">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6248BB88">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328D8D9C">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10F7D9AD">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249EC713">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41C09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AA6A28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2B91D55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Ⅸ－延庆开发区</w:t>
            </w:r>
          </w:p>
        </w:tc>
        <w:tc>
          <w:tcPr>
            <w:tcW w:w="674" w:type="pct"/>
            <w:shd w:val="clear" w:color="auto" w:fill="auto"/>
            <w:noWrap/>
            <w:vAlign w:val="center"/>
          </w:tcPr>
          <w:p w14:paraId="0D01524A">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0B3593E7">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5C05B3F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64DAD389">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7FE9C2B3">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r w14:paraId="4DA8B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2" w:type="pct"/>
            <w:vMerge w:val="continue"/>
            <w:shd w:val="clear" w:color="auto" w:fill="auto"/>
            <w:vAlign w:val="center"/>
          </w:tcPr>
          <w:p w14:paraId="13B60F3B">
            <w:pPr>
              <w:widowControl/>
              <w:adjustRightInd/>
              <w:spacing w:line="276" w:lineRule="auto"/>
              <w:textAlignment w:val="auto"/>
              <w:rPr>
                <w:rFonts w:ascii="Arial" w:hAnsi="Arial" w:eastAsia="仿宋" w:cs="Arial"/>
                <w:color w:val="auto"/>
                <w:sz w:val="21"/>
                <w:szCs w:val="21"/>
              </w:rPr>
            </w:pPr>
          </w:p>
        </w:tc>
        <w:tc>
          <w:tcPr>
            <w:tcW w:w="1056" w:type="pct"/>
            <w:shd w:val="clear" w:color="auto" w:fill="auto"/>
            <w:vAlign w:val="center"/>
          </w:tcPr>
          <w:p w14:paraId="6031FE83">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Ⅸ－八达岭开发区</w:t>
            </w:r>
          </w:p>
        </w:tc>
        <w:tc>
          <w:tcPr>
            <w:tcW w:w="674" w:type="pct"/>
            <w:shd w:val="clear" w:color="auto" w:fill="auto"/>
            <w:noWrap/>
            <w:vAlign w:val="center"/>
          </w:tcPr>
          <w:p w14:paraId="0CA026D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388C9722">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674" w:type="pct"/>
            <w:shd w:val="clear" w:color="auto" w:fill="auto"/>
            <w:noWrap/>
            <w:vAlign w:val="center"/>
          </w:tcPr>
          <w:p w14:paraId="1DF3EF2F">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　</w:t>
            </w:r>
          </w:p>
        </w:tc>
        <w:tc>
          <w:tcPr>
            <w:tcW w:w="595" w:type="pct"/>
            <w:shd w:val="clear" w:color="auto" w:fill="auto"/>
            <w:vAlign w:val="center"/>
          </w:tcPr>
          <w:p w14:paraId="113752B4">
            <w:pPr>
              <w:widowControl/>
              <w:adjustRightInd/>
              <w:spacing w:line="276" w:lineRule="auto"/>
              <w:textAlignment w:val="auto"/>
              <w:rPr>
                <w:rFonts w:ascii="Arial" w:hAnsi="Arial" w:eastAsia="仿宋" w:cs="Arial"/>
                <w:color w:val="auto"/>
                <w:sz w:val="21"/>
                <w:szCs w:val="21"/>
              </w:rPr>
            </w:pPr>
            <w:r>
              <w:rPr>
                <w:rFonts w:hint="eastAsia" w:ascii="Arial" w:hAnsi="Arial" w:eastAsia="仿宋" w:cs="Arial"/>
                <w:color w:val="auto"/>
                <w:sz w:val="21"/>
                <w:szCs w:val="21"/>
              </w:rPr>
              <w:t>5.00%</w:t>
            </w:r>
          </w:p>
        </w:tc>
        <w:tc>
          <w:tcPr>
            <w:tcW w:w="752" w:type="pct"/>
            <w:shd w:val="clear" w:color="auto" w:fill="auto"/>
            <w:vAlign w:val="center"/>
          </w:tcPr>
          <w:p w14:paraId="6FB97597">
            <w:pPr>
              <w:widowControl/>
              <w:adjustRightInd/>
              <w:spacing w:line="276" w:lineRule="auto"/>
              <w:textAlignment w:val="auto"/>
              <w:rPr>
                <w:rFonts w:ascii="Arial" w:hAnsi="Arial" w:eastAsia="仿宋" w:cs="Arial"/>
                <w:color w:val="auto"/>
                <w:sz w:val="21"/>
                <w:szCs w:val="21"/>
              </w:rPr>
            </w:pPr>
            <w:r>
              <w:rPr>
                <w:rFonts w:ascii="Arial" w:hAnsi="Arial" w:eastAsia="仿宋" w:cs="Arial"/>
                <w:color w:val="auto"/>
                <w:sz w:val="21"/>
                <w:szCs w:val="21"/>
              </w:rPr>
              <w:t>　</w:t>
            </w:r>
          </w:p>
        </w:tc>
      </w:tr>
    </w:tbl>
    <w:p w14:paraId="455F46B3">
      <w:pPr>
        <w:spacing w:before="120" w:beforeLines="50" w:line="360" w:lineRule="auto"/>
        <w:jc w:val="center"/>
        <w:rPr>
          <w:rFonts w:ascii="Arial" w:hAnsi="Arial" w:eastAsia="仿宋" w:cs="Arial"/>
          <w:bCs/>
          <w:color w:val="auto"/>
          <w:sz w:val="28"/>
          <w:szCs w:val="28"/>
        </w:rPr>
      </w:pPr>
      <w:r>
        <w:rPr>
          <w:rFonts w:ascii="Arial" w:hAnsi="Arial" w:eastAsia="仿宋" w:cs="Arial"/>
          <w:bCs/>
          <w:color w:val="auto"/>
          <w:sz w:val="28"/>
          <w:szCs w:val="28"/>
        </w:rPr>
        <w:t>因素等级说明表</w:t>
      </w:r>
    </w:p>
    <w:tbl>
      <w:tblPr>
        <w:tblStyle w:val="34"/>
        <w:tblW w:w="4999"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57" w:type="dxa"/>
          <w:left w:w="28" w:type="dxa"/>
          <w:bottom w:w="57" w:type="dxa"/>
          <w:right w:w="28" w:type="dxa"/>
        </w:tblCellMar>
      </w:tblPr>
      <w:tblGrid>
        <w:gridCol w:w="2234"/>
        <w:gridCol w:w="1434"/>
        <w:gridCol w:w="1435"/>
        <w:gridCol w:w="1435"/>
        <w:gridCol w:w="1435"/>
        <w:gridCol w:w="1435"/>
      </w:tblGrid>
      <w:tr w14:paraId="1F883E9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PrEx>
        <w:trPr>
          <w:cantSplit/>
          <w:trHeight w:val="529" w:hRule="atLeast"/>
          <w:tblHeader/>
          <w:jc w:val="center"/>
        </w:trPr>
        <w:tc>
          <w:tcPr>
            <w:tcW w:w="1187" w:type="pct"/>
            <w:tcBorders>
              <w:top w:val="single" w:color="404040" w:sz="2" w:space="0"/>
              <w:left w:val="single" w:color="404040" w:sz="2" w:space="0"/>
              <w:bottom w:val="single" w:color="404040" w:sz="2" w:space="0"/>
              <w:right w:val="single" w:color="404040" w:sz="2" w:space="0"/>
              <w:tl2br w:val="single" w:color="auto" w:sz="4" w:space="0"/>
            </w:tcBorders>
            <w:vAlign w:val="center"/>
          </w:tcPr>
          <w:p w14:paraId="041BD2FA">
            <w:pPr>
              <w:widowControl/>
              <w:adjustRightInd/>
              <w:spacing w:line="240" w:lineRule="exact"/>
              <w:ind w:firstLine="1365" w:firstLineChars="650"/>
              <w:jc w:val="right"/>
              <w:rPr>
                <w:rFonts w:ascii="Arial" w:hAnsi="Arial" w:eastAsia="仿宋" w:cs="Arial"/>
                <w:color w:val="auto"/>
                <w:sz w:val="21"/>
                <w:szCs w:val="21"/>
              </w:rPr>
            </w:pPr>
            <w:r>
              <w:rPr>
                <w:rFonts w:ascii="Arial" w:hAnsi="Arial" w:eastAsia="仿宋" w:cs="Arial"/>
                <w:color w:val="auto"/>
                <w:sz w:val="21"/>
                <w:szCs w:val="21"/>
              </w:rPr>
              <w:t>等级</w:t>
            </w:r>
          </w:p>
          <w:p w14:paraId="14209E0E">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影响因素</w:t>
            </w:r>
          </w:p>
        </w:tc>
        <w:tc>
          <w:tcPr>
            <w:tcW w:w="762" w:type="pct"/>
            <w:tcBorders>
              <w:top w:val="single" w:color="404040" w:sz="2" w:space="0"/>
              <w:left w:val="single" w:color="404040" w:sz="2" w:space="0"/>
              <w:bottom w:val="single" w:color="404040" w:sz="2" w:space="0"/>
              <w:right w:val="single" w:color="404040" w:sz="2" w:space="0"/>
            </w:tcBorders>
            <w:vAlign w:val="center"/>
          </w:tcPr>
          <w:p w14:paraId="12CCD38D">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好</w:t>
            </w:r>
          </w:p>
        </w:tc>
        <w:tc>
          <w:tcPr>
            <w:tcW w:w="762" w:type="pct"/>
            <w:tcBorders>
              <w:top w:val="single" w:color="404040" w:sz="2" w:space="0"/>
              <w:left w:val="single" w:color="404040" w:sz="2" w:space="0"/>
              <w:bottom w:val="single" w:color="404040" w:sz="2" w:space="0"/>
              <w:right w:val="single" w:color="404040" w:sz="2" w:space="0"/>
            </w:tcBorders>
            <w:vAlign w:val="center"/>
          </w:tcPr>
          <w:p w14:paraId="39C46859">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较好</w:t>
            </w:r>
          </w:p>
        </w:tc>
        <w:tc>
          <w:tcPr>
            <w:tcW w:w="762" w:type="pct"/>
            <w:tcBorders>
              <w:top w:val="single" w:color="404040" w:sz="2" w:space="0"/>
              <w:left w:val="single" w:color="404040" w:sz="2" w:space="0"/>
              <w:bottom w:val="single" w:color="404040" w:sz="2" w:space="0"/>
              <w:right w:val="single" w:color="404040" w:sz="2" w:space="0"/>
            </w:tcBorders>
            <w:vAlign w:val="center"/>
          </w:tcPr>
          <w:p w14:paraId="130F5A4B">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一般</w:t>
            </w:r>
          </w:p>
        </w:tc>
        <w:tc>
          <w:tcPr>
            <w:tcW w:w="762" w:type="pct"/>
            <w:tcBorders>
              <w:top w:val="single" w:color="404040" w:sz="2" w:space="0"/>
              <w:left w:val="single" w:color="404040" w:sz="2" w:space="0"/>
              <w:bottom w:val="single" w:color="404040" w:sz="2" w:space="0"/>
              <w:right w:val="single" w:color="404040" w:sz="2" w:space="0"/>
            </w:tcBorders>
            <w:vAlign w:val="center"/>
          </w:tcPr>
          <w:p w14:paraId="732DBA0B">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较差</w:t>
            </w:r>
          </w:p>
        </w:tc>
        <w:tc>
          <w:tcPr>
            <w:tcW w:w="762" w:type="pct"/>
            <w:tcBorders>
              <w:top w:val="single" w:color="404040" w:sz="2" w:space="0"/>
              <w:left w:val="single" w:color="404040" w:sz="2" w:space="0"/>
              <w:bottom w:val="single" w:color="404040" w:sz="2" w:space="0"/>
              <w:right w:val="single" w:color="404040" w:sz="2" w:space="0"/>
            </w:tcBorders>
            <w:vAlign w:val="center"/>
          </w:tcPr>
          <w:p w14:paraId="5C2233BA">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差</w:t>
            </w:r>
          </w:p>
        </w:tc>
      </w:tr>
      <w:tr w14:paraId="2945651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076"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2DC008E6">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物业聚集程度</w:t>
            </w:r>
          </w:p>
        </w:tc>
        <w:tc>
          <w:tcPr>
            <w:tcW w:w="762" w:type="pct"/>
            <w:tcBorders>
              <w:top w:val="single" w:color="404040" w:sz="2" w:space="0"/>
              <w:left w:val="single" w:color="404040" w:sz="2" w:space="0"/>
              <w:bottom w:val="single" w:color="404040" w:sz="2" w:space="0"/>
              <w:right w:val="single" w:color="404040" w:sz="2" w:space="0"/>
            </w:tcBorders>
            <w:vAlign w:val="center"/>
          </w:tcPr>
          <w:p w14:paraId="186E44AA">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周边公共服务物业分布密集，物业聚集程度好</w:t>
            </w:r>
          </w:p>
        </w:tc>
        <w:tc>
          <w:tcPr>
            <w:tcW w:w="762" w:type="pct"/>
            <w:tcBorders>
              <w:top w:val="single" w:color="404040" w:sz="2" w:space="0"/>
              <w:left w:val="single" w:color="404040" w:sz="2" w:space="0"/>
              <w:bottom w:val="single" w:color="404040" w:sz="2" w:space="0"/>
              <w:right w:val="single" w:color="404040" w:sz="2" w:space="0"/>
            </w:tcBorders>
            <w:vAlign w:val="center"/>
          </w:tcPr>
          <w:p w14:paraId="40E0A6A1">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周边公共服务物业分布较密集，物业聚集程度较好</w:t>
            </w:r>
          </w:p>
        </w:tc>
        <w:tc>
          <w:tcPr>
            <w:tcW w:w="762" w:type="pct"/>
            <w:tcBorders>
              <w:top w:val="single" w:color="404040" w:sz="2" w:space="0"/>
              <w:left w:val="single" w:color="404040" w:sz="2" w:space="0"/>
              <w:bottom w:val="single" w:color="404040" w:sz="2" w:space="0"/>
              <w:right w:val="single" w:color="404040" w:sz="2" w:space="0"/>
            </w:tcBorders>
            <w:vAlign w:val="center"/>
          </w:tcPr>
          <w:p w14:paraId="07495756">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周边有一定数量的公共服务物业，物业聚集程度一般</w:t>
            </w:r>
          </w:p>
        </w:tc>
        <w:tc>
          <w:tcPr>
            <w:tcW w:w="762" w:type="pct"/>
            <w:tcBorders>
              <w:top w:val="single" w:color="404040" w:sz="2" w:space="0"/>
              <w:left w:val="single" w:color="404040" w:sz="2" w:space="0"/>
              <w:bottom w:val="single" w:color="404040" w:sz="2" w:space="0"/>
              <w:right w:val="single" w:color="404040" w:sz="2" w:space="0"/>
            </w:tcBorders>
            <w:vAlign w:val="center"/>
          </w:tcPr>
          <w:p w14:paraId="1668D730">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周边公共服务物业分布较分散，物业聚集程度较差</w:t>
            </w:r>
          </w:p>
        </w:tc>
        <w:tc>
          <w:tcPr>
            <w:tcW w:w="762" w:type="pct"/>
            <w:tcBorders>
              <w:top w:val="single" w:color="404040" w:sz="2" w:space="0"/>
              <w:left w:val="single" w:color="404040" w:sz="2" w:space="0"/>
              <w:bottom w:val="single" w:color="404040" w:sz="2" w:space="0"/>
              <w:right w:val="single" w:color="404040" w:sz="2" w:space="0"/>
            </w:tcBorders>
            <w:vAlign w:val="center"/>
          </w:tcPr>
          <w:p w14:paraId="4521F913">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周边暂无公共服务物业分布，物业聚集程度差</w:t>
            </w:r>
          </w:p>
        </w:tc>
      </w:tr>
      <w:tr w14:paraId="54E55DC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3"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47EE6F99">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交通便捷度</w:t>
            </w:r>
          </w:p>
        </w:tc>
        <w:tc>
          <w:tcPr>
            <w:tcW w:w="762" w:type="pct"/>
            <w:tcBorders>
              <w:top w:val="single" w:color="404040" w:sz="2" w:space="0"/>
              <w:left w:val="single" w:color="404040" w:sz="2" w:space="0"/>
              <w:bottom w:val="single" w:color="404040" w:sz="2" w:space="0"/>
              <w:right w:val="single" w:color="404040" w:sz="2" w:space="0"/>
            </w:tcBorders>
            <w:vAlign w:val="center"/>
          </w:tcPr>
          <w:p w14:paraId="4BC36D42">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便捷</w:t>
            </w:r>
          </w:p>
        </w:tc>
        <w:tc>
          <w:tcPr>
            <w:tcW w:w="762" w:type="pct"/>
            <w:tcBorders>
              <w:top w:val="single" w:color="404040" w:sz="2" w:space="0"/>
              <w:left w:val="single" w:color="404040" w:sz="2" w:space="0"/>
              <w:bottom w:val="single" w:color="404040" w:sz="2" w:space="0"/>
              <w:right w:val="single" w:color="404040" w:sz="2" w:space="0"/>
            </w:tcBorders>
            <w:vAlign w:val="center"/>
          </w:tcPr>
          <w:p w14:paraId="62059045">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较便捷</w:t>
            </w:r>
          </w:p>
        </w:tc>
        <w:tc>
          <w:tcPr>
            <w:tcW w:w="762" w:type="pct"/>
            <w:tcBorders>
              <w:top w:val="single" w:color="404040" w:sz="2" w:space="0"/>
              <w:left w:val="single" w:color="404040" w:sz="2" w:space="0"/>
              <w:bottom w:val="single" w:color="404040" w:sz="2" w:space="0"/>
              <w:right w:val="single" w:color="404040" w:sz="2" w:space="0"/>
            </w:tcBorders>
            <w:vAlign w:val="center"/>
          </w:tcPr>
          <w:p w14:paraId="4BC6D585">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一般</w:t>
            </w:r>
          </w:p>
        </w:tc>
        <w:tc>
          <w:tcPr>
            <w:tcW w:w="762" w:type="pct"/>
            <w:tcBorders>
              <w:top w:val="single" w:color="404040" w:sz="2" w:space="0"/>
              <w:left w:val="single" w:color="404040" w:sz="2" w:space="0"/>
              <w:bottom w:val="single" w:color="404040" w:sz="2" w:space="0"/>
              <w:right w:val="single" w:color="404040" w:sz="2" w:space="0"/>
            </w:tcBorders>
            <w:vAlign w:val="center"/>
          </w:tcPr>
          <w:p w14:paraId="67671405">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较不便捷</w:t>
            </w:r>
          </w:p>
        </w:tc>
        <w:tc>
          <w:tcPr>
            <w:tcW w:w="762" w:type="pct"/>
            <w:tcBorders>
              <w:top w:val="single" w:color="404040" w:sz="2" w:space="0"/>
              <w:left w:val="single" w:color="404040" w:sz="2" w:space="0"/>
              <w:bottom w:val="single" w:color="404040" w:sz="2" w:space="0"/>
              <w:right w:val="single" w:color="404040" w:sz="2" w:space="0"/>
            </w:tcBorders>
            <w:vAlign w:val="center"/>
          </w:tcPr>
          <w:p w14:paraId="4DC42AEF">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不便捷</w:t>
            </w:r>
          </w:p>
        </w:tc>
      </w:tr>
      <w:tr w14:paraId="41AA76C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076"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54178CFF">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城市规划及区域土地利用方向</w:t>
            </w:r>
          </w:p>
        </w:tc>
        <w:tc>
          <w:tcPr>
            <w:tcW w:w="762" w:type="pct"/>
            <w:tcBorders>
              <w:top w:val="single" w:color="404040" w:sz="2" w:space="0"/>
              <w:left w:val="single" w:color="404040" w:sz="2" w:space="0"/>
              <w:bottom w:val="single" w:color="404040" w:sz="2" w:space="0"/>
              <w:right w:val="single" w:color="404040" w:sz="2" w:space="0"/>
            </w:tcBorders>
            <w:vAlign w:val="center"/>
          </w:tcPr>
          <w:p w14:paraId="42E693C4">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估价对象用途与周边土地利用方向一致</w:t>
            </w:r>
          </w:p>
        </w:tc>
        <w:tc>
          <w:tcPr>
            <w:tcW w:w="762" w:type="pct"/>
            <w:tcBorders>
              <w:top w:val="single" w:color="404040" w:sz="2" w:space="0"/>
              <w:left w:val="single" w:color="404040" w:sz="2" w:space="0"/>
              <w:bottom w:val="single" w:color="404040" w:sz="2" w:space="0"/>
              <w:right w:val="single" w:color="404040" w:sz="2" w:space="0"/>
            </w:tcBorders>
            <w:vAlign w:val="center"/>
          </w:tcPr>
          <w:p w14:paraId="56D5D3C8">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零星有其他用地，基本不影响本宗地</w:t>
            </w:r>
          </w:p>
        </w:tc>
        <w:tc>
          <w:tcPr>
            <w:tcW w:w="762" w:type="pct"/>
            <w:tcBorders>
              <w:top w:val="single" w:color="404040" w:sz="2" w:space="0"/>
              <w:left w:val="single" w:color="404040" w:sz="2" w:space="0"/>
              <w:bottom w:val="single" w:color="404040" w:sz="2" w:space="0"/>
              <w:right w:val="single" w:color="404040" w:sz="2" w:space="0"/>
            </w:tcBorders>
            <w:vAlign w:val="center"/>
          </w:tcPr>
          <w:p w14:paraId="6C4EE062">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有部分有其他用地，对本宗地略有影响</w:t>
            </w:r>
          </w:p>
        </w:tc>
        <w:tc>
          <w:tcPr>
            <w:tcW w:w="762" w:type="pct"/>
            <w:tcBorders>
              <w:top w:val="single" w:color="404040" w:sz="2" w:space="0"/>
              <w:left w:val="single" w:color="404040" w:sz="2" w:space="0"/>
              <w:bottom w:val="single" w:color="404040" w:sz="2" w:space="0"/>
              <w:right w:val="single" w:color="404040" w:sz="2" w:space="0"/>
            </w:tcBorders>
            <w:vAlign w:val="center"/>
          </w:tcPr>
          <w:p w14:paraId="55AC7001">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其他用地较多，对本宗地影响较大</w:t>
            </w:r>
          </w:p>
        </w:tc>
        <w:tc>
          <w:tcPr>
            <w:tcW w:w="762" w:type="pct"/>
            <w:tcBorders>
              <w:top w:val="single" w:color="404040" w:sz="2" w:space="0"/>
              <w:left w:val="single" w:color="404040" w:sz="2" w:space="0"/>
              <w:bottom w:val="single" w:color="404040" w:sz="2" w:space="0"/>
              <w:right w:val="single" w:color="404040" w:sz="2" w:space="0"/>
            </w:tcBorders>
            <w:vAlign w:val="center"/>
          </w:tcPr>
          <w:p w14:paraId="6A160E27">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全部为不同用地，对本宗地有大的影响</w:t>
            </w:r>
          </w:p>
        </w:tc>
      </w:tr>
      <w:tr w14:paraId="5916B5C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3"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0E8E281C">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临街宽度和深度</w:t>
            </w:r>
          </w:p>
        </w:tc>
        <w:tc>
          <w:tcPr>
            <w:tcW w:w="762" w:type="pct"/>
            <w:tcBorders>
              <w:top w:val="single" w:color="404040" w:sz="2" w:space="0"/>
              <w:left w:val="single" w:color="404040" w:sz="2" w:space="0"/>
              <w:bottom w:val="single" w:color="404040" w:sz="2" w:space="0"/>
              <w:right w:val="single" w:color="404040" w:sz="2" w:space="0"/>
            </w:tcBorders>
            <w:vAlign w:val="center"/>
          </w:tcPr>
          <w:p w14:paraId="14B8967A">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比例适宜</w:t>
            </w:r>
          </w:p>
        </w:tc>
        <w:tc>
          <w:tcPr>
            <w:tcW w:w="762" w:type="pct"/>
            <w:tcBorders>
              <w:top w:val="single" w:color="404040" w:sz="2" w:space="0"/>
              <w:left w:val="single" w:color="404040" w:sz="2" w:space="0"/>
              <w:bottom w:val="single" w:color="404040" w:sz="2" w:space="0"/>
              <w:right w:val="single" w:color="404040" w:sz="2" w:space="0"/>
            </w:tcBorders>
            <w:vAlign w:val="center"/>
          </w:tcPr>
          <w:p w14:paraId="3B77B4ED">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比例较适宜</w:t>
            </w:r>
          </w:p>
        </w:tc>
        <w:tc>
          <w:tcPr>
            <w:tcW w:w="762" w:type="pct"/>
            <w:tcBorders>
              <w:top w:val="single" w:color="404040" w:sz="2" w:space="0"/>
              <w:left w:val="single" w:color="404040" w:sz="2" w:space="0"/>
              <w:bottom w:val="single" w:color="404040" w:sz="2" w:space="0"/>
              <w:right w:val="single" w:color="404040" w:sz="2" w:space="0"/>
            </w:tcBorders>
            <w:vAlign w:val="center"/>
          </w:tcPr>
          <w:p w14:paraId="5B04401F">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一般</w:t>
            </w:r>
          </w:p>
        </w:tc>
        <w:tc>
          <w:tcPr>
            <w:tcW w:w="762" w:type="pct"/>
            <w:tcBorders>
              <w:top w:val="single" w:color="404040" w:sz="2" w:space="0"/>
              <w:left w:val="single" w:color="404040" w:sz="2" w:space="0"/>
              <w:bottom w:val="single" w:color="404040" w:sz="2" w:space="0"/>
              <w:right w:val="single" w:color="404040" w:sz="2" w:space="0"/>
            </w:tcBorders>
            <w:vAlign w:val="center"/>
          </w:tcPr>
          <w:p w14:paraId="41336805">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较差</w:t>
            </w:r>
          </w:p>
        </w:tc>
        <w:tc>
          <w:tcPr>
            <w:tcW w:w="762" w:type="pct"/>
            <w:tcBorders>
              <w:top w:val="single" w:color="404040" w:sz="2" w:space="0"/>
              <w:left w:val="single" w:color="404040" w:sz="2" w:space="0"/>
              <w:bottom w:val="single" w:color="404040" w:sz="2" w:space="0"/>
              <w:right w:val="single" w:color="404040" w:sz="2" w:space="0"/>
            </w:tcBorders>
            <w:vAlign w:val="center"/>
          </w:tcPr>
          <w:p w14:paraId="7E43F39A">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差</w:t>
            </w:r>
          </w:p>
        </w:tc>
      </w:tr>
      <w:tr w14:paraId="7F58C8B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47"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6FE918F3">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临街道路状况</w:t>
            </w:r>
          </w:p>
        </w:tc>
        <w:tc>
          <w:tcPr>
            <w:tcW w:w="762" w:type="pct"/>
            <w:tcBorders>
              <w:top w:val="single" w:color="404040" w:sz="2" w:space="0"/>
              <w:left w:val="single" w:color="404040" w:sz="2" w:space="0"/>
              <w:bottom w:val="single" w:color="404040" w:sz="2" w:space="0"/>
              <w:right w:val="single" w:color="404040" w:sz="2" w:space="0"/>
            </w:tcBorders>
            <w:vAlign w:val="center"/>
          </w:tcPr>
          <w:p w14:paraId="6F74FE00">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临高速公路</w:t>
            </w:r>
          </w:p>
        </w:tc>
        <w:tc>
          <w:tcPr>
            <w:tcW w:w="762" w:type="pct"/>
            <w:tcBorders>
              <w:top w:val="single" w:color="404040" w:sz="2" w:space="0"/>
              <w:left w:val="single" w:color="404040" w:sz="2" w:space="0"/>
              <w:bottom w:val="single" w:color="404040" w:sz="2" w:space="0"/>
              <w:right w:val="single" w:color="404040" w:sz="2" w:space="0"/>
            </w:tcBorders>
            <w:vAlign w:val="center"/>
          </w:tcPr>
          <w:p w14:paraId="0716139F">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临城市快速路</w:t>
            </w:r>
          </w:p>
        </w:tc>
        <w:tc>
          <w:tcPr>
            <w:tcW w:w="762" w:type="pct"/>
            <w:tcBorders>
              <w:top w:val="single" w:color="404040" w:sz="2" w:space="0"/>
              <w:left w:val="single" w:color="404040" w:sz="2" w:space="0"/>
              <w:bottom w:val="single" w:color="404040" w:sz="2" w:space="0"/>
              <w:right w:val="single" w:color="404040" w:sz="2" w:space="0"/>
            </w:tcBorders>
            <w:vAlign w:val="center"/>
          </w:tcPr>
          <w:p w14:paraId="1A39EFF2">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临城市主干道</w:t>
            </w:r>
          </w:p>
        </w:tc>
        <w:tc>
          <w:tcPr>
            <w:tcW w:w="762" w:type="pct"/>
            <w:tcBorders>
              <w:top w:val="single" w:color="404040" w:sz="2" w:space="0"/>
              <w:left w:val="single" w:color="404040" w:sz="2" w:space="0"/>
              <w:bottom w:val="single" w:color="404040" w:sz="2" w:space="0"/>
              <w:right w:val="single" w:color="404040" w:sz="2" w:space="0"/>
            </w:tcBorders>
            <w:vAlign w:val="center"/>
          </w:tcPr>
          <w:p w14:paraId="37604382">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临城市次干道</w:t>
            </w:r>
          </w:p>
        </w:tc>
        <w:tc>
          <w:tcPr>
            <w:tcW w:w="762" w:type="pct"/>
            <w:tcBorders>
              <w:top w:val="single" w:color="404040" w:sz="2" w:space="0"/>
              <w:left w:val="single" w:color="404040" w:sz="2" w:space="0"/>
              <w:bottom w:val="single" w:color="404040" w:sz="2" w:space="0"/>
              <w:right w:val="single" w:color="404040" w:sz="2" w:space="0"/>
            </w:tcBorders>
            <w:vAlign w:val="center"/>
          </w:tcPr>
          <w:p w14:paraId="589D5463">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临城市支路</w:t>
            </w:r>
          </w:p>
        </w:tc>
      </w:tr>
      <w:tr w14:paraId="328DBBC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076"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3454BF33">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762" w:type="pct"/>
            <w:tcBorders>
              <w:top w:val="single" w:color="404040" w:sz="2" w:space="0"/>
              <w:left w:val="single" w:color="404040" w:sz="2" w:space="0"/>
              <w:bottom w:val="single" w:color="404040" w:sz="2" w:space="0"/>
              <w:right w:val="single" w:color="404040" w:sz="2" w:space="0"/>
            </w:tcBorders>
            <w:vAlign w:val="center"/>
          </w:tcPr>
          <w:p w14:paraId="7EAF9E37">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宗地形状规则，可利用程度好</w:t>
            </w:r>
          </w:p>
        </w:tc>
        <w:tc>
          <w:tcPr>
            <w:tcW w:w="762" w:type="pct"/>
            <w:tcBorders>
              <w:top w:val="single" w:color="404040" w:sz="2" w:space="0"/>
              <w:left w:val="single" w:color="404040" w:sz="2" w:space="0"/>
              <w:bottom w:val="single" w:color="404040" w:sz="2" w:space="0"/>
              <w:right w:val="single" w:color="404040" w:sz="2" w:space="0"/>
            </w:tcBorders>
            <w:vAlign w:val="center"/>
          </w:tcPr>
          <w:p w14:paraId="381BA74A">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宗地形状较规则，可利用程度较好</w:t>
            </w:r>
          </w:p>
        </w:tc>
        <w:tc>
          <w:tcPr>
            <w:tcW w:w="762" w:type="pct"/>
            <w:tcBorders>
              <w:top w:val="single" w:color="404040" w:sz="2" w:space="0"/>
              <w:left w:val="single" w:color="404040" w:sz="2" w:space="0"/>
              <w:bottom w:val="single" w:color="404040" w:sz="2" w:space="0"/>
              <w:right w:val="single" w:color="404040" w:sz="2" w:space="0"/>
            </w:tcBorders>
            <w:vAlign w:val="center"/>
          </w:tcPr>
          <w:p w14:paraId="7DC0DFA0">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宗地形状不规则，但对宗地利用影响较小</w:t>
            </w:r>
          </w:p>
        </w:tc>
        <w:tc>
          <w:tcPr>
            <w:tcW w:w="762" w:type="pct"/>
            <w:tcBorders>
              <w:top w:val="single" w:color="404040" w:sz="2" w:space="0"/>
              <w:left w:val="single" w:color="404040" w:sz="2" w:space="0"/>
              <w:bottom w:val="single" w:color="404040" w:sz="2" w:space="0"/>
              <w:right w:val="single" w:color="404040" w:sz="2" w:space="0"/>
            </w:tcBorders>
            <w:vAlign w:val="center"/>
          </w:tcPr>
          <w:p w14:paraId="67E7CF14">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宗地形状不规则，对宗地利用有影响</w:t>
            </w:r>
          </w:p>
        </w:tc>
        <w:tc>
          <w:tcPr>
            <w:tcW w:w="762" w:type="pct"/>
            <w:tcBorders>
              <w:top w:val="single" w:color="404040" w:sz="2" w:space="0"/>
              <w:left w:val="single" w:color="404040" w:sz="2" w:space="0"/>
              <w:bottom w:val="single" w:color="404040" w:sz="2" w:space="0"/>
              <w:right w:val="single" w:color="404040" w:sz="2" w:space="0"/>
            </w:tcBorders>
            <w:vAlign w:val="center"/>
          </w:tcPr>
          <w:p w14:paraId="4DED395B">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宗地形状极其不规则，对宗地利用影响很大</w:t>
            </w:r>
          </w:p>
        </w:tc>
      </w:tr>
      <w:tr w14:paraId="73A40AE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728"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5BE07874">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公共服务设施状况</w:t>
            </w:r>
          </w:p>
        </w:tc>
        <w:tc>
          <w:tcPr>
            <w:tcW w:w="762" w:type="pct"/>
            <w:tcBorders>
              <w:top w:val="single" w:color="404040" w:sz="2" w:space="0"/>
              <w:left w:val="single" w:color="404040" w:sz="2" w:space="0"/>
              <w:bottom w:val="single" w:color="404040" w:sz="2" w:space="0"/>
              <w:right w:val="single" w:color="404040" w:sz="2" w:space="0"/>
            </w:tcBorders>
            <w:vAlign w:val="center"/>
          </w:tcPr>
          <w:p w14:paraId="2271D78D">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配套完善</w:t>
            </w:r>
          </w:p>
        </w:tc>
        <w:tc>
          <w:tcPr>
            <w:tcW w:w="762" w:type="pct"/>
            <w:tcBorders>
              <w:top w:val="single" w:color="404040" w:sz="2" w:space="0"/>
              <w:left w:val="single" w:color="404040" w:sz="2" w:space="0"/>
              <w:bottom w:val="single" w:color="404040" w:sz="2" w:space="0"/>
              <w:right w:val="single" w:color="404040" w:sz="2" w:space="0"/>
            </w:tcBorders>
            <w:vAlign w:val="center"/>
          </w:tcPr>
          <w:p w14:paraId="7A86829A">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配套较完善</w:t>
            </w:r>
          </w:p>
        </w:tc>
        <w:tc>
          <w:tcPr>
            <w:tcW w:w="762" w:type="pct"/>
            <w:tcBorders>
              <w:top w:val="single" w:color="404040" w:sz="2" w:space="0"/>
              <w:left w:val="single" w:color="404040" w:sz="2" w:space="0"/>
              <w:bottom w:val="single" w:color="404040" w:sz="2" w:space="0"/>
              <w:right w:val="single" w:color="404040" w:sz="2" w:space="0"/>
            </w:tcBorders>
            <w:vAlign w:val="center"/>
          </w:tcPr>
          <w:p w14:paraId="5D04D2B6">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配套基本满足需要</w:t>
            </w:r>
          </w:p>
        </w:tc>
        <w:tc>
          <w:tcPr>
            <w:tcW w:w="762" w:type="pct"/>
            <w:tcBorders>
              <w:top w:val="single" w:color="404040" w:sz="2" w:space="0"/>
              <w:left w:val="single" w:color="404040" w:sz="2" w:space="0"/>
              <w:bottom w:val="single" w:color="404040" w:sz="2" w:space="0"/>
              <w:right w:val="single" w:color="404040" w:sz="2" w:space="0"/>
            </w:tcBorders>
            <w:vAlign w:val="center"/>
          </w:tcPr>
          <w:p w14:paraId="607F30DA">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配套少</w:t>
            </w:r>
          </w:p>
        </w:tc>
        <w:tc>
          <w:tcPr>
            <w:tcW w:w="762" w:type="pct"/>
            <w:tcBorders>
              <w:top w:val="single" w:color="404040" w:sz="2" w:space="0"/>
              <w:left w:val="single" w:color="404040" w:sz="2" w:space="0"/>
              <w:bottom w:val="single" w:color="404040" w:sz="2" w:space="0"/>
              <w:right w:val="single" w:color="404040" w:sz="2" w:space="0"/>
            </w:tcBorders>
            <w:vAlign w:val="center"/>
          </w:tcPr>
          <w:p w14:paraId="282D775F">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配套极少</w:t>
            </w:r>
          </w:p>
        </w:tc>
      </w:tr>
      <w:tr w14:paraId="1331862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47"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055178A5">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基础设施完备状况</w:t>
            </w:r>
          </w:p>
        </w:tc>
        <w:tc>
          <w:tcPr>
            <w:tcW w:w="762" w:type="pct"/>
            <w:tcBorders>
              <w:top w:val="single" w:color="404040" w:sz="2" w:space="0"/>
              <w:left w:val="single" w:color="404040" w:sz="2" w:space="0"/>
              <w:bottom w:val="single" w:color="404040" w:sz="2" w:space="0"/>
              <w:right w:val="single" w:color="404040" w:sz="2" w:space="0"/>
            </w:tcBorders>
            <w:vAlign w:val="center"/>
          </w:tcPr>
          <w:p w14:paraId="26AA8F88">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七通</w:t>
            </w:r>
          </w:p>
        </w:tc>
        <w:tc>
          <w:tcPr>
            <w:tcW w:w="762" w:type="pct"/>
            <w:tcBorders>
              <w:top w:val="single" w:color="404040" w:sz="2" w:space="0"/>
              <w:left w:val="single" w:color="404040" w:sz="2" w:space="0"/>
              <w:bottom w:val="single" w:color="404040" w:sz="2" w:space="0"/>
              <w:right w:val="single" w:color="404040" w:sz="2" w:space="0"/>
            </w:tcBorders>
            <w:vAlign w:val="center"/>
          </w:tcPr>
          <w:p w14:paraId="6A58F91B">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六通</w:t>
            </w:r>
          </w:p>
        </w:tc>
        <w:tc>
          <w:tcPr>
            <w:tcW w:w="762" w:type="pct"/>
            <w:tcBorders>
              <w:top w:val="single" w:color="404040" w:sz="2" w:space="0"/>
              <w:left w:val="single" w:color="404040" w:sz="2" w:space="0"/>
              <w:bottom w:val="single" w:color="404040" w:sz="2" w:space="0"/>
              <w:right w:val="single" w:color="404040" w:sz="2" w:space="0"/>
            </w:tcBorders>
            <w:vAlign w:val="center"/>
          </w:tcPr>
          <w:p w14:paraId="047CD5A6">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五通</w:t>
            </w:r>
          </w:p>
        </w:tc>
        <w:tc>
          <w:tcPr>
            <w:tcW w:w="762" w:type="pct"/>
            <w:tcBorders>
              <w:top w:val="single" w:color="404040" w:sz="2" w:space="0"/>
              <w:left w:val="single" w:color="404040" w:sz="2" w:space="0"/>
              <w:bottom w:val="single" w:color="404040" w:sz="2" w:space="0"/>
              <w:right w:val="single" w:color="404040" w:sz="2" w:space="0"/>
            </w:tcBorders>
            <w:vAlign w:val="center"/>
          </w:tcPr>
          <w:p w14:paraId="10C5D4C3">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四通</w:t>
            </w:r>
          </w:p>
        </w:tc>
        <w:tc>
          <w:tcPr>
            <w:tcW w:w="762" w:type="pct"/>
            <w:tcBorders>
              <w:top w:val="single" w:color="404040" w:sz="2" w:space="0"/>
              <w:left w:val="single" w:color="404040" w:sz="2" w:space="0"/>
              <w:bottom w:val="single" w:color="404040" w:sz="2" w:space="0"/>
              <w:right w:val="single" w:color="404040" w:sz="2" w:space="0"/>
            </w:tcBorders>
            <w:vAlign w:val="center"/>
          </w:tcPr>
          <w:p w14:paraId="510F37D2">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三通</w:t>
            </w:r>
          </w:p>
        </w:tc>
      </w:tr>
      <w:tr w14:paraId="4B39632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3"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6C6781F4">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762" w:type="pct"/>
            <w:tcBorders>
              <w:top w:val="single" w:color="404040" w:sz="2" w:space="0"/>
              <w:left w:val="single" w:color="404040" w:sz="2" w:space="0"/>
              <w:bottom w:val="single" w:color="404040" w:sz="2" w:space="0"/>
              <w:right w:val="single" w:color="404040" w:sz="2" w:space="0"/>
            </w:tcBorders>
            <w:vAlign w:val="center"/>
          </w:tcPr>
          <w:p w14:paraId="0E380525">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好</w:t>
            </w:r>
          </w:p>
        </w:tc>
        <w:tc>
          <w:tcPr>
            <w:tcW w:w="762" w:type="pct"/>
            <w:tcBorders>
              <w:top w:val="single" w:color="404040" w:sz="2" w:space="0"/>
              <w:left w:val="single" w:color="404040" w:sz="2" w:space="0"/>
              <w:bottom w:val="single" w:color="404040" w:sz="2" w:space="0"/>
              <w:right w:val="single" w:color="404040" w:sz="2" w:space="0"/>
            </w:tcBorders>
            <w:vAlign w:val="center"/>
          </w:tcPr>
          <w:p w14:paraId="11B04E1C">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较好</w:t>
            </w:r>
          </w:p>
        </w:tc>
        <w:tc>
          <w:tcPr>
            <w:tcW w:w="762" w:type="pct"/>
            <w:tcBorders>
              <w:top w:val="single" w:color="404040" w:sz="2" w:space="0"/>
              <w:left w:val="single" w:color="404040" w:sz="2" w:space="0"/>
              <w:bottom w:val="single" w:color="404040" w:sz="2" w:space="0"/>
              <w:right w:val="single" w:color="404040" w:sz="2" w:space="0"/>
            </w:tcBorders>
            <w:vAlign w:val="center"/>
          </w:tcPr>
          <w:p w14:paraId="231CC2F6">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一般</w:t>
            </w:r>
          </w:p>
        </w:tc>
        <w:tc>
          <w:tcPr>
            <w:tcW w:w="762" w:type="pct"/>
            <w:tcBorders>
              <w:top w:val="single" w:color="404040" w:sz="2" w:space="0"/>
              <w:left w:val="single" w:color="404040" w:sz="2" w:space="0"/>
              <w:bottom w:val="single" w:color="404040" w:sz="2" w:space="0"/>
              <w:right w:val="single" w:color="404040" w:sz="2" w:space="0"/>
            </w:tcBorders>
            <w:vAlign w:val="center"/>
          </w:tcPr>
          <w:p w14:paraId="0C856FFD">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较差</w:t>
            </w:r>
          </w:p>
        </w:tc>
        <w:tc>
          <w:tcPr>
            <w:tcW w:w="762" w:type="pct"/>
            <w:tcBorders>
              <w:top w:val="single" w:color="404040" w:sz="2" w:space="0"/>
              <w:left w:val="single" w:color="404040" w:sz="2" w:space="0"/>
              <w:bottom w:val="single" w:color="404040" w:sz="2" w:space="0"/>
              <w:right w:val="single" w:color="404040" w:sz="2" w:space="0"/>
            </w:tcBorders>
            <w:vAlign w:val="center"/>
          </w:tcPr>
          <w:p w14:paraId="5C97F91B">
            <w:pPr>
              <w:widowControl/>
              <w:adjustRightInd/>
              <w:spacing w:line="240" w:lineRule="exact"/>
              <w:rPr>
                <w:rFonts w:ascii="Arial" w:hAnsi="Arial" w:eastAsia="仿宋" w:cs="Arial"/>
                <w:color w:val="auto"/>
                <w:sz w:val="21"/>
                <w:szCs w:val="21"/>
              </w:rPr>
            </w:pPr>
            <w:r>
              <w:rPr>
                <w:rFonts w:ascii="Arial" w:hAnsi="Arial" w:eastAsia="仿宋" w:cs="Arial"/>
                <w:color w:val="auto"/>
                <w:sz w:val="21"/>
                <w:szCs w:val="21"/>
              </w:rPr>
              <w:t>差</w:t>
            </w:r>
          </w:p>
        </w:tc>
      </w:tr>
    </w:tbl>
    <w:p w14:paraId="0E524C38">
      <w:pPr>
        <w:adjustRightInd/>
        <w:spacing w:before="240" w:beforeLines="10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估价对象地处公共服务类</w:t>
      </w:r>
      <w:r>
        <w:rPr>
          <w:rFonts w:hint="eastAsia" w:ascii="Arial" w:hAnsi="Arial" w:eastAsia="仿宋_GB2312" w:cs="Arial"/>
          <w:color w:val="auto"/>
          <w:sz w:val="28"/>
        </w:rPr>
        <w:t>九级</w:t>
      </w:r>
      <w:r>
        <w:rPr>
          <w:rFonts w:ascii="Arial" w:hAnsi="Arial" w:eastAsia="仿宋_GB2312" w:cs="Arial"/>
          <w:color w:val="auto"/>
          <w:sz w:val="28"/>
        </w:rPr>
        <w:t>IX</w:t>
      </w:r>
      <w:r>
        <w:rPr>
          <w:rFonts w:hint="eastAsia" w:ascii="Arial" w:hAnsi="Arial" w:eastAsia="仿宋_GB2312" w:cs="Arial"/>
          <w:color w:val="auto"/>
          <w:sz w:val="28"/>
        </w:rPr>
        <w:t>－顺5</w:t>
      </w:r>
      <w:r>
        <w:rPr>
          <w:rFonts w:ascii="Arial" w:hAnsi="Arial" w:eastAsia="仿宋" w:cs="Arial"/>
          <w:color w:val="auto"/>
          <w:sz w:val="28"/>
          <w:szCs w:val="28"/>
        </w:rPr>
        <w:t>区片，依据前述《北京市基准地价因素权重表》、《区片基准地价因素总修正幅度表》及《因素等级说明表》，整理《等级系数表》如下：</w:t>
      </w:r>
    </w:p>
    <w:p w14:paraId="3DFADBB9">
      <w:pPr>
        <w:adjustRightInd/>
        <w:spacing w:line="300" w:lineRule="auto"/>
        <w:jc w:val="center"/>
        <w:rPr>
          <w:rFonts w:ascii="Arial" w:hAnsi="Arial" w:eastAsia="仿宋_GB2312" w:cs="Arial"/>
          <w:color w:val="auto"/>
          <w:szCs w:val="24"/>
        </w:rPr>
      </w:pPr>
      <w:r>
        <w:rPr>
          <w:rFonts w:ascii="Arial" w:hAnsi="Arial" w:eastAsia="仿宋" w:cs="Arial"/>
          <w:color w:val="auto"/>
          <w:sz w:val="28"/>
          <w:szCs w:val="28"/>
        </w:rPr>
        <w:t xml:space="preserve">等级系数表     </w:t>
      </w:r>
      <w:r>
        <w:rPr>
          <w:rFonts w:ascii="Arial" w:hAnsi="Arial" w:eastAsia="仿宋_GB2312" w:cs="Arial"/>
          <w:color w:val="auto"/>
          <w:szCs w:val="24"/>
        </w:rPr>
        <w:t xml:space="preserve">                 </w:t>
      </w:r>
    </w:p>
    <w:tbl>
      <w:tblPr>
        <w:tblStyle w:val="34"/>
        <w:tblW w:w="4998"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57" w:type="dxa"/>
          <w:left w:w="28" w:type="dxa"/>
          <w:bottom w:w="57" w:type="dxa"/>
          <w:right w:w="28" w:type="dxa"/>
        </w:tblCellMar>
      </w:tblPr>
      <w:tblGrid>
        <w:gridCol w:w="2410"/>
        <w:gridCol w:w="1290"/>
        <w:gridCol w:w="1371"/>
        <w:gridCol w:w="1472"/>
        <w:gridCol w:w="1406"/>
        <w:gridCol w:w="1457"/>
      </w:tblGrid>
      <w:tr w14:paraId="35D9E77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tblHeader/>
          <w:jc w:val="center"/>
        </w:trPr>
        <w:tc>
          <w:tcPr>
            <w:tcW w:w="1280" w:type="pct"/>
            <w:tcBorders>
              <w:tl2br w:val="single" w:color="404040" w:sz="2" w:space="0"/>
            </w:tcBorders>
            <w:vAlign w:val="center"/>
          </w:tcPr>
          <w:p w14:paraId="1B16077F">
            <w:pPr>
              <w:widowControl/>
              <w:adjustRightInd/>
              <w:spacing w:line="240" w:lineRule="atLeast"/>
              <w:jc w:val="right"/>
              <w:textAlignment w:val="auto"/>
              <w:rPr>
                <w:rFonts w:ascii="Arial" w:hAnsi="Arial" w:eastAsia="仿宋" w:cs="Arial"/>
                <w:color w:val="auto"/>
                <w:sz w:val="21"/>
                <w:szCs w:val="21"/>
              </w:rPr>
            </w:pPr>
            <w:r>
              <w:rPr>
                <w:rFonts w:ascii="Arial" w:hAnsi="Arial" w:eastAsia="仿宋" w:cs="Arial"/>
                <w:color w:val="auto"/>
                <w:sz w:val="21"/>
                <w:szCs w:val="21"/>
              </w:rPr>
              <w:t>等级</w:t>
            </w:r>
          </w:p>
          <w:p w14:paraId="4680D782">
            <w:pPr>
              <w:widowControl/>
              <w:adjustRightInd/>
              <w:spacing w:line="240" w:lineRule="atLeast"/>
              <w:jc w:val="right"/>
              <w:textAlignment w:val="auto"/>
              <w:rPr>
                <w:rFonts w:ascii="Arial" w:hAnsi="Arial" w:eastAsia="仿宋" w:cs="Arial"/>
                <w:color w:val="auto"/>
                <w:sz w:val="21"/>
                <w:szCs w:val="21"/>
              </w:rPr>
            </w:pPr>
            <w:r>
              <w:rPr>
                <w:rFonts w:ascii="Arial" w:hAnsi="Arial" w:eastAsia="仿宋" w:cs="Arial"/>
                <w:color w:val="auto"/>
                <w:sz w:val="21"/>
                <w:szCs w:val="21"/>
              </w:rPr>
              <w:t xml:space="preserve">     </w:t>
            </w:r>
          </w:p>
          <w:p w14:paraId="29A727A2">
            <w:pPr>
              <w:widowControl/>
              <w:adjustRightInd/>
              <w:spacing w:line="240" w:lineRule="atLeast"/>
              <w:textAlignment w:val="auto"/>
              <w:rPr>
                <w:rFonts w:ascii="Arial" w:hAnsi="Arial" w:eastAsia="仿宋" w:cs="Arial"/>
                <w:color w:val="auto"/>
                <w:sz w:val="21"/>
                <w:szCs w:val="21"/>
              </w:rPr>
            </w:pPr>
            <w:r>
              <w:rPr>
                <w:rFonts w:ascii="Arial" w:hAnsi="Arial" w:eastAsia="仿宋" w:cs="Arial"/>
                <w:color w:val="auto"/>
                <w:sz w:val="21"/>
                <w:szCs w:val="21"/>
              </w:rPr>
              <w:t>影响因素</w:t>
            </w:r>
          </w:p>
        </w:tc>
        <w:tc>
          <w:tcPr>
            <w:tcW w:w="685" w:type="pct"/>
            <w:vAlign w:val="center"/>
          </w:tcPr>
          <w:p w14:paraId="745AADBD">
            <w:pPr>
              <w:widowControl/>
              <w:adjustRightInd/>
              <w:spacing w:line="240" w:lineRule="atLeast"/>
              <w:textAlignment w:val="auto"/>
              <w:rPr>
                <w:rFonts w:ascii="Arial" w:hAnsi="Arial" w:eastAsia="仿宋" w:cs="Arial"/>
                <w:color w:val="auto"/>
                <w:sz w:val="21"/>
                <w:szCs w:val="21"/>
              </w:rPr>
            </w:pPr>
            <w:r>
              <w:rPr>
                <w:rFonts w:ascii="Arial" w:hAnsi="Arial" w:eastAsia="仿宋" w:cs="Arial"/>
                <w:color w:val="auto"/>
                <w:sz w:val="21"/>
                <w:szCs w:val="21"/>
              </w:rPr>
              <w:t>好</w:t>
            </w:r>
          </w:p>
        </w:tc>
        <w:tc>
          <w:tcPr>
            <w:tcW w:w="728" w:type="pct"/>
            <w:vAlign w:val="center"/>
          </w:tcPr>
          <w:p w14:paraId="51390744">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较好</w:t>
            </w:r>
          </w:p>
        </w:tc>
        <w:tc>
          <w:tcPr>
            <w:tcW w:w="782" w:type="pct"/>
            <w:vAlign w:val="center"/>
          </w:tcPr>
          <w:p w14:paraId="36537C94">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一般</w:t>
            </w:r>
          </w:p>
        </w:tc>
        <w:tc>
          <w:tcPr>
            <w:tcW w:w="747" w:type="pct"/>
            <w:vAlign w:val="center"/>
          </w:tcPr>
          <w:p w14:paraId="3D67F6BD">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较差</w:t>
            </w:r>
          </w:p>
        </w:tc>
        <w:tc>
          <w:tcPr>
            <w:tcW w:w="774" w:type="pct"/>
            <w:vAlign w:val="center"/>
          </w:tcPr>
          <w:p w14:paraId="1B281EB8">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差</w:t>
            </w:r>
          </w:p>
        </w:tc>
      </w:tr>
      <w:tr w14:paraId="0280C9E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205529B4">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物业聚集程度</w:t>
            </w:r>
          </w:p>
        </w:tc>
        <w:tc>
          <w:tcPr>
            <w:tcW w:w="685" w:type="pct"/>
            <w:vAlign w:val="center"/>
          </w:tcPr>
          <w:p w14:paraId="5F1489AC">
            <w:pPr>
              <w:widowControl/>
              <w:adjustRightInd/>
              <w:spacing w:line="240" w:lineRule="atLeast"/>
              <w:textAlignment w:val="auto"/>
              <w:rPr>
                <w:rFonts w:ascii="Arial" w:hAnsi="Arial" w:cs="Arial"/>
                <w:color w:val="auto"/>
                <w:sz w:val="22"/>
                <w:szCs w:val="22"/>
              </w:rPr>
            </w:pPr>
            <w:r>
              <w:rPr>
                <w:rFonts w:ascii="Arial" w:hAnsi="Arial" w:cs="Arial"/>
                <w:color w:val="auto"/>
                <w:sz w:val="22"/>
                <w:szCs w:val="22"/>
              </w:rPr>
              <w:t>3.74</w:t>
            </w:r>
          </w:p>
        </w:tc>
        <w:tc>
          <w:tcPr>
            <w:tcW w:w="728" w:type="pct"/>
            <w:vAlign w:val="center"/>
          </w:tcPr>
          <w:p w14:paraId="14BFD577">
            <w:pPr>
              <w:spacing w:line="240" w:lineRule="atLeast"/>
              <w:rPr>
                <w:rFonts w:ascii="Arial" w:hAnsi="Arial" w:cs="Arial"/>
                <w:color w:val="auto"/>
                <w:sz w:val="22"/>
                <w:szCs w:val="22"/>
              </w:rPr>
            </w:pPr>
            <w:r>
              <w:rPr>
                <w:rFonts w:ascii="Arial" w:hAnsi="Arial" w:cs="Arial"/>
                <w:color w:val="auto"/>
                <w:sz w:val="22"/>
                <w:szCs w:val="22"/>
              </w:rPr>
              <w:t>1.87</w:t>
            </w:r>
          </w:p>
        </w:tc>
        <w:tc>
          <w:tcPr>
            <w:tcW w:w="782" w:type="pct"/>
            <w:vAlign w:val="center"/>
          </w:tcPr>
          <w:p w14:paraId="5805E2C4">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41AE56D4">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1.87</w:t>
            </w:r>
          </w:p>
        </w:tc>
        <w:tc>
          <w:tcPr>
            <w:tcW w:w="774" w:type="pct"/>
            <w:vAlign w:val="center"/>
          </w:tcPr>
          <w:p w14:paraId="5F695482">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3.74</w:t>
            </w:r>
          </w:p>
        </w:tc>
      </w:tr>
      <w:tr w14:paraId="6B38A85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72225DCF">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交通便捷度</w:t>
            </w:r>
          </w:p>
        </w:tc>
        <w:tc>
          <w:tcPr>
            <w:tcW w:w="685" w:type="pct"/>
            <w:vAlign w:val="center"/>
          </w:tcPr>
          <w:p w14:paraId="48EA263D">
            <w:pPr>
              <w:spacing w:line="240" w:lineRule="atLeast"/>
              <w:rPr>
                <w:rFonts w:ascii="Arial" w:hAnsi="Arial" w:cs="Arial"/>
                <w:color w:val="auto"/>
                <w:sz w:val="22"/>
                <w:szCs w:val="22"/>
              </w:rPr>
            </w:pPr>
            <w:r>
              <w:rPr>
                <w:rFonts w:ascii="Arial" w:hAnsi="Arial" w:cs="Arial"/>
                <w:color w:val="auto"/>
                <w:sz w:val="22"/>
                <w:szCs w:val="22"/>
              </w:rPr>
              <w:t>3.90</w:t>
            </w:r>
          </w:p>
        </w:tc>
        <w:tc>
          <w:tcPr>
            <w:tcW w:w="728" w:type="pct"/>
            <w:vAlign w:val="center"/>
          </w:tcPr>
          <w:p w14:paraId="0A39CBBF">
            <w:pPr>
              <w:spacing w:line="240" w:lineRule="atLeast"/>
              <w:rPr>
                <w:rFonts w:ascii="Arial" w:hAnsi="Arial" w:cs="Arial"/>
                <w:color w:val="auto"/>
                <w:sz w:val="22"/>
                <w:szCs w:val="22"/>
              </w:rPr>
            </w:pPr>
            <w:r>
              <w:rPr>
                <w:rFonts w:ascii="Arial" w:hAnsi="Arial" w:cs="Arial"/>
                <w:color w:val="auto"/>
                <w:sz w:val="22"/>
                <w:szCs w:val="22"/>
              </w:rPr>
              <w:t>1.95</w:t>
            </w:r>
          </w:p>
        </w:tc>
        <w:tc>
          <w:tcPr>
            <w:tcW w:w="782" w:type="pct"/>
            <w:vAlign w:val="center"/>
          </w:tcPr>
          <w:p w14:paraId="2B09DCAA">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616FD20C">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1.95</w:t>
            </w:r>
          </w:p>
        </w:tc>
        <w:tc>
          <w:tcPr>
            <w:tcW w:w="774" w:type="pct"/>
            <w:vAlign w:val="center"/>
          </w:tcPr>
          <w:p w14:paraId="418789CB">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3.90</w:t>
            </w:r>
          </w:p>
        </w:tc>
      </w:tr>
      <w:tr w14:paraId="70EFBC7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5E44528D">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区域土地利用方向</w:t>
            </w:r>
          </w:p>
        </w:tc>
        <w:tc>
          <w:tcPr>
            <w:tcW w:w="685" w:type="pct"/>
            <w:vAlign w:val="center"/>
          </w:tcPr>
          <w:p w14:paraId="2CFBD864">
            <w:pPr>
              <w:spacing w:line="240" w:lineRule="atLeast"/>
              <w:rPr>
                <w:rFonts w:ascii="Arial" w:hAnsi="Arial" w:cs="Arial"/>
                <w:color w:val="auto"/>
                <w:sz w:val="22"/>
                <w:szCs w:val="22"/>
              </w:rPr>
            </w:pPr>
            <w:r>
              <w:rPr>
                <w:rFonts w:ascii="Arial" w:hAnsi="Arial" w:cs="Arial"/>
                <w:color w:val="auto"/>
                <w:sz w:val="22"/>
                <w:szCs w:val="22"/>
              </w:rPr>
              <w:t>1.64</w:t>
            </w:r>
          </w:p>
        </w:tc>
        <w:tc>
          <w:tcPr>
            <w:tcW w:w="728" w:type="pct"/>
            <w:vAlign w:val="center"/>
          </w:tcPr>
          <w:p w14:paraId="7B8FC718">
            <w:pPr>
              <w:spacing w:line="240" w:lineRule="atLeast"/>
              <w:rPr>
                <w:rFonts w:ascii="Arial" w:hAnsi="Arial" w:cs="Arial"/>
                <w:color w:val="auto"/>
                <w:sz w:val="22"/>
                <w:szCs w:val="22"/>
              </w:rPr>
            </w:pPr>
            <w:r>
              <w:rPr>
                <w:rFonts w:ascii="Arial" w:hAnsi="Arial" w:cs="Arial"/>
                <w:color w:val="auto"/>
                <w:sz w:val="22"/>
                <w:szCs w:val="22"/>
              </w:rPr>
              <w:t>0.82</w:t>
            </w:r>
          </w:p>
        </w:tc>
        <w:tc>
          <w:tcPr>
            <w:tcW w:w="782" w:type="pct"/>
            <w:vAlign w:val="center"/>
          </w:tcPr>
          <w:p w14:paraId="01FD8551">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4039B260">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0.82</w:t>
            </w:r>
          </w:p>
        </w:tc>
        <w:tc>
          <w:tcPr>
            <w:tcW w:w="774" w:type="pct"/>
            <w:vAlign w:val="center"/>
          </w:tcPr>
          <w:p w14:paraId="56C62395">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1.64</w:t>
            </w:r>
          </w:p>
        </w:tc>
      </w:tr>
      <w:tr w14:paraId="76A216B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4582C1D0">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临街宽度和深度</w:t>
            </w:r>
          </w:p>
        </w:tc>
        <w:tc>
          <w:tcPr>
            <w:tcW w:w="685" w:type="pct"/>
            <w:vAlign w:val="center"/>
          </w:tcPr>
          <w:p w14:paraId="303F81B4">
            <w:pPr>
              <w:spacing w:line="240" w:lineRule="atLeast"/>
              <w:rPr>
                <w:rFonts w:ascii="Arial" w:hAnsi="Arial" w:cs="Arial"/>
                <w:color w:val="auto"/>
                <w:sz w:val="22"/>
                <w:szCs w:val="22"/>
              </w:rPr>
            </w:pPr>
            <w:r>
              <w:rPr>
                <w:rFonts w:ascii="Arial" w:hAnsi="Arial" w:cs="Arial"/>
                <w:color w:val="auto"/>
                <w:sz w:val="22"/>
                <w:szCs w:val="22"/>
              </w:rPr>
              <w:t>0.74</w:t>
            </w:r>
          </w:p>
        </w:tc>
        <w:tc>
          <w:tcPr>
            <w:tcW w:w="728" w:type="pct"/>
            <w:vAlign w:val="center"/>
          </w:tcPr>
          <w:p w14:paraId="30910701">
            <w:pPr>
              <w:spacing w:line="240" w:lineRule="atLeast"/>
              <w:rPr>
                <w:rFonts w:ascii="Arial" w:hAnsi="Arial" w:cs="Arial"/>
                <w:color w:val="auto"/>
                <w:sz w:val="22"/>
                <w:szCs w:val="22"/>
              </w:rPr>
            </w:pPr>
            <w:r>
              <w:rPr>
                <w:rFonts w:ascii="Arial" w:hAnsi="Arial" w:cs="Arial"/>
                <w:color w:val="auto"/>
                <w:sz w:val="22"/>
                <w:szCs w:val="22"/>
              </w:rPr>
              <w:t>0.37</w:t>
            </w:r>
          </w:p>
        </w:tc>
        <w:tc>
          <w:tcPr>
            <w:tcW w:w="782" w:type="pct"/>
            <w:vAlign w:val="center"/>
          </w:tcPr>
          <w:p w14:paraId="3BFBEC60">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3AA68DB1">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0.37</w:t>
            </w:r>
          </w:p>
        </w:tc>
        <w:tc>
          <w:tcPr>
            <w:tcW w:w="774" w:type="pct"/>
            <w:vAlign w:val="center"/>
          </w:tcPr>
          <w:p w14:paraId="132947D4">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0.74</w:t>
            </w:r>
          </w:p>
        </w:tc>
      </w:tr>
      <w:tr w14:paraId="22EBEE5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03BB1592">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临街道路状况</w:t>
            </w:r>
          </w:p>
        </w:tc>
        <w:tc>
          <w:tcPr>
            <w:tcW w:w="685" w:type="pct"/>
            <w:vAlign w:val="center"/>
          </w:tcPr>
          <w:p w14:paraId="353B3922">
            <w:pPr>
              <w:spacing w:line="240" w:lineRule="atLeast"/>
              <w:rPr>
                <w:rFonts w:ascii="Arial" w:hAnsi="Arial" w:cs="Arial"/>
                <w:color w:val="auto"/>
                <w:sz w:val="22"/>
                <w:szCs w:val="22"/>
              </w:rPr>
            </w:pPr>
            <w:r>
              <w:rPr>
                <w:rFonts w:ascii="Arial" w:hAnsi="Arial" w:cs="Arial"/>
                <w:color w:val="auto"/>
                <w:sz w:val="22"/>
                <w:szCs w:val="22"/>
              </w:rPr>
              <w:t>0.74</w:t>
            </w:r>
          </w:p>
        </w:tc>
        <w:tc>
          <w:tcPr>
            <w:tcW w:w="728" w:type="pct"/>
            <w:vAlign w:val="center"/>
          </w:tcPr>
          <w:p w14:paraId="610A4564">
            <w:pPr>
              <w:spacing w:line="240" w:lineRule="atLeast"/>
              <w:rPr>
                <w:rFonts w:ascii="Arial" w:hAnsi="Arial" w:cs="Arial"/>
                <w:color w:val="auto"/>
                <w:sz w:val="22"/>
                <w:szCs w:val="22"/>
              </w:rPr>
            </w:pPr>
            <w:r>
              <w:rPr>
                <w:rFonts w:ascii="Arial" w:hAnsi="Arial" w:cs="Arial"/>
                <w:color w:val="auto"/>
                <w:sz w:val="22"/>
                <w:szCs w:val="22"/>
              </w:rPr>
              <w:t>0.37</w:t>
            </w:r>
          </w:p>
        </w:tc>
        <w:tc>
          <w:tcPr>
            <w:tcW w:w="782" w:type="pct"/>
            <w:vAlign w:val="center"/>
          </w:tcPr>
          <w:p w14:paraId="4130A90E">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781D3768">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0.37</w:t>
            </w:r>
          </w:p>
        </w:tc>
        <w:tc>
          <w:tcPr>
            <w:tcW w:w="774" w:type="pct"/>
            <w:vAlign w:val="center"/>
          </w:tcPr>
          <w:p w14:paraId="0C131D7C">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0.74</w:t>
            </w:r>
          </w:p>
        </w:tc>
      </w:tr>
      <w:tr w14:paraId="7723921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5B427B7B">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685" w:type="pct"/>
            <w:vAlign w:val="center"/>
          </w:tcPr>
          <w:p w14:paraId="799F4368">
            <w:pPr>
              <w:spacing w:line="240" w:lineRule="atLeast"/>
              <w:rPr>
                <w:rFonts w:ascii="Arial" w:hAnsi="Arial" w:cs="Arial"/>
                <w:color w:val="auto"/>
                <w:sz w:val="22"/>
                <w:szCs w:val="22"/>
              </w:rPr>
            </w:pPr>
            <w:r>
              <w:rPr>
                <w:rFonts w:ascii="Arial" w:hAnsi="Arial" w:cs="Arial"/>
                <w:color w:val="auto"/>
                <w:sz w:val="22"/>
                <w:szCs w:val="22"/>
              </w:rPr>
              <w:t>0.90</w:t>
            </w:r>
          </w:p>
        </w:tc>
        <w:tc>
          <w:tcPr>
            <w:tcW w:w="728" w:type="pct"/>
            <w:vAlign w:val="center"/>
          </w:tcPr>
          <w:p w14:paraId="0409C6AF">
            <w:pPr>
              <w:spacing w:line="240" w:lineRule="atLeast"/>
              <w:rPr>
                <w:rFonts w:ascii="Arial" w:hAnsi="Arial" w:cs="Arial"/>
                <w:color w:val="auto"/>
                <w:sz w:val="22"/>
                <w:szCs w:val="22"/>
              </w:rPr>
            </w:pPr>
            <w:r>
              <w:rPr>
                <w:rFonts w:ascii="Arial" w:hAnsi="Arial" w:cs="Arial"/>
                <w:color w:val="auto"/>
                <w:sz w:val="22"/>
                <w:szCs w:val="22"/>
              </w:rPr>
              <w:t>0.45</w:t>
            </w:r>
          </w:p>
        </w:tc>
        <w:tc>
          <w:tcPr>
            <w:tcW w:w="782" w:type="pct"/>
            <w:vAlign w:val="center"/>
          </w:tcPr>
          <w:p w14:paraId="2C92A7B2">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4CA91250">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0.45</w:t>
            </w:r>
          </w:p>
        </w:tc>
        <w:tc>
          <w:tcPr>
            <w:tcW w:w="774" w:type="pct"/>
            <w:vAlign w:val="center"/>
          </w:tcPr>
          <w:p w14:paraId="16D2FB11">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0.90</w:t>
            </w:r>
          </w:p>
        </w:tc>
      </w:tr>
      <w:tr w14:paraId="6B6714D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1066C059">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公共服务设施状况</w:t>
            </w:r>
          </w:p>
        </w:tc>
        <w:tc>
          <w:tcPr>
            <w:tcW w:w="685" w:type="pct"/>
            <w:vAlign w:val="center"/>
          </w:tcPr>
          <w:p w14:paraId="49250D3D">
            <w:pPr>
              <w:spacing w:line="240" w:lineRule="atLeast"/>
              <w:rPr>
                <w:rFonts w:ascii="Arial" w:hAnsi="Arial" w:cs="Arial"/>
                <w:color w:val="auto"/>
                <w:sz w:val="22"/>
                <w:szCs w:val="22"/>
              </w:rPr>
            </w:pPr>
            <w:r>
              <w:rPr>
                <w:rFonts w:ascii="Arial" w:hAnsi="Arial" w:cs="Arial"/>
                <w:color w:val="auto"/>
                <w:sz w:val="22"/>
                <w:szCs w:val="22"/>
              </w:rPr>
              <w:t>0.90</w:t>
            </w:r>
          </w:p>
        </w:tc>
        <w:tc>
          <w:tcPr>
            <w:tcW w:w="728" w:type="pct"/>
            <w:vAlign w:val="center"/>
          </w:tcPr>
          <w:p w14:paraId="34399E47">
            <w:pPr>
              <w:spacing w:line="240" w:lineRule="atLeast"/>
              <w:rPr>
                <w:rFonts w:ascii="Arial" w:hAnsi="Arial" w:cs="Arial"/>
                <w:color w:val="auto"/>
                <w:sz w:val="22"/>
                <w:szCs w:val="22"/>
              </w:rPr>
            </w:pPr>
            <w:r>
              <w:rPr>
                <w:rFonts w:ascii="Arial" w:hAnsi="Arial" w:cs="Arial"/>
                <w:color w:val="auto"/>
                <w:sz w:val="22"/>
                <w:szCs w:val="22"/>
              </w:rPr>
              <w:t>0.45</w:t>
            </w:r>
          </w:p>
        </w:tc>
        <w:tc>
          <w:tcPr>
            <w:tcW w:w="782" w:type="pct"/>
            <w:vAlign w:val="center"/>
          </w:tcPr>
          <w:p w14:paraId="7471F3D1">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58DBE203">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0.45</w:t>
            </w:r>
          </w:p>
        </w:tc>
        <w:tc>
          <w:tcPr>
            <w:tcW w:w="774" w:type="pct"/>
            <w:vAlign w:val="center"/>
          </w:tcPr>
          <w:p w14:paraId="0653EFE2">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0.90</w:t>
            </w:r>
          </w:p>
        </w:tc>
      </w:tr>
      <w:tr w14:paraId="0B01526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1AFF0CD1">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基础设施完备状况</w:t>
            </w:r>
          </w:p>
        </w:tc>
        <w:tc>
          <w:tcPr>
            <w:tcW w:w="685" w:type="pct"/>
            <w:vAlign w:val="center"/>
          </w:tcPr>
          <w:p w14:paraId="7A883BA1">
            <w:pPr>
              <w:spacing w:line="240" w:lineRule="atLeast"/>
              <w:rPr>
                <w:rFonts w:ascii="Arial" w:hAnsi="Arial" w:cs="Arial"/>
                <w:color w:val="auto"/>
                <w:sz w:val="22"/>
                <w:szCs w:val="22"/>
              </w:rPr>
            </w:pPr>
            <w:r>
              <w:rPr>
                <w:rFonts w:ascii="Arial" w:hAnsi="Arial" w:cs="Arial"/>
                <w:color w:val="auto"/>
                <w:sz w:val="22"/>
                <w:szCs w:val="22"/>
              </w:rPr>
              <w:t>1.34</w:t>
            </w:r>
          </w:p>
        </w:tc>
        <w:tc>
          <w:tcPr>
            <w:tcW w:w="728" w:type="pct"/>
            <w:vAlign w:val="center"/>
          </w:tcPr>
          <w:p w14:paraId="3D2084AC">
            <w:pPr>
              <w:spacing w:line="240" w:lineRule="atLeast"/>
              <w:rPr>
                <w:rFonts w:ascii="Arial" w:hAnsi="Arial" w:cs="Arial"/>
                <w:color w:val="auto"/>
                <w:sz w:val="22"/>
                <w:szCs w:val="22"/>
              </w:rPr>
            </w:pPr>
            <w:r>
              <w:rPr>
                <w:rFonts w:ascii="Arial" w:hAnsi="Arial" w:cs="Arial"/>
                <w:color w:val="auto"/>
                <w:sz w:val="22"/>
                <w:szCs w:val="22"/>
              </w:rPr>
              <w:t>0.67</w:t>
            </w:r>
          </w:p>
        </w:tc>
        <w:tc>
          <w:tcPr>
            <w:tcW w:w="782" w:type="pct"/>
            <w:vAlign w:val="center"/>
          </w:tcPr>
          <w:p w14:paraId="08618E38">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354CE471">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0.67</w:t>
            </w:r>
          </w:p>
        </w:tc>
        <w:tc>
          <w:tcPr>
            <w:tcW w:w="774" w:type="pct"/>
            <w:vAlign w:val="center"/>
          </w:tcPr>
          <w:p w14:paraId="66E7F738">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1.34</w:t>
            </w:r>
          </w:p>
        </w:tc>
      </w:tr>
      <w:tr w14:paraId="405C807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26851F48">
            <w:pPr>
              <w:adjustRightInd/>
              <w:spacing w:line="240" w:lineRule="atLeast"/>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685" w:type="pct"/>
            <w:vAlign w:val="center"/>
          </w:tcPr>
          <w:p w14:paraId="5A94B8C9">
            <w:pPr>
              <w:spacing w:line="240" w:lineRule="atLeast"/>
              <w:rPr>
                <w:rFonts w:ascii="Arial" w:hAnsi="Arial" w:cs="Arial"/>
                <w:color w:val="auto"/>
                <w:sz w:val="22"/>
                <w:szCs w:val="22"/>
              </w:rPr>
            </w:pPr>
            <w:r>
              <w:rPr>
                <w:rFonts w:ascii="Arial" w:hAnsi="Arial" w:cs="Arial"/>
                <w:color w:val="auto"/>
                <w:sz w:val="22"/>
                <w:szCs w:val="22"/>
              </w:rPr>
              <w:t>1.04</w:t>
            </w:r>
          </w:p>
        </w:tc>
        <w:tc>
          <w:tcPr>
            <w:tcW w:w="728" w:type="pct"/>
            <w:vAlign w:val="center"/>
          </w:tcPr>
          <w:p w14:paraId="79CC13A4">
            <w:pPr>
              <w:spacing w:line="240" w:lineRule="atLeast"/>
              <w:rPr>
                <w:rFonts w:ascii="Arial" w:hAnsi="Arial" w:cs="Arial"/>
                <w:color w:val="auto"/>
                <w:sz w:val="22"/>
                <w:szCs w:val="22"/>
              </w:rPr>
            </w:pPr>
            <w:r>
              <w:rPr>
                <w:rFonts w:ascii="Arial" w:hAnsi="Arial" w:cs="Arial"/>
                <w:color w:val="auto"/>
                <w:sz w:val="22"/>
                <w:szCs w:val="22"/>
              </w:rPr>
              <w:t>0.52</w:t>
            </w:r>
          </w:p>
        </w:tc>
        <w:tc>
          <w:tcPr>
            <w:tcW w:w="782" w:type="pct"/>
            <w:vAlign w:val="center"/>
          </w:tcPr>
          <w:p w14:paraId="48C482E6">
            <w:pPr>
              <w:spacing w:line="240" w:lineRule="atLeast"/>
              <w:rPr>
                <w:rFonts w:ascii="Arial" w:hAnsi="Arial" w:cs="Arial"/>
                <w:color w:val="auto"/>
                <w:sz w:val="22"/>
                <w:szCs w:val="22"/>
              </w:rPr>
            </w:pPr>
            <w:r>
              <w:rPr>
                <w:rFonts w:ascii="Arial" w:hAnsi="Arial" w:cs="Arial"/>
                <w:color w:val="auto"/>
                <w:sz w:val="22"/>
                <w:szCs w:val="22"/>
              </w:rPr>
              <w:t>0.00</w:t>
            </w:r>
          </w:p>
        </w:tc>
        <w:tc>
          <w:tcPr>
            <w:tcW w:w="747" w:type="pct"/>
            <w:vAlign w:val="center"/>
          </w:tcPr>
          <w:p w14:paraId="20B94D15">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0.52</w:t>
            </w:r>
          </w:p>
        </w:tc>
        <w:tc>
          <w:tcPr>
            <w:tcW w:w="774" w:type="pct"/>
            <w:vAlign w:val="center"/>
          </w:tcPr>
          <w:p w14:paraId="4B7A757D">
            <w:pPr>
              <w:spacing w:line="240" w:lineRule="atLeast"/>
              <w:rPr>
                <w:rFonts w:ascii="Arial" w:hAnsi="Arial" w:cs="Arial"/>
                <w:color w:val="auto"/>
                <w:sz w:val="22"/>
                <w:szCs w:val="22"/>
              </w:rPr>
            </w:pPr>
            <w:r>
              <w:rPr>
                <w:rFonts w:hint="eastAsia" w:ascii="Arial" w:hAnsi="Arial" w:cs="Arial"/>
                <w:color w:val="auto"/>
                <w:sz w:val="22"/>
                <w:szCs w:val="22"/>
              </w:rPr>
              <w:t>－</w:t>
            </w:r>
            <w:r>
              <w:rPr>
                <w:rFonts w:ascii="Arial" w:hAnsi="Arial" w:cs="Arial"/>
                <w:color w:val="auto"/>
                <w:sz w:val="22"/>
                <w:szCs w:val="22"/>
              </w:rPr>
              <w:t>1.04</w:t>
            </w:r>
          </w:p>
        </w:tc>
      </w:tr>
    </w:tbl>
    <w:p w14:paraId="0271D5EA">
      <w:pPr>
        <w:autoSpaceDE w:val="0"/>
        <w:autoSpaceDN w:val="0"/>
        <w:spacing w:line="240" w:lineRule="exact"/>
        <w:rPr>
          <w:rFonts w:ascii="Arial" w:hAnsi="Arial" w:eastAsia="华文细黑" w:cs="宋体"/>
          <w:color w:val="auto"/>
          <w:sz w:val="18"/>
          <w:szCs w:val="24"/>
        </w:rPr>
      </w:pPr>
      <w:r>
        <w:rPr>
          <w:rFonts w:hint="eastAsia" w:ascii="Arial" w:hAnsi="Arial" w:eastAsia="华文细黑" w:cs="宋体"/>
          <w:color w:val="auto"/>
          <w:sz w:val="18"/>
          <w:szCs w:val="24"/>
        </w:rPr>
        <w:t>单位：%</w:t>
      </w:r>
    </w:p>
    <w:p w14:paraId="3FFFE9A1">
      <w:pPr>
        <w:adjustRightInd/>
        <w:spacing w:line="300" w:lineRule="auto"/>
        <w:ind w:firstLine="560" w:firstLineChars="200"/>
        <w:jc w:val="both"/>
        <w:rPr>
          <w:rFonts w:ascii="仿宋" w:hAnsi="仿宋" w:eastAsia="仿宋" w:cs="Arial"/>
          <w:color w:val="auto"/>
          <w:sz w:val="28"/>
        </w:rPr>
      </w:pPr>
      <w:r>
        <w:rPr>
          <w:rFonts w:ascii="仿宋" w:hAnsi="仿宋" w:eastAsia="仿宋" w:cs="Arial"/>
          <w:color w:val="auto"/>
          <w:sz w:val="28"/>
        </w:rPr>
        <w:t>按照因素等级情况说明表、等级系数表以及估价对象的区域因素和个别因素条件，编制估价对象因素修正系数表如下：</w:t>
      </w:r>
      <w:r>
        <w:rPr>
          <w:rFonts w:hint="eastAsia" w:ascii="仿宋" w:hAnsi="仿宋" w:eastAsia="仿宋" w:cs="Arial"/>
          <w:color w:val="auto"/>
          <w:sz w:val="28"/>
        </w:rPr>
        <w:tab/>
      </w:r>
    </w:p>
    <w:p w14:paraId="247FECB6">
      <w:pPr>
        <w:rPr>
          <w:rFonts w:ascii="仿宋" w:hAnsi="仿宋" w:eastAsia="仿宋" w:cs="Arial"/>
          <w:color w:val="auto"/>
          <w:sz w:val="28"/>
        </w:rPr>
      </w:pPr>
      <w:r>
        <w:rPr>
          <w:rFonts w:hint="eastAsia" w:ascii="仿宋" w:hAnsi="仿宋" w:eastAsia="仿宋" w:cs="Arial"/>
          <w:color w:val="auto"/>
          <w:sz w:val="28"/>
        </w:rPr>
        <w:br w:type="page"/>
      </w:r>
    </w:p>
    <w:p w14:paraId="659E06C9">
      <w:pPr>
        <w:tabs>
          <w:tab w:val="left" w:pos="2894"/>
          <w:tab w:val="center" w:pos="4595"/>
        </w:tabs>
        <w:spacing w:line="300" w:lineRule="auto"/>
        <w:rPr>
          <w:rFonts w:ascii="仿宋" w:hAnsi="仿宋" w:eastAsia="仿宋" w:cs="Arial"/>
          <w:color w:val="auto"/>
          <w:sz w:val="28"/>
        </w:rPr>
      </w:pPr>
      <w:r>
        <w:rPr>
          <w:rFonts w:hint="eastAsia" w:ascii="仿宋" w:hAnsi="仿宋" w:eastAsia="仿宋" w:cs="Arial"/>
          <w:color w:val="auto"/>
          <w:sz w:val="28"/>
        </w:rPr>
        <w:tab/>
      </w:r>
      <w:r>
        <w:rPr>
          <w:rFonts w:ascii="仿宋" w:hAnsi="仿宋" w:eastAsia="仿宋" w:cs="Arial"/>
          <w:color w:val="auto"/>
          <w:sz w:val="28"/>
        </w:rPr>
        <w:t>估价对象因素修正系数表</w:t>
      </w:r>
    </w:p>
    <w:tbl>
      <w:tblPr>
        <w:tblStyle w:val="34"/>
        <w:tblW w:w="4998"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57" w:type="dxa"/>
          <w:left w:w="28" w:type="dxa"/>
          <w:bottom w:w="57" w:type="dxa"/>
          <w:right w:w="28" w:type="dxa"/>
        </w:tblCellMar>
      </w:tblPr>
      <w:tblGrid>
        <w:gridCol w:w="432"/>
        <w:gridCol w:w="2292"/>
        <w:gridCol w:w="5210"/>
        <w:gridCol w:w="717"/>
        <w:gridCol w:w="755"/>
      </w:tblGrid>
      <w:tr w14:paraId="1C25647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blHeader/>
          <w:jc w:val="center"/>
        </w:trPr>
        <w:tc>
          <w:tcPr>
            <w:tcW w:w="230" w:type="pct"/>
            <w:vAlign w:val="center"/>
          </w:tcPr>
          <w:p w14:paraId="15183570">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序号</w:t>
            </w:r>
          </w:p>
        </w:tc>
        <w:tc>
          <w:tcPr>
            <w:tcW w:w="1218" w:type="pct"/>
            <w:vAlign w:val="center"/>
          </w:tcPr>
          <w:p w14:paraId="56B9428A">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影响因素</w:t>
            </w:r>
          </w:p>
        </w:tc>
        <w:tc>
          <w:tcPr>
            <w:tcW w:w="2769" w:type="pct"/>
            <w:vAlign w:val="center"/>
          </w:tcPr>
          <w:p w14:paraId="5DE591F0">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估价对象情况</w:t>
            </w:r>
          </w:p>
        </w:tc>
        <w:tc>
          <w:tcPr>
            <w:tcW w:w="381" w:type="pct"/>
            <w:vAlign w:val="center"/>
          </w:tcPr>
          <w:p w14:paraId="105CF07E">
            <w:pPr>
              <w:adjustRightInd/>
              <w:spacing w:line="240" w:lineRule="exact"/>
              <w:rPr>
                <w:rFonts w:ascii="Arial" w:hAnsi="Arial" w:eastAsia="仿宋" w:cs="Arial"/>
                <w:color w:val="auto"/>
                <w:sz w:val="21"/>
                <w:szCs w:val="21"/>
              </w:rPr>
            </w:pPr>
            <w:r>
              <w:rPr>
                <w:rFonts w:ascii="Arial" w:hAnsi="Arial" w:eastAsia="仿宋" w:cs="Arial"/>
                <w:color w:val="auto"/>
                <w:sz w:val="21"/>
                <w:szCs w:val="21"/>
              </w:rPr>
              <w:t>等级</w:t>
            </w:r>
          </w:p>
        </w:tc>
        <w:tc>
          <w:tcPr>
            <w:tcW w:w="401" w:type="pct"/>
            <w:vAlign w:val="center"/>
          </w:tcPr>
          <w:p w14:paraId="7BC8B76C">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修正系数</w:t>
            </w:r>
          </w:p>
        </w:tc>
      </w:tr>
      <w:tr w14:paraId="638012F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1907DE51">
            <w:pPr>
              <w:adjustRightInd/>
              <w:spacing w:line="240" w:lineRule="exact"/>
              <w:rPr>
                <w:rFonts w:ascii="Arial" w:hAnsi="Arial" w:eastAsia="仿宋" w:cs="Arial"/>
                <w:color w:val="auto"/>
                <w:sz w:val="21"/>
                <w:szCs w:val="21"/>
              </w:rPr>
            </w:pPr>
            <w:r>
              <w:rPr>
                <w:rFonts w:ascii="Arial" w:hAnsi="Arial" w:eastAsia="仿宋" w:cs="Arial"/>
                <w:color w:val="auto"/>
                <w:sz w:val="21"/>
                <w:szCs w:val="21"/>
              </w:rPr>
              <w:t>1）</w:t>
            </w:r>
          </w:p>
        </w:tc>
        <w:tc>
          <w:tcPr>
            <w:tcW w:w="1218" w:type="pct"/>
            <w:vAlign w:val="center"/>
          </w:tcPr>
          <w:p w14:paraId="079D36C2">
            <w:pPr>
              <w:adjustRightInd/>
              <w:spacing w:line="240" w:lineRule="exact"/>
              <w:rPr>
                <w:rFonts w:ascii="Arial" w:hAnsi="Arial" w:eastAsia="仿宋" w:cs="Arial"/>
                <w:color w:val="auto"/>
                <w:sz w:val="21"/>
                <w:szCs w:val="21"/>
              </w:rPr>
            </w:pPr>
            <w:r>
              <w:rPr>
                <w:rFonts w:ascii="Arial" w:hAnsi="Arial" w:eastAsia="仿宋" w:cs="Arial"/>
                <w:color w:val="auto"/>
                <w:sz w:val="21"/>
                <w:szCs w:val="21"/>
              </w:rPr>
              <w:t>物业聚集程度</w:t>
            </w:r>
          </w:p>
        </w:tc>
        <w:tc>
          <w:tcPr>
            <w:tcW w:w="2769" w:type="pct"/>
            <w:vAlign w:val="center"/>
          </w:tcPr>
          <w:p w14:paraId="350F4461">
            <w:pPr>
              <w:adjustRightInd/>
              <w:spacing w:line="240" w:lineRule="exact"/>
              <w:rPr>
                <w:rFonts w:ascii="Arial" w:hAnsi="Arial" w:eastAsia="仿宋" w:cs="Arial"/>
                <w:color w:val="auto"/>
                <w:sz w:val="21"/>
                <w:szCs w:val="21"/>
              </w:rPr>
            </w:pPr>
            <w:r>
              <w:rPr>
                <w:rFonts w:hint="eastAsia" w:ascii="Arial" w:hAnsi="Arial" w:eastAsia="仿宋" w:cs="Arial"/>
                <w:color w:val="auto"/>
                <w:sz w:val="21"/>
                <w:szCs w:val="21"/>
              </w:rPr>
              <w:t>估价对象位于北京市顺义区高丽营镇夏县营村，周边2公里范围内有双悦大楼、智慧谷商务中心等办公项目，周边公共服务物业数量较少，物业集聚程度较差。</w:t>
            </w:r>
          </w:p>
        </w:tc>
        <w:tc>
          <w:tcPr>
            <w:tcW w:w="381" w:type="pct"/>
            <w:vAlign w:val="center"/>
          </w:tcPr>
          <w:p w14:paraId="5E802A90">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较差</w:t>
            </w:r>
          </w:p>
        </w:tc>
        <w:tc>
          <w:tcPr>
            <w:tcW w:w="401" w:type="pct"/>
            <w:vAlign w:val="center"/>
          </w:tcPr>
          <w:p w14:paraId="470DC1A6">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w:t>
            </w:r>
            <w:r>
              <w:rPr>
                <w:rFonts w:ascii="Arial" w:hAnsi="Arial" w:eastAsia="仿宋" w:cs="Arial"/>
                <w:color w:val="auto"/>
                <w:sz w:val="21"/>
                <w:szCs w:val="21"/>
                <w:lang w:bidi="ar"/>
              </w:rPr>
              <w:t>1.87%</w:t>
            </w:r>
          </w:p>
        </w:tc>
      </w:tr>
      <w:tr w14:paraId="4045F9C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04EFC829">
            <w:pPr>
              <w:adjustRightInd/>
              <w:spacing w:line="240" w:lineRule="exact"/>
              <w:rPr>
                <w:rFonts w:ascii="Arial" w:hAnsi="Arial" w:eastAsia="仿宋" w:cs="Arial"/>
                <w:color w:val="auto"/>
                <w:sz w:val="21"/>
                <w:szCs w:val="21"/>
              </w:rPr>
            </w:pPr>
            <w:r>
              <w:rPr>
                <w:rFonts w:ascii="Arial" w:hAnsi="Arial" w:eastAsia="仿宋" w:cs="Arial"/>
                <w:color w:val="auto"/>
                <w:sz w:val="21"/>
                <w:szCs w:val="21"/>
              </w:rPr>
              <w:t>2）</w:t>
            </w:r>
          </w:p>
        </w:tc>
        <w:tc>
          <w:tcPr>
            <w:tcW w:w="1218" w:type="pct"/>
            <w:vAlign w:val="center"/>
          </w:tcPr>
          <w:p w14:paraId="6850F027">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交通便捷度</w:t>
            </w:r>
          </w:p>
        </w:tc>
        <w:tc>
          <w:tcPr>
            <w:tcW w:w="2769" w:type="pct"/>
            <w:vAlign w:val="center"/>
          </w:tcPr>
          <w:p w14:paraId="0F815AF2">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lang w:bidi="ar"/>
              </w:rPr>
              <w:t>估价对象属于北京市顺义区高丽营镇夏县营村，估价对象紧临城市主干道——火寺路、周边1公里范围内有顺25路、顺42路、顺49路、顺69路等公交线路，区域内交通一般，区域间通达性较差，综合评价交通便捷度较差。</w:t>
            </w:r>
          </w:p>
        </w:tc>
        <w:tc>
          <w:tcPr>
            <w:tcW w:w="381" w:type="pct"/>
            <w:vAlign w:val="center"/>
          </w:tcPr>
          <w:p w14:paraId="3D46FF7B">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较差</w:t>
            </w:r>
          </w:p>
        </w:tc>
        <w:tc>
          <w:tcPr>
            <w:tcW w:w="401" w:type="pct"/>
            <w:vAlign w:val="center"/>
          </w:tcPr>
          <w:p w14:paraId="483A2679">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w:t>
            </w:r>
            <w:r>
              <w:rPr>
                <w:rFonts w:ascii="Arial" w:hAnsi="Arial" w:eastAsia="仿宋" w:cs="Arial"/>
                <w:color w:val="auto"/>
                <w:sz w:val="21"/>
                <w:szCs w:val="21"/>
                <w:lang w:bidi="ar"/>
              </w:rPr>
              <w:t>1.95%</w:t>
            </w:r>
          </w:p>
        </w:tc>
      </w:tr>
      <w:tr w14:paraId="1F18B33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0FEB99FA">
            <w:pPr>
              <w:adjustRightInd/>
              <w:spacing w:line="240" w:lineRule="exact"/>
              <w:rPr>
                <w:rFonts w:ascii="Arial" w:hAnsi="Arial" w:eastAsia="仿宋" w:cs="Arial"/>
                <w:color w:val="auto"/>
                <w:sz w:val="21"/>
                <w:szCs w:val="21"/>
              </w:rPr>
            </w:pPr>
            <w:r>
              <w:rPr>
                <w:rFonts w:ascii="Arial" w:hAnsi="Arial" w:eastAsia="仿宋" w:cs="Arial"/>
                <w:color w:val="auto"/>
                <w:sz w:val="21"/>
                <w:szCs w:val="21"/>
              </w:rPr>
              <w:t>3）</w:t>
            </w:r>
          </w:p>
        </w:tc>
        <w:tc>
          <w:tcPr>
            <w:tcW w:w="1218" w:type="pct"/>
            <w:vAlign w:val="center"/>
          </w:tcPr>
          <w:p w14:paraId="763777DB">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区域土地利用方向</w:t>
            </w:r>
          </w:p>
        </w:tc>
        <w:tc>
          <w:tcPr>
            <w:tcW w:w="2769" w:type="pct"/>
            <w:vAlign w:val="center"/>
          </w:tcPr>
          <w:p w14:paraId="4AF748F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lang w:bidi="ar"/>
              </w:rPr>
              <w:t>估价对象周边有部分其他用途用地，基本不影响本宗地。</w:t>
            </w:r>
          </w:p>
        </w:tc>
        <w:tc>
          <w:tcPr>
            <w:tcW w:w="381" w:type="pct"/>
            <w:vAlign w:val="center"/>
          </w:tcPr>
          <w:p w14:paraId="5D2D9925">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较好</w:t>
            </w:r>
          </w:p>
        </w:tc>
        <w:tc>
          <w:tcPr>
            <w:tcW w:w="401" w:type="pct"/>
            <w:vAlign w:val="center"/>
          </w:tcPr>
          <w:p w14:paraId="7662D152">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0.82%</w:t>
            </w:r>
          </w:p>
        </w:tc>
      </w:tr>
      <w:tr w14:paraId="3CA2371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23ACBCF0">
            <w:pPr>
              <w:adjustRightInd/>
              <w:spacing w:line="240" w:lineRule="exact"/>
              <w:rPr>
                <w:rFonts w:ascii="Arial" w:hAnsi="Arial" w:eastAsia="仿宋" w:cs="Arial"/>
                <w:color w:val="auto"/>
                <w:sz w:val="21"/>
                <w:szCs w:val="21"/>
              </w:rPr>
            </w:pPr>
            <w:r>
              <w:rPr>
                <w:rFonts w:ascii="Arial" w:hAnsi="Arial" w:eastAsia="仿宋" w:cs="Arial"/>
                <w:color w:val="auto"/>
                <w:sz w:val="21"/>
                <w:szCs w:val="21"/>
              </w:rPr>
              <w:t>4）</w:t>
            </w:r>
          </w:p>
        </w:tc>
        <w:tc>
          <w:tcPr>
            <w:tcW w:w="1218" w:type="pct"/>
            <w:vAlign w:val="center"/>
          </w:tcPr>
          <w:p w14:paraId="33CD88A8">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临街宽度和深度</w:t>
            </w:r>
          </w:p>
        </w:tc>
        <w:tc>
          <w:tcPr>
            <w:tcW w:w="2769" w:type="pct"/>
            <w:vAlign w:val="center"/>
          </w:tcPr>
          <w:p w14:paraId="63A4F162">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临街宽度及深度比例一般。</w:t>
            </w:r>
          </w:p>
        </w:tc>
        <w:tc>
          <w:tcPr>
            <w:tcW w:w="381" w:type="pct"/>
            <w:vAlign w:val="center"/>
          </w:tcPr>
          <w:p w14:paraId="30A8C5D9">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一般</w:t>
            </w:r>
          </w:p>
        </w:tc>
        <w:tc>
          <w:tcPr>
            <w:tcW w:w="401" w:type="pct"/>
            <w:vAlign w:val="center"/>
          </w:tcPr>
          <w:p w14:paraId="4C5DD0AA">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0.00%</w:t>
            </w:r>
          </w:p>
        </w:tc>
      </w:tr>
      <w:tr w14:paraId="685CAF9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36361D58">
            <w:pPr>
              <w:adjustRightInd/>
              <w:spacing w:line="240" w:lineRule="exact"/>
              <w:rPr>
                <w:rFonts w:ascii="Arial" w:hAnsi="Arial" w:eastAsia="仿宋" w:cs="Arial"/>
                <w:color w:val="auto"/>
                <w:sz w:val="21"/>
                <w:szCs w:val="21"/>
              </w:rPr>
            </w:pPr>
            <w:r>
              <w:rPr>
                <w:rFonts w:ascii="Arial" w:hAnsi="Arial" w:eastAsia="仿宋" w:cs="Arial"/>
                <w:color w:val="auto"/>
                <w:sz w:val="21"/>
                <w:szCs w:val="21"/>
              </w:rPr>
              <w:t>5）</w:t>
            </w:r>
          </w:p>
        </w:tc>
        <w:tc>
          <w:tcPr>
            <w:tcW w:w="1218" w:type="pct"/>
            <w:vAlign w:val="center"/>
          </w:tcPr>
          <w:p w14:paraId="630B0E26">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临街道路状况</w:t>
            </w:r>
          </w:p>
        </w:tc>
        <w:tc>
          <w:tcPr>
            <w:tcW w:w="2769" w:type="pct"/>
            <w:vAlign w:val="center"/>
          </w:tcPr>
          <w:p w14:paraId="0B158BB8">
            <w:pPr>
              <w:adjustRightInd/>
              <w:spacing w:line="240" w:lineRule="exact"/>
              <w:rPr>
                <w:rFonts w:ascii="Arial" w:hAnsi="Arial" w:eastAsia="仿宋" w:cs="Arial"/>
                <w:color w:val="auto"/>
                <w:sz w:val="21"/>
                <w:szCs w:val="21"/>
              </w:rPr>
            </w:pPr>
            <w:r>
              <w:rPr>
                <w:rFonts w:ascii="Arial" w:hAnsi="Arial" w:eastAsia="仿宋" w:cs="Arial"/>
                <w:color w:val="auto"/>
                <w:sz w:val="21"/>
                <w:szCs w:val="21"/>
                <w:lang w:bidi="ar"/>
              </w:rPr>
              <w:t>估价对象毗邻</w:t>
            </w:r>
            <w:r>
              <w:rPr>
                <w:rFonts w:hint="eastAsia" w:ascii="Arial" w:hAnsi="Arial" w:eastAsia="仿宋" w:cs="Arial"/>
                <w:color w:val="auto"/>
                <w:sz w:val="21"/>
                <w:szCs w:val="21"/>
                <w:lang w:bidi="ar"/>
              </w:rPr>
              <w:t>城市主干道——火寺路</w:t>
            </w:r>
          </w:p>
        </w:tc>
        <w:tc>
          <w:tcPr>
            <w:tcW w:w="381" w:type="pct"/>
            <w:vAlign w:val="center"/>
          </w:tcPr>
          <w:p w14:paraId="6B9C6DBA">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较好</w:t>
            </w:r>
          </w:p>
        </w:tc>
        <w:tc>
          <w:tcPr>
            <w:tcW w:w="401" w:type="pct"/>
            <w:vAlign w:val="center"/>
          </w:tcPr>
          <w:p w14:paraId="33B04070">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0.37%</w:t>
            </w:r>
          </w:p>
        </w:tc>
      </w:tr>
      <w:tr w14:paraId="381A5AC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0332150A">
            <w:pPr>
              <w:adjustRightInd/>
              <w:spacing w:line="240" w:lineRule="exact"/>
              <w:rPr>
                <w:rFonts w:ascii="Arial" w:hAnsi="Arial" w:eastAsia="仿宋" w:cs="Arial"/>
                <w:color w:val="auto"/>
                <w:sz w:val="21"/>
                <w:szCs w:val="21"/>
              </w:rPr>
            </w:pPr>
            <w:r>
              <w:rPr>
                <w:rFonts w:ascii="Arial" w:hAnsi="Arial" w:eastAsia="仿宋" w:cs="Arial"/>
                <w:color w:val="auto"/>
                <w:sz w:val="21"/>
                <w:szCs w:val="21"/>
              </w:rPr>
              <w:t>6）</w:t>
            </w:r>
          </w:p>
        </w:tc>
        <w:tc>
          <w:tcPr>
            <w:tcW w:w="1218" w:type="pct"/>
            <w:vAlign w:val="center"/>
          </w:tcPr>
          <w:p w14:paraId="6CEB370E">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宗地形状及可利用程度</w:t>
            </w:r>
          </w:p>
        </w:tc>
        <w:tc>
          <w:tcPr>
            <w:tcW w:w="2769" w:type="pct"/>
            <w:vAlign w:val="center"/>
          </w:tcPr>
          <w:p w14:paraId="545A68C7">
            <w:pPr>
              <w:widowControl/>
              <w:adjustRightInd/>
              <w:spacing w:line="240" w:lineRule="exact"/>
              <w:textAlignment w:val="center"/>
              <w:rPr>
                <w:rFonts w:ascii="Arial" w:hAnsi="Arial" w:eastAsia="仿宋" w:cs="Arial"/>
                <w:color w:val="auto"/>
                <w:sz w:val="21"/>
                <w:szCs w:val="21"/>
                <w:lang w:bidi="ar"/>
              </w:rPr>
            </w:pPr>
            <w:r>
              <w:rPr>
                <w:rFonts w:ascii="Arial" w:hAnsi="Arial" w:eastAsia="仿宋" w:cs="Arial"/>
                <w:color w:val="auto"/>
                <w:sz w:val="21"/>
                <w:szCs w:val="21"/>
              </w:rPr>
              <w:t>宗地形状规则，可利用程度好</w:t>
            </w:r>
            <w:r>
              <w:rPr>
                <w:rFonts w:ascii="Arial" w:hAnsi="Arial" w:eastAsia="仿宋" w:cs="Arial"/>
                <w:color w:val="auto"/>
                <w:sz w:val="21"/>
                <w:szCs w:val="21"/>
                <w:lang w:bidi="ar"/>
              </w:rPr>
              <w:t>。</w:t>
            </w:r>
          </w:p>
        </w:tc>
        <w:tc>
          <w:tcPr>
            <w:tcW w:w="381" w:type="pct"/>
            <w:vAlign w:val="center"/>
          </w:tcPr>
          <w:p w14:paraId="6C27D634">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较好</w:t>
            </w:r>
          </w:p>
        </w:tc>
        <w:tc>
          <w:tcPr>
            <w:tcW w:w="401" w:type="pct"/>
            <w:vAlign w:val="center"/>
          </w:tcPr>
          <w:p w14:paraId="00CC28DB">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w:t>
            </w:r>
            <w:r>
              <w:rPr>
                <w:rFonts w:hint="eastAsia" w:ascii="Arial" w:hAnsi="Arial" w:eastAsia="仿宋" w:cs="Arial"/>
                <w:color w:val="auto"/>
                <w:sz w:val="21"/>
                <w:szCs w:val="21"/>
                <w:lang w:bidi="ar"/>
              </w:rPr>
              <w:t>45</w:t>
            </w:r>
            <w:r>
              <w:rPr>
                <w:rFonts w:ascii="Arial" w:hAnsi="Arial" w:eastAsia="仿宋" w:cs="Arial"/>
                <w:color w:val="auto"/>
                <w:sz w:val="21"/>
                <w:szCs w:val="21"/>
                <w:lang w:bidi="ar"/>
              </w:rPr>
              <w:t>%</w:t>
            </w:r>
          </w:p>
        </w:tc>
      </w:tr>
      <w:tr w14:paraId="420F348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435F27C5">
            <w:pPr>
              <w:adjustRightInd/>
              <w:spacing w:line="240" w:lineRule="exact"/>
              <w:rPr>
                <w:rFonts w:ascii="Arial" w:hAnsi="Arial" w:eastAsia="仿宋" w:cs="Arial"/>
                <w:color w:val="auto"/>
                <w:sz w:val="21"/>
                <w:szCs w:val="21"/>
              </w:rPr>
            </w:pPr>
            <w:r>
              <w:rPr>
                <w:rFonts w:ascii="Arial" w:hAnsi="Arial" w:eastAsia="仿宋" w:cs="Arial"/>
                <w:color w:val="auto"/>
                <w:sz w:val="21"/>
                <w:szCs w:val="21"/>
              </w:rPr>
              <w:t>7）</w:t>
            </w:r>
          </w:p>
        </w:tc>
        <w:tc>
          <w:tcPr>
            <w:tcW w:w="1218" w:type="pct"/>
            <w:vAlign w:val="center"/>
          </w:tcPr>
          <w:p w14:paraId="5AFCEF1F">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公共服务设施状况</w:t>
            </w:r>
          </w:p>
        </w:tc>
        <w:tc>
          <w:tcPr>
            <w:tcW w:w="2769" w:type="pct"/>
            <w:vAlign w:val="center"/>
          </w:tcPr>
          <w:p w14:paraId="6E73CFDE">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rPr>
              <w:t>估价对象周边2公里范围内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公共配套设施齐备情况一般。</w:t>
            </w:r>
          </w:p>
        </w:tc>
        <w:tc>
          <w:tcPr>
            <w:tcW w:w="381" w:type="pct"/>
            <w:vAlign w:val="center"/>
          </w:tcPr>
          <w:p w14:paraId="4DD813FA">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一般</w:t>
            </w:r>
          </w:p>
        </w:tc>
        <w:tc>
          <w:tcPr>
            <w:tcW w:w="401" w:type="pct"/>
            <w:vAlign w:val="center"/>
          </w:tcPr>
          <w:p w14:paraId="62951376">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0.00%</w:t>
            </w:r>
          </w:p>
        </w:tc>
      </w:tr>
      <w:tr w14:paraId="40EF5F9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53429FF0">
            <w:pPr>
              <w:adjustRightInd/>
              <w:spacing w:line="240" w:lineRule="exact"/>
              <w:rPr>
                <w:rFonts w:ascii="Arial" w:hAnsi="Arial" w:eastAsia="仿宋" w:cs="Arial"/>
                <w:color w:val="auto"/>
                <w:sz w:val="21"/>
                <w:szCs w:val="21"/>
              </w:rPr>
            </w:pPr>
            <w:r>
              <w:rPr>
                <w:rFonts w:ascii="Arial" w:hAnsi="Arial" w:eastAsia="仿宋" w:cs="Arial"/>
                <w:color w:val="auto"/>
                <w:sz w:val="21"/>
                <w:szCs w:val="21"/>
              </w:rPr>
              <w:t>8）</w:t>
            </w:r>
          </w:p>
        </w:tc>
        <w:tc>
          <w:tcPr>
            <w:tcW w:w="1218" w:type="pct"/>
            <w:vAlign w:val="center"/>
          </w:tcPr>
          <w:p w14:paraId="60FDB148">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基础设施完备状况</w:t>
            </w:r>
          </w:p>
        </w:tc>
        <w:tc>
          <w:tcPr>
            <w:tcW w:w="2769" w:type="pct"/>
            <w:vAlign w:val="center"/>
          </w:tcPr>
          <w:p w14:paraId="37619E79">
            <w:pPr>
              <w:adjustRightInd/>
              <w:spacing w:line="240" w:lineRule="exact"/>
              <w:rPr>
                <w:rFonts w:ascii="Arial" w:hAnsi="Arial" w:eastAsia="仿宋" w:cs="Arial"/>
                <w:color w:val="auto"/>
                <w:sz w:val="21"/>
                <w:szCs w:val="21"/>
              </w:rPr>
            </w:pPr>
            <w:r>
              <w:rPr>
                <w:rFonts w:ascii="Arial" w:hAnsi="Arial" w:eastAsia="仿宋" w:cs="Arial"/>
                <w:color w:val="auto"/>
                <w:sz w:val="21"/>
                <w:szCs w:val="21"/>
              </w:rPr>
              <w:t>估价对象所在区域内基础设施配套条件达到</w:t>
            </w:r>
            <w:r>
              <w:rPr>
                <w:rFonts w:hint="eastAsia" w:ascii="Arial" w:hAnsi="Arial" w:eastAsia="仿宋" w:cs="Arial"/>
                <w:color w:val="auto"/>
                <w:sz w:val="21"/>
                <w:szCs w:val="21"/>
              </w:rPr>
              <w:t>“七通”</w:t>
            </w:r>
          </w:p>
        </w:tc>
        <w:tc>
          <w:tcPr>
            <w:tcW w:w="381" w:type="pct"/>
            <w:vAlign w:val="center"/>
          </w:tcPr>
          <w:p w14:paraId="40E23CF9">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好</w:t>
            </w:r>
          </w:p>
        </w:tc>
        <w:tc>
          <w:tcPr>
            <w:tcW w:w="401" w:type="pct"/>
            <w:vAlign w:val="center"/>
          </w:tcPr>
          <w:p w14:paraId="138BF484">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1.34%</w:t>
            </w:r>
          </w:p>
        </w:tc>
      </w:tr>
      <w:tr w14:paraId="6FBBA3D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7C1D5283">
            <w:pPr>
              <w:adjustRightInd/>
              <w:spacing w:line="240" w:lineRule="exact"/>
              <w:rPr>
                <w:rFonts w:ascii="Arial" w:hAnsi="Arial" w:eastAsia="仿宋" w:cs="Arial"/>
                <w:color w:val="auto"/>
                <w:sz w:val="21"/>
                <w:szCs w:val="21"/>
              </w:rPr>
            </w:pPr>
            <w:r>
              <w:rPr>
                <w:rFonts w:ascii="Arial" w:hAnsi="Arial" w:eastAsia="仿宋" w:cs="Arial"/>
                <w:color w:val="auto"/>
                <w:sz w:val="21"/>
                <w:szCs w:val="21"/>
              </w:rPr>
              <w:t>9）</w:t>
            </w:r>
          </w:p>
        </w:tc>
        <w:tc>
          <w:tcPr>
            <w:tcW w:w="1218" w:type="pct"/>
            <w:vAlign w:val="center"/>
          </w:tcPr>
          <w:p w14:paraId="60ED6A75">
            <w:pPr>
              <w:adjustRightInd/>
              <w:spacing w:line="240" w:lineRule="exact"/>
              <w:rPr>
                <w:rFonts w:ascii="Arial" w:hAnsi="Arial" w:eastAsia="仿宋" w:cs="Arial"/>
                <w:color w:val="auto"/>
                <w:sz w:val="21"/>
                <w:szCs w:val="21"/>
              </w:rPr>
            </w:pPr>
            <w:r>
              <w:rPr>
                <w:rFonts w:ascii="Arial" w:hAnsi="Arial" w:eastAsia="仿宋" w:cs="Arial"/>
                <w:color w:val="auto"/>
                <w:sz w:val="21"/>
                <w:szCs w:val="21"/>
              </w:rPr>
              <w:t>自然和人文环境状况</w:t>
            </w:r>
          </w:p>
        </w:tc>
        <w:tc>
          <w:tcPr>
            <w:tcW w:w="2769" w:type="pct"/>
            <w:vAlign w:val="center"/>
          </w:tcPr>
          <w:p w14:paraId="502ADD3C">
            <w:pPr>
              <w:widowControl/>
              <w:adjustRightInd/>
              <w:spacing w:line="240" w:lineRule="exact"/>
              <w:textAlignment w:val="center"/>
              <w:rPr>
                <w:rFonts w:ascii="Arial" w:hAnsi="Arial" w:eastAsia="仿宋" w:cs="Arial"/>
                <w:color w:val="auto"/>
                <w:sz w:val="21"/>
                <w:szCs w:val="21"/>
                <w:lang w:bidi="ar"/>
              </w:rPr>
            </w:pPr>
            <w:r>
              <w:rPr>
                <w:rFonts w:hint="eastAsia" w:ascii="Arial" w:hAnsi="Arial" w:eastAsia="仿宋" w:cs="Arial"/>
                <w:color w:val="auto"/>
                <w:sz w:val="21"/>
                <w:szCs w:val="21"/>
              </w:rPr>
              <w:t>估价对位于北京市顺义区高丽营镇夏县营村，周边2公里南郎中休闲公园、口袋公园、方氏渠等自然环境；无人文环境；综合评价环境状况一般。</w:t>
            </w:r>
          </w:p>
        </w:tc>
        <w:tc>
          <w:tcPr>
            <w:tcW w:w="381" w:type="pct"/>
            <w:vAlign w:val="center"/>
          </w:tcPr>
          <w:p w14:paraId="055B94DB">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一般</w:t>
            </w:r>
          </w:p>
        </w:tc>
        <w:tc>
          <w:tcPr>
            <w:tcW w:w="401" w:type="pct"/>
            <w:vAlign w:val="center"/>
          </w:tcPr>
          <w:p w14:paraId="187FA1BC">
            <w:pPr>
              <w:adjustRightInd/>
              <w:spacing w:line="240" w:lineRule="exact"/>
              <w:rPr>
                <w:rFonts w:ascii="Arial" w:hAnsi="Arial" w:eastAsia="仿宋" w:cs="Arial"/>
                <w:color w:val="auto"/>
                <w:sz w:val="21"/>
                <w:szCs w:val="21"/>
                <w:lang w:bidi="ar"/>
              </w:rPr>
            </w:pPr>
            <w:r>
              <w:rPr>
                <w:rFonts w:ascii="Arial" w:hAnsi="Arial" w:eastAsia="仿宋" w:cs="Arial"/>
                <w:color w:val="auto"/>
                <w:sz w:val="21"/>
                <w:szCs w:val="21"/>
                <w:lang w:bidi="ar"/>
              </w:rPr>
              <w:t>0.00%</w:t>
            </w:r>
          </w:p>
        </w:tc>
      </w:tr>
      <w:tr w14:paraId="755C683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4598" w:type="pct"/>
            <w:gridSpan w:val="4"/>
            <w:vAlign w:val="center"/>
          </w:tcPr>
          <w:p w14:paraId="77232F5B">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合计（∑K</w:t>
            </w:r>
            <w:r>
              <w:rPr>
                <w:rFonts w:ascii="Arial" w:hAnsi="Arial" w:eastAsia="仿宋" w:cs="Arial"/>
                <w:color w:val="auto"/>
                <w:sz w:val="21"/>
                <w:szCs w:val="21"/>
                <w:vertAlign w:val="subscript"/>
              </w:rPr>
              <w:t>i</w:t>
            </w:r>
            <w:r>
              <w:rPr>
                <w:rFonts w:ascii="Arial" w:hAnsi="Arial" w:eastAsia="仿宋" w:cs="Arial"/>
                <w:color w:val="auto"/>
                <w:sz w:val="21"/>
                <w:szCs w:val="21"/>
              </w:rPr>
              <w:t>）</w:t>
            </w:r>
          </w:p>
        </w:tc>
        <w:tc>
          <w:tcPr>
            <w:tcW w:w="401" w:type="pct"/>
          </w:tcPr>
          <w:p w14:paraId="30B32C83">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w:t>
            </w:r>
            <w:r>
              <w:rPr>
                <w:rFonts w:ascii="Arial" w:hAnsi="Arial" w:eastAsia="仿宋" w:cs="Arial"/>
                <w:color w:val="auto"/>
                <w:sz w:val="21"/>
                <w:szCs w:val="21"/>
                <w:lang w:bidi="ar"/>
              </w:rPr>
              <w:t>0.</w:t>
            </w:r>
            <w:r>
              <w:rPr>
                <w:rFonts w:hint="eastAsia" w:ascii="Arial" w:hAnsi="Arial" w:eastAsia="仿宋" w:cs="Arial"/>
                <w:color w:val="auto"/>
                <w:sz w:val="21"/>
                <w:szCs w:val="21"/>
                <w:lang w:bidi="ar"/>
              </w:rPr>
              <w:t>84</w:t>
            </w:r>
            <w:r>
              <w:rPr>
                <w:rFonts w:ascii="Arial" w:hAnsi="Arial" w:eastAsia="仿宋" w:cs="Arial"/>
                <w:color w:val="auto"/>
                <w:sz w:val="21"/>
                <w:szCs w:val="21"/>
                <w:lang w:bidi="ar"/>
              </w:rPr>
              <w:t>%</w:t>
            </w:r>
          </w:p>
        </w:tc>
      </w:tr>
      <w:tr w14:paraId="5415664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4598" w:type="pct"/>
            <w:gridSpan w:val="4"/>
            <w:vAlign w:val="center"/>
          </w:tcPr>
          <w:p w14:paraId="464AEBC1">
            <w:pPr>
              <w:adjustRightInd/>
              <w:spacing w:line="240" w:lineRule="exact"/>
              <w:rPr>
                <w:rFonts w:ascii="Arial" w:hAnsi="Arial" w:eastAsia="仿宋" w:cs="Arial"/>
                <w:color w:val="auto"/>
                <w:sz w:val="21"/>
                <w:szCs w:val="21"/>
              </w:rPr>
            </w:pPr>
            <w:r>
              <w:rPr>
                <w:rFonts w:ascii="Arial" w:hAnsi="Arial" w:eastAsia="仿宋" w:cs="Arial"/>
                <w:color w:val="auto"/>
                <w:sz w:val="21"/>
                <w:szCs w:val="21"/>
              </w:rPr>
              <w:t>因素修正系数（1</w:t>
            </w:r>
            <w:r>
              <w:rPr>
                <w:rFonts w:hint="eastAsia" w:ascii="Arial" w:hAnsi="Arial" w:eastAsia="仿宋" w:cs="Arial"/>
                <w:color w:val="auto"/>
                <w:sz w:val="21"/>
                <w:szCs w:val="21"/>
              </w:rPr>
              <w:t>＋</w:t>
            </w:r>
            <w:r>
              <w:rPr>
                <w:rFonts w:ascii="Arial" w:hAnsi="Arial" w:eastAsia="仿宋" w:cs="Arial"/>
                <w:color w:val="auto"/>
                <w:sz w:val="21"/>
                <w:szCs w:val="21"/>
              </w:rPr>
              <w:t>∑K</w:t>
            </w:r>
            <w:r>
              <w:rPr>
                <w:rFonts w:ascii="Arial" w:hAnsi="Arial" w:eastAsia="仿宋" w:cs="Arial"/>
                <w:color w:val="auto"/>
                <w:sz w:val="21"/>
                <w:szCs w:val="21"/>
                <w:vertAlign w:val="subscript"/>
              </w:rPr>
              <w:t>i</w:t>
            </w:r>
            <w:r>
              <w:rPr>
                <w:rFonts w:ascii="Arial" w:hAnsi="Arial" w:eastAsia="仿宋" w:cs="Arial"/>
                <w:color w:val="auto"/>
                <w:sz w:val="21"/>
                <w:szCs w:val="21"/>
              </w:rPr>
              <w:t>）</w:t>
            </w:r>
          </w:p>
        </w:tc>
        <w:tc>
          <w:tcPr>
            <w:tcW w:w="401" w:type="pct"/>
          </w:tcPr>
          <w:p w14:paraId="69C13C91">
            <w:pPr>
              <w:adjustRightInd/>
              <w:spacing w:line="240" w:lineRule="exact"/>
              <w:rPr>
                <w:rFonts w:ascii="Arial" w:hAnsi="Arial" w:eastAsia="仿宋" w:cs="Arial"/>
                <w:color w:val="auto"/>
                <w:sz w:val="21"/>
                <w:szCs w:val="21"/>
                <w:lang w:bidi="ar"/>
              </w:rPr>
            </w:pPr>
            <w:r>
              <w:rPr>
                <w:rFonts w:hint="eastAsia" w:ascii="Arial" w:hAnsi="Arial" w:eastAsia="仿宋" w:cs="Arial"/>
                <w:color w:val="auto"/>
                <w:sz w:val="21"/>
                <w:szCs w:val="21"/>
                <w:lang w:bidi="ar"/>
              </w:rPr>
              <w:t>0.9916</w:t>
            </w:r>
          </w:p>
        </w:tc>
      </w:tr>
    </w:tbl>
    <w:p w14:paraId="23D75407">
      <w:pPr>
        <w:adjustRightInd/>
        <w:spacing w:before="360" w:beforeLines="1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G.估价对象</w:t>
      </w:r>
      <w:r>
        <w:rPr>
          <w:rFonts w:hint="eastAsia" w:ascii="Arial" w:hAnsi="Arial" w:eastAsia="仿宋" w:cs="Arial"/>
          <w:color w:val="auto"/>
          <w:sz w:val="28"/>
          <w:szCs w:val="28"/>
        </w:rPr>
        <w:t>楼面地价</w:t>
      </w:r>
    </w:p>
    <w:p w14:paraId="213F7A18">
      <w:pPr>
        <w:adjustRightInd/>
        <w:spacing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公共服务用途</w:t>
      </w:r>
      <w:r>
        <w:rPr>
          <w:rFonts w:hint="eastAsia" w:ascii="Arial" w:hAnsi="Arial" w:eastAsia="仿宋" w:cs="Arial"/>
          <w:color w:val="auto"/>
          <w:sz w:val="28"/>
          <w:szCs w:val="28"/>
        </w:rPr>
        <w:t>楼面地价</w:t>
      </w:r>
    </w:p>
    <w:p w14:paraId="2AAFEC25">
      <w:pPr>
        <w:adjustRightInd/>
        <w:spacing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w:t>
      </w:r>
      <w:r>
        <w:rPr>
          <w:rFonts w:ascii="Arial" w:hAnsi="Arial" w:eastAsia="仿宋" w:cs="Arial"/>
          <w:color w:val="auto"/>
          <w:sz w:val="28"/>
          <w:szCs w:val="28"/>
        </w:rPr>
        <w:t>适用的基准地价</w:t>
      </w:r>
      <w:r>
        <w:rPr>
          <w:rFonts w:hint="eastAsia" w:ascii="Arial" w:hAnsi="Arial" w:eastAsia="仿宋" w:cs="Arial"/>
          <w:color w:val="auto"/>
          <w:sz w:val="28"/>
          <w:szCs w:val="28"/>
        </w:rPr>
        <w:t>×</w:t>
      </w:r>
      <w:r>
        <w:rPr>
          <w:rFonts w:ascii="Arial" w:hAnsi="Arial" w:eastAsia="仿宋" w:cs="Arial"/>
          <w:color w:val="auto"/>
          <w:sz w:val="28"/>
          <w:szCs w:val="28"/>
        </w:rPr>
        <w:t>用途修正系数</w:t>
      </w:r>
      <w:r>
        <w:rPr>
          <w:rFonts w:hint="eastAsia" w:ascii="Arial" w:hAnsi="Arial" w:eastAsia="仿宋" w:cs="Arial"/>
          <w:color w:val="auto"/>
          <w:sz w:val="28"/>
          <w:szCs w:val="28"/>
        </w:rPr>
        <w:t>×</w:t>
      </w:r>
      <w:r>
        <w:rPr>
          <w:rFonts w:ascii="Arial" w:hAnsi="Arial" w:eastAsia="仿宋" w:cs="Arial"/>
          <w:color w:val="auto"/>
          <w:sz w:val="28"/>
          <w:szCs w:val="28"/>
        </w:rPr>
        <w:t>期日修正系数</w:t>
      </w:r>
      <w:r>
        <w:rPr>
          <w:rFonts w:hint="eastAsia" w:ascii="Arial" w:hAnsi="Arial" w:eastAsia="仿宋" w:cs="Arial"/>
          <w:color w:val="auto"/>
          <w:sz w:val="28"/>
          <w:szCs w:val="28"/>
        </w:rPr>
        <w:t>×</w:t>
      </w:r>
      <w:r>
        <w:rPr>
          <w:rFonts w:ascii="Arial" w:hAnsi="Arial" w:eastAsia="仿宋" w:cs="Arial"/>
          <w:color w:val="auto"/>
          <w:sz w:val="28"/>
          <w:szCs w:val="28"/>
        </w:rPr>
        <w:t>年期修正系数</w:t>
      </w:r>
      <w:r>
        <w:rPr>
          <w:rFonts w:hint="eastAsia" w:ascii="Arial" w:hAnsi="Arial" w:eastAsia="仿宋" w:cs="Arial"/>
          <w:color w:val="auto"/>
          <w:sz w:val="28"/>
          <w:szCs w:val="28"/>
        </w:rPr>
        <w:t>×</w:t>
      </w:r>
      <w:r>
        <w:rPr>
          <w:rFonts w:ascii="Arial" w:hAnsi="Arial" w:eastAsia="仿宋" w:cs="Arial"/>
          <w:color w:val="auto"/>
          <w:sz w:val="28"/>
          <w:szCs w:val="28"/>
        </w:rPr>
        <w:t>容积率修正系数</w:t>
      </w:r>
      <w:r>
        <w:rPr>
          <w:rFonts w:hint="eastAsia" w:ascii="Arial" w:hAnsi="Arial" w:eastAsia="仿宋" w:cs="Arial"/>
          <w:color w:val="auto"/>
          <w:sz w:val="28"/>
          <w:szCs w:val="28"/>
        </w:rPr>
        <w:t>×</w:t>
      </w:r>
      <w:r>
        <w:rPr>
          <w:rFonts w:ascii="Arial" w:hAnsi="Arial" w:eastAsia="仿宋" w:cs="Arial"/>
          <w:color w:val="auto"/>
          <w:sz w:val="28"/>
          <w:szCs w:val="28"/>
        </w:rPr>
        <w:t>因素修正系数</w:t>
      </w:r>
    </w:p>
    <w:p w14:paraId="680A375E">
      <w:pPr>
        <w:adjustRightInd/>
        <w:spacing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w:t>
      </w:r>
      <w:r>
        <w:rPr>
          <w:rFonts w:ascii="Arial" w:hAnsi="Arial" w:eastAsia="仿宋" w:cs="Arial"/>
          <w:color w:val="auto"/>
          <w:sz w:val="28"/>
          <w:szCs w:val="28"/>
        </w:rPr>
        <w:t>（3170</w:t>
      </w:r>
      <w:r>
        <w:rPr>
          <w:rFonts w:hint="eastAsia" w:ascii="Arial" w:hAnsi="Arial" w:eastAsia="仿宋" w:cs="Arial"/>
          <w:color w:val="auto"/>
          <w:sz w:val="28"/>
          <w:szCs w:val="28"/>
        </w:rPr>
        <w:t>＋46.67</w:t>
      </w:r>
      <w:r>
        <w:rPr>
          <w:rFonts w:ascii="Arial" w:hAnsi="Arial" w:eastAsia="仿宋" w:cs="Arial"/>
          <w:color w:val="auto"/>
          <w:sz w:val="28"/>
          <w:szCs w:val="28"/>
        </w:rPr>
        <w:t>）</w:t>
      </w:r>
      <w:r>
        <w:rPr>
          <w:rFonts w:hint="eastAsia" w:ascii="Arial" w:hAnsi="Arial" w:eastAsia="仿宋" w:cs="Arial"/>
          <w:color w:val="auto"/>
          <w:sz w:val="28"/>
          <w:szCs w:val="28"/>
        </w:rPr>
        <w:t>×</w:t>
      </w:r>
      <w:r>
        <w:rPr>
          <w:rFonts w:ascii="Arial" w:hAnsi="Arial" w:eastAsia="仿宋" w:cs="Arial"/>
          <w:color w:val="auto"/>
          <w:sz w:val="28"/>
          <w:szCs w:val="28"/>
        </w:rPr>
        <w:t>1</w:t>
      </w:r>
      <w:r>
        <w:rPr>
          <w:rFonts w:hint="eastAsia" w:ascii="Arial" w:hAnsi="Arial" w:eastAsia="仿宋" w:cs="Arial"/>
          <w:color w:val="auto"/>
          <w:sz w:val="28"/>
          <w:szCs w:val="28"/>
        </w:rPr>
        <w:t>×0.9388×</w:t>
      </w:r>
      <w:r>
        <w:rPr>
          <w:rFonts w:ascii="Arial" w:hAnsi="Arial" w:eastAsia="仿宋" w:cs="Arial"/>
          <w:color w:val="auto"/>
          <w:sz w:val="28"/>
          <w:szCs w:val="28"/>
        </w:rPr>
        <w:t>1</w:t>
      </w:r>
      <w:r>
        <w:rPr>
          <w:rFonts w:hint="eastAsia" w:ascii="Arial" w:hAnsi="Arial" w:eastAsia="仿宋" w:cs="Arial"/>
          <w:color w:val="auto"/>
          <w:sz w:val="28"/>
          <w:szCs w:val="28"/>
        </w:rPr>
        <w:t>×</w:t>
      </w:r>
      <w:r>
        <w:rPr>
          <w:rFonts w:ascii="Arial" w:hAnsi="Arial" w:eastAsia="仿宋" w:cs="Arial"/>
          <w:color w:val="auto"/>
          <w:sz w:val="28"/>
          <w:szCs w:val="28"/>
        </w:rPr>
        <w:t>1.0678</w:t>
      </w:r>
      <w:r>
        <w:rPr>
          <w:rFonts w:hint="eastAsia" w:ascii="Arial" w:hAnsi="Arial" w:eastAsia="仿宋" w:cs="Arial"/>
          <w:color w:val="auto"/>
          <w:sz w:val="28"/>
          <w:szCs w:val="28"/>
        </w:rPr>
        <w:t>×</w:t>
      </w:r>
      <w:r>
        <w:rPr>
          <w:rFonts w:ascii="Arial" w:hAnsi="Arial" w:eastAsia="仿宋" w:cs="Arial"/>
          <w:color w:val="auto"/>
          <w:sz w:val="28"/>
          <w:szCs w:val="28"/>
        </w:rPr>
        <w:t>0.99</w:t>
      </w:r>
      <w:r>
        <w:rPr>
          <w:rFonts w:hint="eastAsia" w:ascii="Arial" w:hAnsi="Arial" w:eastAsia="仿宋" w:cs="Arial"/>
          <w:color w:val="auto"/>
          <w:sz w:val="28"/>
          <w:szCs w:val="28"/>
        </w:rPr>
        <w:t>16</w:t>
      </w:r>
    </w:p>
    <w:p w14:paraId="0AE30BBA">
      <w:pPr>
        <w:spacing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＝3197</w:t>
      </w:r>
      <w:r>
        <w:rPr>
          <w:rFonts w:ascii="Arial" w:hAnsi="Arial" w:eastAsia="仿宋" w:cs="Arial"/>
          <w:color w:val="auto"/>
          <w:sz w:val="28"/>
          <w:szCs w:val="28"/>
        </w:rPr>
        <w:t>（元/平方米）</w:t>
      </w:r>
    </w:p>
    <w:p w14:paraId="650B39F4">
      <w:pPr>
        <w:spacing w:line="300" w:lineRule="auto"/>
        <w:ind w:firstLine="560" w:firstLineChars="200"/>
        <w:jc w:val="both"/>
        <w:rPr>
          <w:rFonts w:ascii="Arial" w:hAnsi="Arial" w:eastAsia="仿宋" w:cs="Arial"/>
          <w:color w:val="auto"/>
          <w:sz w:val="28"/>
          <w:szCs w:val="28"/>
        </w:rPr>
      </w:pPr>
    </w:p>
    <w:p w14:paraId="1ED985C3">
      <w:pPr>
        <w:rPr>
          <w:rFonts w:ascii="Arial" w:hAnsi="Arial" w:eastAsia="仿宋_GB2312" w:cs="Arial"/>
          <w:b/>
          <w:color w:val="auto"/>
          <w:sz w:val="28"/>
        </w:rPr>
      </w:pPr>
      <w:r>
        <w:rPr>
          <w:rFonts w:hint="eastAsia" w:ascii="Arial" w:hAnsi="Arial" w:eastAsia="仿宋_GB2312" w:cs="Arial"/>
          <w:b/>
          <w:color w:val="auto"/>
          <w:sz w:val="28"/>
        </w:rPr>
        <w:br w:type="page"/>
      </w:r>
    </w:p>
    <w:p w14:paraId="043C9FD0">
      <w:pPr>
        <w:adjustRightInd/>
        <w:snapToGrid w:val="0"/>
        <w:spacing w:line="300" w:lineRule="auto"/>
        <w:ind w:firstLine="562" w:firstLineChars="200"/>
        <w:textAlignment w:val="auto"/>
        <w:rPr>
          <w:rFonts w:ascii="Arial" w:hAnsi="Arial" w:eastAsia="仿宋_GB2312" w:cs="Arial"/>
          <w:b/>
          <w:color w:val="auto"/>
          <w:sz w:val="28"/>
        </w:rPr>
      </w:pPr>
      <w:r>
        <w:rPr>
          <w:rFonts w:hint="eastAsia" w:ascii="Arial" w:hAnsi="Arial" w:eastAsia="仿宋_GB2312" w:cs="Arial"/>
          <w:b/>
          <w:color w:val="auto"/>
          <w:sz w:val="28"/>
        </w:rPr>
        <w:t>3.</w:t>
      </w:r>
      <w:r>
        <w:rPr>
          <w:rFonts w:ascii="Arial" w:hAnsi="Arial" w:eastAsia="仿宋_GB2312" w:cs="Arial"/>
          <w:b/>
          <w:color w:val="auto"/>
          <w:sz w:val="28"/>
        </w:rPr>
        <w:t>剩余法</w:t>
      </w:r>
    </w:p>
    <w:p w14:paraId="07AF84A5">
      <w:pPr>
        <w:spacing w:before="50" w:after="50" w:line="300" w:lineRule="auto"/>
        <w:ind w:firstLine="560" w:firstLineChars="200"/>
        <w:rPr>
          <w:rFonts w:ascii="Arial" w:hAnsi="Arial" w:eastAsia="仿宋_GB2312" w:cs="Arial"/>
          <w:b/>
          <w:color w:val="auto"/>
          <w:sz w:val="28"/>
        </w:rPr>
      </w:pPr>
      <w:r>
        <w:rPr>
          <w:rFonts w:hint="eastAsia" w:ascii="Arial" w:hAnsi="Arial" w:eastAsia="仿宋_GB2312" w:cs="Arial"/>
          <w:bCs/>
          <w:color w:val="auto"/>
          <w:sz w:val="28"/>
        </w:rPr>
        <w:t>（1）</w:t>
      </w:r>
      <w:r>
        <w:rPr>
          <w:rFonts w:hint="eastAsia" w:ascii="Arial" w:hAnsi="Arial" w:eastAsia="仿宋_GB2312" w:cs="Arial"/>
          <w:b/>
          <w:bCs/>
          <w:color w:val="auto"/>
          <w:sz w:val="28"/>
        </w:rPr>
        <w:t>城镇住宅用地剩余法测算过程</w:t>
      </w:r>
    </w:p>
    <w:p w14:paraId="5CB0139F">
      <w:pPr>
        <w:spacing w:line="300" w:lineRule="auto"/>
        <w:ind w:firstLine="562" w:firstLineChars="200"/>
        <w:rPr>
          <w:rFonts w:ascii="Arial" w:hAnsi="Arial" w:eastAsia="仿宋_GB2312" w:cs="Arial"/>
          <w:b/>
          <w:color w:val="auto"/>
          <w:sz w:val="28"/>
        </w:rPr>
      </w:pPr>
      <w:r>
        <w:rPr>
          <w:rFonts w:hint="eastAsia" w:ascii="Arial" w:hAnsi="Arial" w:eastAsia="仿宋_GB2312" w:cs="Arial"/>
          <w:b/>
          <w:color w:val="auto"/>
          <w:sz w:val="28"/>
        </w:rPr>
        <w:t>A.</w:t>
      </w:r>
      <w:r>
        <w:rPr>
          <w:rFonts w:ascii="Arial" w:hAnsi="Arial" w:eastAsia="仿宋_GB2312" w:cs="Arial"/>
          <w:b/>
          <w:color w:val="auto"/>
          <w:sz w:val="28"/>
        </w:rPr>
        <w:t>土地最有效利用方式</w:t>
      </w:r>
    </w:p>
    <w:p w14:paraId="22C43E58">
      <w:pPr>
        <w:snapToGrid w:val="0"/>
        <w:spacing w:line="300" w:lineRule="auto"/>
        <w:ind w:firstLine="560" w:firstLineChars="200"/>
        <w:jc w:val="both"/>
        <w:rPr>
          <w:rFonts w:ascii="Arial" w:hAnsi="Arial" w:eastAsia="仿宋_GB2312" w:cs="Arial"/>
          <w:color w:val="auto"/>
          <w:sz w:val="28"/>
          <w:szCs w:val="28"/>
        </w:rPr>
      </w:pPr>
      <w:r>
        <w:rPr>
          <w:rFonts w:ascii="Arial" w:hAnsi="Arial" w:eastAsia="仿宋_GB2312" w:cs="Arial"/>
          <w:color w:val="auto"/>
          <w:sz w:val="28"/>
          <w:szCs w:val="28"/>
        </w:rPr>
        <w:t>根据</w:t>
      </w:r>
      <w:r>
        <w:rPr>
          <w:rFonts w:hint="eastAsia" w:ascii="Arial" w:hAnsi="Arial" w:eastAsia="仿宋" w:cs="Arial"/>
          <w:color w:val="auto"/>
          <w:sz w:val="28"/>
          <w:szCs w:val="28"/>
        </w:rPr>
        <w:t>北京市规划自然资源委员会顺义分局</w:t>
      </w:r>
      <w:r>
        <w:rPr>
          <w:rFonts w:ascii="Arial" w:hAnsi="Arial" w:eastAsia="仿宋_GB2312" w:cs="Arial"/>
          <w:color w:val="auto"/>
          <w:sz w:val="28"/>
          <w:szCs w:val="28"/>
        </w:rPr>
        <w:t>出具的</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_GB2312" w:cs="Arial"/>
          <w:color w:val="auto"/>
          <w:sz w:val="28"/>
        </w:rPr>
        <w:t>复印件及本次评估目的</w:t>
      </w:r>
      <w:r>
        <w:rPr>
          <w:rFonts w:ascii="Arial" w:hAnsi="Arial" w:eastAsia="仿宋_GB2312" w:cs="Arial"/>
          <w:color w:val="auto"/>
          <w:sz w:val="28"/>
          <w:szCs w:val="28"/>
        </w:rPr>
        <w:t>，本次评估设定如下：</w:t>
      </w:r>
    </w:p>
    <w:p w14:paraId="4582FB77">
      <w:pPr>
        <w:spacing w:line="300" w:lineRule="auto"/>
        <w:ind w:firstLine="560" w:firstLineChars="200"/>
        <w:rPr>
          <w:rFonts w:ascii="Arial" w:hAnsi="Arial" w:eastAsia="仿宋_GB2312" w:cs="Arial"/>
          <w:snapToGrid w:val="0"/>
          <w:color w:val="auto"/>
          <w:sz w:val="28"/>
        </w:rPr>
      </w:pPr>
      <w:r>
        <w:rPr>
          <w:rFonts w:hint="eastAsia" w:ascii="Arial" w:hAnsi="Arial" w:eastAsia="仿宋_GB2312" w:cs="Arial"/>
          <w:snapToGrid w:val="0"/>
          <w:color w:val="auto"/>
          <w:sz w:val="28"/>
        </w:rPr>
        <w:t>a.</w:t>
      </w:r>
      <w:r>
        <w:rPr>
          <w:rFonts w:ascii="Arial" w:hAnsi="Arial" w:eastAsia="仿宋_GB2312" w:cs="Arial"/>
          <w:snapToGrid w:val="0"/>
          <w:color w:val="auto"/>
          <w:sz w:val="28"/>
        </w:rPr>
        <w:t>设定估价对象能够顺利完成预期的开发建设目标；</w:t>
      </w:r>
    </w:p>
    <w:p w14:paraId="2C9F6F9A">
      <w:pPr>
        <w:spacing w:line="300" w:lineRule="auto"/>
        <w:ind w:firstLine="560" w:firstLineChars="200"/>
        <w:rPr>
          <w:rFonts w:ascii="Arial" w:hAnsi="Arial" w:eastAsia="仿宋_GB2312" w:cs="Arial"/>
          <w:snapToGrid w:val="0"/>
          <w:color w:val="auto"/>
          <w:sz w:val="28"/>
        </w:rPr>
      </w:pPr>
      <w:r>
        <w:rPr>
          <w:rFonts w:hint="eastAsia" w:ascii="Arial" w:hAnsi="Arial" w:eastAsia="仿宋_GB2312" w:cs="Arial"/>
          <w:snapToGrid w:val="0"/>
          <w:color w:val="auto"/>
          <w:sz w:val="28"/>
        </w:rPr>
        <w:t>b.</w:t>
      </w:r>
      <w:r>
        <w:rPr>
          <w:rFonts w:ascii="Arial" w:hAnsi="Arial" w:eastAsia="仿宋_GB2312" w:cs="Arial"/>
          <w:snapToGrid w:val="0"/>
          <w:color w:val="auto"/>
          <w:sz w:val="28"/>
        </w:rPr>
        <w:t>本项目建筑物建设周期为</w:t>
      </w:r>
      <w:r>
        <w:rPr>
          <w:rFonts w:hint="eastAsia" w:ascii="Arial" w:hAnsi="Arial" w:eastAsia="仿宋_GB2312" w:cs="Arial"/>
          <w:snapToGrid w:val="0"/>
          <w:color w:val="auto"/>
          <w:sz w:val="28"/>
        </w:rPr>
        <w:t>3</w:t>
      </w:r>
      <w:r>
        <w:rPr>
          <w:rFonts w:ascii="Arial" w:hAnsi="Arial" w:eastAsia="仿宋_GB2312" w:cs="Arial"/>
          <w:snapToGrid w:val="0"/>
          <w:color w:val="auto"/>
          <w:sz w:val="28"/>
        </w:rPr>
        <w:t>年；</w:t>
      </w:r>
    </w:p>
    <w:p w14:paraId="2946FED3">
      <w:pPr>
        <w:spacing w:line="300" w:lineRule="auto"/>
        <w:ind w:firstLine="560" w:firstLineChars="200"/>
        <w:rPr>
          <w:rFonts w:ascii="Arial" w:hAnsi="Arial" w:eastAsia="仿宋_GB2312" w:cs="Arial"/>
          <w:snapToGrid w:val="0"/>
          <w:color w:val="auto"/>
          <w:sz w:val="28"/>
        </w:rPr>
      </w:pPr>
      <w:r>
        <w:rPr>
          <w:rFonts w:hint="eastAsia" w:ascii="Arial" w:hAnsi="Arial" w:eastAsia="仿宋_GB2312" w:cs="Arial"/>
          <w:snapToGrid w:val="0"/>
          <w:color w:val="auto"/>
          <w:sz w:val="28"/>
        </w:rPr>
        <w:t>c.估价人员通过调查土地开发项目自签订土地出让合同至项目竣工的时间，经统计分析一般开发项目建设周期约1－3年。本次评估综合考虑项目拟建设规模、主体结构高度以及装修状况，参考同类物业的开发周期，设定估价对象建设周期为3年，地价款和购地税费全周期计息；土地开发费用及房屋建设成本、管理费用、销售费用等根据开发周期均匀投入计息；</w:t>
      </w:r>
    </w:p>
    <w:p w14:paraId="61588584">
      <w:pPr>
        <w:spacing w:line="300" w:lineRule="auto"/>
        <w:ind w:right="14" w:firstLine="560" w:firstLineChars="200"/>
        <w:rPr>
          <w:rFonts w:ascii="Arial" w:hAnsi="Arial" w:eastAsia="仿宋_GB2312" w:cs="Arial"/>
          <w:snapToGrid w:val="0"/>
          <w:color w:val="auto"/>
          <w:sz w:val="28"/>
        </w:rPr>
      </w:pPr>
      <w:r>
        <w:rPr>
          <w:rFonts w:hint="eastAsia" w:ascii="Arial" w:hAnsi="Arial" w:eastAsia="仿宋_GB2312" w:cs="Arial"/>
          <w:snapToGrid w:val="0"/>
          <w:color w:val="auto"/>
          <w:sz w:val="28"/>
        </w:rPr>
        <w:t>d.</w:t>
      </w:r>
      <w:r>
        <w:rPr>
          <w:rFonts w:ascii="Arial" w:hAnsi="Arial" w:eastAsia="仿宋_GB2312" w:cs="Arial"/>
          <w:snapToGrid w:val="0"/>
          <w:color w:val="auto"/>
          <w:sz w:val="28"/>
        </w:rPr>
        <w:t>在开发建设期间，房地产市场不会发生大的变化；</w:t>
      </w:r>
    </w:p>
    <w:p w14:paraId="79B20F7F">
      <w:pPr>
        <w:spacing w:line="300" w:lineRule="auto"/>
        <w:ind w:firstLine="560" w:firstLineChars="200"/>
        <w:rPr>
          <w:rFonts w:ascii="Arial" w:hAnsi="Arial" w:eastAsia="仿宋_GB2312" w:cs="Arial"/>
          <w:snapToGrid w:val="0"/>
          <w:color w:val="auto"/>
          <w:sz w:val="28"/>
        </w:rPr>
      </w:pPr>
      <w:r>
        <w:rPr>
          <w:rFonts w:hint="eastAsia" w:ascii="Arial" w:hAnsi="Arial" w:eastAsia="仿宋_GB2312" w:cs="Arial"/>
          <w:snapToGrid w:val="0"/>
          <w:color w:val="auto"/>
          <w:sz w:val="28"/>
        </w:rPr>
        <w:t>e.</w:t>
      </w:r>
      <w:r>
        <w:rPr>
          <w:rFonts w:ascii="Arial" w:hAnsi="Arial" w:eastAsia="仿宋_GB2312" w:cs="Arial"/>
          <w:snapToGrid w:val="0"/>
          <w:color w:val="auto"/>
          <w:sz w:val="28"/>
        </w:rPr>
        <w:t>本项目最佳用途为住宅；</w:t>
      </w:r>
    </w:p>
    <w:p w14:paraId="2765668E">
      <w:pPr>
        <w:spacing w:line="300" w:lineRule="auto"/>
        <w:ind w:firstLine="560" w:firstLineChars="200"/>
        <w:rPr>
          <w:rFonts w:ascii="Arial" w:hAnsi="Arial" w:eastAsia="仿宋_GB2312" w:cs="Arial"/>
          <w:snapToGrid w:val="0"/>
          <w:color w:val="auto"/>
          <w:sz w:val="28"/>
        </w:rPr>
      </w:pPr>
      <w:r>
        <w:rPr>
          <w:rFonts w:hint="eastAsia" w:ascii="Arial" w:hAnsi="Arial" w:eastAsia="仿宋_GB2312" w:cs="Arial"/>
          <w:snapToGrid w:val="0"/>
          <w:color w:val="auto"/>
          <w:sz w:val="28"/>
        </w:rPr>
        <w:t>f. 根据土地估价专业评估师现场勘查，估价对象周边4公里范围内有富力首开·金禧璞瑅等类似物业，交房装修标准以精装修为主。因此，本次估价设定设定估价对象为钢混结构装配式建筑结构，出售时房屋外装修:高级涂料、局部贴石材或高级墙砖；内装修：根据《绿色建筑评价标准》（GB/T50378－2019），公共建筑全装修为公共区域的固定面全部铺贴、粉刷完成，水、暖、电、通风等基本设备全部安装到位，故设定公共部分精装修，室内为精装修，包括绿色、节能、环保、适老、交通、人防等；</w:t>
      </w:r>
    </w:p>
    <w:p w14:paraId="5DF668FC">
      <w:pPr>
        <w:spacing w:line="300" w:lineRule="auto"/>
        <w:ind w:firstLine="560" w:firstLineChars="200"/>
        <w:rPr>
          <w:rFonts w:ascii="Arial" w:hAnsi="Arial" w:eastAsia="仿宋_GB2312" w:cs="Arial"/>
          <w:snapToGrid w:val="0"/>
          <w:color w:val="auto"/>
          <w:sz w:val="28"/>
        </w:rPr>
      </w:pPr>
      <w:r>
        <w:rPr>
          <w:rFonts w:hint="eastAsia" w:ascii="Arial" w:hAnsi="Arial" w:eastAsia="仿宋_GB2312" w:cs="Arial"/>
          <w:snapToGrid w:val="0"/>
          <w:color w:val="auto"/>
          <w:sz w:val="28"/>
        </w:rPr>
        <w:t>g.</w:t>
      </w:r>
      <w:r>
        <w:rPr>
          <w:rFonts w:ascii="Arial" w:hAnsi="Arial" w:eastAsia="仿宋_GB2312" w:cs="Arial"/>
          <w:snapToGrid w:val="0"/>
          <w:color w:val="auto"/>
          <w:sz w:val="28"/>
        </w:rPr>
        <w:t>该项目在建成后即销售完毕</w:t>
      </w:r>
      <w:r>
        <w:rPr>
          <w:rFonts w:hint="eastAsia" w:ascii="Arial" w:hAnsi="Arial" w:eastAsia="仿宋_GB2312" w:cs="Arial"/>
          <w:snapToGrid w:val="0"/>
          <w:color w:val="auto"/>
          <w:sz w:val="28"/>
        </w:rPr>
        <w:t>，设定</w:t>
      </w:r>
      <w:r>
        <w:rPr>
          <w:rFonts w:ascii="Arial" w:hAnsi="Arial" w:eastAsia="仿宋_GB2312" w:cs="Arial"/>
          <w:snapToGrid w:val="0"/>
          <w:color w:val="auto"/>
          <w:sz w:val="28"/>
        </w:rPr>
        <w:t>开发完成后的房地产价值</w:t>
      </w:r>
      <w:r>
        <w:rPr>
          <w:rFonts w:hint="eastAsia" w:ascii="Arial" w:hAnsi="Arial" w:eastAsia="仿宋_GB2312" w:cs="Arial"/>
          <w:snapToGrid w:val="0"/>
          <w:color w:val="auto"/>
          <w:sz w:val="28"/>
        </w:rPr>
        <w:t>含销售税费；</w:t>
      </w:r>
    </w:p>
    <w:p w14:paraId="4AC0053B">
      <w:pPr>
        <w:spacing w:line="300" w:lineRule="auto"/>
        <w:ind w:right="14" w:firstLine="565" w:firstLineChars="202"/>
        <w:rPr>
          <w:rFonts w:ascii="Arial" w:hAnsi="Arial" w:eastAsia="仿宋_GB2312" w:cs="Arial"/>
          <w:snapToGrid w:val="0"/>
          <w:color w:val="auto"/>
          <w:sz w:val="28"/>
        </w:rPr>
      </w:pPr>
      <w:r>
        <w:rPr>
          <w:rFonts w:hint="eastAsia" w:ascii="Arial" w:hAnsi="Arial" w:eastAsia="仿宋_GB2312" w:cs="Arial"/>
          <w:snapToGrid w:val="0"/>
          <w:color w:val="auto"/>
          <w:sz w:val="28"/>
        </w:rPr>
        <w:t>h.</w:t>
      </w:r>
      <w:r>
        <w:rPr>
          <w:rFonts w:ascii="Arial" w:hAnsi="Arial" w:eastAsia="仿宋_GB2312" w:cs="Arial"/>
          <w:snapToGrid w:val="0"/>
          <w:color w:val="auto"/>
          <w:sz w:val="28"/>
        </w:rPr>
        <w:t>在开发过程中或有调整规划用途情况建议参照本估价结果价值水平。</w:t>
      </w:r>
    </w:p>
    <w:p w14:paraId="063FA2D3">
      <w:pPr>
        <w:spacing w:after="26" w:line="300" w:lineRule="auto"/>
        <w:ind w:firstLine="560" w:firstLineChars="200"/>
        <w:rPr>
          <w:rFonts w:ascii="Arial" w:hAnsi="Arial" w:eastAsia="仿宋_GB2312" w:cs="Arial"/>
          <w:snapToGrid w:val="0"/>
          <w:color w:val="auto"/>
          <w:sz w:val="28"/>
        </w:rPr>
      </w:pPr>
      <w:r>
        <w:rPr>
          <w:rFonts w:ascii="Arial" w:hAnsi="Arial" w:eastAsia="仿宋_GB2312" w:cs="Arial"/>
          <w:snapToGrid w:val="0"/>
          <w:color w:val="auto"/>
          <w:sz w:val="28"/>
        </w:rPr>
        <w:t>剩余法是在预计开发完成后不动产正常交易价格的基础上，扣除预计的正常开发成本及有关专业费用、利息、利润和税收等，以价格余额来估算估价对象价格的一种方法。</w:t>
      </w:r>
    </w:p>
    <w:p w14:paraId="5570111A">
      <w:pPr>
        <w:spacing w:after="51" w:line="300" w:lineRule="auto"/>
        <w:ind w:firstLine="560" w:firstLineChars="200"/>
        <w:rPr>
          <w:rFonts w:ascii="Arial" w:hAnsi="Arial" w:eastAsia="仿宋_GB2312" w:cs="Arial"/>
          <w:snapToGrid w:val="0"/>
          <w:color w:val="auto"/>
          <w:sz w:val="28"/>
        </w:rPr>
      </w:pPr>
      <w:r>
        <w:rPr>
          <w:rFonts w:ascii="Arial" w:hAnsi="Arial" w:eastAsia="仿宋_GB2312" w:cs="Arial"/>
          <w:snapToGrid w:val="0"/>
          <w:color w:val="auto"/>
          <w:sz w:val="28"/>
        </w:rPr>
        <w:t>剩余法基本公式如下：</w:t>
      </w:r>
    </w:p>
    <w:p w14:paraId="1D7DF845">
      <w:pPr>
        <w:spacing w:before="50" w:after="50" w:line="300" w:lineRule="auto"/>
        <w:ind w:firstLine="560" w:firstLineChars="200"/>
        <w:rPr>
          <w:rFonts w:ascii="Arial" w:hAnsi="Arial" w:eastAsia="仿宋_GB2312" w:cs="Arial"/>
          <w:b/>
          <w:color w:val="auto"/>
          <w:sz w:val="28"/>
        </w:rPr>
      </w:pPr>
      <w:r>
        <w:rPr>
          <w:rFonts w:ascii="Arial" w:hAnsi="Arial" w:eastAsia="仿宋_GB2312" w:cs="Arial"/>
          <w:snapToGrid w:val="0"/>
          <w:color w:val="auto"/>
          <w:sz w:val="28"/>
        </w:rPr>
        <w:t>熟地价值：</w:t>
      </w:r>
      <w:r>
        <w:rPr>
          <w:rFonts w:ascii="Arial" w:hAnsi="Arial" w:eastAsia="仿宋_GB2312" w:cs="Arial"/>
          <w:color w:val="auto"/>
          <w:sz w:val="28"/>
        </w:rPr>
        <w:t>待估宗地价格</w:t>
      </w:r>
      <w:r>
        <w:rPr>
          <w:rFonts w:hint="eastAsia" w:ascii="Arial" w:hAnsi="Arial" w:eastAsia="仿宋_GB2312" w:cs="Arial"/>
          <w:color w:val="auto"/>
          <w:sz w:val="28"/>
        </w:rPr>
        <w:t>＝</w:t>
      </w:r>
      <w:r>
        <w:rPr>
          <w:rFonts w:ascii="Arial" w:hAnsi="Arial" w:eastAsia="仿宋_GB2312" w:cs="Arial"/>
          <w:color w:val="auto"/>
          <w:sz w:val="28"/>
        </w:rPr>
        <w:t>不动产总价</w:t>
      </w:r>
      <w:r>
        <w:rPr>
          <w:rFonts w:hint="eastAsia" w:ascii="Arial" w:hAnsi="Arial" w:eastAsia="仿宋_GB2312" w:cs="Arial"/>
          <w:color w:val="auto"/>
          <w:sz w:val="28"/>
        </w:rPr>
        <w:t>－</w:t>
      </w:r>
      <w:r>
        <w:rPr>
          <w:rFonts w:ascii="Arial" w:hAnsi="Arial" w:eastAsia="仿宋_GB2312" w:cs="Arial"/>
          <w:color w:val="auto"/>
          <w:sz w:val="28"/>
        </w:rPr>
        <w:t>开发项目整体的开发成本</w:t>
      </w:r>
      <w:r>
        <w:rPr>
          <w:rFonts w:hint="eastAsia" w:ascii="Arial" w:hAnsi="Arial" w:eastAsia="仿宋_GB2312" w:cs="Arial"/>
          <w:color w:val="auto"/>
          <w:sz w:val="28"/>
        </w:rPr>
        <w:t>－</w:t>
      </w:r>
      <w:r>
        <w:rPr>
          <w:rFonts w:ascii="Arial" w:hAnsi="Arial" w:eastAsia="仿宋_GB2312" w:cs="Arial"/>
          <w:color w:val="auto"/>
          <w:sz w:val="28"/>
        </w:rPr>
        <w:t>客观开发利润</w:t>
      </w:r>
    </w:p>
    <w:p w14:paraId="183DF386">
      <w:pPr>
        <w:widowControl/>
        <w:adjustRightInd/>
        <w:spacing w:after="5" w:line="300" w:lineRule="auto"/>
        <w:ind w:right="14" w:firstLine="562" w:firstLineChars="200"/>
        <w:jc w:val="both"/>
        <w:textAlignment w:val="auto"/>
        <w:rPr>
          <w:rFonts w:ascii="Arial" w:hAnsi="Arial" w:eastAsia="仿宋_GB2312" w:cs="Arial"/>
          <w:b/>
          <w:snapToGrid w:val="0"/>
          <w:color w:val="auto"/>
          <w:sz w:val="28"/>
        </w:rPr>
      </w:pPr>
      <w:r>
        <w:rPr>
          <w:rFonts w:hint="eastAsia" w:ascii="Arial" w:hAnsi="Arial" w:eastAsia="仿宋_GB2312" w:cs="Arial"/>
          <w:b/>
          <w:color w:val="auto"/>
          <w:sz w:val="28"/>
        </w:rPr>
        <w:t>B.项目</w:t>
      </w:r>
      <w:r>
        <w:rPr>
          <w:rFonts w:ascii="Arial" w:hAnsi="Arial" w:eastAsia="仿宋_GB2312" w:cs="Arial"/>
          <w:b/>
          <w:snapToGrid w:val="0"/>
          <w:color w:val="auto"/>
          <w:sz w:val="28"/>
        </w:rPr>
        <w:t>开发完成后</w:t>
      </w:r>
      <w:r>
        <w:rPr>
          <w:rFonts w:hint="eastAsia" w:ascii="Arial" w:hAnsi="Arial" w:eastAsia="仿宋_GB2312" w:cs="Arial"/>
          <w:b/>
          <w:snapToGrid w:val="0"/>
          <w:color w:val="auto"/>
          <w:sz w:val="28"/>
        </w:rPr>
        <w:t>不动产总价</w:t>
      </w:r>
      <w:r>
        <w:rPr>
          <w:rFonts w:ascii="Arial" w:hAnsi="Arial" w:eastAsia="仿宋_GB2312" w:cs="Arial"/>
          <w:b/>
          <w:snapToGrid w:val="0"/>
          <w:color w:val="auto"/>
          <w:sz w:val="28"/>
        </w:rPr>
        <w:t>的确定</w:t>
      </w:r>
    </w:p>
    <w:p w14:paraId="26912724">
      <w:pPr>
        <w:spacing w:after="26" w:line="300" w:lineRule="auto"/>
        <w:ind w:firstLine="560" w:firstLineChars="200"/>
        <w:jc w:val="both"/>
        <w:rPr>
          <w:rFonts w:ascii="Arial" w:hAnsi="Arial" w:eastAsia="仿宋_GB2312" w:cs="Arial"/>
          <w:snapToGrid w:val="0"/>
          <w:color w:val="auto"/>
          <w:sz w:val="28"/>
        </w:rPr>
      </w:pPr>
      <w:r>
        <w:rPr>
          <w:rFonts w:ascii="Arial" w:hAnsi="Arial" w:eastAsia="仿宋_GB2312" w:cs="Arial"/>
          <w:snapToGrid w:val="0"/>
          <w:color w:val="auto"/>
          <w:sz w:val="28"/>
        </w:rPr>
        <w:t>假设建造</w:t>
      </w:r>
      <w:r>
        <w:rPr>
          <w:rFonts w:hint="eastAsia" w:ascii="Arial" w:hAnsi="Arial" w:eastAsia="仿宋_GB2312" w:cs="Arial"/>
          <w:snapToGrid w:val="0"/>
          <w:color w:val="auto"/>
          <w:sz w:val="28"/>
        </w:rPr>
        <w:t>住宅</w:t>
      </w:r>
      <w:r>
        <w:rPr>
          <w:rFonts w:ascii="Arial" w:hAnsi="Arial" w:eastAsia="仿宋_GB2312" w:cs="Arial"/>
          <w:snapToGrid w:val="0"/>
          <w:color w:val="auto"/>
          <w:sz w:val="28"/>
        </w:rPr>
        <w:t>用房，预计施工进度、施工计划及预计装修标准、设备设施情况等事项以周边类似房地产项目为参考。</w:t>
      </w:r>
    </w:p>
    <w:p w14:paraId="17A46385">
      <w:pPr>
        <w:spacing w:after="26" w:line="300" w:lineRule="auto"/>
        <w:ind w:firstLine="560" w:firstLineChars="200"/>
        <w:jc w:val="both"/>
        <w:rPr>
          <w:rFonts w:ascii="Arial" w:hAnsi="Arial" w:eastAsia="仿宋_GB2312" w:cs="Arial"/>
          <w:snapToGrid w:val="0"/>
          <w:color w:val="auto"/>
          <w:sz w:val="28"/>
        </w:rPr>
      </w:pPr>
      <w:r>
        <w:rPr>
          <w:rFonts w:ascii="Arial" w:hAnsi="Arial" w:eastAsia="仿宋_GB2312" w:cs="Arial"/>
          <w:snapToGrid w:val="0"/>
          <w:color w:val="auto"/>
          <w:sz w:val="28"/>
        </w:rPr>
        <w:t>综合分析估价对象的规划利用和管理限制条件，结合估价对象周边的业态、基础设施及公共配套设施状况，确定</w:t>
      </w:r>
      <w:r>
        <w:rPr>
          <w:rFonts w:hint="eastAsia" w:ascii="Arial" w:hAnsi="Arial" w:eastAsia="仿宋_GB2312" w:cs="Arial"/>
          <w:snapToGrid w:val="0"/>
          <w:color w:val="auto"/>
          <w:sz w:val="28"/>
        </w:rPr>
        <w:t>住宅</w:t>
      </w:r>
      <w:r>
        <w:rPr>
          <w:rFonts w:ascii="Arial" w:hAnsi="Arial" w:eastAsia="仿宋_GB2312" w:cs="Arial"/>
          <w:snapToGrid w:val="0"/>
          <w:color w:val="auto"/>
          <w:sz w:val="28"/>
        </w:rPr>
        <w:t>为最佳利用方式。</w:t>
      </w:r>
    </w:p>
    <w:p w14:paraId="10820D3E">
      <w:pPr>
        <w:spacing w:after="26" w:line="300" w:lineRule="auto"/>
        <w:ind w:firstLine="560" w:firstLineChars="200"/>
        <w:jc w:val="both"/>
        <w:rPr>
          <w:rFonts w:ascii="Arial" w:hAnsi="Arial" w:eastAsia="仿宋_GB2312" w:cs="Arial"/>
          <w:snapToGrid w:val="0"/>
          <w:color w:val="auto"/>
          <w:sz w:val="28"/>
        </w:rPr>
      </w:pPr>
      <w:r>
        <w:rPr>
          <w:rFonts w:ascii="Arial" w:hAnsi="Arial" w:eastAsia="仿宋_GB2312" w:cs="Arial"/>
          <w:snapToGrid w:val="0"/>
          <w:color w:val="auto"/>
          <w:sz w:val="28"/>
        </w:rPr>
        <w:t>根据项目的整体建筑规模和预期设备、装修标准，预计本项目建筑物建设周期为</w:t>
      </w:r>
      <w:r>
        <w:rPr>
          <w:rFonts w:hint="eastAsia" w:ascii="Arial" w:hAnsi="Arial" w:eastAsia="仿宋_GB2312" w:cs="Arial"/>
          <w:snapToGrid w:val="0"/>
          <w:color w:val="auto"/>
          <w:sz w:val="28"/>
        </w:rPr>
        <w:t>3</w:t>
      </w:r>
      <w:r>
        <w:rPr>
          <w:rFonts w:ascii="Arial" w:hAnsi="Arial" w:eastAsia="仿宋_GB2312" w:cs="Arial"/>
          <w:snapToGrid w:val="0"/>
          <w:color w:val="auto"/>
          <w:sz w:val="28"/>
        </w:rPr>
        <w:t>年。</w:t>
      </w:r>
    </w:p>
    <w:p w14:paraId="74CF6FDF">
      <w:pPr>
        <w:spacing w:after="26" w:line="300" w:lineRule="auto"/>
        <w:ind w:firstLine="560" w:firstLineChars="200"/>
        <w:jc w:val="both"/>
        <w:rPr>
          <w:rFonts w:ascii="Arial" w:hAnsi="Arial" w:eastAsia="仿宋_GB2312" w:cs="Arial"/>
          <w:color w:val="auto"/>
          <w:sz w:val="28"/>
        </w:rPr>
      </w:pPr>
      <w:r>
        <w:rPr>
          <w:rFonts w:ascii="Arial" w:hAnsi="Arial" w:eastAsia="仿宋_GB2312" w:cs="Arial"/>
          <w:snapToGrid w:val="0"/>
          <w:color w:val="auto"/>
          <w:sz w:val="28"/>
        </w:rPr>
        <w:t>开发完成后的房地产价值的确定根据土地估价专业评估师的市场调查及</w:t>
      </w:r>
      <w:r>
        <w:rPr>
          <w:rFonts w:ascii="Arial" w:hAnsi="Arial" w:eastAsia="仿宋_GB2312" w:cs="Arial"/>
          <w:color w:val="auto"/>
          <w:sz w:val="28"/>
          <w:szCs w:val="28"/>
        </w:rPr>
        <w:t>查询中指数据、建委网站等网上发布信息，</w:t>
      </w:r>
      <w:r>
        <w:rPr>
          <w:rFonts w:ascii="Arial" w:hAnsi="Arial" w:eastAsia="仿宋_GB2312" w:cs="Arial"/>
          <w:color w:val="auto"/>
          <w:sz w:val="28"/>
        </w:rPr>
        <w:t>采用房地产交易中的替代原则，选取与估价对象类似</w:t>
      </w:r>
      <w:r>
        <w:rPr>
          <w:rFonts w:ascii="Arial" w:hAnsi="Arial" w:eastAsia="仿宋_GB2312" w:cs="Arial"/>
          <w:color w:val="auto"/>
          <w:sz w:val="28"/>
          <w:szCs w:val="28"/>
        </w:rPr>
        <w:t>用途</w:t>
      </w:r>
      <w:r>
        <w:rPr>
          <w:rFonts w:ascii="Arial" w:hAnsi="Arial" w:eastAsia="仿宋_GB2312" w:cs="Arial"/>
          <w:color w:val="auto"/>
          <w:sz w:val="28"/>
        </w:rPr>
        <w:t>的案例，并分别进行交易情况、交易时间、用途、容积率、土地使用年限、区域因素、个别因素的修正。详见下表</w:t>
      </w:r>
      <w:r>
        <w:rPr>
          <w:rFonts w:hint="eastAsia" w:ascii="Arial" w:hAnsi="Arial" w:eastAsia="仿宋_GB2312" w:cs="Arial"/>
          <w:color w:val="auto"/>
          <w:sz w:val="28"/>
        </w:rPr>
        <w:t>：</w:t>
      </w:r>
    </w:p>
    <w:tbl>
      <w:tblPr>
        <w:tblStyle w:val="34"/>
        <w:tblW w:w="92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2325"/>
        <w:gridCol w:w="2324"/>
        <w:gridCol w:w="2325"/>
        <w:gridCol w:w="2325"/>
      </w:tblGrid>
      <w:tr w14:paraId="47233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90" w:hRule="atLeast"/>
        </w:trPr>
        <w:tc>
          <w:tcPr>
            <w:tcW w:w="2325" w:type="dxa"/>
            <w:shd w:val="clear" w:color="auto" w:fill="auto"/>
          </w:tcPr>
          <w:p w14:paraId="5600DD9C">
            <w:pPr>
              <w:widowControl/>
              <w:adjustRightInd/>
              <w:spacing w:line="240" w:lineRule="auto"/>
              <w:jc w:val="center"/>
              <w:textAlignment w:val="auto"/>
              <w:rPr>
                <w:rFonts w:ascii="Arial" w:hAnsi="Arial" w:eastAsia="仿宋_GB2312" w:cs="Arial"/>
                <w:color w:val="auto"/>
                <w:sz w:val="18"/>
                <w:szCs w:val="18"/>
              </w:rPr>
            </w:pPr>
          </w:p>
        </w:tc>
        <w:tc>
          <w:tcPr>
            <w:tcW w:w="2324" w:type="dxa"/>
            <w:shd w:val="clear" w:color="auto" w:fill="auto"/>
          </w:tcPr>
          <w:p w14:paraId="7EC82F56">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案例A</w:t>
            </w:r>
          </w:p>
        </w:tc>
        <w:tc>
          <w:tcPr>
            <w:tcW w:w="2325" w:type="dxa"/>
            <w:shd w:val="clear" w:color="auto" w:fill="auto"/>
          </w:tcPr>
          <w:p w14:paraId="75DD8BC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案例B</w:t>
            </w:r>
          </w:p>
        </w:tc>
        <w:tc>
          <w:tcPr>
            <w:tcW w:w="2325" w:type="dxa"/>
            <w:shd w:val="clear" w:color="auto" w:fill="auto"/>
          </w:tcPr>
          <w:p w14:paraId="6B0602BA">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案例C</w:t>
            </w:r>
          </w:p>
        </w:tc>
      </w:tr>
      <w:tr w14:paraId="3094C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7D0DC07B">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项目名称</w:t>
            </w:r>
          </w:p>
        </w:tc>
        <w:tc>
          <w:tcPr>
            <w:tcW w:w="2324" w:type="dxa"/>
            <w:shd w:val="clear" w:color="auto" w:fill="auto"/>
          </w:tcPr>
          <w:p w14:paraId="5111556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璞瑅润府</w:t>
            </w:r>
          </w:p>
        </w:tc>
        <w:tc>
          <w:tcPr>
            <w:tcW w:w="2325" w:type="dxa"/>
            <w:shd w:val="clear" w:color="auto" w:fill="auto"/>
          </w:tcPr>
          <w:p w14:paraId="414A808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富力首开·金禧璞瑅</w:t>
            </w:r>
          </w:p>
        </w:tc>
        <w:tc>
          <w:tcPr>
            <w:tcW w:w="2325" w:type="dxa"/>
            <w:shd w:val="clear" w:color="auto" w:fill="auto"/>
          </w:tcPr>
          <w:p w14:paraId="2B4AC3C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招商中建·顺义臻珑府</w:t>
            </w:r>
          </w:p>
        </w:tc>
      </w:tr>
      <w:tr w14:paraId="7FFD5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4DD7874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数据来源</w:t>
            </w:r>
          </w:p>
        </w:tc>
        <w:tc>
          <w:tcPr>
            <w:tcW w:w="2324" w:type="dxa"/>
            <w:shd w:val="clear" w:color="auto" w:fill="auto"/>
          </w:tcPr>
          <w:p w14:paraId="01FDD304">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中指成交数据，税费买卖双方各自负担</w:t>
            </w:r>
          </w:p>
        </w:tc>
        <w:tc>
          <w:tcPr>
            <w:tcW w:w="2325" w:type="dxa"/>
            <w:shd w:val="clear" w:color="auto" w:fill="auto"/>
          </w:tcPr>
          <w:p w14:paraId="16A10676">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中指成交数据，税费买卖双方各自负担</w:t>
            </w:r>
          </w:p>
        </w:tc>
        <w:tc>
          <w:tcPr>
            <w:tcW w:w="2325" w:type="dxa"/>
            <w:shd w:val="clear" w:color="auto" w:fill="auto"/>
          </w:tcPr>
          <w:p w14:paraId="56F9E187">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中指成交数据，税费买卖双方各自负担</w:t>
            </w:r>
          </w:p>
        </w:tc>
      </w:tr>
      <w:tr w14:paraId="1A7EA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19600DA8">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交易价格（元/㎡）</w:t>
            </w:r>
          </w:p>
        </w:tc>
        <w:tc>
          <w:tcPr>
            <w:tcW w:w="2324" w:type="dxa"/>
            <w:shd w:val="clear" w:color="auto" w:fill="auto"/>
          </w:tcPr>
          <w:p w14:paraId="5473BB3E">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35135</w:t>
            </w:r>
          </w:p>
        </w:tc>
        <w:tc>
          <w:tcPr>
            <w:tcW w:w="2325" w:type="dxa"/>
            <w:shd w:val="clear" w:color="auto" w:fill="auto"/>
          </w:tcPr>
          <w:p w14:paraId="35C7C08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31102</w:t>
            </w:r>
          </w:p>
        </w:tc>
        <w:tc>
          <w:tcPr>
            <w:tcW w:w="2325" w:type="dxa"/>
            <w:shd w:val="clear" w:color="auto" w:fill="auto"/>
          </w:tcPr>
          <w:p w14:paraId="76C2F7B5">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31801</w:t>
            </w:r>
          </w:p>
        </w:tc>
      </w:tr>
      <w:tr w14:paraId="6EC5B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6203503B">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成交日期</w:t>
            </w:r>
          </w:p>
        </w:tc>
        <w:tc>
          <w:tcPr>
            <w:tcW w:w="2324" w:type="dxa"/>
            <w:shd w:val="clear" w:color="auto" w:fill="auto"/>
          </w:tcPr>
          <w:p w14:paraId="136EC9C6">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2026年1月</w:t>
            </w:r>
          </w:p>
        </w:tc>
        <w:tc>
          <w:tcPr>
            <w:tcW w:w="2325" w:type="dxa"/>
            <w:shd w:val="clear" w:color="auto" w:fill="auto"/>
          </w:tcPr>
          <w:p w14:paraId="77DD86AE">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2026年1月</w:t>
            </w:r>
          </w:p>
        </w:tc>
        <w:tc>
          <w:tcPr>
            <w:tcW w:w="2325" w:type="dxa"/>
            <w:shd w:val="clear" w:color="auto" w:fill="auto"/>
          </w:tcPr>
          <w:p w14:paraId="52B5E5C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2026年1月</w:t>
            </w:r>
          </w:p>
        </w:tc>
      </w:tr>
      <w:tr w14:paraId="56B55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Pr>
        <w:tc>
          <w:tcPr>
            <w:tcW w:w="2325" w:type="dxa"/>
            <w:shd w:val="clear" w:color="auto" w:fill="auto"/>
          </w:tcPr>
          <w:p w14:paraId="5F5C68F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用途</w:t>
            </w:r>
          </w:p>
        </w:tc>
        <w:tc>
          <w:tcPr>
            <w:tcW w:w="2324" w:type="dxa"/>
            <w:shd w:val="clear" w:color="auto" w:fill="auto"/>
          </w:tcPr>
          <w:p w14:paraId="7DECBE2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住宅</w:t>
            </w:r>
          </w:p>
        </w:tc>
        <w:tc>
          <w:tcPr>
            <w:tcW w:w="2325" w:type="dxa"/>
            <w:shd w:val="clear" w:color="auto" w:fill="auto"/>
          </w:tcPr>
          <w:p w14:paraId="0C864A85">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住宅</w:t>
            </w:r>
          </w:p>
        </w:tc>
        <w:tc>
          <w:tcPr>
            <w:tcW w:w="2325" w:type="dxa"/>
            <w:shd w:val="clear" w:color="auto" w:fill="auto"/>
          </w:tcPr>
          <w:p w14:paraId="02CF927C">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住宅</w:t>
            </w:r>
          </w:p>
        </w:tc>
      </w:tr>
      <w:tr w14:paraId="5E8A3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3A022286">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交易情况</w:t>
            </w:r>
          </w:p>
        </w:tc>
        <w:tc>
          <w:tcPr>
            <w:tcW w:w="2324" w:type="dxa"/>
            <w:shd w:val="clear" w:color="auto" w:fill="auto"/>
          </w:tcPr>
          <w:p w14:paraId="697895F7">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正常</w:t>
            </w:r>
          </w:p>
        </w:tc>
        <w:tc>
          <w:tcPr>
            <w:tcW w:w="2325" w:type="dxa"/>
            <w:shd w:val="clear" w:color="auto" w:fill="auto"/>
          </w:tcPr>
          <w:p w14:paraId="65B22FAD">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正常</w:t>
            </w:r>
          </w:p>
        </w:tc>
        <w:tc>
          <w:tcPr>
            <w:tcW w:w="2325" w:type="dxa"/>
            <w:shd w:val="clear" w:color="auto" w:fill="auto"/>
          </w:tcPr>
          <w:p w14:paraId="2BD1B4BC">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正常</w:t>
            </w:r>
          </w:p>
        </w:tc>
      </w:tr>
      <w:tr w14:paraId="7B5BD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69620B0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权利性质</w:t>
            </w:r>
          </w:p>
        </w:tc>
        <w:tc>
          <w:tcPr>
            <w:tcW w:w="2324" w:type="dxa"/>
            <w:shd w:val="clear" w:color="auto" w:fill="auto"/>
          </w:tcPr>
          <w:p w14:paraId="278C15E4">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国有出让/商品房（完全产权）</w:t>
            </w:r>
          </w:p>
        </w:tc>
        <w:tc>
          <w:tcPr>
            <w:tcW w:w="2325" w:type="dxa"/>
            <w:shd w:val="clear" w:color="auto" w:fill="auto"/>
          </w:tcPr>
          <w:p w14:paraId="7B6B2D45">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国有出让/商品房（完全产权）</w:t>
            </w:r>
          </w:p>
        </w:tc>
        <w:tc>
          <w:tcPr>
            <w:tcW w:w="2325" w:type="dxa"/>
            <w:shd w:val="clear" w:color="auto" w:fill="auto"/>
          </w:tcPr>
          <w:p w14:paraId="67173BD3">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国有出让/商品房（完全产权）</w:t>
            </w:r>
          </w:p>
        </w:tc>
      </w:tr>
      <w:tr w14:paraId="37D35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4C1FDF3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建筑结构</w:t>
            </w:r>
          </w:p>
        </w:tc>
        <w:tc>
          <w:tcPr>
            <w:tcW w:w="2324" w:type="dxa"/>
            <w:shd w:val="clear" w:color="auto" w:fill="auto"/>
          </w:tcPr>
          <w:p w14:paraId="763E3FE3">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钢混</w:t>
            </w:r>
          </w:p>
        </w:tc>
        <w:tc>
          <w:tcPr>
            <w:tcW w:w="2325" w:type="dxa"/>
            <w:shd w:val="clear" w:color="auto" w:fill="auto"/>
          </w:tcPr>
          <w:p w14:paraId="3F66A896">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钢混</w:t>
            </w:r>
          </w:p>
        </w:tc>
        <w:tc>
          <w:tcPr>
            <w:tcW w:w="2325" w:type="dxa"/>
            <w:shd w:val="clear" w:color="auto" w:fill="auto"/>
          </w:tcPr>
          <w:p w14:paraId="601170C6">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钢混</w:t>
            </w:r>
          </w:p>
        </w:tc>
      </w:tr>
      <w:tr w14:paraId="3B81B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7EDDC4B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装修</w:t>
            </w:r>
          </w:p>
        </w:tc>
        <w:tc>
          <w:tcPr>
            <w:tcW w:w="2324" w:type="dxa"/>
            <w:shd w:val="clear" w:color="auto" w:fill="auto"/>
          </w:tcPr>
          <w:p w14:paraId="70B548C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精装修</w:t>
            </w:r>
          </w:p>
        </w:tc>
        <w:tc>
          <w:tcPr>
            <w:tcW w:w="2325" w:type="dxa"/>
            <w:shd w:val="clear" w:color="auto" w:fill="auto"/>
          </w:tcPr>
          <w:p w14:paraId="35B1132B">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精装修</w:t>
            </w:r>
          </w:p>
        </w:tc>
        <w:tc>
          <w:tcPr>
            <w:tcW w:w="2325" w:type="dxa"/>
            <w:shd w:val="clear" w:color="auto" w:fill="auto"/>
          </w:tcPr>
          <w:p w14:paraId="18B4531F">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精装修</w:t>
            </w:r>
          </w:p>
        </w:tc>
      </w:tr>
      <w:tr w14:paraId="4D1A7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188C35B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市政设施条件</w:t>
            </w:r>
          </w:p>
        </w:tc>
        <w:tc>
          <w:tcPr>
            <w:tcW w:w="2324" w:type="dxa"/>
            <w:shd w:val="clear" w:color="auto" w:fill="auto"/>
          </w:tcPr>
          <w:p w14:paraId="1A19D9D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七通</w:t>
            </w:r>
          </w:p>
        </w:tc>
        <w:tc>
          <w:tcPr>
            <w:tcW w:w="2325" w:type="dxa"/>
            <w:shd w:val="clear" w:color="auto" w:fill="auto"/>
          </w:tcPr>
          <w:p w14:paraId="01C5503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七通</w:t>
            </w:r>
          </w:p>
        </w:tc>
        <w:tc>
          <w:tcPr>
            <w:tcW w:w="2325" w:type="dxa"/>
            <w:shd w:val="clear" w:color="auto" w:fill="auto"/>
          </w:tcPr>
          <w:p w14:paraId="668FF6E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七通</w:t>
            </w:r>
          </w:p>
        </w:tc>
      </w:tr>
      <w:tr w14:paraId="0DD33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25C40E2C">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物业管理</w:t>
            </w:r>
          </w:p>
        </w:tc>
        <w:tc>
          <w:tcPr>
            <w:tcW w:w="2324" w:type="dxa"/>
            <w:shd w:val="clear" w:color="auto" w:fill="auto"/>
          </w:tcPr>
          <w:p w14:paraId="0642ABAC">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专业物业公司管理</w:t>
            </w:r>
          </w:p>
        </w:tc>
        <w:tc>
          <w:tcPr>
            <w:tcW w:w="2325" w:type="dxa"/>
            <w:shd w:val="clear" w:color="auto" w:fill="auto"/>
          </w:tcPr>
          <w:p w14:paraId="6F89FE2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专业物业公司管理</w:t>
            </w:r>
          </w:p>
        </w:tc>
        <w:tc>
          <w:tcPr>
            <w:tcW w:w="2325" w:type="dxa"/>
            <w:shd w:val="clear" w:color="auto" w:fill="auto"/>
          </w:tcPr>
          <w:p w14:paraId="58023A8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专业物业公司管理</w:t>
            </w:r>
          </w:p>
        </w:tc>
      </w:tr>
    </w:tbl>
    <w:p w14:paraId="20C13227">
      <w:pPr>
        <w:rPr>
          <w:rFonts w:ascii="Arial" w:hAnsi="Arial" w:eastAsia="仿宋_GB2312" w:cs="Arial"/>
          <w:color w:val="auto"/>
          <w:sz w:val="28"/>
        </w:rPr>
      </w:pPr>
      <w:r>
        <w:rPr>
          <w:rFonts w:hint="eastAsia" w:ascii="Arial" w:hAnsi="Arial" w:eastAsia="仿宋_GB2312" w:cs="Arial"/>
          <w:color w:val="auto"/>
          <w:sz w:val="20"/>
          <w:szCs w:val="13"/>
        </w:rPr>
        <w:t>备注：案例交易价格为上一年度平均交易价格</w:t>
      </w:r>
      <w:r>
        <w:rPr>
          <w:rFonts w:hint="eastAsia" w:ascii="Arial" w:hAnsi="Arial" w:eastAsia="仿宋_GB2312" w:cs="Arial"/>
          <w:color w:val="auto"/>
          <w:sz w:val="20"/>
          <w:szCs w:val="13"/>
          <w:lang w:eastAsia="zh-CN"/>
        </w:rPr>
        <w:t>，</w:t>
      </w:r>
      <w:r>
        <w:rPr>
          <w:rFonts w:hint="eastAsia" w:ascii="Arial" w:hAnsi="Arial" w:eastAsia="仿宋_GB2312" w:cs="Arial"/>
          <w:color w:val="auto"/>
          <w:sz w:val="20"/>
          <w:szCs w:val="13"/>
          <w:lang w:val="en-US" w:eastAsia="zh-CN"/>
        </w:rPr>
        <w:t>含增值税</w:t>
      </w:r>
      <w:r>
        <w:rPr>
          <w:rFonts w:hint="eastAsia" w:ascii="Arial" w:hAnsi="Arial" w:eastAsia="仿宋_GB2312" w:cs="Arial"/>
          <w:color w:val="auto"/>
          <w:sz w:val="20"/>
          <w:szCs w:val="13"/>
        </w:rPr>
        <w:t>。</w:t>
      </w:r>
      <w:r>
        <w:rPr>
          <w:rFonts w:ascii="Arial" w:hAnsi="Arial" w:eastAsia="仿宋_GB2312" w:cs="Arial"/>
          <w:color w:val="auto"/>
          <w:sz w:val="28"/>
        </w:rPr>
        <w:br w:type="page"/>
      </w:r>
    </w:p>
    <w:tbl>
      <w:tblPr>
        <w:tblStyle w:val="34"/>
        <w:tblW w:w="9299" w:type="dxa"/>
        <w:jc w:val="center"/>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Layout w:type="fixed"/>
        <w:tblCellMar>
          <w:top w:w="28" w:type="dxa"/>
          <w:left w:w="28" w:type="dxa"/>
          <w:bottom w:w="28" w:type="dxa"/>
          <w:right w:w="28" w:type="dxa"/>
        </w:tblCellMar>
      </w:tblPr>
      <w:tblGrid>
        <w:gridCol w:w="3099"/>
        <w:gridCol w:w="3100"/>
        <w:gridCol w:w="3100"/>
      </w:tblGrid>
      <w:tr w14:paraId="028E4351">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9299" w:type="dxa"/>
            <w:gridSpan w:val="3"/>
          </w:tcPr>
          <w:p w14:paraId="30FD700F">
            <w:pPr>
              <w:widowControl/>
              <w:adjustRightInd/>
              <w:spacing w:line="240" w:lineRule="auto"/>
              <w:jc w:val="center"/>
              <w:textAlignment w:val="auto"/>
              <w:rPr>
                <w:rFonts w:ascii="华文细黑" w:hAnsi="华文细黑" w:eastAsia="华文细黑"/>
                <w:color w:val="auto"/>
              </w:rPr>
            </w:pPr>
            <w:r>
              <w:rPr>
                <w:rFonts w:hint="eastAsia" w:ascii="Arial" w:hAnsi="Arial" w:eastAsia="仿宋_GB2312" w:cs="Arial"/>
                <w:color w:val="auto"/>
                <w:szCs w:val="24"/>
              </w:rPr>
              <w:t>案例位置示意图及照片</w:t>
            </w:r>
          </w:p>
        </w:tc>
      </w:tr>
      <w:tr w14:paraId="2B22BE4A">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trHeight w:val="7655" w:hRule="exact"/>
          <w:jc w:val="center"/>
        </w:trPr>
        <w:tc>
          <w:tcPr>
            <w:tcW w:w="9299" w:type="dxa"/>
            <w:gridSpan w:val="3"/>
          </w:tcPr>
          <w:p w14:paraId="04F36B14">
            <w:pPr>
              <w:jc w:val="center"/>
              <w:rPr>
                <w:color w:val="auto"/>
              </w:rPr>
            </w:pPr>
            <w:r>
              <w:rPr>
                <w:color w:val="auto"/>
              </w:rPr>
              <mc:AlternateContent>
                <mc:Choice Requires="wps">
                  <w:drawing>
                    <wp:anchor distT="0" distB="0" distL="114300" distR="114300" simplePos="0" relativeHeight="251670528" behindDoc="0" locked="0" layoutInCell="1" allowOverlap="1">
                      <wp:simplePos x="0" y="0"/>
                      <wp:positionH relativeFrom="column">
                        <wp:posOffset>4313555</wp:posOffset>
                      </wp:positionH>
                      <wp:positionV relativeFrom="paragraph">
                        <wp:posOffset>1228090</wp:posOffset>
                      </wp:positionV>
                      <wp:extent cx="758825" cy="407670"/>
                      <wp:effectExtent l="12700" t="12700" r="20955" b="631190"/>
                      <wp:wrapNone/>
                      <wp:docPr id="82" name="线形标注 1 82"/>
                      <wp:cNvGraphicFramePr/>
                      <a:graphic xmlns:a="http://schemas.openxmlformats.org/drawingml/2006/main">
                        <a:graphicData uri="http://schemas.microsoft.com/office/word/2010/wordprocessingShape">
                          <wps:wsp>
                            <wps:cNvSpPr/>
                            <wps:spPr>
                              <a:xfrm>
                                <a:off x="0" y="0"/>
                                <a:ext cx="758825" cy="407670"/>
                              </a:xfrm>
                              <a:prstGeom prst="borderCallout1">
                                <a:avLst>
                                  <a:gd name="adj1" fmla="val 251246"/>
                                  <a:gd name="adj2" fmla="val 74309"/>
                                  <a:gd name="adj3" fmla="val 107009"/>
                                  <a:gd name="adj4" fmla="val 45857"/>
                                </a:avLst>
                              </a:prstGeom>
                              <a:solidFill>
                                <a:srgbClr val="558ED5"/>
                              </a:solidFill>
                              <a:ln w="25400" cap="flat" cmpd="sng">
                                <a:solidFill>
                                  <a:srgbClr val="385D8A"/>
                                </a:solidFill>
                                <a:prstDash val="solid"/>
                                <a:miter/>
                                <a:headEnd type="none" w="med" len="med"/>
                                <a:tailEnd type="none" w="med" len="med"/>
                              </a:ln>
                            </wps:spPr>
                            <wps:txbx>
                              <w:txbxContent>
                                <w:p w14:paraId="708E1F92">
                                  <w:pPr>
                                    <w:jc w:val="center"/>
                                    <w:rPr>
                                      <w:b/>
                                      <w:color w:val="FFFFFF"/>
                                    </w:rPr>
                                  </w:pPr>
                                  <w:r>
                                    <w:rPr>
                                      <w:rFonts w:hint="eastAsia"/>
                                      <w:b/>
                                      <w:color w:val="FFFFFF"/>
                                    </w:rPr>
                                    <w:t>案例</w:t>
                                  </w:r>
                                  <w:r>
                                    <w:rPr>
                                      <w:rFonts w:hint="eastAsia" w:ascii="Arial" w:hAnsi="Arial" w:cs="Arial"/>
                                      <w:b/>
                                      <w:color w:val="FFFFFF"/>
                                    </w:rPr>
                                    <w:t>C</w:t>
                                  </w:r>
                                </w:p>
                              </w:txbxContent>
                            </wps:txbx>
                            <wps:bodyPr anchor="ctr" anchorCtr="0" upright="1"/>
                          </wps:wsp>
                        </a:graphicData>
                      </a:graphic>
                    </wp:anchor>
                  </w:drawing>
                </mc:Choice>
                <mc:Fallback>
                  <w:pict>
                    <v:shape id="_x0000_s1026" o:spid="_x0000_s1026" o:spt="47" type="#_x0000_t47" style="position:absolute;left:0pt;margin-left:339.65pt;margin-top:96.7pt;height:32.1pt;width:59.75pt;z-index:251670528;v-text-anchor:middle;mso-width-relative:page;mso-height-relative:page;" fillcolor="#558ED5" filled="t" stroked="t" coordsize="21600,21600" o:gfxdata="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ShsSS9cAAAALAQAADwAAAAAAAAABACAAAAAiAAAAZHJzL2Rvd25yZXYueG1sUEsBAhQAFAAA&#10;AAgAh07iQIU6THhiAgAA8wQAAA4AAAAAAAAAAQAgAAAAJgEAAGRycy9lMm9Eb2MueG1sUEsFBgAA&#10;AAAGAAYAWQEAAPoFAAAAAA==&#10;" adj="9905,23114,16051,54269">
                      <v:fill on="t" focussize="0,0"/>
                      <v:stroke weight="2pt" color="#385D8A" joinstyle="miter"/>
                      <v:imagedata o:title=""/>
                      <o:lock v:ext="edit" aspectratio="f"/>
                      <v:textbox>
                        <w:txbxContent>
                          <w:p w14:paraId="708E1F92">
                            <w:pPr>
                              <w:jc w:val="center"/>
                              <w:rPr>
                                <w:b/>
                                <w:color w:val="FFFFFF"/>
                              </w:rPr>
                            </w:pPr>
                            <w:r>
                              <w:rPr>
                                <w:rFonts w:hint="eastAsia"/>
                                <w:b/>
                                <w:color w:val="FFFFFF"/>
                              </w:rPr>
                              <w:t>案例</w:t>
                            </w:r>
                            <w:r>
                              <w:rPr>
                                <w:rFonts w:hint="eastAsia" w:ascii="Arial" w:hAnsi="Arial" w:cs="Arial"/>
                                <w:b/>
                                <w:color w:val="FFFFFF"/>
                              </w:rPr>
                              <w:t>C</w:t>
                            </w:r>
                          </w:p>
                        </w:txbxContent>
                      </v:textbox>
                    </v:shape>
                  </w:pict>
                </mc:Fallback>
              </mc:AlternateContent>
            </w:r>
            <w:r>
              <w:rPr>
                <w:color w:val="auto"/>
              </w:rPr>
              <mc:AlternateContent>
                <mc:Choice Requires="wps">
                  <w:drawing>
                    <wp:anchor distT="0" distB="0" distL="114300" distR="114300" simplePos="0" relativeHeight="251668480" behindDoc="0" locked="0" layoutInCell="1" allowOverlap="1">
                      <wp:simplePos x="0" y="0"/>
                      <wp:positionH relativeFrom="column">
                        <wp:posOffset>4585335</wp:posOffset>
                      </wp:positionH>
                      <wp:positionV relativeFrom="paragraph">
                        <wp:posOffset>3388995</wp:posOffset>
                      </wp:positionV>
                      <wp:extent cx="739140" cy="414020"/>
                      <wp:effectExtent l="353695" t="492125" r="19685" b="23495"/>
                      <wp:wrapNone/>
                      <wp:docPr id="84" name="线形标注 1 84"/>
                      <wp:cNvGraphicFramePr/>
                      <a:graphic xmlns:a="http://schemas.openxmlformats.org/drawingml/2006/main">
                        <a:graphicData uri="http://schemas.microsoft.com/office/word/2010/wordprocessingShape">
                          <wps:wsp>
                            <wps:cNvSpPr/>
                            <wps:spPr>
                              <a:xfrm>
                                <a:off x="0" y="0"/>
                                <a:ext cx="739140" cy="414020"/>
                              </a:xfrm>
                              <a:prstGeom prst="borderCallout1">
                                <a:avLst>
                                  <a:gd name="adj1" fmla="val 1840"/>
                                  <a:gd name="adj2" fmla="val 33848"/>
                                  <a:gd name="adj3" fmla="val -116564"/>
                                  <a:gd name="adj4" fmla="val -46735"/>
                                </a:avLst>
                              </a:prstGeom>
                              <a:solidFill>
                                <a:srgbClr val="1F497D">
                                  <a:lumMod val="60000"/>
                                  <a:lumOff val="40000"/>
                                </a:srgbClr>
                              </a:solidFill>
                              <a:ln w="25400" cap="flat" cmpd="sng" algn="ctr">
                                <a:solidFill>
                                  <a:srgbClr val="4F81BD">
                                    <a:shade val="50000"/>
                                  </a:srgbClr>
                                </a:solidFill>
                                <a:prstDash val="solid"/>
                              </a:ln>
                              <a:effectLst/>
                            </wps:spPr>
                            <wps:txbx>
                              <w:txbxContent>
                                <w:p w14:paraId="3008A681">
                                  <w:pPr>
                                    <w:jc w:val="center"/>
                                    <w:rPr>
                                      <w:b/>
                                      <w:color w:val="FFFFFF"/>
                                    </w:rPr>
                                  </w:pPr>
                                  <w:r>
                                    <w:rPr>
                                      <w:rFonts w:hint="eastAsia"/>
                                      <w:b/>
                                      <w:color w:val="FFFFFF"/>
                                    </w:rPr>
                                    <w:t>案例</w:t>
                                  </w:r>
                                  <w:r>
                                    <w:rPr>
                                      <w:rFonts w:ascii="Arial" w:hAnsi="Arial" w:cs="Arial"/>
                                      <w:b/>
                                      <w:color w:val="FFFFFF"/>
                                    </w:rPr>
                                    <w: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361.05pt;margin-top:266.85pt;height:32.6pt;width:58.2pt;z-index:251668480;v-text-anchor:middle;mso-width-relative:page;mso-height-relative:page;" fillcolor="#558ED5" filled="t" stroked="t" coordsize="21600,21600" o:gfxdata="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" adj="-10095,-25178,7311,397">
                      <v:fill on="t" focussize="0,0"/>
                      <v:stroke weight="2pt" color="#385D8A" joinstyle="round"/>
                      <v:imagedata o:title=""/>
                      <o:lock v:ext="edit" aspectratio="f"/>
                      <v:textbox>
                        <w:txbxContent>
                          <w:p w14:paraId="3008A681">
                            <w:pPr>
                              <w:jc w:val="center"/>
                              <w:rPr>
                                <w:b/>
                                <w:color w:val="FFFFFF"/>
                              </w:rPr>
                            </w:pPr>
                            <w:r>
                              <w:rPr>
                                <w:rFonts w:hint="eastAsia"/>
                                <w:b/>
                                <w:color w:val="FFFFFF"/>
                              </w:rPr>
                              <w:t>案例</w:t>
                            </w:r>
                            <w:r>
                              <w:rPr>
                                <w:rFonts w:ascii="Arial" w:hAnsi="Arial" w:cs="Arial"/>
                                <w:b/>
                                <w:color w:val="FFFFFF"/>
                              </w:rPr>
                              <w:t>A</w:t>
                            </w:r>
                          </w:p>
                        </w:txbxContent>
                      </v:textbox>
                    </v:shape>
                  </w:pict>
                </mc:Fallback>
              </mc:AlternateContent>
            </w:r>
            <w:r>
              <w:rPr>
                <w:color w:val="auto"/>
              </w:rPr>
              <w:drawing>
                <wp:anchor distT="0" distB="0" distL="114300" distR="114300" simplePos="0" relativeHeight="251667456" behindDoc="0" locked="0" layoutInCell="1" allowOverlap="1">
                  <wp:simplePos x="0" y="0"/>
                  <wp:positionH relativeFrom="column">
                    <wp:posOffset>1876425</wp:posOffset>
                  </wp:positionH>
                  <wp:positionV relativeFrom="paragraph">
                    <wp:posOffset>1633855</wp:posOffset>
                  </wp:positionV>
                  <wp:extent cx="971550" cy="542925"/>
                  <wp:effectExtent l="0" t="0" r="0" b="0"/>
                  <wp:wrapNone/>
                  <wp:docPr id="81" name="图片 4" descr="说明: 估价对象ta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 descr="说明: 估价对象tag-L"/>
                          <pic:cNvPicPr>
                            <a:picLocks noChangeAspect="1"/>
                          </pic:cNvPicPr>
                        </pic:nvPicPr>
                        <pic:blipFill>
                          <a:blip r:embed="rId66"/>
                          <a:stretch>
                            <a:fillRect/>
                          </a:stretch>
                        </pic:blipFill>
                        <pic:spPr>
                          <a:xfrm>
                            <a:off x="0" y="0"/>
                            <a:ext cx="971550" cy="542925"/>
                          </a:xfrm>
                          <a:prstGeom prst="rect">
                            <a:avLst/>
                          </a:prstGeom>
                          <a:noFill/>
                          <a:ln>
                            <a:noFill/>
                          </a:ln>
                        </pic:spPr>
                      </pic:pic>
                    </a:graphicData>
                  </a:graphic>
                </wp:anchor>
              </w:drawing>
            </w:r>
            <w:r>
              <w:rPr>
                <w:color w:val="auto"/>
              </w:rPr>
              <mc:AlternateContent>
                <mc:Choice Requires="wps">
                  <w:drawing>
                    <wp:anchor distT="0" distB="0" distL="114300" distR="114300" simplePos="0" relativeHeight="251669504" behindDoc="0" locked="0" layoutInCell="1" allowOverlap="1">
                      <wp:simplePos x="0" y="0"/>
                      <wp:positionH relativeFrom="column">
                        <wp:posOffset>561340</wp:posOffset>
                      </wp:positionH>
                      <wp:positionV relativeFrom="paragraph">
                        <wp:posOffset>2384425</wp:posOffset>
                      </wp:positionV>
                      <wp:extent cx="773430" cy="462915"/>
                      <wp:effectExtent l="268605" t="325755" r="24765" b="19050"/>
                      <wp:wrapNone/>
                      <wp:docPr id="83" name="线形标注 1 83"/>
                      <wp:cNvGraphicFramePr/>
                      <a:graphic xmlns:a="http://schemas.openxmlformats.org/drawingml/2006/main">
                        <a:graphicData uri="http://schemas.microsoft.com/office/word/2010/wordprocessingShape">
                          <wps:wsp>
                            <wps:cNvSpPr/>
                            <wps:spPr>
                              <a:xfrm>
                                <a:off x="0" y="0"/>
                                <a:ext cx="773430" cy="462915"/>
                              </a:xfrm>
                              <a:prstGeom prst="borderCallout1">
                                <a:avLst>
                                  <a:gd name="adj1" fmla="val -2606"/>
                                  <a:gd name="adj2" fmla="val 49178"/>
                                  <a:gd name="adj3" fmla="val -67901"/>
                                  <a:gd name="adj4" fmla="val -34072"/>
                                </a:avLst>
                              </a:prstGeom>
                              <a:solidFill>
                                <a:srgbClr val="1F497D">
                                  <a:lumMod val="60000"/>
                                  <a:lumOff val="40000"/>
                                </a:srgbClr>
                              </a:solidFill>
                              <a:ln w="25400" cap="flat" cmpd="sng" algn="ctr">
                                <a:solidFill>
                                  <a:srgbClr val="4F81BD">
                                    <a:shade val="50000"/>
                                  </a:srgbClr>
                                </a:solidFill>
                                <a:prstDash val="solid"/>
                              </a:ln>
                              <a:effectLst/>
                            </wps:spPr>
                            <wps:txbx>
                              <w:txbxContent>
                                <w:p w14:paraId="74555456">
                                  <w:pPr>
                                    <w:jc w:val="center"/>
                                    <w:rPr>
                                      <w:b/>
                                      <w:color w:val="FFFFFF"/>
                                    </w:rPr>
                                  </w:pPr>
                                  <w:r>
                                    <w:rPr>
                                      <w:rFonts w:hint="eastAsia"/>
                                      <w:b/>
                                      <w:color w:val="FFFFFF"/>
                                    </w:rPr>
                                    <w:t>案例</w:t>
                                  </w:r>
                                  <w:r>
                                    <w:rPr>
                                      <w:rFonts w:hint="eastAsia" w:ascii="Arial" w:hAnsi="Arial" w:cs="Arial"/>
                                      <w:b/>
                                      <w:color w:val="FFFFFF"/>
                                    </w:rPr>
                                    <w:t>B</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44.2pt;margin-top:187.75pt;height:36.45pt;width:60.9pt;z-index:251669504;v-text-anchor:middle;mso-width-relative:page;mso-height-relative:page;" fillcolor="#558ED5" filled="t" stroked="t" coordsize="21600,21600" o:gfxdata="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" adj="-7360,-14667,10622,-563">
                      <v:fill on="t" focussize="0,0"/>
                      <v:stroke weight="2pt" color="#385D8A" joinstyle="round"/>
                      <v:imagedata o:title=""/>
                      <o:lock v:ext="edit" aspectratio="f"/>
                      <v:textbox>
                        <w:txbxContent>
                          <w:p w14:paraId="74555456">
                            <w:pPr>
                              <w:jc w:val="center"/>
                              <w:rPr>
                                <w:b/>
                                <w:color w:val="FFFFFF"/>
                              </w:rPr>
                            </w:pPr>
                            <w:r>
                              <w:rPr>
                                <w:rFonts w:hint="eastAsia"/>
                                <w:b/>
                                <w:color w:val="FFFFFF"/>
                              </w:rPr>
                              <w:t>案例</w:t>
                            </w:r>
                            <w:r>
                              <w:rPr>
                                <w:rFonts w:hint="eastAsia" w:ascii="Arial" w:hAnsi="Arial" w:cs="Arial"/>
                                <w:b/>
                                <w:color w:val="FFFFFF"/>
                              </w:rPr>
                              <w:t>B</w:t>
                            </w:r>
                          </w:p>
                        </w:txbxContent>
                      </v:textbox>
                    </v:shape>
                  </w:pict>
                </mc:Fallback>
              </mc:AlternateContent>
            </w:r>
            <w:r>
              <w:rPr>
                <w:color w:val="auto"/>
              </w:rPr>
              <w:drawing>
                <wp:inline distT="0" distB="0" distL="114300" distR="114300">
                  <wp:extent cx="5861685" cy="4932045"/>
                  <wp:effectExtent l="0" t="0" r="5715" b="5715"/>
                  <wp:docPr id="9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
                          <pic:cNvPicPr>
                            <a:picLocks noChangeAspect="1"/>
                          </pic:cNvPicPr>
                        </pic:nvPicPr>
                        <pic:blipFill>
                          <a:blip r:embed="rId67"/>
                          <a:stretch>
                            <a:fillRect/>
                          </a:stretch>
                        </pic:blipFill>
                        <pic:spPr>
                          <a:xfrm>
                            <a:off x="0" y="0"/>
                            <a:ext cx="5861685" cy="4932045"/>
                          </a:xfrm>
                          <a:prstGeom prst="rect">
                            <a:avLst/>
                          </a:prstGeom>
                          <a:noFill/>
                          <a:ln>
                            <a:noFill/>
                          </a:ln>
                        </pic:spPr>
                      </pic:pic>
                    </a:graphicData>
                  </a:graphic>
                </wp:inline>
              </w:drawing>
            </w:r>
          </w:p>
        </w:tc>
      </w:tr>
      <w:tr w14:paraId="050F32A4">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9299" w:type="dxa"/>
            <w:gridSpan w:val="3"/>
          </w:tcPr>
          <w:p w14:paraId="7DA2BF05">
            <w:pPr>
              <w:widowControl/>
              <w:adjustRightInd/>
              <w:spacing w:line="240" w:lineRule="auto"/>
              <w:jc w:val="center"/>
              <w:textAlignment w:val="auto"/>
              <w:rPr>
                <w:rFonts w:ascii="华文细黑" w:hAnsi="华文细黑" w:eastAsia="华文细黑"/>
                <w:color w:val="auto"/>
              </w:rPr>
            </w:pPr>
            <w:r>
              <w:rPr>
                <w:rFonts w:hint="eastAsia" w:ascii="Arial" w:hAnsi="Arial" w:eastAsia="仿宋_GB2312" w:cs="Arial"/>
                <w:color w:val="auto"/>
                <w:szCs w:val="24"/>
              </w:rPr>
              <w:t>案例照片</w:t>
            </w:r>
          </w:p>
        </w:tc>
      </w:tr>
      <w:tr w14:paraId="0A3A5899">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3099" w:type="dxa"/>
            <w:tcBorders>
              <w:bottom w:val="dotted" w:color="404040" w:sz="2" w:space="0"/>
            </w:tcBorders>
          </w:tcPr>
          <w:p w14:paraId="0537EA91">
            <w:pPr>
              <w:widowControl/>
              <w:adjustRightInd/>
              <w:spacing w:line="24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案例A</w:t>
            </w:r>
          </w:p>
        </w:tc>
        <w:tc>
          <w:tcPr>
            <w:tcW w:w="3100" w:type="dxa"/>
            <w:tcBorders>
              <w:bottom w:val="dotted" w:color="404040" w:sz="2" w:space="0"/>
            </w:tcBorders>
          </w:tcPr>
          <w:p w14:paraId="6FFB40C4">
            <w:pPr>
              <w:widowControl/>
              <w:adjustRightInd/>
              <w:spacing w:line="24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案例B</w:t>
            </w:r>
          </w:p>
        </w:tc>
        <w:tc>
          <w:tcPr>
            <w:tcW w:w="3100" w:type="dxa"/>
            <w:tcBorders>
              <w:bottom w:val="dotted" w:color="404040" w:sz="2" w:space="0"/>
            </w:tcBorders>
          </w:tcPr>
          <w:p w14:paraId="170F09A2">
            <w:pPr>
              <w:widowControl/>
              <w:adjustRightInd/>
              <w:spacing w:line="24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案例C</w:t>
            </w:r>
          </w:p>
        </w:tc>
      </w:tr>
      <w:tr w14:paraId="79BF49B1">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trHeight w:val="4149" w:hRule="atLeast"/>
          <w:jc w:val="center"/>
        </w:trPr>
        <w:tc>
          <w:tcPr>
            <w:tcW w:w="3099" w:type="dxa"/>
          </w:tcPr>
          <w:p w14:paraId="4F735CDC">
            <w:pPr>
              <w:jc w:val="center"/>
              <w:rPr>
                <w:color w:val="auto"/>
              </w:rPr>
            </w:pPr>
            <w:r>
              <w:rPr>
                <w:rFonts w:hint="eastAsia"/>
                <w:color w:val="auto"/>
              </w:rPr>
              <w:drawing>
                <wp:inline distT="0" distB="0" distL="114300" distR="114300">
                  <wp:extent cx="1929130" cy="2670175"/>
                  <wp:effectExtent l="0" t="0" r="6350" b="12065"/>
                  <wp:docPr id="14" name="图片 14" descr="1774320149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774320149858"/>
                          <pic:cNvPicPr>
                            <a:picLocks noChangeAspect="1"/>
                          </pic:cNvPicPr>
                        </pic:nvPicPr>
                        <pic:blipFill>
                          <a:blip r:embed="rId68"/>
                          <a:stretch>
                            <a:fillRect/>
                          </a:stretch>
                        </pic:blipFill>
                        <pic:spPr>
                          <a:xfrm>
                            <a:off x="0" y="0"/>
                            <a:ext cx="1929130" cy="2670175"/>
                          </a:xfrm>
                          <a:prstGeom prst="rect">
                            <a:avLst/>
                          </a:prstGeom>
                        </pic:spPr>
                      </pic:pic>
                    </a:graphicData>
                  </a:graphic>
                </wp:inline>
              </w:drawing>
            </w:r>
          </w:p>
        </w:tc>
        <w:tc>
          <w:tcPr>
            <w:tcW w:w="3100" w:type="dxa"/>
          </w:tcPr>
          <w:p w14:paraId="127E0FB9">
            <w:pPr>
              <w:jc w:val="center"/>
              <w:rPr>
                <w:color w:val="auto"/>
              </w:rPr>
            </w:pPr>
            <w:r>
              <w:rPr>
                <w:rFonts w:hint="eastAsia"/>
                <w:color w:val="auto"/>
              </w:rPr>
              <w:drawing>
                <wp:inline distT="0" distB="0" distL="114300" distR="114300">
                  <wp:extent cx="1931670" cy="2630170"/>
                  <wp:effectExtent l="0" t="0" r="3810" b="6350"/>
                  <wp:docPr id="33" name="图片 33" descr="1774320169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774320169073"/>
                          <pic:cNvPicPr>
                            <a:picLocks noChangeAspect="1"/>
                          </pic:cNvPicPr>
                        </pic:nvPicPr>
                        <pic:blipFill>
                          <a:blip r:embed="rId69"/>
                          <a:stretch>
                            <a:fillRect/>
                          </a:stretch>
                        </pic:blipFill>
                        <pic:spPr>
                          <a:xfrm>
                            <a:off x="0" y="0"/>
                            <a:ext cx="1931670" cy="2630170"/>
                          </a:xfrm>
                          <a:prstGeom prst="rect">
                            <a:avLst/>
                          </a:prstGeom>
                        </pic:spPr>
                      </pic:pic>
                    </a:graphicData>
                  </a:graphic>
                </wp:inline>
              </w:drawing>
            </w:r>
          </w:p>
        </w:tc>
        <w:tc>
          <w:tcPr>
            <w:tcW w:w="3100" w:type="dxa"/>
          </w:tcPr>
          <w:p w14:paraId="51049693">
            <w:pPr>
              <w:jc w:val="center"/>
              <w:rPr>
                <w:color w:val="auto"/>
              </w:rPr>
            </w:pPr>
            <w:r>
              <w:rPr>
                <w:color w:val="auto"/>
              </w:rPr>
              <w:drawing>
                <wp:inline distT="0" distB="0" distL="114300" distR="114300">
                  <wp:extent cx="1927860" cy="2641600"/>
                  <wp:effectExtent l="0" t="0" r="7620" b="10160"/>
                  <wp:docPr id="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pic:cNvPicPr>
                            <a:picLocks noChangeAspect="1"/>
                          </pic:cNvPicPr>
                        </pic:nvPicPr>
                        <pic:blipFill>
                          <a:blip r:embed="rId70"/>
                          <a:stretch>
                            <a:fillRect/>
                          </a:stretch>
                        </pic:blipFill>
                        <pic:spPr>
                          <a:xfrm>
                            <a:off x="0" y="0"/>
                            <a:ext cx="1927860" cy="2641600"/>
                          </a:xfrm>
                          <a:prstGeom prst="rect">
                            <a:avLst/>
                          </a:prstGeom>
                          <a:noFill/>
                          <a:ln>
                            <a:noFill/>
                          </a:ln>
                        </pic:spPr>
                      </pic:pic>
                    </a:graphicData>
                  </a:graphic>
                </wp:inline>
              </w:drawing>
            </w:r>
          </w:p>
        </w:tc>
      </w:tr>
    </w:tbl>
    <w:p w14:paraId="1679001F">
      <w:pPr>
        <w:snapToGrid w:val="0"/>
        <w:spacing w:line="300" w:lineRule="auto"/>
        <w:jc w:val="both"/>
        <w:rPr>
          <w:rFonts w:ascii="Arial" w:hAnsi="Arial" w:eastAsia="仿宋_GB2312" w:cs="Arial"/>
          <w:color w:val="auto"/>
          <w:sz w:val="28"/>
        </w:rPr>
      </w:pPr>
    </w:p>
    <w:p w14:paraId="7DA2C6AB">
      <w:pPr>
        <w:rPr>
          <w:rFonts w:ascii="Arial" w:hAnsi="Arial" w:eastAsia="仿宋_GB2312" w:cs="Arial"/>
          <w:b/>
          <w:bCs/>
          <w:color w:val="auto"/>
        </w:rPr>
      </w:pPr>
      <w:r>
        <w:rPr>
          <w:rFonts w:ascii="Arial" w:hAnsi="Arial" w:eastAsia="仿宋_GB2312" w:cs="Arial"/>
          <w:b/>
          <w:bCs/>
          <w:color w:val="auto"/>
        </w:rPr>
        <w:br w:type="page"/>
      </w:r>
    </w:p>
    <w:p w14:paraId="0897CAA2">
      <w:pPr>
        <w:spacing w:after="26" w:line="300" w:lineRule="auto"/>
        <w:ind w:firstLine="482" w:firstLineChars="200"/>
        <w:jc w:val="center"/>
        <w:rPr>
          <w:rFonts w:ascii="Arial" w:hAnsi="Arial" w:eastAsia="仿宋_GB2312" w:cs="Arial"/>
          <w:color w:val="auto"/>
          <w:sz w:val="28"/>
        </w:rPr>
      </w:pPr>
      <w:r>
        <w:rPr>
          <w:rFonts w:ascii="Arial" w:hAnsi="Arial" w:eastAsia="仿宋_GB2312" w:cs="Arial"/>
          <w:b/>
          <w:bCs/>
          <w:color w:val="auto"/>
        </w:rPr>
        <w:t>表1：比较因素条件说明及指数表</w:t>
      </w:r>
    </w:p>
    <w:tbl>
      <w:tblPr>
        <w:tblStyle w:val="34"/>
        <w:tblW w:w="9072" w:type="dxa"/>
        <w:jc w:val="center"/>
        <w:tblLayout w:type="fixed"/>
        <w:tblCellMar>
          <w:top w:w="57" w:type="dxa"/>
          <w:left w:w="28" w:type="dxa"/>
          <w:bottom w:w="57" w:type="dxa"/>
          <w:right w:w="28" w:type="dxa"/>
        </w:tblCellMar>
      </w:tblPr>
      <w:tblGrid>
        <w:gridCol w:w="285"/>
        <w:gridCol w:w="850"/>
        <w:gridCol w:w="1418"/>
        <w:gridCol w:w="567"/>
        <w:gridCol w:w="1417"/>
        <w:gridCol w:w="757"/>
        <w:gridCol w:w="1374"/>
        <w:gridCol w:w="551"/>
        <w:gridCol w:w="1302"/>
        <w:gridCol w:w="551"/>
      </w:tblGrid>
      <w:tr w14:paraId="7993B58C">
        <w:tblPrEx>
          <w:tblCellMar>
            <w:top w:w="57" w:type="dxa"/>
            <w:left w:w="28" w:type="dxa"/>
            <w:bottom w:w="57" w:type="dxa"/>
            <w:right w:w="28" w:type="dxa"/>
          </w:tblCellMar>
        </w:tblPrEx>
        <w:trPr>
          <w:cantSplit/>
          <w:tblHeader/>
          <w:jc w:val="center"/>
        </w:trPr>
        <w:tc>
          <w:tcPr>
            <w:tcW w:w="1135" w:type="dxa"/>
            <w:gridSpan w:val="2"/>
            <w:vMerge w:val="restart"/>
            <w:tcBorders>
              <w:top w:val="single" w:color="auto" w:sz="4" w:space="0"/>
              <w:left w:val="single" w:color="auto" w:sz="4" w:space="0"/>
              <w:right w:val="single" w:color="auto" w:sz="4" w:space="0"/>
            </w:tcBorders>
            <w:shd w:val="clear" w:color="auto" w:fill="auto"/>
            <w:noWrap/>
            <w:vAlign w:val="center"/>
          </w:tcPr>
          <w:p w14:paraId="32246AAD">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比较因素</w:t>
            </w:r>
          </w:p>
        </w:tc>
        <w:tc>
          <w:tcPr>
            <w:tcW w:w="1985" w:type="dxa"/>
            <w:gridSpan w:val="2"/>
            <w:tcBorders>
              <w:top w:val="single" w:color="auto" w:sz="4" w:space="0"/>
              <w:left w:val="nil"/>
              <w:bottom w:val="single" w:color="auto" w:sz="4" w:space="0"/>
              <w:right w:val="single" w:color="auto" w:sz="4" w:space="0"/>
            </w:tcBorders>
            <w:shd w:val="clear" w:color="auto" w:fill="auto"/>
            <w:vAlign w:val="center"/>
          </w:tcPr>
          <w:p w14:paraId="7C04211A">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估价对象</w:t>
            </w:r>
          </w:p>
        </w:tc>
        <w:tc>
          <w:tcPr>
            <w:tcW w:w="2174" w:type="dxa"/>
            <w:gridSpan w:val="2"/>
            <w:tcBorders>
              <w:top w:val="single" w:color="auto" w:sz="4" w:space="0"/>
              <w:left w:val="nil"/>
              <w:bottom w:val="single" w:color="auto" w:sz="4" w:space="0"/>
              <w:right w:val="single" w:color="auto" w:sz="4" w:space="0"/>
            </w:tcBorders>
            <w:shd w:val="clear" w:color="auto" w:fill="auto"/>
            <w:vAlign w:val="center"/>
          </w:tcPr>
          <w:p w14:paraId="171FE6EE">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案例：A</w:t>
            </w:r>
          </w:p>
        </w:tc>
        <w:tc>
          <w:tcPr>
            <w:tcW w:w="1925" w:type="dxa"/>
            <w:gridSpan w:val="2"/>
            <w:tcBorders>
              <w:top w:val="single" w:color="auto" w:sz="4" w:space="0"/>
              <w:left w:val="nil"/>
              <w:bottom w:val="single" w:color="auto" w:sz="4" w:space="0"/>
              <w:right w:val="single" w:color="auto" w:sz="4" w:space="0"/>
            </w:tcBorders>
            <w:shd w:val="clear" w:color="auto" w:fill="auto"/>
            <w:vAlign w:val="center"/>
          </w:tcPr>
          <w:p w14:paraId="61F43DDF">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案例：B</w:t>
            </w:r>
          </w:p>
        </w:tc>
        <w:tc>
          <w:tcPr>
            <w:tcW w:w="1853" w:type="dxa"/>
            <w:gridSpan w:val="2"/>
            <w:tcBorders>
              <w:top w:val="single" w:color="auto" w:sz="4" w:space="0"/>
              <w:left w:val="nil"/>
              <w:bottom w:val="single" w:color="auto" w:sz="4" w:space="0"/>
              <w:right w:val="single" w:color="auto" w:sz="4" w:space="0"/>
            </w:tcBorders>
            <w:shd w:val="clear" w:color="auto" w:fill="auto"/>
            <w:vAlign w:val="center"/>
          </w:tcPr>
          <w:p w14:paraId="5BA47750">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案例：C</w:t>
            </w:r>
          </w:p>
        </w:tc>
      </w:tr>
      <w:tr w14:paraId="4E39ED88">
        <w:tblPrEx>
          <w:tblCellMar>
            <w:top w:w="57" w:type="dxa"/>
            <w:left w:w="28" w:type="dxa"/>
            <w:bottom w:w="57" w:type="dxa"/>
            <w:right w:w="28" w:type="dxa"/>
          </w:tblCellMar>
        </w:tblPrEx>
        <w:trPr>
          <w:cantSplit/>
          <w:tblHeader/>
          <w:jc w:val="center"/>
        </w:trPr>
        <w:tc>
          <w:tcPr>
            <w:tcW w:w="1135" w:type="dxa"/>
            <w:gridSpan w:val="2"/>
            <w:vMerge w:val="continue"/>
            <w:tcBorders>
              <w:left w:val="single" w:color="auto" w:sz="4" w:space="0"/>
              <w:right w:val="single" w:color="auto" w:sz="4" w:space="0"/>
            </w:tcBorders>
            <w:vAlign w:val="center"/>
          </w:tcPr>
          <w:p w14:paraId="7FD056FD">
            <w:pPr>
              <w:widowControl/>
              <w:adjustRightInd/>
              <w:spacing w:line="240" w:lineRule="exact"/>
              <w:textAlignment w:val="auto"/>
              <w:rPr>
                <w:rFonts w:ascii="Arial" w:hAnsi="Arial" w:eastAsia="仿宋_GB2312" w:cs="Arial"/>
                <w:color w:val="auto"/>
                <w:sz w:val="18"/>
                <w:szCs w:val="18"/>
              </w:rPr>
            </w:pPr>
          </w:p>
        </w:tc>
        <w:tc>
          <w:tcPr>
            <w:tcW w:w="1418" w:type="dxa"/>
            <w:tcBorders>
              <w:top w:val="nil"/>
              <w:left w:val="nil"/>
              <w:bottom w:val="single" w:color="auto" w:sz="4" w:space="0"/>
              <w:right w:val="single" w:color="auto" w:sz="4" w:space="0"/>
            </w:tcBorders>
            <w:shd w:val="clear" w:color="auto" w:fill="auto"/>
            <w:vAlign w:val="center"/>
          </w:tcPr>
          <w:p w14:paraId="6F5677C1">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北京市顺义区高丽营镇夏县营村棚户区改造土地开发项目01－008、01－016、01－026－1、01－020地块</w:t>
            </w:r>
          </w:p>
        </w:tc>
        <w:tc>
          <w:tcPr>
            <w:tcW w:w="567" w:type="dxa"/>
            <w:vMerge w:val="restart"/>
            <w:tcBorders>
              <w:top w:val="nil"/>
              <w:left w:val="nil"/>
              <w:right w:val="single" w:color="auto" w:sz="4" w:space="0"/>
            </w:tcBorders>
            <w:shd w:val="clear" w:color="auto" w:fill="auto"/>
            <w:vAlign w:val="center"/>
          </w:tcPr>
          <w:p w14:paraId="64B1B896">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系数</w:t>
            </w:r>
          </w:p>
        </w:tc>
        <w:tc>
          <w:tcPr>
            <w:tcW w:w="1417" w:type="dxa"/>
            <w:tcBorders>
              <w:top w:val="nil"/>
              <w:left w:val="nil"/>
              <w:bottom w:val="single" w:color="auto" w:sz="4" w:space="0"/>
              <w:right w:val="single" w:color="auto" w:sz="4" w:space="0"/>
            </w:tcBorders>
            <w:shd w:val="clear" w:color="auto" w:fill="auto"/>
            <w:vAlign w:val="center"/>
          </w:tcPr>
          <w:p w14:paraId="25A6236E">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璞瑅润府</w:t>
            </w:r>
          </w:p>
        </w:tc>
        <w:tc>
          <w:tcPr>
            <w:tcW w:w="757" w:type="dxa"/>
            <w:vMerge w:val="restart"/>
            <w:tcBorders>
              <w:top w:val="nil"/>
              <w:left w:val="nil"/>
              <w:right w:val="single" w:color="auto" w:sz="4" w:space="0"/>
            </w:tcBorders>
            <w:shd w:val="clear" w:color="auto" w:fill="auto"/>
            <w:vAlign w:val="center"/>
          </w:tcPr>
          <w:p w14:paraId="511307A5">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系数</w:t>
            </w:r>
          </w:p>
        </w:tc>
        <w:tc>
          <w:tcPr>
            <w:tcW w:w="1374" w:type="dxa"/>
            <w:tcBorders>
              <w:top w:val="nil"/>
              <w:left w:val="nil"/>
              <w:bottom w:val="single" w:color="auto" w:sz="4" w:space="0"/>
              <w:right w:val="single" w:color="auto" w:sz="4" w:space="0"/>
            </w:tcBorders>
            <w:shd w:val="clear" w:color="auto" w:fill="auto"/>
            <w:vAlign w:val="center"/>
          </w:tcPr>
          <w:p w14:paraId="653046BB">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富力首开·金禧璞瑅</w:t>
            </w:r>
          </w:p>
        </w:tc>
        <w:tc>
          <w:tcPr>
            <w:tcW w:w="551" w:type="dxa"/>
            <w:vMerge w:val="restart"/>
            <w:tcBorders>
              <w:top w:val="nil"/>
              <w:left w:val="nil"/>
              <w:right w:val="single" w:color="auto" w:sz="4" w:space="0"/>
            </w:tcBorders>
            <w:shd w:val="clear" w:color="auto" w:fill="auto"/>
            <w:vAlign w:val="center"/>
          </w:tcPr>
          <w:p w14:paraId="27D78CB8">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系数</w:t>
            </w:r>
          </w:p>
        </w:tc>
        <w:tc>
          <w:tcPr>
            <w:tcW w:w="1302" w:type="dxa"/>
            <w:tcBorders>
              <w:top w:val="nil"/>
              <w:left w:val="nil"/>
              <w:bottom w:val="single" w:color="auto" w:sz="4" w:space="0"/>
              <w:right w:val="single" w:color="auto" w:sz="4" w:space="0"/>
            </w:tcBorders>
            <w:shd w:val="clear" w:color="auto" w:fill="auto"/>
            <w:vAlign w:val="center"/>
          </w:tcPr>
          <w:p w14:paraId="3280766D">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招商中建·顺义臻珑府</w:t>
            </w:r>
          </w:p>
        </w:tc>
        <w:tc>
          <w:tcPr>
            <w:tcW w:w="551" w:type="dxa"/>
            <w:vMerge w:val="restart"/>
            <w:tcBorders>
              <w:top w:val="nil"/>
              <w:left w:val="nil"/>
              <w:right w:val="single" w:color="auto" w:sz="4" w:space="0"/>
            </w:tcBorders>
            <w:shd w:val="clear" w:color="auto" w:fill="auto"/>
            <w:vAlign w:val="center"/>
          </w:tcPr>
          <w:p w14:paraId="7B9F5B25">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系数</w:t>
            </w:r>
          </w:p>
        </w:tc>
      </w:tr>
      <w:tr w14:paraId="3C7DC1C4">
        <w:tblPrEx>
          <w:tblCellMar>
            <w:top w:w="57" w:type="dxa"/>
            <w:left w:w="28" w:type="dxa"/>
            <w:bottom w:w="57" w:type="dxa"/>
            <w:right w:w="28" w:type="dxa"/>
          </w:tblCellMar>
        </w:tblPrEx>
        <w:trPr>
          <w:cantSplit/>
          <w:tblHeader/>
          <w:jc w:val="center"/>
        </w:trPr>
        <w:tc>
          <w:tcPr>
            <w:tcW w:w="1135" w:type="dxa"/>
            <w:gridSpan w:val="2"/>
            <w:vMerge w:val="continue"/>
            <w:tcBorders>
              <w:left w:val="single" w:color="auto" w:sz="4" w:space="0"/>
              <w:bottom w:val="single" w:color="auto" w:sz="4" w:space="0"/>
              <w:right w:val="single" w:color="auto" w:sz="4" w:space="0"/>
            </w:tcBorders>
            <w:vAlign w:val="center"/>
          </w:tcPr>
          <w:p w14:paraId="29221697">
            <w:pPr>
              <w:widowControl/>
              <w:adjustRightInd/>
              <w:spacing w:line="240" w:lineRule="exact"/>
              <w:textAlignment w:val="auto"/>
              <w:rPr>
                <w:rFonts w:ascii="Arial" w:hAnsi="Arial" w:eastAsia="仿宋_GB2312" w:cs="Arial"/>
                <w:color w:val="auto"/>
                <w:sz w:val="18"/>
                <w:szCs w:val="18"/>
              </w:rPr>
            </w:pPr>
          </w:p>
        </w:tc>
        <w:tc>
          <w:tcPr>
            <w:tcW w:w="1418" w:type="dxa"/>
            <w:tcBorders>
              <w:top w:val="nil"/>
              <w:left w:val="nil"/>
              <w:bottom w:val="single" w:color="auto" w:sz="4" w:space="0"/>
              <w:right w:val="single" w:color="auto" w:sz="4" w:space="0"/>
            </w:tcBorders>
            <w:shd w:val="clear" w:color="auto" w:fill="auto"/>
            <w:vAlign w:val="center"/>
          </w:tcPr>
          <w:p w14:paraId="548D7ABE">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顺义区夏县营村</w:t>
            </w:r>
          </w:p>
        </w:tc>
        <w:tc>
          <w:tcPr>
            <w:tcW w:w="567" w:type="dxa"/>
            <w:vMerge w:val="continue"/>
            <w:tcBorders>
              <w:left w:val="nil"/>
              <w:bottom w:val="single" w:color="auto" w:sz="4" w:space="0"/>
              <w:right w:val="single" w:color="auto" w:sz="4" w:space="0"/>
            </w:tcBorders>
            <w:shd w:val="clear" w:color="auto" w:fill="auto"/>
            <w:vAlign w:val="center"/>
          </w:tcPr>
          <w:p w14:paraId="57091F7D">
            <w:pPr>
              <w:widowControl/>
              <w:adjustRightInd/>
              <w:spacing w:line="240" w:lineRule="exact"/>
              <w:jc w:val="center"/>
              <w:textAlignment w:val="auto"/>
              <w:rPr>
                <w:rFonts w:ascii="Arial" w:hAnsi="Arial" w:eastAsia="仿宋_GB2312" w:cs="Arial"/>
                <w:color w:val="auto"/>
                <w:sz w:val="18"/>
                <w:szCs w:val="18"/>
              </w:rPr>
            </w:pPr>
          </w:p>
        </w:tc>
        <w:tc>
          <w:tcPr>
            <w:tcW w:w="1417" w:type="dxa"/>
            <w:tcBorders>
              <w:top w:val="nil"/>
              <w:left w:val="nil"/>
              <w:bottom w:val="single" w:color="auto" w:sz="4" w:space="0"/>
              <w:right w:val="single" w:color="auto" w:sz="4" w:space="0"/>
            </w:tcBorders>
            <w:shd w:val="clear" w:color="auto" w:fill="auto"/>
            <w:vAlign w:val="center"/>
          </w:tcPr>
          <w:p w14:paraId="7CF1BF4A">
            <w:pPr>
              <w:widowControl/>
              <w:adjustRightInd/>
              <w:spacing w:line="240" w:lineRule="exact"/>
              <w:jc w:val="center"/>
              <w:textAlignment w:val="auto"/>
              <w:rPr>
                <w:rFonts w:ascii="Arial" w:hAnsi="Arial" w:eastAsia="仿宋_GB2312" w:cs="Arial"/>
                <w:color w:val="auto"/>
                <w:sz w:val="18"/>
                <w:szCs w:val="18"/>
                <w:lang w:val="zh-CN"/>
              </w:rPr>
            </w:pPr>
            <w:r>
              <w:rPr>
                <w:rFonts w:hint="eastAsia" w:ascii="Arial" w:hAnsi="Arial" w:eastAsia="仿宋_GB2312" w:cs="Arial"/>
                <w:color w:val="auto"/>
                <w:sz w:val="18"/>
                <w:szCs w:val="18"/>
              </w:rPr>
              <w:t>顺义区</w:t>
            </w:r>
            <w:r>
              <w:rPr>
                <w:rFonts w:hint="eastAsia" w:ascii="Arial" w:hAnsi="Arial" w:eastAsia="仿宋_GB2312" w:cs="Arial"/>
                <w:color w:val="auto"/>
                <w:sz w:val="18"/>
                <w:szCs w:val="18"/>
                <w:lang w:val="zh-CN"/>
              </w:rPr>
              <w:t>顺白路玉兰苑甲1号</w:t>
            </w:r>
          </w:p>
        </w:tc>
        <w:tc>
          <w:tcPr>
            <w:tcW w:w="757" w:type="dxa"/>
            <w:vMerge w:val="continue"/>
            <w:tcBorders>
              <w:left w:val="nil"/>
              <w:bottom w:val="single" w:color="auto" w:sz="4" w:space="0"/>
              <w:right w:val="single" w:color="auto" w:sz="4" w:space="0"/>
            </w:tcBorders>
            <w:shd w:val="clear" w:color="auto" w:fill="auto"/>
            <w:vAlign w:val="center"/>
          </w:tcPr>
          <w:p w14:paraId="5F596F09">
            <w:pPr>
              <w:widowControl/>
              <w:adjustRightInd/>
              <w:spacing w:line="240" w:lineRule="exact"/>
              <w:jc w:val="center"/>
              <w:textAlignment w:val="auto"/>
              <w:rPr>
                <w:rFonts w:ascii="Arial" w:hAnsi="Arial" w:eastAsia="仿宋_GB2312" w:cs="Arial"/>
                <w:color w:val="auto"/>
                <w:sz w:val="18"/>
                <w:szCs w:val="18"/>
              </w:rPr>
            </w:pPr>
          </w:p>
        </w:tc>
        <w:tc>
          <w:tcPr>
            <w:tcW w:w="1374" w:type="dxa"/>
            <w:tcBorders>
              <w:top w:val="nil"/>
              <w:left w:val="nil"/>
              <w:bottom w:val="single" w:color="auto" w:sz="4" w:space="0"/>
              <w:right w:val="single" w:color="auto" w:sz="4" w:space="0"/>
            </w:tcBorders>
            <w:shd w:val="clear" w:color="auto" w:fill="auto"/>
            <w:vAlign w:val="center"/>
          </w:tcPr>
          <w:p w14:paraId="7D57935C">
            <w:pPr>
              <w:widowControl/>
              <w:adjustRightInd/>
              <w:spacing w:line="240" w:lineRule="exact"/>
              <w:jc w:val="center"/>
              <w:textAlignment w:val="auto"/>
              <w:rPr>
                <w:rFonts w:ascii="Arial" w:hAnsi="Arial" w:eastAsia="仿宋_GB2312" w:cs="Arial"/>
                <w:color w:val="auto"/>
                <w:sz w:val="18"/>
                <w:szCs w:val="18"/>
                <w:lang w:val="zh-CN"/>
              </w:rPr>
            </w:pPr>
            <w:r>
              <w:rPr>
                <w:rFonts w:hint="eastAsia" w:ascii="Arial" w:hAnsi="Arial" w:eastAsia="仿宋_GB2312" w:cs="Arial"/>
                <w:color w:val="auto"/>
                <w:sz w:val="18"/>
                <w:szCs w:val="18"/>
                <w:lang w:val="zh-CN"/>
              </w:rPr>
              <w:t>顺义区高泗路四村段23号</w:t>
            </w:r>
          </w:p>
        </w:tc>
        <w:tc>
          <w:tcPr>
            <w:tcW w:w="551" w:type="dxa"/>
            <w:vMerge w:val="continue"/>
            <w:tcBorders>
              <w:left w:val="nil"/>
              <w:bottom w:val="single" w:color="auto" w:sz="4" w:space="0"/>
              <w:right w:val="single" w:color="auto" w:sz="4" w:space="0"/>
            </w:tcBorders>
            <w:shd w:val="clear" w:color="auto" w:fill="auto"/>
            <w:vAlign w:val="center"/>
          </w:tcPr>
          <w:p w14:paraId="77756E55">
            <w:pPr>
              <w:widowControl/>
              <w:adjustRightInd/>
              <w:spacing w:line="240" w:lineRule="exact"/>
              <w:jc w:val="center"/>
              <w:textAlignment w:val="auto"/>
              <w:rPr>
                <w:rFonts w:ascii="Arial" w:hAnsi="Arial" w:eastAsia="仿宋_GB2312" w:cs="Arial"/>
                <w:color w:val="auto"/>
                <w:sz w:val="18"/>
                <w:szCs w:val="18"/>
              </w:rPr>
            </w:pPr>
          </w:p>
        </w:tc>
        <w:tc>
          <w:tcPr>
            <w:tcW w:w="1302" w:type="dxa"/>
            <w:tcBorders>
              <w:top w:val="nil"/>
              <w:left w:val="nil"/>
              <w:bottom w:val="single" w:color="auto" w:sz="4" w:space="0"/>
              <w:right w:val="single" w:color="auto" w:sz="4" w:space="0"/>
            </w:tcBorders>
            <w:shd w:val="clear" w:color="auto" w:fill="auto"/>
            <w:vAlign w:val="center"/>
          </w:tcPr>
          <w:p w14:paraId="3B40B90C">
            <w:pPr>
              <w:widowControl/>
              <w:adjustRightInd/>
              <w:spacing w:line="240" w:lineRule="exact"/>
              <w:jc w:val="center"/>
              <w:textAlignment w:val="auto"/>
              <w:rPr>
                <w:rFonts w:ascii="Arial" w:hAnsi="Arial" w:eastAsia="仿宋_GB2312" w:cs="Arial"/>
                <w:color w:val="auto"/>
                <w:sz w:val="18"/>
                <w:szCs w:val="18"/>
                <w:lang w:val="zh-CN"/>
              </w:rPr>
            </w:pPr>
            <w:r>
              <w:rPr>
                <w:rFonts w:hint="eastAsia" w:ascii="Arial" w:hAnsi="Arial" w:eastAsia="仿宋_GB2312" w:cs="Arial"/>
                <w:color w:val="auto"/>
                <w:sz w:val="18"/>
                <w:szCs w:val="18"/>
                <w:lang w:val="zh-CN"/>
              </w:rPr>
              <w:t>顺义区大营四街与通顺路交汇处西南角</w:t>
            </w:r>
          </w:p>
        </w:tc>
        <w:tc>
          <w:tcPr>
            <w:tcW w:w="551" w:type="dxa"/>
            <w:vMerge w:val="continue"/>
            <w:tcBorders>
              <w:left w:val="nil"/>
              <w:bottom w:val="single" w:color="auto" w:sz="4" w:space="0"/>
              <w:right w:val="single" w:color="auto" w:sz="4" w:space="0"/>
            </w:tcBorders>
            <w:shd w:val="clear" w:color="auto" w:fill="auto"/>
            <w:vAlign w:val="center"/>
          </w:tcPr>
          <w:p w14:paraId="177BC192">
            <w:pPr>
              <w:widowControl/>
              <w:adjustRightInd/>
              <w:spacing w:line="240" w:lineRule="exact"/>
              <w:jc w:val="center"/>
              <w:textAlignment w:val="auto"/>
              <w:rPr>
                <w:rFonts w:ascii="Arial" w:hAnsi="Arial" w:eastAsia="仿宋_GB2312" w:cs="Arial"/>
                <w:color w:val="auto"/>
                <w:sz w:val="18"/>
                <w:szCs w:val="18"/>
              </w:rPr>
            </w:pPr>
          </w:p>
        </w:tc>
      </w:tr>
      <w:tr w14:paraId="12DC0BA5">
        <w:tblPrEx>
          <w:tblCellMar>
            <w:top w:w="57" w:type="dxa"/>
            <w:left w:w="28" w:type="dxa"/>
            <w:bottom w:w="57" w:type="dxa"/>
            <w:right w:w="28" w:type="dxa"/>
          </w:tblCellMar>
        </w:tblPrEx>
        <w:trPr>
          <w:cantSplit/>
          <w:jc w:val="center"/>
        </w:trPr>
        <w:tc>
          <w:tcPr>
            <w:tcW w:w="1135"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0FAD059">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交易时间</w:t>
            </w:r>
          </w:p>
        </w:tc>
        <w:tc>
          <w:tcPr>
            <w:tcW w:w="1418" w:type="dxa"/>
            <w:tcBorders>
              <w:top w:val="nil"/>
              <w:left w:val="nil"/>
              <w:bottom w:val="single" w:color="auto" w:sz="4" w:space="0"/>
              <w:right w:val="single" w:color="auto" w:sz="4" w:space="0"/>
            </w:tcBorders>
            <w:shd w:val="clear" w:color="auto" w:fill="auto"/>
            <w:vAlign w:val="center"/>
          </w:tcPr>
          <w:p w14:paraId="04638558">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2026.3.26</w:t>
            </w:r>
          </w:p>
        </w:tc>
        <w:tc>
          <w:tcPr>
            <w:tcW w:w="567" w:type="dxa"/>
            <w:tcBorders>
              <w:top w:val="nil"/>
              <w:left w:val="nil"/>
              <w:bottom w:val="single" w:color="auto" w:sz="4" w:space="0"/>
              <w:right w:val="single" w:color="auto" w:sz="4" w:space="0"/>
            </w:tcBorders>
            <w:shd w:val="clear" w:color="auto" w:fill="auto"/>
            <w:vAlign w:val="center"/>
          </w:tcPr>
          <w:p w14:paraId="1ED54C91">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4415DABE">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20</w:t>
            </w:r>
            <w:r>
              <w:rPr>
                <w:rFonts w:hint="eastAsia" w:ascii="Arial" w:hAnsi="Arial" w:eastAsia="仿宋_GB2312" w:cs="Arial"/>
                <w:color w:val="auto"/>
                <w:sz w:val="18"/>
                <w:szCs w:val="18"/>
              </w:rPr>
              <w:t>26.1</w:t>
            </w:r>
          </w:p>
        </w:tc>
        <w:tc>
          <w:tcPr>
            <w:tcW w:w="757" w:type="dxa"/>
            <w:tcBorders>
              <w:top w:val="nil"/>
              <w:left w:val="nil"/>
              <w:bottom w:val="single" w:color="auto" w:sz="4" w:space="0"/>
              <w:right w:val="single" w:color="auto" w:sz="4" w:space="0"/>
            </w:tcBorders>
            <w:shd w:val="clear" w:color="auto" w:fill="auto"/>
            <w:vAlign w:val="center"/>
          </w:tcPr>
          <w:p w14:paraId="59F0787A">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374" w:type="dxa"/>
            <w:tcBorders>
              <w:top w:val="nil"/>
              <w:left w:val="nil"/>
              <w:bottom w:val="single" w:color="auto" w:sz="4" w:space="0"/>
              <w:right w:val="single" w:color="auto" w:sz="4" w:space="0"/>
            </w:tcBorders>
            <w:shd w:val="clear" w:color="auto" w:fill="auto"/>
            <w:vAlign w:val="center"/>
          </w:tcPr>
          <w:p w14:paraId="757613CC">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202</w:t>
            </w:r>
            <w:r>
              <w:rPr>
                <w:rFonts w:hint="eastAsia" w:ascii="Arial" w:hAnsi="Arial" w:eastAsia="仿宋_GB2312" w:cs="Arial"/>
                <w:color w:val="auto"/>
                <w:sz w:val="18"/>
                <w:szCs w:val="18"/>
              </w:rPr>
              <w:t>6.1</w:t>
            </w:r>
          </w:p>
        </w:tc>
        <w:tc>
          <w:tcPr>
            <w:tcW w:w="551" w:type="dxa"/>
            <w:tcBorders>
              <w:top w:val="nil"/>
              <w:left w:val="nil"/>
              <w:bottom w:val="single" w:color="auto" w:sz="4" w:space="0"/>
              <w:right w:val="single" w:color="auto" w:sz="4" w:space="0"/>
            </w:tcBorders>
            <w:shd w:val="clear" w:color="auto" w:fill="auto"/>
            <w:vAlign w:val="center"/>
          </w:tcPr>
          <w:p w14:paraId="05F58E4E">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302" w:type="dxa"/>
            <w:tcBorders>
              <w:top w:val="nil"/>
              <w:left w:val="nil"/>
              <w:bottom w:val="single" w:color="auto" w:sz="4" w:space="0"/>
              <w:right w:val="single" w:color="auto" w:sz="4" w:space="0"/>
            </w:tcBorders>
            <w:shd w:val="clear" w:color="auto" w:fill="auto"/>
            <w:vAlign w:val="center"/>
          </w:tcPr>
          <w:p w14:paraId="30745287">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202</w:t>
            </w:r>
            <w:r>
              <w:rPr>
                <w:rFonts w:hint="eastAsia" w:ascii="Arial" w:hAnsi="Arial" w:eastAsia="仿宋_GB2312" w:cs="Arial"/>
                <w:color w:val="auto"/>
                <w:sz w:val="18"/>
                <w:szCs w:val="18"/>
              </w:rPr>
              <w:t>6.1</w:t>
            </w:r>
          </w:p>
        </w:tc>
        <w:tc>
          <w:tcPr>
            <w:tcW w:w="551" w:type="dxa"/>
            <w:tcBorders>
              <w:top w:val="nil"/>
              <w:left w:val="nil"/>
              <w:bottom w:val="single" w:color="auto" w:sz="4" w:space="0"/>
              <w:right w:val="single" w:color="auto" w:sz="4" w:space="0"/>
            </w:tcBorders>
            <w:shd w:val="clear" w:color="auto" w:fill="auto"/>
            <w:vAlign w:val="center"/>
          </w:tcPr>
          <w:p w14:paraId="7F8BABFA">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r>
      <w:tr w14:paraId="28383B3C">
        <w:tblPrEx>
          <w:tblCellMar>
            <w:top w:w="57" w:type="dxa"/>
            <w:left w:w="28" w:type="dxa"/>
            <w:bottom w:w="57" w:type="dxa"/>
            <w:right w:w="28" w:type="dxa"/>
          </w:tblCellMar>
        </w:tblPrEx>
        <w:trPr>
          <w:cantSplit/>
          <w:jc w:val="center"/>
        </w:trPr>
        <w:tc>
          <w:tcPr>
            <w:tcW w:w="1135"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04923E0">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交易情况</w:t>
            </w:r>
          </w:p>
        </w:tc>
        <w:tc>
          <w:tcPr>
            <w:tcW w:w="1418" w:type="dxa"/>
            <w:tcBorders>
              <w:top w:val="nil"/>
              <w:left w:val="nil"/>
              <w:bottom w:val="single" w:color="auto" w:sz="4" w:space="0"/>
              <w:right w:val="single" w:color="auto" w:sz="4" w:space="0"/>
            </w:tcBorders>
            <w:shd w:val="clear" w:color="auto" w:fill="auto"/>
            <w:vAlign w:val="center"/>
          </w:tcPr>
          <w:p w14:paraId="75B8CF1C">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正常</w:t>
            </w:r>
          </w:p>
        </w:tc>
        <w:tc>
          <w:tcPr>
            <w:tcW w:w="567" w:type="dxa"/>
            <w:tcBorders>
              <w:top w:val="nil"/>
              <w:left w:val="nil"/>
              <w:bottom w:val="single" w:color="auto" w:sz="4" w:space="0"/>
              <w:right w:val="single" w:color="auto" w:sz="4" w:space="0"/>
            </w:tcBorders>
            <w:shd w:val="clear" w:color="auto" w:fill="auto"/>
            <w:vAlign w:val="center"/>
          </w:tcPr>
          <w:p w14:paraId="0215B964">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068CEAC1">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正常</w:t>
            </w:r>
          </w:p>
        </w:tc>
        <w:tc>
          <w:tcPr>
            <w:tcW w:w="757" w:type="dxa"/>
            <w:tcBorders>
              <w:top w:val="nil"/>
              <w:left w:val="nil"/>
              <w:bottom w:val="single" w:color="auto" w:sz="4" w:space="0"/>
              <w:right w:val="single" w:color="auto" w:sz="4" w:space="0"/>
            </w:tcBorders>
            <w:shd w:val="clear" w:color="auto" w:fill="auto"/>
            <w:vAlign w:val="center"/>
          </w:tcPr>
          <w:p w14:paraId="3EBCF050">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74" w:type="dxa"/>
            <w:tcBorders>
              <w:top w:val="nil"/>
              <w:left w:val="nil"/>
              <w:bottom w:val="single" w:color="auto" w:sz="4" w:space="0"/>
              <w:right w:val="single" w:color="auto" w:sz="4" w:space="0"/>
            </w:tcBorders>
            <w:shd w:val="clear" w:color="auto" w:fill="auto"/>
            <w:vAlign w:val="center"/>
          </w:tcPr>
          <w:p w14:paraId="79D12812">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正常</w:t>
            </w:r>
          </w:p>
        </w:tc>
        <w:tc>
          <w:tcPr>
            <w:tcW w:w="551" w:type="dxa"/>
            <w:tcBorders>
              <w:top w:val="nil"/>
              <w:left w:val="nil"/>
              <w:bottom w:val="single" w:color="auto" w:sz="4" w:space="0"/>
              <w:right w:val="single" w:color="auto" w:sz="4" w:space="0"/>
            </w:tcBorders>
            <w:shd w:val="clear" w:color="auto" w:fill="auto"/>
            <w:vAlign w:val="center"/>
          </w:tcPr>
          <w:p w14:paraId="1284FE92">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02" w:type="dxa"/>
            <w:tcBorders>
              <w:top w:val="nil"/>
              <w:left w:val="nil"/>
              <w:bottom w:val="single" w:color="auto" w:sz="4" w:space="0"/>
              <w:right w:val="single" w:color="auto" w:sz="4" w:space="0"/>
            </w:tcBorders>
            <w:shd w:val="clear" w:color="auto" w:fill="auto"/>
            <w:vAlign w:val="center"/>
          </w:tcPr>
          <w:p w14:paraId="41D47046">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正常</w:t>
            </w:r>
          </w:p>
        </w:tc>
        <w:tc>
          <w:tcPr>
            <w:tcW w:w="551" w:type="dxa"/>
            <w:tcBorders>
              <w:top w:val="nil"/>
              <w:left w:val="nil"/>
              <w:bottom w:val="single" w:color="auto" w:sz="4" w:space="0"/>
              <w:right w:val="single" w:color="auto" w:sz="4" w:space="0"/>
            </w:tcBorders>
            <w:shd w:val="clear" w:color="auto" w:fill="auto"/>
            <w:vAlign w:val="center"/>
          </w:tcPr>
          <w:p w14:paraId="042B3A16">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r>
      <w:tr w14:paraId="0A833AA5">
        <w:tblPrEx>
          <w:tblCellMar>
            <w:top w:w="57" w:type="dxa"/>
            <w:left w:w="28" w:type="dxa"/>
            <w:bottom w:w="57" w:type="dxa"/>
            <w:right w:w="28" w:type="dxa"/>
          </w:tblCellMar>
        </w:tblPrEx>
        <w:trPr>
          <w:cantSplit/>
          <w:jc w:val="center"/>
        </w:trPr>
        <w:tc>
          <w:tcPr>
            <w:tcW w:w="113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BA0E40B">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用途</w:t>
            </w:r>
          </w:p>
        </w:tc>
        <w:tc>
          <w:tcPr>
            <w:tcW w:w="1418" w:type="dxa"/>
            <w:tcBorders>
              <w:top w:val="nil"/>
              <w:left w:val="nil"/>
              <w:bottom w:val="single" w:color="auto" w:sz="4" w:space="0"/>
              <w:right w:val="single" w:color="auto" w:sz="4" w:space="0"/>
            </w:tcBorders>
            <w:shd w:val="clear" w:color="auto" w:fill="auto"/>
            <w:vAlign w:val="center"/>
          </w:tcPr>
          <w:p w14:paraId="2179D5F3">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住宅</w:t>
            </w:r>
          </w:p>
        </w:tc>
        <w:tc>
          <w:tcPr>
            <w:tcW w:w="567" w:type="dxa"/>
            <w:tcBorders>
              <w:top w:val="nil"/>
              <w:left w:val="nil"/>
              <w:bottom w:val="single" w:color="auto" w:sz="4" w:space="0"/>
              <w:right w:val="single" w:color="auto" w:sz="4" w:space="0"/>
            </w:tcBorders>
            <w:shd w:val="clear" w:color="auto" w:fill="auto"/>
            <w:vAlign w:val="center"/>
          </w:tcPr>
          <w:p w14:paraId="41114023">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0C3D6982">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住宅</w:t>
            </w:r>
          </w:p>
        </w:tc>
        <w:tc>
          <w:tcPr>
            <w:tcW w:w="757" w:type="dxa"/>
            <w:tcBorders>
              <w:top w:val="nil"/>
              <w:left w:val="nil"/>
              <w:bottom w:val="single" w:color="auto" w:sz="4" w:space="0"/>
              <w:right w:val="single" w:color="auto" w:sz="4" w:space="0"/>
            </w:tcBorders>
            <w:shd w:val="clear" w:color="auto" w:fill="auto"/>
            <w:vAlign w:val="center"/>
          </w:tcPr>
          <w:p w14:paraId="29E8F920">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74" w:type="dxa"/>
            <w:tcBorders>
              <w:top w:val="nil"/>
              <w:left w:val="nil"/>
              <w:bottom w:val="single" w:color="auto" w:sz="4" w:space="0"/>
              <w:right w:val="single" w:color="auto" w:sz="4" w:space="0"/>
            </w:tcBorders>
            <w:shd w:val="clear" w:color="auto" w:fill="auto"/>
            <w:vAlign w:val="center"/>
          </w:tcPr>
          <w:p w14:paraId="07DAB2D5">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住宅</w:t>
            </w:r>
          </w:p>
        </w:tc>
        <w:tc>
          <w:tcPr>
            <w:tcW w:w="551" w:type="dxa"/>
            <w:tcBorders>
              <w:top w:val="nil"/>
              <w:left w:val="nil"/>
              <w:bottom w:val="single" w:color="auto" w:sz="4" w:space="0"/>
              <w:right w:val="single" w:color="auto" w:sz="4" w:space="0"/>
            </w:tcBorders>
            <w:shd w:val="clear" w:color="auto" w:fill="auto"/>
            <w:vAlign w:val="center"/>
          </w:tcPr>
          <w:p w14:paraId="5AD5E043">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02" w:type="dxa"/>
            <w:tcBorders>
              <w:top w:val="nil"/>
              <w:left w:val="nil"/>
              <w:bottom w:val="single" w:color="auto" w:sz="4" w:space="0"/>
              <w:right w:val="single" w:color="auto" w:sz="4" w:space="0"/>
            </w:tcBorders>
            <w:shd w:val="clear" w:color="auto" w:fill="auto"/>
            <w:vAlign w:val="center"/>
          </w:tcPr>
          <w:p w14:paraId="37FFC442">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住宅</w:t>
            </w:r>
          </w:p>
        </w:tc>
        <w:tc>
          <w:tcPr>
            <w:tcW w:w="551" w:type="dxa"/>
            <w:tcBorders>
              <w:top w:val="nil"/>
              <w:left w:val="nil"/>
              <w:bottom w:val="single" w:color="auto" w:sz="4" w:space="0"/>
              <w:right w:val="single" w:color="auto" w:sz="4" w:space="0"/>
            </w:tcBorders>
            <w:shd w:val="clear" w:color="auto" w:fill="auto"/>
            <w:noWrap/>
            <w:vAlign w:val="center"/>
          </w:tcPr>
          <w:p w14:paraId="5A202D25">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r>
      <w:tr w14:paraId="0040B2B5">
        <w:tblPrEx>
          <w:tblCellMar>
            <w:top w:w="57" w:type="dxa"/>
            <w:left w:w="28" w:type="dxa"/>
            <w:bottom w:w="57" w:type="dxa"/>
            <w:right w:w="28" w:type="dxa"/>
          </w:tblCellMar>
        </w:tblPrEx>
        <w:trPr>
          <w:cantSplit/>
          <w:jc w:val="center"/>
        </w:trPr>
        <w:tc>
          <w:tcPr>
            <w:tcW w:w="113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315D5B31">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容积率</w:t>
            </w:r>
          </w:p>
        </w:tc>
        <w:tc>
          <w:tcPr>
            <w:tcW w:w="1418" w:type="dxa"/>
            <w:tcBorders>
              <w:top w:val="nil"/>
              <w:left w:val="nil"/>
              <w:bottom w:val="single" w:color="auto" w:sz="4" w:space="0"/>
              <w:right w:val="single" w:color="auto" w:sz="4" w:space="0"/>
            </w:tcBorders>
            <w:shd w:val="clear" w:color="auto" w:fill="auto"/>
            <w:vAlign w:val="center"/>
          </w:tcPr>
          <w:p w14:paraId="4893A3E9">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1.2</w:t>
            </w:r>
          </w:p>
        </w:tc>
        <w:tc>
          <w:tcPr>
            <w:tcW w:w="567" w:type="dxa"/>
            <w:tcBorders>
              <w:top w:val="nil"/>
              <w:left w:val="nil"/>
              <w:bottom w:val="single" w:color="auto" w:sz="4" w:space="0"/>
              <w:right w:val="single" w:color="auto" w:sz="4" w:space="0"/>
            </w:tcBorders>
            <w:shd w:val="clear" w:color="auto" w:fill="auto"/>
            <w:vAlign w:val="center"/>
          </w:tcPr>
          <w:p w14:paraId="34814EAD">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37875A95">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1.8</w:t>
            </w:r>
          </w:p>
        </w:tc>
        <w:tc>
          <w:tcPr>
            <w:tcW w:w="757" w:type="dxa"/>
            <w:tcBorders>
              <w:top w:val="nil"/>
              <w:left w:val="nil"/>
              <w:bottom w:val="single" w:color="auto" w:sz="4" w:space="0"/>
              <w:right w:val="single" w:color="auto" w:sz="4" w:space="0"/>
            </w:tcBorders>
            <w:shd w:val="clear" w:color="auto" w:fill="auto"/>
            <w:vAlign w:val="center"/>
          </w:tcPr>
          <w:p w14:paraId="16801ABE">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99</w:t>
            </w:r>
          </w:p>
        </w:tc>
        <w:tc>
          <w:tcPr>
            <w:tcW w:w="1374" w:type="dxa"/>
            <w:tcBorders>
              <w:top w:val="nil"/>
              <w:left w:val="nil"/>
              <w:bottom w:val="single" w:color="auto" w:sz="4" w:space="0"/>
              <w:right w:val="single" w:color="auto" w:sz="4" w:space="0"/>
            </w:tcBorders>
            <w:shd w:val="clear" w:color="auto" w:fill="auto"/>
            <w:vAlign w:val="center"/>
          </w:tcPr>
          <w:p w14:paraId="143EC383">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1.5</w:t>
            </w:r>
          </w:p>
        </w:tc>
        <w:tc>
          <w:tcPr>
            <w:tcW w:w="551" w:type="dxa"/>
            <w:tcBorders>
              <w:top w:val="nil"/>
              <w:left w:val="nil"/>
              <w:bottom w:val="single" w:color="auto" w:sz="4" w:space="0"/>
              <w:right w:val="single" w:color="auto" w:sz="4" w:space="0"/>
            </w:tcBorders>
            <w:shd w:val="clear" w:color="auto" w:fill="auto"/>
            <w:vAlign w:val="center"/>
          </w:tcPr>
          <w:p w14:paraId="451409F1">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99</w:t>
            </w:r>
          </w:p>
        </w:tc>
        <w:tc>
          <w:tcPr>
            <w:tcW w:w="1302" w:type="dxa"/>
            <w:tcBorders>
              <w:top w:val="nil"/>
              <w:left w:val="nil"/>
              <w:bottom w:val="single" w:color="auto" w:sz="4" w:space="0"/>
              <w:right w:val="single" w:color="auto" w:sz="4" w:space="0"/>
            </w:tcBorders>
            <w:shd w:val="clear" w:color="auto" w:fill="auto"/>
            <w:vAlign w:val="center"/>
          </w:tcPr>
          <w:p w14:paraId="0BE1C45D">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w:t>
            </w:r>
          </w:p>
        </w:tc>
        <w:tc>
          <w:tcPr>
            <w:tcW w:w="551" w:type="dxa"/>
            <w:tcBorders>
              <w:top w:val="nil"/>
              <w:left w:val="nil"/>
              <w:bottom w:val="single" w:color="auto" w:sz="4" w:space="0"/>
              <w:right w:val="single" w:color="auto" w:sz="4" w:space="0"/>
            </w:tcBorders>
            <w:shd w:val="clear" w:color="auto" w:fill="auto"/>
            <w:noWrap/>
            <w:vAlign w:val="center"/>
          </w:tcPr>
          <w:p w14:paraId="0898191C">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98</w:t>
            </w:r>
          </w:p>
        </w:tc>
      </w:tr>
      <w:tr w14:paraId="44A46163">
        <w:tblPrEx>
          <w:tblCellMar>
            <w:top w:w="57" w:type="dxa"/>
            <w:left w:w="28" w:type="dxa"/>
            <w:bottom w:w="57" w:type="dxa"/>
            <w:right w:w="28" w:type="dxa"/>
          </w:tblCellMar>
        </w:tblPrEx>
        <w:trPr>
          <w:cantSplit/>
          <w:jc w:val="center"/>
        </w:trPr>
        <w:tc>
          <w:tcPr>
            <w:tcW w:w="285" w:type="dxa"/>
            <w:vMerge w:val="restart"/>
            <w:tcBorders>
              <w:top w:val="single" w:color="auto" w:sz="4" w:space="0"/>
              <w:left w:val="single" w:color="auto" w:sz="4" w:space="0"/>
              <w:right w:val="single" w:color="auto" w:sz="4" w:space="0"/>
            </w:tcBorders>
            <w:shd w:val="clear" w:color="auto" w:fill="auto"/>
            <w:vAlign w:val="center"/>
          </w:tcPr>
          <w:p w14:paraId="56DBE562">
            <w:pPr>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区域</w:t>
            </w:r>
          </w:p>
          <w:p w14:paraId="7A8349E0">
            <w:pPr>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因素</w:t>
            </w: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7746DC9B">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住宅社区成熟度</w:t>
            </w:r>
          </w:p>
        </w:tc>
        <w:tc>
          <w:tcPr>
            <w:tcW w:w="1418" w:type="dxa"/>
            <w:tcBorders>
              <w:top w:val="nil"/>
              <w:left w:val="nil"/>
              <w:bottom w:val="single" w:color="auto" w:sz="4" w:space="0"/>
              <w:right w:val="single" w:color="auto" w:sz="4" w:space="0"/>
            </w:tcBorders>
            <w:shd w:val="clear" w:color="auto" w:fill="auto"/>
            <w:vAlign w:val="center"/>
          </w:tcPr>
          <w:p w14:paraId="64328921">
            <w:pPr>
              <w:widowControl/>
              <w:tabs>
                <w:tab w:val="left" w:pos="1111"/>
              </w:tabs>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估价对象位于北京市顺义区高丽营镇夏县营村，周边2公里范围内有丽喜花园、东君府、moma万万树、壹号东临院等社区，居住小区规模和社区发展完善程度较完善，综合评价居住社区成熟度一般。</w:t>
            </w:r>
          </w:p>
        </w:tc>
        <w:tc>
          <w:tcPr>
            <w:tcW w:w="567" w:type="dxa"/>
            <w:tcBorders>
              <w:top w:val="nil"/>
              <w:left w:val="nil"/>
              <w:bottom w:val="single" w:color="auto" w:sz="4" w:space="0"/>
              <w:right w:val="single" w:color="auto" w:sz="4" w:space="0"/>
            </w:tcBorders>
            <w:shd w:val="clear" w:color="auto" w:fill="auto"/>
            <w:vAlign w:val="center"/>
          </w:tcPr>
          <w:p w14:paraId="0E99C529">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3F94502F">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案例A位于</w:t>
            </w:r>
            <w:r>
              <w:rPr>
                <w:rFonts w:hint="eastAsia" w:ascii="Arial" w:hAnsi="Arial" w:eastAsia="仿宋_GB2312" w:cs="Arial"/>
                <w:color w:val="auto"/>
                <w:sz w:val="18"/>
                <w:szCs w:val="18"/>
              </w:rPr>
              <w:t>西环路和顺沙路交叉口东北角，周边有前进花园、当代北辰MOMA、玉兰苑、石门苑、牡丹苑、宏城花园、西辛南区等住宅社区，居住小区规模和社区发展完善程度较完善，综合评价居住社区成熟度较好。</w:t>
            </w:r>
          </w:p>
        </w:tc>
        <w:tc>
          <w:tcPr>
            <w:tcW w:w="757" w:type="dxa"/>
            <w:tcBorders>
              <w:top w:val="nil"/>
              <w:left w:val="nil"/>
              <w:bottom w:val="single" w:color="auto" w:sz="4" w:space="0"/>
              <w:right w:val="single" w:color="auto" w:sz="4" w:space="0"/>
            </w:tcBorders>
            <w:shd w:val="clear" w:color="auto" w:fill="auto"/>
            <w:vAlign w:val="center"/>
          </w:tcPr>
          <w:p w14:paraId="18FCCB59">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w:t>
            </w:r>
            <w:r>
              <w:rPr>
                <w:rFonts w:hint="eastAsia" w:ascii="Arial" w:hAnsi="Arial" w:eastAsia="仿宋_GB2312" w:cs="Arial"/>
                <w:color w:val="auto"/>
                <w:sz w:val="18"/>
                <w:szCs w:val="18"/>
              </w:rPr>
              <w:t>3</w:t>
            </w:r>
          </w:p>
        </w:tc>
        <w:tc>
          <w:tcPr>
            <w:tcW w:w="1374" w:type="dxa"/>
            <w:tcBorders>
              <w:top w:val="nil"/>
              <w:left w:val="nil"/>
              <w:bottom w:val="single" w:color="auto" w:sz="4" w:space="0"/>
              <w:right w:val="single" w:color="auto" w:sz="4" w:space="0"/>
            </w:tcBorders>
            <w:shd w:val="clear" w:color="auto" w:fill="auto"/>
            <w:vAlign w:val="center"/>
          </w:tcPr>
          <w:p w14:paraId="18F332EF">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案例B</w:t>
            </w:r>
            <w:r>
              <w:rPr>
                <w:rFonts w:hint="eastAsia" w:ascii="Arial" w:hAnsi="Arial" w:eastAsia="仿宋_GB2312" w:cs="Arial"/>
                <w:color w:val="auto"/>
                <w:sz w:val="18"/>
                <w:szCs w:val="18"/>
              </w:rPr>
              <w:t>位于顺义区高丽营镇，周边有</w:t>
            </w:r>
            <w:r>
              <w:rPr>
                <w:rFonts w:hint="eastAsia" w:ascii="仿宋_GB2312" w:hAnsi="仿宋_GB2312" w:eastAsia="仿宋_GB2312" w:cs="仿宋_GB2312"/>
                <w:color w:val="auto"/>
                <w:sz w:val="18"/>
                <w:szCs w:val="18"/>
              </w:rPr>
              <w:t>首开富力十号国际、</w:t>
            </w:r>
            <w:r>
              <w:rPr>
                <w:rFonts w:ascii="仿宋_GB2312" w:hAnsi="仿宋_GB2312" w:eastAsia="仿宋_GB2312" w:cs="仿宋_GB2312"/>
                <w:color w:val="auto"/>
                <w:sz w:val="18"/>
                <w:szCs w:val="18"/>
              </w:rPr>
              <w:t>高丽营</w:t>
            </w:r>
            <w:r>
              <w:rPr>
                <w:rFonts w:hint="eastAsia" w:ascii="仿宋_GB2312" w:hAnsi="仿宋_GB2312" w:eastAsia="仿宋_GB2312" w:cs="仿宋_GB2312"/>
                <w:color w:val="auto"/>
                <w:sz w:val="18"/>
                <w:szCs w:val="18"/>
              </w:rPr>
              <w:t>镇</w:t>
            </w:r>
            <w:r>
              <w:rPr>
                <w:rFonts w:ascii="仿宋_GB2312" w:hAnsi="仿宋_GB2312" w:eastAsia="仿宋_GB2312" w:cs="仿宋_GB2312"/>
                <w:color w:val="auto"/>
                <w:sz w:val="18"/>
                <w:szCs w:val="18"/>
              </w:rPr>
              <w:t>高白路</w:t>
            </w:r>
            <w:r>
              <w:rPr>
                <w:rFonts w:hint="eastAsia" w:ascii="仿宋_GB2312" w:hAnsi="仿宋_GB2312" w:eastAsia="仿宋_GB2312" w:cs="仿宋_GB2312"/>
                <w:color w:val="auto"/>
                <w:sz w:val="18"/>
                <w:szCs w:val="18"/>
              </w:rPr>
              <w:t>11号院等已建成住宅小区，入住</w:t>
            </w:r>
            <w:r>
              <w:rPr>
                <w:rFonts w:hint="eastAsia" w:ascii="Arial" w:hAnsi="Arial" w:eastAsia="仿宋_GB2312" w:cs="Arial"/>
                <w:color w:val="auto"/>
                <w:sz w:val="18"/>
                <w:szCs w:val="18"/>
              </w:rPr>
              <w:t>率一般，住宅社区成熟度一般。</w:t>
            </w:r>
          </w:p>
        </w:tc>
        <w:tc>
          <w:tcPr>
            <w:tcW w:w="551" w:type="dxa"/>
            <w:tcBorders>
              <w:top w:val="nil"/>
              <w:left w:val="nil"/>
              <w:bottom w:val="single" w:color="auto" w:sz="4" w:space="0"/>
              <w:right w:val="single" w:color="auto" w:sz="4" w:space="0"/>
            </w:tcBorders>
            <w:shd w:val="clear" w:color="auto" w:fill="auto"/>
            <w:vAlign w:val="center"/>
          </w:tcPr>
          <w:p w14:paraId="76A6DD0E">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02" w:type="dxa"/>
            <w:tcBorders>
              <w:top w:val="nil"/>
              <w:left w:val="nil"/>
              <w:bottom w:val="single" w:color="auto" w:sz="4" w:space="0"/>
              <w:right w:val="single" w:color="auto" w:sz="4" w:space="0"/>
            </w:tcBorders>
            <w:shd w:val="clear" w:color="auto" w:fill="auto"/>
            <w:vAlign w:val="center"/>
          </w:tcPr>
          <w:p w14:paraId="57C575BB">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案例C位于</w:t>
            </w:r>
            <w:r>
              <w:rPr>
                <w:rFonts w:hint="eastAsia" w:ascii="Arial" w:hAnsi="Arial" w:eastAsia="仿宋_GB2312" w:cs="Arial"/>
                <w:color w:val="auto"/>
                <w:sz w:val="18"/>
                <w:szCs w:val="18"/>
              </w:rPr>
              <w:t>顺义区新城第13街区，周边2公里范围内有中建宸庐、北京恒大上和府、佳和宜园、国誉府、水映兰庭等社区，居住小区规模和社区发展完善程度较完善，综合评价居住社区成熟度较好</w:t>
            </w:r>
          </w:p>
        </w:tc>
        <w:tc>
          <w:tcPr>
            <w:tcW w:w="551" w:type="dxa"/>
            <w:tcBorders>
              <w:top w:val="nil"/>
              <w:left w:val="nil"/>
              <w:bottom w:val="single" w:color="auto" w:sz="4" w:space="0"/>
              <w:right w:val="single" w:color="auto" w:sz="4" w:space="0"/>
            </w:tcBorders>
            <w:shd w:val="clear" w:color="auto" w:fill="auto"/>
            <w:noWrap/>
            <w:vAlign w:val="center"/>
          </w:tcPr>
          <w:p w14:paraId="6E854012">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w:t>
            </w:r>
            <w:r>
              <w:rPr>
                <w:rFonts w:hint="eastAsia" w:ascii="Arial" w:hAnsi="Arial" w:eastAsia="仿宋_GB2312" w:cs="Arial"/>
                <w:color w:val="auto"/>
                <w:sz w:val="18"/>
                <w:szCs w:val="18"/>
              </w:rPr>
              <w:t>3</w:t>
            </w:r>
          </w:p>
        </w:tc>
      </w:tr>
      <w:tr w14:paraId="0FBCA0D5">
        <w:tblPrEx>
          <w:tblCellMar>
            <w:top w:w="57" w:type="dxa"/>
            <w:left w:w="28" w:type="dxa"/>
            <w:bottom w:w="57" w:type="dxa"/>
            <w:right w:w="28" w:type="dxa"/>
          </w:tblCellMar>
        </w:tblPrEx>
        <w:trPr>
          <w:cantSplit/>
          <w:jc w:val="center"/>
        </w:trPr>
        <w:tc>
          <w:tcPr>
            <w:tcW w:w="285" w:type="dxa"/>
            <w:vMerge w:val="continue"/>
            <w:tcBorders>
              <w:left w:val="single" w:color="auto" w:sz="4" w:space="0"/>
              <w:right w:val="single" w:color="auto" w:sz="4" w:space="0"/>
            </w:tcBorders>
            <w:shd w:val="clear" w:color="auto" w:fill="auto"/>
            <w:vAlign w:val="center"/>
          </w:tcPr>
          <w:p w14:paraId="6D5A351A">
            <w:pPr>
              <w:spacing w:line="240" w:lineRule="exact"/>
              <w:jc w:val="center"/>
              <w:rPr>
                <w:rFonts w:ascii="Arial" w:hAnsi="Arial" w:eastAsia="仿宋_GB2312" w:cs="Arial"/>
                <w:color w:val="auto"/>
                <w:sz w:val="18"/>
                <w:szCs w:val="18"/>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7F855818">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交通便捷度</w:t>
            </w:r>
          </w:p>
        </w:tc>
        <w:tc>
          <w:tcPr>
            <w:tcW w:w="1418" w:type="dxa"/>
            <w:tcBorders>
              <w:top w:val="nil"/>
              <w:left w:val="nil"/>
              <w:bottom w:val="single" w:color="auto" w:sz="4" w:space="0"/>
              <w:right w:val="single" w:color="auto" w:sz="4" w:space="0"/>
            </w:tcBorders>
            <w:shd w:val="clear" w:color="auto" w:fill="auto"/>
            <w:vAlign w:val="center"/>
          </w:tcPr>
          <w:p w14:paraId="39D8828F">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估价对象属于北京市顺义区高丽营镇夏县营村，估价对象紧临城市主干道——火寺路、周边1公里范围内有顺25路、顺42路、顺49路、顺69路等公交线路，区域内交通一般，区域间通达性较差，综合评价交通便捷度较差。</w:t>
            </w:r>
          </w:p>
        </w:tc>
        <w:tc>
          <w:tcPr>
            <w:tcW w:w="567" w:type="dxa"/>
            <w:tcBorders>
              <w:top w:val="nil"/>
              <w:left w:val="nil"/>
              <w:bottom w:val="single" w:color="auto" w:sz="4" w:space="0"/>
              <w:right w:val="single" w:color="auto" w:sz="4" w:space="0"/>
            </w:tcBorders>
            <w:shd w:val="clear" w:color="auto" w:fill="auto"/>
            <w:vAlign w:val="center"/>
          </w:tcPr>
          <w:p w14:paraId="027F4AB5">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56BD517E">
            <w:pPr>
              <w:widowControl/>
              <w:adjustRightInd/>
              <w:spacing w:line="240" w:lineRule="exact"/>
              <w:jc w:val="both"/>
              <w:textAlignment w:val="auto"/>
              <w:rPr>
                <w:rFonts w:ascii="Arial" w:hAnsi="Arial" w:eastAsia="仿宋_GB2312" w:cs="Arial"/>
                <w:color w:val="auto"/>
                <w:sz w:val="18"/>
                <w:szCs w:val="18"/>
              </w:rPr>
            </w:pPr>
            <w:r>
              <w:rPr>
                <w:rFonts w:ascii="Arial" w:hAnsi="Arial" w:eastAsia="仿宋_GB2312" w:cs="Arial"/>
                <w:color w:val="auto"/>
                <w:sz w:val="18"/>
                <w:szCs w:val="18"/>
              </w:rPr>
              <w:t>案例A</w:t>
            </w:r>
            <w:r>
              <w:rPr>
                <w:rFonts w:hint="eastAsia" w:ascii="Arial" w:hAnsi="Arial" w:eastAsia="仿宋_GB2312" w:cs="Arial"/>
                <w:color w:val="auto"/>
                <w:sz w:val="18"/>
                <w:szCs w:val="18"/>
              </w:rPr>
              <w:t>紧临主干道——顺沙路、西环路，道路通达度较高，距地铁15号线石门站约 1.5公里，周边500米里内有顺11路、顺13路、顺18 路、顺25路、顺35路、945路等公交线路经过区域内交通较好，综合评价交通便捷度较好。</w:t>
            </w:r>
          </w:p>
        </w:tc>
        <w:tc>
          <w:tcPr>
            <w:tcW w:w="757" w:type="dxa"/>
            <w:tcBorders>
              <w:top w:val="nil"/>
              <w:left w:val="nil"/>
              <w:bottom w:val="single" w:color="auto" w:sz="4" w:space="0"/>
              <w:right w:val="single" w:color="auto" w:sz="4" w:space="0"/>
            </w:tcBorders>
            <w:shd w:val="clear" w:color="auto" w:fill="auto"/>
            <w:vAlign w:val="center"/>
          </w:tcPr>
          <w:p w14:paraId="2C4C9FB2">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w:t>
            </w:r>
            <w:r>
              <w:rPr>
                <w:rFonts w:hint="eastAsia" w:ascii="Arial" w:hAnsi="Arial" w:eastAsia="仿宋_GB2312" w:cs="Arial"/>
                <w:color w:val="auto"/>
                <w:sz w:val="18"/>
                <w:szCs w:val="18"/>
              </w:rPr>
              <w:t>8</w:t>
            </w:r>
          </w:p>
        </w:tc>
        <w:tc>
          <w:tcPr>
            <w:tcW w:w="1374" w:type="dxa"/>
            <w:tcBorders>
              <w:top w:val="nil"/>
              <w:left w:val="nil"/>
              <w:bottom w:val="single" w:color="auto" w:sz="4" w:space="0"/>
              <w:right w:val="single" w:color="auto" w:sz="4" w:space="0"/>
            </w:tcBorders>
            <w:shd w:val="clear" w:color="auto" w:fill="auto"/>
            <w:vAlign w:val="center"/>
          </w:tcPr>
          <w:p w14:paraId="6FDF46A9">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案例B</w:t>
            </w:r>
            <w:r>
              <w:rPr>
                <w:rFonts w:hint="eastAsia" w:ascii="Arial" w:hAnsi="Arial" w:eastAsia="仿宋_GB2312" w:cs="Arial"/>
                <w:color w:val="auto"/>
                <w:sz w:val="18"/>
                <w:szCs w:val="18"/>
              </w:rPr>
              <w:t>属于顺义区高丽营镇，位于高白路以西，紧邻城市主干道－府前街路，周边有942路快车、 945路、昌27路、昌60路、郊100路、空港6路、顺13路、顺43路等公交线路通过；5公里范围内无建成地铁站，交通便捷度一般。</w:t>
            </w:r>
          </w:p>
        </w:tc>
        <w:tc>
          <w:tcPr>
            <w:tcW w:w="551" w:type="dxa"/>
            <w:tcBorders>
              <w:top w:val="nil"/>
              <w:left w:val="nil"/>
              <w:bottom w:val="single" w:color="auto" w:sz="4" w:space="0"/>
              <w:right w:val="single" w:color="auto" w:sz="4" w:space="0"/>
            </w:tcBorders>
            <w:shd w:val="clear" w:color="auto" w:fill="auto"/>
            <w:vAlign w:val="center"/>
          </w:tcPr>
          <w:p w14:paraId="0CD5909F">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w:t>
            </w:r>
            <w:r>
              <w:rPr>
                <w:rFonts w:hint="eastAsia" w:ascii="Arial" w:hAnsi="Arial" w:eastAsia="仿宋_GB2312" w:cs="Arial"/>
                <w:color w:val="auto"/>
                <w:sz w:val="18"/>
                <w:szCs w:val="18"/>
              </w:rPr>
              <w:t>4</w:t>
            </w:r>
          </w:p>
        </w:tc>
        <w:tc>
          <w:tcPr>
            <w:tcW w:w="1302" w:type="dxa"/>
            <w:tcBorders>
              <w:top w:val="nil"/>
              <w:left w:val="nil"/>
              <w:bottom w:val="single" w:color="auto" w:sz="4" w:space="0"/>
              <w:right w:val="single" w:color="auto" w:sz="4" w:space="0"/>
            </w:tcBorders>
            <w:shd w:val="clear" w:color="auto" w:fill="auto"/>
            <w:vAlign w:val="center"/>
          </w:tcPr>
          <w:p w14:paraId="0BAA0E4C">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案例</w:t>
            </w:r>
            <w:r>
              <w:rPr>
                <w:rFonts w:hint="eastAsia" w:ascii="Arial" w:hAnsi="Arial" w:eastAsia="仿宋_GB2312" w:cs="Arial"/>
                <w:color w:val="auto"/>
                <w:sz w:val="18"/>
                <w:szCs w:val="18"/>
              </w:rPr>
              <w:t>C紧临主干道—通顺路、周边1公里范围内有850路、856路、861路、空港5路、顺14路、顺21路、顺27路等十几条公交线路，区域内交通一般，区域间通达性一般，综合评价交通便捷度一般</w:t>
            </w:r>
          </w:p>
        </w:tc>
        <w:tc>
          <w:tcPr>
            <w:tcW w:w="551" w:type="dxa"/>
            <w:tcBorders>
              <w:top w:val="nil"/>
              <w:left w:val="nil"/>
              <w:bottom w:val="single" w:color="auto" w:sz="4" w:space="0"/>
              <w:right w:val="single" w:color="auto" w:sz="4" w:space="0"/>
            </w:tcBorders>
            <w:shd w:val="clear" w:color="auto" w:fill="auto"/>
            <w:noWrap/>
            <w:vAlign w:val="center"/>
          </w:tcPr>
          <w:p w14:paraId="5AC4C1BF">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w:t>
            </w:r>
            <w:r>
              <w:rPr>
                <w:rFonts w:hint="eastAsia" w:ascii="Arial" w:hAnsi="Arial" w:eastAsia="仿宋_GB2312" w:cs="Arial"/>
                <w:color w:val="auto"/>
                <w:sz w:val="18"/>
                <w:szCs w:val="18"/>
              </w:rPr>
              <w:t>4</w:t>
            </w:r>
          </w:p>
        </w:tc>
      </w:tr>
      <w:tr w14:paraId="22B2A361">
        <w:tblPrEx>
          <w:tblCellMar>
            <w:top w:w="57" w:type="dxa"/>
            <w:left w:w="28" w:type="dxa"/>
            <w:bottom w:w="57" w:type="dxa"/>
            <w:right w:w="28" w:type="dxa"/>
          </w:tblCellMar>
        </w:tblPrEx>
        <w:trPr>
          <w:cantSplit/>
          <w:jc w:val="center"/>
        </w:trPr>
        <w:tc>
          <w:tcPr>
            <w:tcW w:w="285" w:type="dxa"/>
            <w:vMerge w:val="continue"/>
            <w:tcBorders>
              <w:left w:val="single" w:color="auto" w:sz="4" w:space="0"/>
              <w:right w:val="single" w:color="auto" w:sz="4" w:space="0"/>
            </w:tcBorders>
            <w:shd w:val="clear" w:color="auto" w:fill="auto"/>
            <w:vAlign w:val="center"/>
          </w:tcPr>
          <w:p w14:paraId="2DC0CF52">
            <w:pPr>
              <w:spacing w:line="240" w:lineRule="exact"/>
              <w:jc w:val="center"/>
              <w:rPr>
                <w:rFonts w:ascii="Arial" w:hAnsi="Arial" w:eastAsia="仿宋_GB2312" w:cs="Arial"/>
                <w:color w:val="auto"/>
                <w:sz w:val="18"/>
                <w:szCs w:val="18"/>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3DCD35EF">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公共配套设施</w:t>
            </w:r>
          </w:p>
        </w:tc>
        <w:tc>
          <w:tcPr>
            <w:tcW w:w="1418" w:type="dxa"/>
            <w:tcBorders>
              <w:top w:val="nil"/>
              <w:left w:val="nil"/>
              <w:bottom w:val="single" w:color="auto" w:sz="4" w:space="0"/>
              <w:right w:val="single" w:color="auto" w:sz="4" w:space="0"/>
            </w:tcBorders>
            <w:shd w:val="clear" w:color="auto" w:fill="auto"/>
            <w:vAlign w:val="center"/>
          </w:tcPr>
          <w:p w14:paraId="4C1E01E4">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估价对象周边2公里范围内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公共配套设施齐备情况一般。</w:t>
            </w:r>
          </w:p>
        </w:tc>
        <w:tc>
          <w:tcPr>
            <w:tcW w:w="567" w:type="dxa"/>
            <w:tcBorders>
              <w:top w:val="nil"/>
              <w:left w:val="nil"/>
              <w:bottom w:val="single" w:color="auto" w:sz="4" w:space="0"/>
              <w:right w:val="single" w:color="auto" w:sz="4" w:space="0"/>
            </w:tcBorders>
            <w:shd w:val="clear" w:color="auto" w:fill="auto"/>
            <w:vAlign w:val="center"/>
          </w:tcPr>
          <w:p w14:paraId="6CAB0842">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49879A73">
            <w:pPr>
              <w:widowControl/>
              <w:adjustRightInd/>
              <w:spacing w:line="240" w:lineRule="exact"/>
              <w:jc w:val="both"/>
              <w:textAlignment w:val="auto"/>
              <w:rPr>
                <w:rFonts w:ascii="Arial" w:hAnsi="Arial" w:eastAsia="仿宋_GB2312" w:cs="Arial"/>
                <w:color w:val="auto"/>
                <w:sz w:val="18"/>
                <w:szCs w:val="18"/>
              </w:rPr>
            </w:pPr>
            <w:r>
              <w:rPr>
                <w:rFonts w:ascii="Arial" w:hAnsi="Arial" w:eastAsia="仿宋_GB2312" w:cs="Arial"/>
                <w:color w:val="auto"/>
                <w:sz w:val="18"/>
                <w:szCs w:val="18"/>
              </w:rPr>
              <w:t>案例A</w:t>
            </w:r>
            <w:r>
              <w:rPr>
                <w:rFonts w:hint="eastAsia" w:ascii="Arial" w:hAnsi="Arial" w:eastAsia="仿宋_GB2312" w:cs="Arial"/>
                <w:color w:val="auto"/>
                <w:sz w:val="18"/>
                <w:szCs w:val="18"/>
              </w:rPr>
              <w:t>周边2公里范围内有卧龙悦购时代广场、隆华奥特莱斯购物广场等商业服务设施； 有中国工商银行、兴业银行、中国邮政储蓄银行等金融机构；顺义区西辛小学、顺义区第二中学、北京电大（顺义分校）等教育资源；顺义区旺泉社区卫生服务中心西辛北区社区卫生服务站、北京京顺医院、北京市顺义区医院等医疗设施，公共配套设施齐备情况较好。</w:t>
            </w:r>
          </w:p>
        </w:tc>
        <w:tc>
          <w:tcPr>
            <w:tcW w:w="757" w:type="dxa"/>
            <w:tcBorders>
              <w:top w:val="nil"/>
              <w:left w:val="nil"/>
              <w:bottom w:val="single" w:color="auto" w:sz="4" w:space="0"/>
              <w:right w:val="single" w:color="auto" w:sz="4" w:space="0"/>
            </w:tcBorders>
            <w:shd w:val="clear" w:color="auto" w:fill="auto"/>
            <w:vAlign w:val="center"/>
          </w:tcPr>
          <w:p w14:paraId="6D3B0846">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w:t>
            </w:r>
            <w:r>
              <w:rPr>
                <w:rFonts w:hint="eastAsia" w:ascii="Arial" w:hAnsi="Arial" w:eastAsia="仿宋_GB2312" w:cs="Arial"/>
                <w:color w:val="auto"/>
                <w:sz w:val="18"/>
                <w:szCs w:val="18"/>
              </w:rPr>
              <w:t>3</w:t>
            </w:r>
          </w:p>
        </w:tc>
        <w:tc>
          <w:tcPr>
            <w:tcW w:w="1374" w:type="dxa"/>
            <w:tcBorders>
              <w:top w:val="nil"/>
              <w:left w:val="nil"/>
              <w:bottom w:val="single" w:color="auto" w:sz="4" w:space="0"/>
              <w:right w:val="single" w:color="auto" w:sz="4" w:space="0"/>
            </w:tcBorders>
            <w:shd w:val="clear" w:color="auto" w:fill="auto"/>
            <w:vAlign w:val="center"/>
          </w:tcPr>
          <w:p w14:paraId="6E64DD9C">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案例B</w:t>
            </w:r>
            <w:r>
              <w:rPr>
                <w:rFonts w:hint="eastAsia" w:ascii="Arial" w:hAnsi="Arial" w:eastAsia="仿宋_GB2312" w:cs="Arial"/>
                <w:color w:val="auto"/>
                <w:sz w:val="18"/>
                <w:szCs w:val="18"/>
              </w:rPr>
              <w:t>所在区域有高丽营第二幼儿园、北京市顺义区高丽营学校等教育资源；有中国邮政储蓄银行（高丽营支行）、北京农商银行（高丽营支行）、中国邮政（高丽营邮政所）等金融机构；有高丽营农贸市场、高丽营大集等商业服务设施；有北京市顺义区高丽营镇卫生院等医疗设施，公共服务设施齐备度一般</w:t>
            </w:r>
            <w:r>
              <w:rPr>
                <w:rFonts w:ascii="Arial" w:hAnsi="Arial" w:eastAsia="仿宋_GB2312" w:cs="Arial"/>
                <w:color w:val="auto"/>
                <w:sz w:val="18"/>
                <w:szCs w:val="18"/>
              </w:rPr>
              <w:t>。</w:t>
            </w:r>
          </w:p>
        </w:tc>
        <w:tc>
          <w:tcPr>
            <w:tcW w:w="551" w:type="dxa"/>
            <w:tcBorders>
              <w:top w:val="nil"/>
              <w:left w:val="nil"/>
              <w:bottom w:val="single" w:color="auto" w:sz="4" w:space="0"/>
              <w:right w:val="single" w:color="auto" w:sz="4" w:space="0"/>
            </w:tcBorders>
            <w:shd w:val="clear" w:color="auto" w:fill="auto"/>
            <w:vAlign w:val="center"/>
          </w:tcPr>
          <w:p w14:paraId="077F215B">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02" w:type="dxa"/>
            <w:tcBorders>
              <w:top w:val="nil"/>
              <w:left w:val="nil"/>
              <w:bottom w:val="single" w:color="auto" w:sz="4" w:space="0"/>
              <w:right w:val="single" w:color="auto" w:sz="4" w:space="0"/>
            </w:tcBorders>
            <w:shd w:val="clear" w:color="auto" w:fill="auto"/>
            <w:vAlign w:val="center"/>
          </w:tcPr>
          <w:p w14:paraId="4FE87364">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案例C</w:t>
            </w:r>
            <w:r>
              <w:rPr>
                <w:rFonts w:hint="eastAsia" w:ascii="Arial" w:hAnsi="Arial" w:eastAsia="仿宋_GB2312" w:cs="Arial"/>
                <w:color w:val="auto"/>
                <w:sz w:val="18"/>
                <w:szCs w:val="18"/>
              </w:rPr>
              <w:t>周边2公里范围内有中建·鲲熙汇LOMO、社区商业街、鑫绿都生活超市NO.004西马坡店等商业服务</w:t>
            </w:r>
            <w:r>
              <w:rPr>
                <w:rFonts w:ascii="Arial" w:hAnsi="Arial" w:eastAsia="仿宋_GB2312" w:cs="Arial"/>
                <w:color w:val="auto"/>
                <w:sz w:val="18"/>
                <w:szCs w:val="18"/>
              </w:rPr>
              <w:t>设施</w:t>
            </w:r>
            <w:r>
              <w:rPr>
                <w:rFonts w:hint="eastAsia" w:ascii="Arial" w:hAnsi="Arial" w:eastAsia="仿宋_GB2312" w:cs="Arial"/>
                <w:color w:val="auto"/>
                <w:sz w:val="18"/>
                <w:szCs w:val="18"/>
              </w:rPr>
              <w:t>；中国民生银行顺义新城支行、中国银行北京马坡支行、中国农业银行北京马坡支行等金融机构；西辛幼儿园橡树珑湾园区、北京市顺义区马坡第一幼儿园、马坡小学、首都师范大学附属小学顺义向阳分院、北京市牛栏山一中实验学校等教育资源；北京中医医院顺义医院、北京顺义区马坡卫生院等医疗设施，公共配套设施齐备情况较好。</w:t>
            </w:r>
          </w:p>
        </w:tc>
        <w:tc>
          <w:tcPr>
            <w:tcW w:w="551" w:type="dxa"/>
            <w:tcBorders>
              <w:top w:val="nil"/>
              <w:left w:val="nil"/>
              <w:bottom w:val="single" w:color="auto" w:sz="4" w:space="0"/>
              <w:right w:val="single" w:color="auto" w:sz="4" w:space="0"/>
            </w:tcBorders>
            <w:shd w:val="clear" w:color="auto" w:fill="auto"/>
            <w:noWrap/>
            <w:vAlign w:val="center"/>
          </w:tcPr>
          <w:p w14:paraId="373EEA1D">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103</w:t>
            </w:r>
          </w:p>
        </w:tc>
      </w:tr>
      <w:tr w14:paraId="656EDBEA">
        <w:tblPrEx>
          <w:tblCellMar>
            <w:top w:w="57" w:type="dxa"/>
            <w:left w:w="28" w:type="dxa"/>
            <w:bottom w:w="57" w:type="dxa"/>
            <w:right w:w="28" w:type="dxa"/>
          </w:tblCellMar>
        </w:tblPrEx>
        <w:trPr>
          <w:cantSplit/>
          <w:jc w:val="center"/>
        </w:trPr>
        <w:tc>
          <w:tcPr>
            <w:tcW w:w="285" w:type="dxa"/>
            <w:vMerge w:val="restart"/>
            <w:tcBorders>
              <w:left w:val="single" w:color="auto" w:sz="4" w:space="0"/>
              <w:right w:val="single" w:color="auto" w:sz="4" w:space="0"/>
            </w:tcBorders>
            <w:shd w:val="clear" w:color="auto" w:fill="auto"/>
            <w:vAlign w:val="center"/>
          </w:tcPr>
          <w:p w14:paraId="4CD7C96B">
            <w:pPr>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区域</w:t>
            </w:r>
          </w:p>
          <w:p w14:paraId="1A8E229B">
            <w:pPr>
              <w:spacing w:line="240" w:lineRule="exact"/>
              <w:jc w:val="center"/>
              <w:rPr>
                <w:rFonts w:ascii="Arial" w:hAnsi="Arial" w:eastAsia="仿宋_GB2312" w:cs="Arial"/>
                <w:color w:val="auto"/>
                <w:sz w:val="18"/>
                <w:szCs w:val="18"/>
              </w:rPr>
            </w:pPr>
            <w:r>
              <w:rPr>
                <w:rFonts w:ascii="Arial" w:hAnsi="Arial" w:eastAsia="仿宋_GB2312" w:cs="Arial"/>
                <w:color w:val="auto"/>
                <w:sz w:val="18"/>
                <w:szCs w:val="18"/>
              </w:rPr>
              <w:t>因素</w:t>
            </w:r>
          </w:p>
          <w:p w14:paraId="3678711D">
            <w:pPr>
              <w:spacing w:line="240" w:lineRule="exact"/>
              <w:jc w:val="center"/>
              <w:rPr>
                <w:rFonts w:ascii="Arial" w:hAnsi="Arial" w:eastAsia="仿宋_GB2312" w:cs="Arial"/>
                <w:color w:val="auto"/>
                <w:sz w:val="18"/>
                <w:szCs w:val="18"/>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77DA5248">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红线外基础设施水平</w:t>
            </w:r>
          </w:p>
        </w:tc>
        <w:tc>
          <w:tcPr>
            <w:tcW w:w="1418" w:type="dxa"/>
            <w:tcBorders>
              <w:top w:val="nil"/>
              <w:left w:val="nil"/>
              <w:bottom w:val="single" w:color="auto" w:sz="4" w:space="0"/>
              <w:right w:val="single" w:color="auto" w:sz="4" w:space="0"/>
            </w:tcBorders>
            <w:shd w:val="clear" w:color="auto" w:fill="auto"/>
            <w:vAlign w:val="center"/>
          </w:tcPr>
          <w:p w14:paraId="6484E8AA">
            <w:pPr>
              <w:widowControl/>
              <w:adjustRightInd/>
              <w:spacing w:line="240" w:lineRule="exact"/>
              <w:jc w:val="both"/>
              <w:textAlignment w:val="auto"/>
              <w:rPr>
                <w:rFonts w:ascii="Arial" w:hAnsi="Arial" w:eastAsia="仿宋_GB2312" w:cs="Arial"/>
                <w:color w:val="auto"/>
                <w:sz w:val="18"/>
                <w:szCs w:val="18"/>
              </w:rPr>
            </w:pPr>
            <w:r>
              <w:rPr>
                <w:rFonts w:ascii="Arial" w:hAnsi="Arial" w:eastAsia="仿宋_GB2312" w:cs="Arial"/>
                <w:color w:val="auto"/>
                <w:sz w:val="18"/>
                <w:szCs w:val="18"/>
              </w:rPr>
              <w:t>估价对象所在区域基础设施水平达到</w:t>
            </w:r>
            <w:r>
              <w:rPr>
                <w:rFonts w:hint="eastAsia" w:ascii="Arial" w:hAnsi="Arial" w:eastAsia="仿宋_GB2312" w:cs="Arial"/>
                <w:color w:val="auto"/>
                <w:sz w:val="18"/>
                <w:szCs w:val="18"/>
              </w:rPr>
              <w:t>七</w:t>
            </w:r>
            <w:r>
              <w:rPr>
                <w:rFonts w:ascii="Arial" w:hAnsi="Arial" w:eastAsia="仿宋_GB2312" w:cs="Arial"/>
                <w:color w:val="auto"/>
                <w:sz w:val="18"/>
                <w:szCs w:val="18"/>
              </w:rPr>
              <w:t>通。</w:t>
            </w:r>
          </w:p>
        </w:tc>
        <w:tc>
          <w:tcPr>
            <w:tcW w:w="567" w:type="dxa"/>
            <w:tcBorders>
              <w:top w:val="nil"/>
              <w:left w:val="nil"/>
              <w:bottom w:val="single" w:color="auto" w:sz="4" w:space="0"/>
              <w:right w:val="single" w:color="auto" w:sz="4" w:space="0"/>
            </w:tcBorders>
            <w:shd w:val="clear" w:color="auto" w:fill="auto"/>
            <w:vAlign w:val="center"/>
          </w:tcPr>
          <w:p w14:paraId="074B9812">
            <w:pPr>
              <w:widowControl/>
              <w:adjustRightInd/>
              <w:spacing w:line="240" w:lineRule="exact"/>
              <w:jc w:val="both"/>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17B20FB0">
            <w:pPr>
              <w:widowControl/>
              <w:adjustRightInd/>
              <w:spacing w:line="240" w:lineRule="exact"/>
              <w:jc w:val="both"/>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案例A</w:t>
            </w:r>
            <w:r>
              <w:rPr>
                <w:rFonts w:ascii="Arial" w:hAnsi="Arial" w:eastAsia="仿宋_GB2312" w:cs="Arial"/>
                <w:color w:val="auto"/>
                <w:sz w:val="18"/>
                <w:szCs w:val="18"/>
              </w:rPr>
              <w:t>所在区域基础设施水平达到</w:t>
            </w:r>
            <w:r>
              <w:rPr>
                <w:rFonts w:hint="eastAsia" w:ascii="Arial" w:hAnsi="Arial" w:eastAsia="仿宋_GB2312" w:cs="Arial"/>
                <w:color w:val="auto"/>
                <w:sz w:val="18"/>
                <w:szCs w:val="18"/>
              </w:rPr>
              <w:t>七</w:t>
            </w:r>
            <w:r>
              <w:rPr>
                <w:rFonts w:ascii="Arial" w:hAnsi="Arial" w:eastAsia="仿宋_GB2312" w:cs="Arial"/>
                <w:color w:val="auto"/>
                <w:sz w:val="18"/>
                <w:szCs w:val="18"/>
              </w:rPr>
              <w:t>通。</w:t>
            </w:r>
          </w:p>
        </w:tc>
        <w:tc>
          <w:tcPr>
            <w:tcW w:w="757" w:type="dxa"/>
            <w:tcBorders>
              <w:top w:val="nil"/>
              <w:left w:val="nil"/>
              <w:bottom w:val="single" w:color="auto" w:sz="4" w:space="0"/>
              <w:right w:val="single" w:color="auto" w:sz="4" w:space="0"/>
            </w:tcBorders>
            <w:shd w:val="clear" w:color="auto" w:fill="auto"/>
            <w:vAlign w:val="center"/>
          </w:tcPr>
          <w:p w14:paraId="194F48D7">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w:t>
            </w:r>
            <w:r>
              <w:rPr>
                <w:rFonts w:hint="eastAsia" w:ascii="Arial" w:hAnsi="Arial" w:eastAsia="仿宋_GB2312" w:cs="Arial"/>
                <w:color w:val="auto"/>
                <w:sz w:val="18"/>
                <w:szCs w:val="18"/>
              </w:rPr>
              <w:t>0</w:t>
            </w:r>
          </w:p>
        </w:tc>
        <w:tc>
          <w:tcPr>
            <w:tcW w:w="1374" w:type="dxa"/>
            <w:tcBorders>
              <w:top w:val="nil"/>
              <w:left w:val="nil"/>
              <w:bottom w:val="single" w:color="auto" w:sz="4" w:space="0"/>
              <w:right w:val="single" w:color="auto" w:sz="4" w:space="0"/>
            </w:tcBorders>
            <w:shd w:val="clear" w:color="auto" w:fill="auto"/>
            <w:vAlign w:val="center"/>
          </w:tcPr>
          <w:p w14:paraId="5A78C566">
            <w:pPr>
              <w:widowControl/>
              <w:adjustRightInd/>
              <w:spacing w:line="240" w:lineRule="exact"/>
              <w:jc w:val="both"/>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案例B</w:t>
            </w:r>
            <w:r>
              <w:rPr>
                <w:rFonts w:ascii="Arial" w:hAnsi="Arial" w:eastAsia="仿宋_GB2312" w:cs="Arial"/>
                <w:color w:val="auto"/>
                <w:sz w:val="18"/>
                <w:szCs w:val="18"/>
              </w:rPr>
              <w:t>所在区域基础设施水平达到</w:t>
            </w:r>
            <w:r>
              <w:rPr>
                <w:rFonts w:hint="eastAsia" w:ascii="Arial" w:hAnsi="Arial" w:eastAsia="仿宋_GB2312" w:cs="Arial"/>
                <w:color w:val="auto"/>
                <w:sz w:val="18"/>
                <w:szCs w:val="18"/>
              </w:rPr>
              <w:t>七</w:t>
            </w:r>
            <w:r>
              <w:rPr>
                <w:rFonts w:ascii="Arial" w:hAnsi="Arial" w:eastAsia="仿宋_GB2312" w:cs="Arial"/>
                <w:color w:val="auto"/>
                <w:sz w:val="18"/>
                <w:szCs w:val="18"/>
              </w:rPr>
              <w:t>通。</w:t>
            </w:r>
          </w:p>
        </w:tc>
        <w:tc>
          <w:tcPr>
            <w:tcW w:w="551" w:type="dxa"/>
            <w:tcBorders>
              <w:top w:val="nil"/>
              <w:left w:val="nil"/>
              <w:bottom w:val="single" w:color="auto" w:sz="4" w:space="0"/>
              <w:right w:val="single" w:color="auto" w:sz="4" w:space="0"/>
            </w:tcBorders>
            <w:shd w:val="clear" w:color="auto" w:fill="auto"/>
            <w:vAlign w:val="center"/>
          </w:tcPr>
          <w:p w14:paraId="28558B96">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w:t>
            </w:r>
            <w:r>
              <w:rPr>
                <w:rFonts w:hint="eastAsia" w:ascii="Arial" w:hAnsi="Arial" w:eastAsia="仿宋_GB2312" w:cs="Arial"/>
                <w:color w:val="auto"/>
                <w:sz w:val="18"/>
                <w:szCs w:val="18"/>
              </w:rPr>
              <w:t>0</w:t>
            </w:r>
          </w:p>
        </w:tc>
        <w:tc>
          <w:tcPr>
            <w:tcW w:w="1302" w:type="dxa"/>
            <w:tcBorders>
              <w:top w:val="nil"/>
              <w:left w:val="nil"/>
              <w:bottom w:val="single" w:color="auto" w:sz="4" w:space="0"/>
              <w:right w:val="single" w:color="auto" w:sz="4" w:space="0"/>
            </w:tcBorders>
            <w:shd w:val="clear" w:color="auto" w:fill="auto"/>
            <w:vAlign w:val="center"/>
          </w:tcPr>
          <w:p w14:paraId="686B8750">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w:t>
            </w:r>
            <w:r>
              <w:rPr>
                <w:rFonts w:ascii="Arial" w:hAnsi="Arial" w:eastAsia="仿宋_GB2312" w:cs="Arial"/>
                <w:color w:val="auto"/>
                <w:sz w:val="18"/>
                <w:szCs w:val="18"/>
              </w:rPr>
              <w:t>C所在区域基础设施水平达到</w:t>
            </w:r>
            <w:r>
              <w:rPr>
                <w:rFonts w:hint="eastAsia" w:ascii="Arial" w:hAnsi="Arial" w:eastAsia="仿宋_GB2312" w:cs="Arial"/>
                <w:color w:val="auto"/>
                <w:sz w:val="18"/>
                <w:szCs w:val="18"/>
              </w:rPr>
              <w:t>七</w:t>
            </w:r>
            <w:r>
              <w:rPr>
                <w:rFonts w:ascii="Arial" w:hAnsi="Arial" w:eastAsia="仿宋_GB2312" w:cs="Arial"/>
                <w:color w:val="auto"/>
                <w:sz w:val="18"/>
                <w:szCs w:val="18"/>
              </w:rPr>
              <w:t>通。</w:t>
            </w:r>
          </w:p>
        </w:tc>
        <w:tc>
          <w:tcPr>
            <w:tcW w:w="551" w:type="dxa"/>
            <w:tcBorders>
              <w:top w:val="nil"/>
              <w:left w:val="nil"/>
              <w:bottom w:val="single" w:color="auto" w:sz="4" w:space="0"/>
              <w:right w:val="single" w:color="auto" w:sz="4" w:space="0"/>
            </w:tcBorders>
            <w:shd w:val="clear" w:color="auto" w:fill="auto"/>
            <w:noWrap/>
            <w:vAlign w:val="center"/>
          </w:tcPr>
          <w:p w14:paraId="7C5BF01E">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w:t>
            </w:r>
            <w:r>
              <w:rPr>
                <w:rFonts w:hint="eastAsia" w:ascii="Arial" w:hAnsi="Arial" w:eastAsia="仿宋_GB2312" w:cs="Arial"/>
                <w:color w:val="auto"/>
                <w:sz w:val="18"/>
                <w:szCs w:val="18"/>
              </w:rPr>
              <w:t>0</w:t>
            </w:r>
          </w:p>
        </w:tc>
      </w:tr>
      <w:tr w14:paraId="33E3AC5D">
        <w:tblPrEx>
          <w:tblCellMar>
            <w:top w:w="57" w:type="dxa"/>
            <w:left w:w="28" w:type="dxa"/>
            <w:bottom w:w="57" w:type="dxa"/>
            <w:right w:w="28" w:type="dxa"/>
          </w:tblCellMar>
        </w:tblPrEx>
        <w:trPr>
          <w:cantSplit/>
          <w:jc w:val="center"/>
        </w:trPr>
        <w:tc>
          <w:tcPr>
            <w:tcW w:w="285" w:type="dxa"/>
            <w:vMerge w:val="continue"/>
            <w:tcBorders>
              <w:left w:val="single" w:color="auto" w:sz="4" w:space="0"/>
              <w:right w:val="single" w:color="auto" w:sz="4" w:space="0"/>
            </w:tcBorders>
            <w:shd w:val="clear" w:color="auto" w:fill="auto"/>
            <w:vAlign w:val="center"/>
          </w:tcPr>
          <w:p w14:paraId="66F34033">
            <w:pPr>
              <w:spacing w:line="240" w:lineRule="exact"/>
              <w:jc w:val="center"/>
              <w:rPr>
                <w:rFonts w:ascii="Arial" w:hAnsi="Arial" w:eastAsia="仿宋_GB2312" w:cs="Arial"/>
                <w:color w:val="auto"/>
                <w:sz w:val="18"/>
                <w:szCs w:val="18"/>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06CC86B9">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环境质量</w:t>
            </w:r>
          </w:p>
        </w:tc>
        <w:tc>
          <w:tcPr>
            <w:tcW w:w="1418" w:type="dxa"/>
            <w:tcBorders>
              <w:top w:val="nil"/>
              <w:left w:val="nil"/>
              <w:bottom w:val="single" w:color="auto" w:sz="4" w:space="0"/>
              <w:right w:val="single" w:color="auto" w:sz="4" w:space="0"/>
            </w:tcBorders>
            <w:shd w:val="clear" w:color="auto" w:fill="auto"/>
            <w:vAlign w:val="center"/>
          </w:tcPr>
          <w:p w14:paraId="3EA1DF43">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估价对位于北京市顺义区高丽营镇夏县营村，周边2公里南郎中休闲公园、口袋公园、方氏渠等自然环境；无人文环境；综合评价环境状况一般。</w:t>
            </w:r>
          </w:p>
        </w:tc>
        <w:tc>
          <w:tcPr>
            <w:tcW w:w="567" w:type="dxa"/>
            <w:tcBorders>
              <w:top w:val="nil"/>
              <w:left w:val="nil"/>
              <w:bottom w:val="single" w:color="auto" w:sz="4" w:space="0"/>
              <w:right w:val="single" w:color="auto" w:sz="4" w:space="0"/>
            </w:tcBorders>
            <w:shd w:val="clear" w:color="auto" w:fill="auto"/>
            <w:vAlign w:val="center"/>
          </w:tcPr>
          <w:p w14:paraId="04502C2F">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3E4FF44C">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案例A周边有城北减河水系、卧龙公园、马坡千亩森林公园等自然环境；临近顺义区政府、顺义区政务服务中心；综合评价环境状况较好。</w:t>
            </w:r>
          </w:p>
        </w:tc>
        <w:tc>
          <w:tcPr>
            <w:tcW w:w="757" w:type="dxa"/>
            <w:tcBorders>
              <w:top w:val="nil"/>
              <w:left w:val="nil"/>
              <w:bottom w:val="single" w:color="auto" w:sz="4" w:space="0"/>
              <w:right w:val="single" w:color="auto" w:sz="4" w:space="0"/>
            </w:tcBorders>
            <w:shd w:val="clear" w:color="auto" w:fill="auto"/>
            <w:vAlign w:val="center"/>
          </w:tcPr>
          <w:p w14:paraId="085A62F9">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103</w:t>
            </w:r>
          </w:p>
        </w:tc>
        <w:tc>
          <w:tcPr>
            <w:tcW w:w="1374" w:type="dxa"/>
            <w:tcBorders>
              <w:top w:val="nil"/>
              <w:left w:val="nil"/>
              <w:bottom w:val="single" w:color="auto" w:sz="4" w:space="0"/>
              <w:right w:val="single" w:color="auto" w:sz="4" w:space="0"/>
            </w:tcBorders>
            <w:shd w:val="clear" w:color="auto" w:fill="auto"/>
            <w:vAlign w:val="center"/>
          </w:tcPr>
          <w:p w14:paraId="559DE258">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w:t>
            </w:r>
            <w:r>
              <w:rPr>
                <w:rFonts w:ascii="Arial" w:hAnsi="Arial" w:eastAsia="仿宋_GB2312" w:cs="Arial"/>
                <w:color w:val="auto"/>
                <w:sz w:val="18"/>
                <w:szCs w:val="18"/>
              </w:rPr>
              <w:t>B</w:t>
            </w:r>
            <w:r>
              <w:rPr>
                <w:rFonts w:hint="eastAsia" w:ascii="Arial" w:hAnsi="Arial" w:eastAsia="仿宋_GB2312" w:cs="Arial"/>
                <w:color w:val="auto"/>
                <w:sz w:val="18"/>
                <w:szCs w:val="18"/>
              </w:rPr>
              <w:t>周边3公里范围公园绿化较少，绿化条件较差；人文场所较少。周边2公里内有光华集团产业园、七粹文化创意产业园等产业园区。综合考虑自然环境与人文环境一般。</w:t>
            </w:r>
          </w:p>
        </w:tc>
        <w:tc>
          <w:tcPr>
            <w:tcW w:w="551" w:type="dxa"/>
            <w:tcBorders>
              <w:top w:val="nil"/>
              <w:left w:val="nil"/>
              <w:bottom w:val="single" w:color="auto" w:sz="4" w:space="0"/>
              <w:right w:val="single" w:color="auto" w:sz="4" w:space="0"/>
            </w:tcBorders>
            <w:shd w:val="clear" w:color="auto" w:fill="auto"/>
            <w:vAlign w:val="center"/>
          </w:tcPr>
          <w:p w14:paraId="66A5E9E9">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302" w:type="dxa"/>
            <w:tcBorders>
              <w:top w:val="nil"/>
              <w:left w:val="nil"/>
              <w:bottom w:val="single" w:color="auto" w:sz="4" w:space="0"/>
              <w:right w:val="single" w:color="auto" w:sz="4" w:space="0"/>
            </w:tcBorders>
            <w:shd w:val="clear" w:color="auto" w:fill="auto"/>
            <w:vAlign w:val="center"/>
          </w:tcPr>
          <w:p w14:paraId="44B3A8ED">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w:t>
            </w:r>
            <w:r>
              <w:rPr>
                <w:rFonts w:ascii="Arial" w:hAnsi="Arial" w:eastAsia="仿宋_GB2312" w:cs="Arial"/>
                <w:color w:val="auto"/>
                <w:sz w:val="18"/>
                <w:szCs w:val="18"/>
              </w:rPr>
              <w:t>C</w:t>
            </w:r>
            <w:r>
              <w:rPr>
                <w:rFonts w:hint="eastAsia" w:ascii="Arial" w:hAnsi="Arial" w:eastAsia="仿宋_GB2312" w:cs="Arial"/>
                <w:color w:val="auto"/>
                <w:sz w:val="18"/>
                <w:szCs w:val="18"/>
              </w:rPr>
              <w:t>周边有马坡千亩森林公园、潮白河等自然环境；有乡村高尔夫俱乐部，临近顺义区政府、顺义区政务服务中心；综合评价环境状况较好。</w:t>
            </w:r>
          </w:p>
        </w:tc>
        <w:tc>
          <w:tcPr>
            <w:tcW w:w="551" w:type="dxa"/>
            <w:tcBorders>
              <w:top w:val="nil"/>
              <w:left w:val="nil"/>
              <w:bottom w:val="single" w:color="auto" w:sz="4" w:space="0"/>
              <w:right w:val="single" w:color="auto" w:sz="4" w:space="0"/>
            </w:tcBorders>
            <w:shd w:val="clear" w:color="auto" w:fill="auto"/>
            <w:noWrap/>
            <w:vAlign w:val="center"/>
          </w:tcPr>
          <w:p w14:paraId="70DE0B21">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w:t>
            </w:r>
            <w:r>
              <w:rPr>
                <w:rFonts w:hint="eastAsia" w:ascii="Arial" w:hAnsi="Arial" w:eastAsia="仿宋_GB2312" w:cs="Arial"/>
                <w:color w:val="auto"/>
                <w:sz w:val="18"/>
                <w:szCs w:val="18"/>
              </w:rPr>
              <w:t>3</w:t>
            </w:r>
          </w:p>
        </w:tc>
      </w:tr>
      <w:tr w14:paraId="700365AA">
        <w:tblPrEx>
          <w:tblCellMar>
            <w:top w:w="57" w:type="dxa"/>
            <w:left w:w="28" w:type="dxa"/>
            <w:bottom w:w="57" w:type="dxa"/>
            <w:right w:w="28" w:type="dxa"/>
          </w:tblCellMar>
        </w:tblPrEx>
        <w:trPr>
          <w:cantSplit/>
          <w:jc w:val="center"/>
        </w:trPr>
        <w:tc>
          <w:tcPr>
            <w:tcW w:w="285" w:type="dxa"/>
            <w:tcBorders>
              <w:left w:val="single" w:color="auto" w:sz="4" w:space="0"/>
              <w:right w:val="single" w:color="auto" w:sz="4" w:space="0"/>
            </w:tcBorders>
            <w:shd w:val="clear" w:color="auto" w:fill="auto"/>
            <w:vAlign w:val="center"/>
          </w:tcPr>
          <w:p w14:paraId="47EC0623">
            <w:pPr>
              <w:spacing w:line="240" w:lineRule="exact"/>
              <w:jc w:val="center"/>
              <w:rPr>
                <w:rFonts w:ascii="Arial" w:hAnsi="Arial" w:eastAsia="仿宋_GB2312" w:cs="Arial"/>
                <w:color w:val="auto"/>
                <w:sz w:val="18"/>
                <w:szCs w:val="18"/>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66E91DD5">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道路级别</w:t>
            </w:r>
          </w:p>
        </w:tc>
        <w:tc>
          <w:tcPr>
            <w:tcW w:w="1418" w:type="dxa"/>
            <w:tcBorders>
              <w:top w:val="nil"/>
              <w:left w:val="nil"/>
              <w:bottom w:val="single" w:color="auto" w:sz="4" w:space="0"/>
              <w:right w:val="single" w:color="auto" w:sz="4" w:space="0"/>
            </w:tcBorders>
            <w:shd w:val="clear" w:color="auto" w:fill="auto"/>
            <w:vAlign w:val="center"/>
          </w:tcPr>
          <w:p w14:paraId="7E896D98">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城市主干道—火寺路</w:t>
            </w:r>
          </w:p>
        </w:tc>
        <w:tc>
          <w:tcPr>
            <w:tcW w:w="567" w:type="dxa"/>
            <w:tcBorders>
              <w:top w:val="nil"/>
              <w:left w:val="nil"/>
              <w:bottom w:val="single" w:color="auto" w:sz="4" w:space="0"/>
              <w:right w:val="single" w:color="auto" w:sz="4" w:space="0"/>
            </w:tcBorders>
            <w:shd w:val="clear" w:color="auto" w:fill="auto"/>
            <w:vAlign w:val="center"/>
          </w:tcPr>
          <w:p w14:paraId="08409504">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4060E5A5">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城市主干道—西环路</w:t>
            </w:r>
          </w:p>
        </w:tc>
        <w:tc>
          <w:tcPr>
            <w:tcW w:w="757" w:type="dxa"/>
            <w:tcBorders>
              <w:top w:val="nil"/>
              <w:left w:val="nil"/>
              <w:bottom w:val="single" w:color="auto" w:sz="4" w:space="0"/>
              <w:right w:val="single" w:color="auto" w:sz="4" w:space="0"/>
            </w:tcBorders>
            <w:shd w:val="clear" w:color="auto" w:fill="auto"/>
            <w:vAlign w:val="center"/>
          </w:tcPr>
          <w:p w14:paraId="2368B3D9">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374" w:type="dxa"/>
            <w:tcBorders>
              <w:top w:val="nil"/>
              <w:left w:val="nil"/>
              <w:bottom w:val="single" w:color="auto" w:sz="4" w:space="0"/>
              <w:right w:val="single" w:color="auto" w:sz="4" w:space="0"/>
            </w:tcBorders>
            <w:shd w:val="clear" w:color="auto" w:fill="auto"/>
            <w:vAlign w:val="center"/>
          </w:tcPr>
          <w:p w14:paraId="4A2EC24B">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城市主干道—府前街路</w:t>
            </w:r>
          </w:p>
        </w:tc>
        <w:tc>
          <w:tcPr>
            <w:tcW w:w="551" w:type="dxa"/>
            <w:tcBorders>
              <w:top w:val="nil"/>
              <w:left w:val="nil"/>
              <w:bottom w:val="single" w:color="auto" w:sz="4" w:space="0"/>
              <w:right w:val="single" w:color="auto" w:sz="4" w:space="0"/>
            </w:tcBorders>
            <w:shd w:val="clear" w:color="auto" w:fill="auto"/>
            <w:vAlign w:val="center"/>
          </w:tcPr>
          <w:p w14:paraId="7D508D32">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302" w:type="dxa"/>
            <w:tcBorders>
              <w:top w:val="nil"/>
              <w:left w:val="nil"/>
              <w:bottom w:val="single" w:color="auto" w:sz="4" w:space="0"/>
              <w:right w:val="single" w:color="auto" w:sz="4" w:space="0"/>
            </w:tcBorders>
            <w:shd w:val="clear" w:color="auto" w:fill="auto"/>
            <w:vAlign w:val="center"/>
          </w:tcPr>
          <w:p w14:paraId="0C6F9EB6">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城市主干道—通顺路</w:t>
            </w:r>
          </w:p>
        </w:tc>
        <w:tc>
          <w:tcPr>
            <w:tcW w:w="551" w:type="dxa"/>
            <w:tcBorders>
              <w:top w:val="nil"/>
              <w:left w:val="nil"/>
              <w:bottom w:val="single" w:color="auto" w:sz="4" w:space="0"/>
              <w:right w:val="single" w:color="auto" w:sz="4" w:space="0"/>
            </w:tcBorders>
            <w:shd w:val="clear" w:color="auto" w:fill="auto"/>
            <w:noWrap/>
            <w:vAlign w:val="center"/>
          </w:tcPr>
          <w:p w14:paraId="325F9477">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r>
      <w:tr w14:paraId="4285E891">
        <w:tblPrEx>
          <w:tblCellMar>
            <w:top w:w="57" w:type="dxa"/>
            <w:left w:w="28" w:type="dxa"/>
            <w:bottom w:w="57" w:type="dxa"/>
            <w:right w:w="28" w:type="dxa"/>
          </w:tblCellMar>
        </w:tblPrEx>
        <w:trPr>
          <w:cantSplit/>
          <w:jc w:val="center"/>
        </w:trPr>
        <w:tc>
          <w:tcPr>
            <w:tcW w:w="285" w:type="dxa"/>
            <w:vMerge w:val="restart"/>
            <w:tcBorders>
              <w:top w:val="single" w:color="auto" w:sz="4" w:space="0"/>
              <w:left w:val="single" w:color="auto" w:sz="4" w:space="0"/>
              <w:right w:val="single" w:color="auto" w:sz="4" w:space="0"/>
            </w:tcBorders>
            <w:shd w:val="clear" w:color="auto" w:fill="auto"/>
            <w:vAlign w:val="center"/>
          </w:tcPr>
          <w:p w14:paraId="1723BA33">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个别</w:t>
            </w:r>
          </w:p>
          <w:p w14:paraId="5022A0EB">
            <w:pPr>
              <w:spacing w:line="240" w:lineRule="exact"/>
              <w:rPr>
                <w:rFonts w:ascii="Arial" w:hAnsi="Arial" w:eastAsia="仿宋_GB2312" w:cs="Arial"/>
                <w:color w:val="auto"/>
                <w:sz w:val="18"/>
                <w:szCs w:val="18"/>
              </w:rPr>
            </w:pPr>
            <w:r>
              <w:rPr>
                <w:rFonts w:ascii="Arial" w:hAnsi="Arial" w:eastAsia="仿宋_GB2312" w:cs="Arial"/>
                <w:color w:val="auto"/>
                <w:sz w:val="18"/>
                <w:szCs w:val="18"/>
              </w:rPr>
              <w:t>因素</w:t>
            </w: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6B6C7041">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建筑类型</w:t>
            </w:r>
          </w:p>
        </w:tc>
        <w:tc>
          <w:tcPr>
            <w:tcW w:w="1418" w:type="dxa"/>
            <w:tcBorders>
              <w:top w:val="nil"/>
              <w:left w:val="nil"/>
              <w:bottom w:val="single" w:color="auto" w:sz="4" w:space="0"/>
              <w:right w:val="single" w:color="auto" w:sz="4" w:space="0"/>
            </w:tcBorders>
            <w:shd w:val="clear" w:color="auto" w:fill="auto"/>
            <w:vAlign w:val="center"/>
          </w:tcPr>
          <w:p w14:paraId="54574CD2">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多层板楼</w:t>
            </w:r>
          </w:p>
        </w:tc>
        <w:tc>
          <w:tcPr>
            <w:tcW w:w="567" w:type="dxa"/>
            <w:tcBorders>
              <w:top w:val="nil"/>
              <w:left w:val="nil"/>
              <w:bottom w:val="single" w:color="auto" w:sz="4" w:space="0"/>
              <w:right w:val="single" w:color="auto" w:sz="4" w:space="0"/>
            </w:tcBorders>
            <w:shd w:val="clear" w:color="auto" w:fill="auto"/>
            <w:vAlign w:val="center"/>
          </w:tcPr>
          <w:p w14:paraId="1537313C">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5A730300">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小高层板楼</w:t>
            </w:r>
          </w:p>
        </w:tc>
        <w:tc>
          <w:tcPr>
            <w:tcW w:w="757" w:type="dxa"/>
            <w:tcBorders>
              <w:top w:val="nil"/>
              <w:left w:val="nil"/>
              <w:bottom w:val="single" w:color="auto" w:sz="4" w:space="0"/>
              <w:right w:val="single" w:color="auto" w:sz="4" w:space="0"/>
            </w:tcBorders>
            <w:shd w:val="clear" w:color="auto" w:fill="auto"/>
            <w:vAlign w:val="center"/>
          </w:tcPr>
          <w:p w14:paraId="59C7DD16">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98</w:t>
            </w:r>
          </w:p>
        </w:tc>
        <w:tc>
          <w:tcPr>
            <w:tcW w:w="1374" w:type="dxa"/>
            <w:tcBorders>
              <w:top w:val="nil"/>
              <w:left w:val="nil"/>
              <w:bottom w:val="single" w:color="auto" w:sz="4" w:space="0"/>
              <w:right w:val="single" w:color="auto" w:sz="4" w:space="0"/>
            </w:tcBorders>
            <w:shd w:val="clear" w:color="auto" w:fill="auto"/>
            <w:vAlign w:val="center"/>
          </w:tcPr>
          <w:p w14:paraId="1841B522">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小高层板楼</w:t>
            </w:r>
          </w:p>
        </w:tc>
        <w:tc>
          <w:tcPr>
            <w:tcW w:w="551" w:type="dxa"/>
            <w:tcBorders>
              <w:top w:val="nil"/>
              <w:left w:val="nil"/>
              <w:bottom w:val="single" w:color="auto" w:sz="4" w:space="0"/>
              <w:right w:val="single" w:color="auto" w:sz="4" w:space="0"/>
            </w:tcBorders>
            <w:shd w:val="clear" w:color="auto" w:fill="auto"/>
            <w:vAlign w:val="center"/>
          </w:tcPr>
          <w:p w14:paraId="4A4F0E68">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98</w:t>
            </w:r>
          </w:p>
        </w:tc>
        <w:tc>
          <w:tcPr>
            <w:tcW w:w="1302" w:type="dxa"/>
            <w:tcBorders>
              <w:top w:val="nil"/>
              <w:left w:val="nil"/>
              <w:bottom w:val="single" w:color="auto" w:sz="4" w:space="0"/>
              <w:right w:val="single" w:color="auto" w:sz="4" w:space="0"/>
            </w:tcBorders>
            <w:shd w:val="clear" w:color="auto" w:fill="auto"/>
            <w:vAlign w:val="center"/>
          </w:tcPr>
          <w:p w14:paraId="0A7328EC">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小高层板楼</w:t>
            </w:r>
          </w:p>
        </w:tc>
        <w:tc>
          <w:tcPr>
            <w:tcW w:w="551" w:type="dxa"/>
            <w:tcBorders>
              <w:top w:val="nil"/>
              <w:left w:val="nil"/>
              <w:bottom w:val="single" w:color="auto" w:sz="4" w:space="0"/>
              <w:right w:val="single" w:color="auto" w:sz="4" w:space="0"/>
            </w:tcBorders>
            <w:shd w:val="clear" w:color="auto" w:fill="auto"/>
            <w:noWrap/>
            <w:vAlign w:val="center"/>
          </w:tcPr>
          <w:p w14:paraId="3ABB367A">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98</w:t>
            </w:r>
          </w:p>
        </w:tc>
      </w:tr>
      <w:tr w14:paraId="231AC14B">
        <w:tblPrEx>
          <w:tblCellMar>
            <w:top w:w="57" w:type="dxa"/>
            <w:left w:w="28" w:type="dxa"/>
            <w:bottom w:w="57" w:type="dxa"/>
            <w:right w:w="28" w:type="dxa"/>
          </w:tblCellMar>
        </w:tblPrEx>
        <w:trPr>
          <w:cantSplit/>
          <w:jc w:val="center"/>
        </w:trPr>
        <w:tc>
          <w:tcPr>
            <w:tcW w:w="285" w:type="dxa"/>
            <w:vMerge w:val="continue"/>
            <w:tcBorders>
              <w:left w:val="single" w:color="auto" w:sz="4" w:space="0"/>
              <w:right w:val="single" w:color="auto" w:sz="4" w:space="0"/>
            </w:tcBorders>
            <w:shd w:val="clear" w:color="auto" w:fill="auto"/>
            <w:vAlign w:val="center"/>
          </w:tcPr>
          <w:p w14:paraId="6E17DE1F">
            <w:pPr>
              <w:widowControl/>
              <w:adjustRightInd/>
              <w:spacing w:line="240" w:lineRule="exact"/>
              <w:textAlignment w:val="auto"/>
              <w:rPr>
                <w:rFonts w:ascii="Arial" w:hAnsi="Arial" w:eastAsia="仿宋_GB2312" w:cs="Arial"/>
                <w:color w:val="auto"/>
                <w:sz w:val="18"/>
                <w:szCs w:val="18"/>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2A17B903">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建筑结构</w:t>
            </w:r>
          </w:p>
        </w:tc>
        <w:tc>
          <w:tcPr>
            <w:tcW w:w="1418" w:type="dxa"/>
            <w:tcBorders>
              <w:top w:val="nil"/>
              <w:left w:val="nil"/>
              <w:bottom w:val="single" w:color="auto" w:sz="4" w:space="0"/>
              <w:right w:val="single" w:color="auto" w:sz="4" w:space="0"/>
            </w:tcBorders>
            <w:shd w:val="clear" w:color="auto" w:fill="auto"/>
            <w:vAlign w:val="center"/>
          </w:tcPr>
          <w:p w14:paraId="4358F48A">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钢混</w:t>
            </w:r>
          </w:p>
        </w:tc>
        <w:tc>
          <w:tcPr>
            <w:tcW w:w="567" w:type="dxa"/>
            <w:tcBorders>
              <w:top w:val="nil"/>
              <w:left w:val="nil"/>
              <w:bottom w:val="single" w:color="auto" w:sz="4" w:space="0"/>
              <w:right w:val="single" w:color="auto" w:sz="4" w:space="0"/>
            </w:tcBorders>
            <w:shd w:val="clear" w:color="auto" w:fill="auto"/>
            <w:vAlign w:val="center"/>
          </w:tcPr>
          <w:p w14:paraId="06BCA19D">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2D739A90">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钢混</w:t>
            </w:r>
          </w:p>
        </w:tc>
        <w:tc>
          <w:tcPr>
            <w:tcW w:w="757" w:type="dxa"/>
            <w:tcBorders>
              <w:top w:val="nil"/>
              <w:left w:val="nil"/>
              <w:bottom w:val="single" w:color="auto" w:sz="4" w:space="0"/>
              <w:right w:val="single" w:color="auto" w:sz="4" w:space="0"/>
            </w:tcBorders>
            <w:shd w:val="clear" w:color="auto" w:fill="auto"/>
            <w:vAlign w:val="center"/>
          </w:tcPr>
          <w:p w14:paraId="7B433E2C">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74" w:type="dxa"/>
            <w:tcBorders>
              <w:top w:val="nil"/>
              <w:left w:val="nil"/>
              <w:bottom w:val="single" w:color="auto" w:sz="4" w:space="0"/>
              <w:right w:val="single" w:color="auto" w:sz="4" w:space="0"/>
            </w:tcBorders>
            <w:shd w:val="clear" w:color="auto" w:fill="auto"/>
            <w:vAlign w:val="center"/>
          </w:tcPr>
          <w:p w14:paraId="468C9FCD">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钢混</w:t>
            </w:r>
          </w:p>
        </w:tc>
        <w:tc>
          <w:tcPr>
            <w:tcW w:w="551" w:type="dxa"/>
            <w:tcBorders>
              <w:top w:val="nil"/>
              <w:left w:val="nil"/>
              <w:bottom w:val="single" w:color="auto" w:sz="4" w:space="0"/>
              <w:right w:val="single" w:color="auto" w:sz="4" w:space="0"/>
            </w:tcBorders>
            <w:shd w:val="clear" w:color="auto" w:fill="auto"/>
            <w:vAlign w:val="center"/>
          </w:tcPr>
          <w:p w14:paraId="695EA558">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02" w:type="dxa"/>
            <w:tcBorders>
              <w:top w:val="nil"/>
              <w:left w:val="nil"/>
              <w:bottom w:val="single" w:color="auto" w:sz="4" w:space="0"/>
              <w:right w:val="single" w:color="auto" w:sz="4" w:space="0"/>
            </w:tcBorders>
            <w:shd w:val="clear" w:color="auto" w:fill="auto"/>
            <w:vAlign w:val="center"/>
          </w:tcPr>
          <w:p w14:paraId="65D8E2F4">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钢混</w:t>
            </w:r>
          </w:p>
        </w:tc>
        <w:tc>
          <w:tcPr>
            <w:tcW w:w="551" w:type="dxa"/>
            <w:tcBorders>
              <w:top w:val="nil"/>
              <w:left w:val="nil"/>
              <w:bottom w:val="single" w:color="auto" w:sz="4" w:space="0"/>
              <w:right w:val="single" w:color="auto" w:sz="4" w:space="0"/>
            </w:tcBorders>
            <w:shd w:val="clear" w:color="auto" w:fill="auto"/>
            <w:noWrap/>
            <w:vAlign w:val="center"/>
          </w:tcPr>
          <w:p w14:paraId="090AA20B">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r>
      <w:tr w14:paraId="2A8C658D">
        <w:tblPrEx>
          <w:tblCellMar>
            <w:top w:w="57" w:type="dxa"/>
            <w:left w:w="28" w:type="dxa"/>
            <w:bottom w:w="57" w:type="dxa"/>
            <w:right w:w="28" w:type="dxa"/>
          </w:tblCellMar>
        </w:tblPrEx>
        <w:trPr>
          <w:cantSplit/>
          <w:jc w:val="center"/>
        </w:trPr>
        <w:tc>
          <w:tcPr>
            <w:tcW w:w="285" w:type="dxa"/>
            <w:vMerge w:val="continue"/>
            <w:tcBorders>
              <w:left w:val="single" w:color="auto" w:sz="4" w:space="0"/>
              <w:right w:val="single" w:color="auto" w:sz="4" w:space="0"/>
            </w:tcBorders>
            <w:shd w:val="clear" w:color="auto" w:fill="auto"/>
            <w:vAlign w:val="center"/>
          </w:tcPr>
          <w:p w14:paraId="159EE295">
            <w:pPr>
              <w:widowControl/>
              <w:adjustRightInd/>
              <w:spacing w:line="240" w:lineRule="exact"/>
              <w:textAlignment w:val="auto"/>
              <w:rPr>
                <w:rFonts w:ascii="Arial" w:hAnsi="Arial" w:eastAsia="仿宋_GB2312" w:cs="Arial"/>
                <w:color w:val="auto"/>
                <w:sz w:val="18"/>
                <w:szCs w:val="18"/>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424F8DD3">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物业管理</w:t>
            </w:r>
          </w:p>
        </w:tc>
        <w:tc>
          <w:tcPr>
            <w:tcW w:w="1418" w:type="dxa"/>
            <w:tcBorders>
              <w:top w:val="nil"/>
              <w:left w:val="nil"/>
              <w:bottom w:val="single" w:color="auto" w:sz="4" w:space="0"/>
              <w:right w:val="single" w:color="auto" w:sz="4" w:space="0"/>
            </w:tcBorders>
            <w:shd w:val="clear" w:color="auto" w:fill="auto"/>
            <w:vAlign w:val="center"/>
          </w:tcPr>
          <w:p w14:paraId="035E8BCC">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专业</w:t>
            </w:r>
            <w:r>
              <w:rPr>
                <w:rFonts w:ascii="Arial" w:hAnsi="Arial" w:eastAsia="仿宋_GB2312" w:cs="Arial"/>
                <w:color w:val="auto"/>
                <w:sz w:val="18"/>
                <w:szCs w:val="18"/>
              </w:rPr>
              <w:t>物业公司</w:t>
            </w:r>
          </w:p>
        </w:tc>
        <w:tc>
          <w:tcPr>
            <w:tcW w:w="567" w:type="dxa"/>
            <w:tcBorders>
              <w:top w:val="nil"/>
              <w:left w:val="nil"/>
              <w:bottom w:val="single" w:color="auto" w:sz="4" w:space="0"/>
              <w:right w:val="single" w:color="auto" w:sz="4" w:space="0"/>
            </w:tcBorders>
            <w:shd w:val="clear" w:color="auto" w:fill="auto"/>
            <w:vAlign w:val="center"/>
          </w:tcPr>
          <w:p w14:paraId="5A4EB618">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nil"/>
              <w:left w:val="nil"/>
              <w:bottom w:val="single" w:color="auto" w:sz="4" w:space="0"/>
              <w:right w:val="single" w:color="auto" w:sz="4" w:space="0"/>
            </w:tcBorders>
            <w:shd w:val="clear" w:color="auto" w:fill="auto"/>
            <w:vAlign w:val="center"/>
          </w:tcPr>
          <w:p w14:paraId="35B07EC8">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专业</w:t>
            </w:r>
            <w:r>
              <w:rPr>
                <w:rFonts w:ascii="Arial" w:hAnsi="Arial" w:eastAsia="仿宋_GB2312" w:cs="Arial"/>
                <w:color w:val="auto"/>
                <w:sz w:val="18"/>
                <w:szCs w:val="18"/>
              </w:rPr>
              <w:t>物业公司</w:t>
            </w:r>
          </w:p>
        </w:tc>
        <w:tc>
          <w:tcPr>
            <w:tcW w:w="757" w:type="dxa"/>
            <w:tcBorders>
              <w:top w:val="nil"/>
              <w:left w:val="nil"/>
              <w:bottom w:val="single" w:color="auto" w:sz="4" w:space="0"/>
              <w:right w:val="single" w:color="auto" w:sz="4" w:space="0"/>
            </w:tcBorders>
            <w:shd w:val="clear" w:color="auto" w:fill="auto"/>
            <w:vAlign w:val="center"/>
          </w:tcPr>
          <w:p w14:paraId="36099D62">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74" w:type="dxa"/>
            <w:tcBorders>
              <w:top w:val="nil"/>
              <w:left w:val="nil"/>
              <w:bottom w:val="single" w:color="auto" w:sz="4" w:space="0"/>
              <w:right w:val="single" w:color="auto" w:sz="4" w:space="0"/>
            </w:tcBorders>
            <w:shd w:val="clear" w:color="auto" w:fill="auto"/>
            <w:vAlign w:val="center"/>
          </w:tcPr>
          <w:p w14:paraId="2FA77C1F">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专业</w:t>
            </w:r>
            <w:r>
              <w:rPr>
                <w:rFonts w:ascii="Arial" w:hAnsi="Arial" w:eastAsia="仿宋_GB2312" w:cs="Arial"/>
                <w:color w:val="auto"/>
                <w:sz w:val="18"/>
                <w:szCs w:val="18"/>
              </w:rPr>
              <w:t>物业公司</w:t>
            </w:r>
          </w:p>
        </w:tc>
        <w:tc>
          <w:tcPr>
            <w:tcW w:w="551" w:type="dxa"/>
            <w:tcBorders>
              <w:top w:val="nil"/>
              <w:left w:val="nil"/>
              <w:bottom w:val="single" w:color="auto" w:sz="4" w:space="0"/>
              <w:right w:val="single" w:color="auto" w:sz="4" w:space="0"/>
            </w:tcBorders>
            <w:shd w:val="clear" w:color="auto" w:fill="auto"/>
            <w:vAlign w:val="center"/>
          </w:tcPr>
          <w:p w14:paraId="7BDF77D5">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02" w:type="dxa"/>
            <w:tcBorders>
              <w:top w:val="nil"/>
              <w:left w:val="nil"/>
              <w:bottom w:val="single" w:color="auto" w:sz="4" w:space="0"/>
              <w:right w:val="single" w:color="auto" w:sz="4" w:space="0"/>
            </w:tcBorders>
            <w:shd w:val="clear" w:color="auto" w:fill="auto"/>
            <w:vAlign w:val="center"/>
          </w:tcPr>
          <w:p w14:paraId="13C5CE7E">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专业</w:t>
            </w:r>
            <w:r>
              <w:rPr>
                <w:rFonts w:ascii="Arial" w:hAnsi="Arial" w:eastAsia="仿宋_GB2312" w:cs="Arial"/>
                <w:color w:val="auto"/>
                <w:sz w:val="18"/>
                <w:szCs w:val="18"/>
              </w:rPr>
              <w:t>物业公司</w:t>
            </w:r>
          </w:p>
        </w:tc>
        <w:tc>
          <w:tcPr>
            <w:tcW w:w="551" w:type="dxa"/>
            <w:tcBorders>
              <w:top w:val="nil"/>
              <w:left w:val="nil"/>
              <w:bottom w:val="single" w:color="auto" w:sz="4" w:space="0"/>
              <w:right w:val="single" w:color="auto" w:sz="4" w:space="0"/>
            </w:tcBorders>
            <w:shd w:val="clear" w:color="auto" w:fill="auto"/>
            <w:noWrap/>
            <w:vAlign w:val="center"/>
          </w:tcPr>
          <w:p w14:paraId="367F20AB">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r>
      <w:tr w14:paraId="097321E9">
        <w:tblPrEx>
          <w:tblCellMar>
            <w:top w:w="57" w:type="dxa"/>
            <w:left w:w="28" w:type="dxa"/>
            <w:bottom w:w="57" w:type="dxa"/>
            <w:right w:w="28" w:type="dxa"/>
          </w:tblCellMar>
        </w:tblPrEx>
        <w:trPr>
          <w:cantSplit/>
          <w:jc w:val="center"/>
        </w:trPr>
        <w:tc>
          <w:tcPr>
            <w:tcW w:w="285" w:type="dxa"/>
            <w:vMerge w:val="continue"/>
            <w:tcBorders>
              <w:left w:val="single" w:color="auto" w:sz="4" w:space="0"/>
              <w:right w:val="single" w:color="auto" w:sz="4" w:space="0"/>
            </w:tcBorders>
            <w:shd w:val="clear" w:color="auto" w:fill="auto"/>
            <w:vAlign w:val="center"/>
          </w:tcPr>
          <w:p w14:paraId="3D92D861">
            <w:pPr>
              <w:widowControl/>
              <w:adjustRightInd/>
              <w:spacing w:line="240" w:lineRule="exact"/>
              <w:textAlignment w:val="auto"/>
              <w:rPr>
                <w:rFonts w:ascii="Arial" w:hAnsi="Arial" w:eastAsia="仿宋_GB2312" w:cs="Arial"/>
                <w:color w:val="auto"/>
                <w:sz w:val="18"/>
                <w:szCs w:val="18"/>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5E3A67B7">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市政基础设施</w:t>
            </w:r>
          </w:p>
        </w:tc>
        <w:tc>
          <w:tcPr>
            <w:tcW w:w="1418" w:type="dxa"/>
            <w:tcBorders>
              <w:top w:val="single" w:color="auto" w:sz="4" w:space="0"/>
              <w:left w:val="nil"/>
              <w:bottom w:val="single" w:color="auto" w:sz="4" w:space="0"/>
              <w:right w:val="single" w:color="auto" w:sz="4" w:space="0"/>
            </w:tcBorders>
            <w:shd w:val="clear" w:color="auto" w:fill="auto"/>
            <w:vAlign w:val="center"/>
          </w:tcPr>
          <w:p w14:paraId="72706915">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较齐备</w:t>
            </w:r>
          </w:p>
        </w:tc>
        <w:tc>
          <w:tcPr>
            <w:tcW w:w="567" w:type="dxa"/>
            <w:tcBorders>
              <w:top w:val="single" w:color="auto" w:sz="4" w:space="0"/>
              <w:left w:val="nil"/>
              <w:bottom w:val="single" w:color="auto" w:sz="4" w:space="0"/>
              <w:right w:val="single" w:color="auto" w:sz="4" w:space="0"/>
            </w:tcBorders>
            <w:shd w:val="clear" w:color="auto" w:fill="auto"/>
            <w:vAlign w:val="center"/>
          </w:tcPr>
          <w:p w14:paraId="067077B5">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417" w:type="dxa"/>
            <w:tcBorders>
              <w:top w:val="single" w:color="auto" w:sz="4" w:space="0"/>
              <w:left w:val="nil"/>
              <w:bottom w:val="single" w:color="auto" w:sz="4" w:space="0"/>
              <w:right w:val="single" w:color="auto" w:sz="4" w:space="0"/>
            </w:tcBorders>
            <w:shd w:val="clear" w:color="auto" w:fill="auto"/>
            <w:vAlign w:val="center"/>
          </w:tcPr>
          <w:p w14:paraId="15FCAE29">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较齐备</w:t>
            </w:r>
          </w:p>
        </w:tc>
        <w:tc>
          <w:tcPr>
            <w:tcW w:w="757" w:type="dxa"/>
            <w:tcBorders>
              <w:top w:val="single" w:color="auto" w:sz="4" w:space="0"/>
              <w:left w:val="nil"/>
              <w:bottom w:val="single" w:color="auto" w:sz="4" w:space="0"/>
              <w:right w:val="single" w:color="auto" w:sz="4" w:space="0"/>
            </w:tcBorders>
            <w:shd w:val="clear" w:color="auto" w:fill="auto"/>
            <w:vAlign w:val="center"/>
          </w:tcPr>
          <w:p w14:paraId="2A636C99">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74" w:type="dxa"/>
            <w:tcBorders>
              <w:top w:val="single" w:color="auto" w:sz="4" w:space="0"/>
              <w:left w:val="nil"/>
              <w:bottom w:val="single" w:color="auto" w:sz="4" w:space="0"/>
              <w:right w:val="single" w:color="auto" w:sz="4" w:space="0"/>
            </w:tcBorders>
            <w:shd w:val="clear" w:color="auto" w:fill="auto"/>
            <w:vAlign w:val="center"/>
          </w:tcPr>
          <w:p w14:paraId="0DCC2DC4">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较齐备</w:t>
            </w:r>
          </w:p>
        </w:tc>
        <w:tc>
          <w:tcPr>
            <w:tcW w:w="551" w:type="dxa"/>
            <w:tcBorders>
              <w:top w:val="single" w:color="auto" w:sz="4" w:space="0"/>
              <w:left w:val="nil"/>
              <w:bottom w:val="single" w:color="auto" w:sz="4" w:space="0"/>
              <w:right w:val="single" w:color="auto" w:sz="4" w:space="0"/>
            </w:tcBorders>
            <w:shd w:val="clear" w:color="auto" w:fill="auto"/>
            <w:vAlign w:val="center"/>
          </w:tcPr>
          <w:p w14:paraId="03170E49">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c>
          <w:tcPr>
            <w:tcW w:w="1302" w:type="dxa"/>
            <w:tcBorders>
              <w:top w:val="single" w:color="auto" w:sz="4" w:space="0"/>
              <w:left w:val="nil"/>
              <w:bottom w:val="single" w:color="auto" w:sz="4" w:space="0"/>
              <w:right w:val="single" w:color="auto" w:sz="4" w:space="0"/>
            </w:tcBorders>
            <w:shd w:val="clear" w:color="auto" w:fill="auto"/>
            <w:vAlign w:val="center"/>
          </w:tcPr>
          <w:p w14:paraId="5BA8631A">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较齐备</w:t>
            </w:r>
          </w:p>
        </w:tc>
        <w:tc>
          <w:tcPr>
            <w:tcW w:w="551" w:type="dxa"/>
            <w:tcBorders>
              <w:top w:val="single" w:color="auto" w:sz="4" w:space="0"/>
              <w:left w:val="nil"/>
              <w:bottom w:val="single" w:color="auto" w:sz="4" w:space="0"/>
              <w:right w:val="single" w:color="auto" w:sz="4" w:space="0"/>
            </w:tcBorders>
            <w:shd w:val="clear" w:color="auto" w:fill="auto"/>
            <w:noWrap/>
            <w:vAlign w:val="center"/>
          </w:tcPr>
          <w:p w14:paraId="545FBF53">
            <w:pPr>
              <w:widowControl/>
              <w:adjustRightInd/>
              <w:spacing w:line="240" w:lineRule="exact"/>
              <w:jc w:val="center"/>
              <w:textAlignment w:val="auto"/>
              <w:rPr>
                <w:rFonts w:ascii="Arial" w:hAnsi="Arial" w:eastAsia="仿宋_GB2312" w:cs="Arial"/>
                <w:color w:val="auto"/>
                <w:sz w:val="18"/>
                <w:szCs w:val="18"/>
              </w:rPr>
            </w:pPr>
            <w:r>
              <w:rPr>
                <w:rFonts w:ascii="Arial" w:hAnsi="Arial" w:eastAsia="仿宋_GB2312" w:cs="Arial"/>
                <w:color w:val="auto"/>
                <w:sz w:val="18"/>
                <w:szCs w:val="18"/>
              </w:rPr>
              <w:t>100</w:t>
            </w:r>
          </w:p>
        </w:tc>
      </w:tr>
      <w:tr w14:paraId="14393BBA">
        <w:tblPrEx>
          <w:tblCellMar>
            <w:top w:w="57" w:type="dxa"/>
            <w:left w:w="28" w:type="dxa"/>
            <w:bottom w:w="57" w:type="dxa"/>
            <w:right w:w="28" w:type="dxa"/>
          </w:tblCellMar>
        </w:tblPrEx>
        <w:trPr>
          <w:cantSplit/>
          <w:jc w:val="center"/>
        </w:trPr>
        <w:tc>
          <w:tcPr>
            <w:tcW w:w="285" w:type="dxa"/>
            <w:vMerge w:val="continue"/>
            <w:tcBorders>
              <w:left w:val="single" w:color="auto" w:sz="4" w:space="0"/>
              <w:bottom w:val="single" w:color="auto" w:sz="4" w:space="0"/>
              <w:right w:val="single" w:color="auto" w:sz="4" w:space="0"/>
            </w:tcBorders>
            <w:shd w:val="clear" w:color="auto" w:fill="auto"/>
            <w:vAlign w:val="center"/>
          </w:tcPr>
          <w:p w14:paraId="3FCF414A">
            <w:pPr>
              <w:widowControl/>
              <w:adjustRightInd/>
              <w:spacing w:line="240" w:lineRule="exact"/>
              <w:textAlignment w:val="auto"/>
              <w:rPr>
                <w:rFonts w:ascii="Arial" w:hAnsi="Arial" w:eastAsia="仿宋_GB2312" w:cs="Arial"/>
                <w:color w:val="auto"/>
                <w:sz w:val="18"/>
                <w:szCs w:val="18"/>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512F589B">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内部</w:t>
            </w:r>
            <w:r>
              <w:rPr>
                <w:rFonts w:ascii="Arial" w:hAnsi="Arial" w:eastAsia="仿宋_GB2312" w:cs="Arial"/>
                <w:color w:val="auto"/>
                <w:sz w:val="18"/>
                <w:szCs w:val="18"/>
              </w:rPr>
              <w:t>装修</w:t>
            </w:r>
          </w:p>
        </w:tc>
        <w:tc>
          <w:tcPr>
            <w:tcW w:w="1418" w:type="dxa"/>
            <w:tcBorders>
              <w:top w:val="single" w:color="auto" w:sz="4" w:space="0"/>
              <w:left w:val="nil"/>
              <w:bottom w:val="single" w:color="auto" w:sz="4" w:space="0"/>
              <w:right w:val="single" w:color="auto" w:sz="4" w:space="0"/>
            </w:tcBorders>
            <w:shd w:val="clear" w:color="auto" w:fill="auto"/>
            <w:vAlign w:val="center"/>
          </w:tcPr>
          <w:p w14:paraId="75D1B05D">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精装修</w:t>
            </w:r>
          </w:p>
        </w:tc>
        <w:tc>
          <w:tcPr>
            <w:tcW w:w="567" w:type="dxa"/>
            <w:tcBorders>
              <w:top w:val="single" w:color="auto" w:sz="4" w:space="0"/>
              <w:left w:val="nil"/>
              <w:bottom w:val="single" w:color="auto" w:sz="4" w:space="0"/>
              <w:right w:val="single" w:color="auto" w:sz="4" w:space="0"/>
            </w:tcBorders>
            <w:shd w:val="clear" w:color="auto" w:fill="auto"/>
            <w:vAlign w:val="center"/>
          </w:tcPr>
          <w:p w14:paraId="4559F52A">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417" w:type="dxa"/>
            <w:tcBorders>
              <w:top w:val="single" w:color="auto" w:sz="4" w:space="0"/>
              <w:left w:val="nil"/>
              <w:bottom w:val="single" w:color="auto" w:sz="4" w:space="0"/>
              <w:right w:val="single" w:color="auto" w:sz="4" w:space="0"/>
            </w:tcBorders>
            <w:shd w:val="clear" w:color="auto" w:fill="auto"/>
            <w:vAlign w:val="center"/>
          </w:tcPr>
          <w:p w14:paraId="6F2C9877">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精装修</w:t>
            </w:r>
          </w:p>
        </w:tc>
        <w:tc>
          <w:tcPr>
            <w:tcW w:w="757" w:type="dxa"/>
            <w:tcBorders>
              <w:top w:val="single" w:color="auto" w:sz="4" w:space="0"/>
              <w:left w:val="nil"/>
              <w:bottom w:val="single" w:color="auto" w:sz="4" w:space="0"/>
              <w:right w:val="single" w:color="auto" w:sz="4" w:space="0"/>
            </w:tcBorders>
            <w:shd w:val="clear" w:color="auto" w:fill="auto"/>
            <w:vAlign w:val="center"/>
          </w:tcPr>
          <w:p w14:paraId="4BFE5DC7">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374" w:type="dxa"/>
            <w:tcBorders>
              <w:top w:val="single" w:color="auto" w:sz="4" w:space="0"/>
              <w:left w:val="nil"/>
              <w:bottom w:val="single" w:color="auto" w:sz="4" w:space="0"/>
              <w:right w:val="single" w:color="auto" w:sz="4" w:space="0"/>
            </w:tcBorders>
            <w:shd w:val="clear" w:color="auto" w:fill="auto"/>
            <w:vAlign w:val="center"/>
          </w:tcPr>
          <w:p w14:paraId="1B8441E9">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精装修</w:t>
            </w:r>
          </w:p>
        </w:tc>
        <w:tc>
          <w:tcPr>
            <w:tcW w:w="551" w:type="dxa"/>
            <w:tcBorders>
              <w:top w:val="single" w:color="auto" w:sz="4" w:space="0"/>
              <w:left w:val="nil"/>
              <w:bottom w:val="single" w:color="auto" w:sz="4" w:space="0"/>
              <w:right w:val="single" w:color="auto" w:sz="4" w:space="0"/>
            </w:tcBorders>
            <w:shd w:val="clear" w:color="auto" w:fill="auto"/>
            <w:vAlign w:val="center"/>
          </w:tcPr>
          <w:p w14:paraId="68120670">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c>
          <w:tcPr>
            <w:tcW w:w="1302" w:type="dxa"/>
            <w:tcBorders>
              <w:top w:val="single" w:color="auto" w:sz="4" w:space="0"/>
              <w:left w:val="nil"/>
              <w:bottom w:val="single" w:color="auto" w:sz="4" w:space="0"/>
              <w:right w:val="single" w:color="auto" w:sz="4" w:space="0"/>
            </w:tcBorders>
            <w:shd w:val="clear" w:color="auto" w:fill="auto"/>
            <w:vAlign w:val="center"/>
          </w:tcPr>
          <w:p w14:paraId="60BE1448">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精装修</w:t>
            </w:r>
          </w:p>
        </w:tc>
        <w:tc>
          <w:tcPr>
            <w:tcW w:w="551" w:type="dxa"/>
            <w:tcBorders>
              <w:top w:val="single" w:color="auto" w:sz="4" w:space="0"/>
              <w:left w:val="nil"/>
              <w:bottom w:val="single" w:color="auto" w:sz="4" w:space="0"/>
              <w:right w:val="single" w:color="auto" w:sz="4" w:space="0"/>
            </w:tcBorders>
            <w:shd w:val="clear" w:color="auto" w:fill="auto"/>
            <w:noWrap/>
            <w:vAlign w:val="center"/>
          </w:tcPr>
          <w:p w14:paraId="6A766620">
            <w:pPr>
              <w:widowControl/>
              <w:adjustRightInd/>
              <w:spacing w:line="240" w:lineRule="exact"/>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100</w:t>
            </w:r>
          </w:p>
        </w:tc>
      </w:tr>
    </w:tbl>
    <w:p w14:paraId="1A1459D6">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根据估价对象与比较实例各种因素具体情况，编制比较因素条件指数表。比较因素指数确定如下:</w:t>
      </w:r>
    </w:p>
    <w:p w14:paraId="0BDC4BEB">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a交易时间：估价对象估价期日为2026年3月26日与三个比较实例交易时间接近，故不作修正；</w:t>
      </w:r>
    </w:p>
    <w:p w14:paraId="49B62D68">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b交易情况：估价对象与三个比较实例交易情况均为正常，故不作修正；</w:t>
      </w:r>
    </w:p>
    <w:p w14:paraId="0ABADDCA">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c房屋用途：估价对象与三个比较实例用途相同，故不作修正；</w:t>
      </w:r>
    </w:p>
    <w:p w14:paraId="62F55A88">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d容积率：可比实例与估价对象容积率存在一定差异，根据估价人员对周边住宅项目的调查分析后，确定容积率每相差0.5修正1；</w:t>
      </w:r>
    </w:p>
    <w:p w14:paraId="5EA923EF">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e区域及个别因素修正:</w:t>
      </w:r>
    </w:p>
    <w:p w14:paraId="2EE022B6">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①区域因素:</w:t>
      </w:r>
    </w:p>
    <w:p w14:paraId="76DF60BC">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a）住宅社区成熟度：分区域内有众多大型住宅社区、社区配套设施完善为好；区域内住宅社区较多、规模一般、社区配套设施较完善为较好；区域内住宅社区较少、规模一般、有一定的配套设施为一般；区域内有较少的小型住宅社区、有一定的配套设施为较差；区域内几乎没有具规模的住宅社区、缺乏相应的配套设施为差，共五个等级。以估价对象为100，每相差一个等级，指数相应修正3；</w:t>
      </w:r>
    </w:p>
    <w:p w14:paraId="5F496E4C">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b）交通便捷度：根据交通和路网状况划分，分为区域内路网密集、交通便捷为好；区域内路网较密、交通较便捷为较好；区域内路网一般、交通为一般；区域内路网较稀、交通较不便捷为较差；区域内路网稀少、交通不便捷为差，共五个等级。以估价对象为100，每相差一个等级，指数相应修正 4；</w:t>
      </w:r>
    </w:p>
    <w:p w14:paraId="218F23E6">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c）公共服务设施状况：区域内有大型、齐全公用服务设施为好；区域内有齐全的公用服务设施为较好；区域内有较少的公用服务设施为一般；区域内有小型、少量的公用服务设施为较差；区域内缺乏公用服务设施为差，五个等级。以估价对象为100，每相差一个等级，指数相应修正3；</w:t>
      </w:r>
    </w:p>
    <w:p w14:paraId="614C7381">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d）红线外基础设施水平：基础设施配套完善为好；基础设施配套较完善为较好；基础设施配套一般为一般；基础设施配套较不完善为较差；基础设施配套不完善为差；五个等级。以估价对象为100，每相差一通，指数相应修正 1；</w:t>
      </w:r>
    </w:p>
    <w:p w14:paraId="355004BE">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e）自然和人文环境状况：区域内有众多高等院校、大型公园和公共绿地、基本无噪声和大气污染为好；区域内有公园和公共绿地，临近高等院校，噪声和大气污染较小为较好；区域内有小型公共绿地和专科院校，噪声和大气污染较小为一般；区域内有基本绿地，噪声和大气污染较严重为较差；区域内有基本绿地，靠近污染源，噪声和大气污染严重为差；五个等级。以估价对象为100，每相差一个等级，指数相应修正3；</w:t>
      </w:r>
    </w:p>
    <w:p w14:paraId="4267DC53">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f）道路级别：分为高速路、快速路、城市主干道、城市次干道、城市支路五个等级。以估价对象为100，每相差一个等级，指数相应修正 1；</w:t>
      </w:r>
    </w:p>
    <w:p w14:paraId="4BF1F341">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②个别因素:</w:t>
      </w:r>
    </w:p>
    <w:p w14:paraId="437B9198">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a）建筑类型：分为多层板楼、小高层板楼、高层板楼、板塔结合、塔楼五个等级。以估价对象为100，每相差一个等级，指数相应修正 2；</w:t>
      </w:r>
    </w:p>
    <w:p w14:paraId="42E52425">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b）建筑结构：分为简易、砖木、砖混、钢混、钢结构五个等级，以估价对象为100，每增加或降低一个等级，指数相应增加或减少1；</w:t>
      </w:r>
    </w:p>
    <w:p w14:paraId="060D2304">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c）物业管理水平：分为高、较高、一般、较劣、劣五个等级，以估价对象为100，每增加或降低一个等级，指数相应增加或减少2；</w:t>
      </w:r>
    </w:p>
    <w:p w14:paraId="3A2BE764">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d）基础设施完备状况：基础设施配套完善为好；基础设施配套完善为较好；基础设施配套一般为一般；基础设施配套较不完善为较差；基础设施配套不完善为差，五个等级。以估价对象为100，每相差一通，指数相应修正 1；</w:t>
      </w:r>
    </w:p>
    <w:p w14:paraId="2537DE2F">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e）装修标准：分为豪华装修、精装修、普通装修、简单装修、毛坯五个等级，以估价对象为100，每上升或下降一个等级，指数上升或下降2。</w:t>
      </w:r>
    </w:p>
    <w:p w14:paraId="77C77A34">
      <w:pPr>
        <w:rPr>
          <w:rFonts w:ascii="Arial" w:hAnsi="Arial" w:eastAsia="仿宋_GB2312" w:cs="Arial"/>
          <w:b/>
          <w:bCs/>
          <w:color w:val="auto"/>
        </w:rPr>
      </w:pPr>
      <w:r>
        <w:rPr>
          <w:rFonts w:ascii="Arial" w:hAnsi="Arial" w:eastAsia="仿宋_GB2312" w:cs="Arial"/>
          <w:b/>
          <w:bCs/>
          <w:color w:val="auto"/>
        </w:rPr>
        <w:br w:type="page"/>
      </w:r>
    </w:p>
    <w:p w14:paraId="34FE0B1E">
      <w:pPr>
        <w:spacing w:before="50" w:after="50" w:line="300" w:lineRule="auto"/>
        <w:ind w:firstLine="482" w:firstLineChars="200"/>
        <w:jc w:val="center"/>
        <w:rPr>
          <w:rFonts w:ascii="Arial" w:hAnsi="Arial" w:eastAsia="仿宋_GB2312" w:cs="Arial"/>
          <w:b/>
          <w:bCs/>
          <w:color w:val="auto"/>
        </w:rPr>
      </w:pPr>
      <w:r>
        <w:rPr>
          <w:rFonts w:ascii="Arial" w:hAnsi="Arial" w:eastAsia="仿宋_GB2312" w:cs="Arial"/>
          <w:b/>
          <w:bCs/>
          <w:color w:val="auto"/>
        </w:rPr>
        <w:t>表2：因素修正和调整系数表</w:t>
      </w:r>
    </w:p>
    <w:tbl>
      <w:tblPr>
        <w:tblStyle w:val="34"/>
        <w:tblW w:w="9072" w:type="dxa"/>
        <w:jc w:val="center"/>
        <w:tblLayout w:type="fixed"/>
        <w:tblCellMar>
          <w:top w:w="57" w:type="dxa"/>
          <w:left w:w="57" w:type="dxa"/>
          <w:bottom w:w="57" w:type="dxa"/>
          <w:right w:w="57" w:type="dxa"/>
        </w:tblCellMar>
      </w:tblPr>
      <w:tblGrid>
        <w:gridCol w:w="1277"/>
        <w:gridCol w:w="1902"/>
        <w:gridCol w:w="961"/>
        <w:gridCol w:w="971"/>
        <w:gridCol w:w="921"/>
        <w:gridCol w:w="1046"/>
        <w:gridCol w:w="845"/>
        <w:gridCol w:w="1149"/>
      </w:tblGrid>
      <w:tr w14:paraId="513880BF">
        <w:tblPrEx>
          <w:tblCellMar>
            <w:top w:w="57" w:type="dxa"/>
            <w:left w:w="57" w:type="dxa"/>
            <w:bottom w:w="57" w:type="dxa"/>
            <w:right w:w="57" w:type="dxa"/>
          </w:tblCellMar>
        </w:tblPrEx>
        <w:trPr>
          <w:cantSplit/>
          <w:jc w:val="center"/>
        </w:trPr>
        <w:tc>
          <w:tcPr>
            <w:tcW w:w="3179" w:type="dxa"/>
            <w:gridSpan w:val="2"/>
            <w:vMerge w:val="restart"/>
            <w:tcBorders>
              <w:top w:val="single" w:color="auto" w:sz="4" w:space="0"/>
              <w:left w:val="single" w:color="auto" w:sz="4" w:space="0"/>
              <w:bottom w:val="single" w:color="000000" w:sz="4" w:space="0"/>
              <w:right w:val="single" w:color="000000" w:sz="4" w:space="0"/>
            </w:tcBorders>
            <w:shd w:val="clear" w:color="auto" w:fill="auto"/>
            <w:noWrap/>
            <w:vAlign w:val="center"/>
          </w:tcPr>
          <w:p w14:paraId="708F8ECC">
            <w:pPr>
              <w:widowControl/>
              <w:spacing w:line="240" w:lineRule="exact"/>
              <w:rPr>
                <w:rFonts w:ascii="Arial" w:hAnsi="Arial" w:eastAsia="仿宋_GB2312" w:cs="Arial"/>
                <w:color w:val="auto"/>
                <w:sz w:val="20"/>
              </w:rPr>
            </w:pPr>
            <w:r>
              <w:rPr>
                <w:rFonts w:ascii="Arial" w:hAnsi="Arial" w:eastAsia="仿宋_GB2312" w:cs="Arial"/>
                <w:color w:val="auto"/>
                <w:sz w:val="20"/>
              </w:rPr>
              <w:t>比较因素</w:t>
            </w:r>
          </w:p>
        </w:tc>
        <w:tc>
          <w:tcPr>
            <w:tcW w:w="1932" w:type="dxa"/>
            <w:gridSpan w:val="2"/>
            <w:tcBorders>
              <w:top w:val="single" w:color="auto" w:sz="4" w:space="0"/>
              <w:left w:val="single" w:color="auto" w:sz="4" w:space="0"/>
              <w:bottom w:val="single" w:color="000000" w:sz="4" w:space="0"/>
              <w:right w:val="single" w:color="auto" w:sz="4" w:space="0"/>
            </w:tcBorders>
          </w:tcPr>
          <w:p w14:paraId="78F8408B">
            <w:pPr>
              <w:widowControl/>
              <w:spacing w:line="240" w:lineRule="exact"/>
              <w:jc w:val="center"/>
              <w:rPr>
                <w:rFonts w:ascii="Arial" w:hAnsi="Arial" w:eastAsia="仿宋_GB2312" w:cs="Arial"/>
                <w:color w:val="auto"/>
                <w:sz w:val="20"/>
              </w:rPr>
            </w:pPr>
            <w:r>
              <w:rPr>
                <w:rFonts w:ascii="Arial" w:hAnsi="Arial" w:eastAsia="仿宋_GB2312" w:cs="Arial"/>
                <w:color w:val="auto"/>
                <w:sz w:val="20"/>
              </w:rPr>
              <w:t>案例：A</w:t>
            </w:r>
          </w:p>
        </w:tc>
        <w:tc>
          <w:tcPr>
            <w:tcW w:w="1967" w:type="dxa"/>
            <w:gridSpan w:val="2"/>
            <w:tcBorders>
              <w:top w:val="single" w:color="auto" w:sz="4" w:space="0"/>
              <w:left w:val="single" w:color="auto" w:sz="4" w:space="0"/>
              <w:bottom w:val="single" w:color="000000" w:sz="4" w:space="0"/>
              <w:right w:val="single" w:color="auto" w:sz="4" w:space="0"/>
            </w:tcBorders>
          </w:tcPr>
          <w:p w14:paraId="4A5867ED">
            <w:pPr>
              <w:widowControl/>
              <w:spacing w:line="240" w:lineRule="exact"/>
              <w:jc w:val="center"/>
              <w:rPr>
                <w:rFonts w:ascii="Arial" w:hAnsi="Arial" w:eastAsia="仿宋_GB2312" w:cs="Arial"/>
                <w:color w:val="auto"/>
                <w:sz w:val="20"/>
              </w:rPr>
            </w:pPr>
            <w:r>
              <w:rPr>
                <w:rFonts w:ascii="Arial" w:hAnsi="Arial" w:eastAsia="仿宋_GB2312" w:cs="Arial"/>
                <w:color w:val="auto"/>
                <w:sz w:val="20"/>
              </w:rPr>
              <w:t>案例：B</w:t>
            </w:r>
          </w:p>
        </w:tc>
        <w:tc>
          <w:tcPr>
            <w:tcW w:w="1994" w:type="dxa"/>
            <w:gridSpan w:val="2"/>
            <w:tcBorders>
              <w:top w:val="single" w:color="auto" w:sz="4" w:space="0"/>
              <w:left w:val="single" w:color="auto" w:sz="4" w:space="0"/>
              <w:bottom w:val="single" w:color="000000" w:sz="4" w:space="0"/>
              <w:right w:val="single" w:color="000000" w:sz="4" w:space="0"/>
            </w:tcBorders>
          </w:tcPr>
          <w:p w14:paraId="24C5C37A">
            <w:pPr>
              <w:widowControl/>
              <w:spacing w:line="240" w:lineRule="exact"/>
              <w:jc w:val="center"/>
              <w:rPr>
                <w:rFonts w:ascii="Arial" w:hAnsi="Arial" w:eastAsia="仿宋_GB2312" w:cs="Arial"/>
                <w:color w:val="auto"/>
                <w:sz w:val="20"/>
              </w:rPr>
            </w:pPr>
            <w:r>
              <w:rPr>
                <w:rFonts w:ascii="Arial" w:hAnsi="Arial" w:eastAsia="仿宋_GB2312" w:cs="Arial"/>
                <w:color w:val="auto"/>
                <w:sz w:val="20"/>
              </w:rPr>
              <w:t>案例：C</w:t>
            </w:r>
          </w:p>
        </w:tc>
      </w:tr>
      <w:tr w14:paraId="6BFEF12C">
        <w:tblPrEx>
          <w:tblCellMar>
            <w:top w:w="57" w:type="dxa"/>
            <w:left w:w="57" w:type="dxa"/>
            <w:bottom w:w="57" w:type="dxa"/>
            <w:right w:w="57" w:type="dxa"/>
          </w:tblCellMar>
        </w:tblPrEx>
        <w:trPr>
          <w:cantSplit/>
          <w:jc w:val="center"/>
        </w:trPr>
        <w:tc>
          <w:tcPr>
            <w:tcW w:w="3179" w:type="dxa"/>
            <w:gridSpan w:val="2"/>
            <w:vMerge w:val="continue"/>
            <w:tcBorders>
              <w:top w:val="single" w:color="auto" w:sz="4" w:space="0"/>
              <w:left w:val="single" w:color="auto" w:sz="4" w:space="0"/>
              <w:bottom w:val="single" w:color="000000" w:sz="4" w:space="0"/>
              <w:right w:val="single" w:color="000000" w:sz="4" w:space="0"/>
            </w:tcBorders>
            <w:vAlign w:val="center"/>
          </w:tcPr>
          <w:p w14:paraId="5F0E511E">
            <w:pPr>
              <w:widowControl/>
              <w:spacing w:line="240" w:lineRule="exact"/>
              <w:rPr>
                <w:rFonts w:ascii="Arial" w:hAnsi="Arial" w:eastAsia="仿宋_GB2312" w:cs="Arial"/>
                <w:color w:val="auto"/>
                <w:sz w:val="20"/>
              </w:rPr>
            </w:pPr>
          </w:p>
        </w:tc>
        <w:tc>
          <w:tcPr>
            <w:tcW w:w="1932" w:type="dxa"/>
            <w:gridSpan w:val="2"/>
            <w:tcBorders>
              <w:top w:val="single" w:color="auto" w:sz="4" w:space="0"/>
              <w:left w:val="single" w:color="auto" w:sz="4" w:space="0"/>
              <w:bottom w:val="single" w:color="auto" w:sz="4" w:space="0"/>
              <w:right w:val="single" w:color="auto" w:sz="4" w:space="0"/>
            </w:tcBorders>
          </w:tcPr>
          <w:p w14:paraId="4DE1AF11">
            <w:pPr>
              <w:widowControl/>
              <w:spacing w:line="240" w:lineRule="exact"/>
              <w:jc w:val="center"/>
              <w:rPr>
                <w:rFonts w:ascii="Arial" w:hAnsi="Arial" w:eastAsia="仿宋_GB2312" w:cs="Arial"/>
                <w:color w:val="auto"/>
                <w:sz w:val="20"/>
              </w:rPr>
            </w:pPr>
            <w:r>
              <w:rPr>
                <w:rFonts w:hint="eastAsia" w:ascii="Arial" w:hAnsi="Arial" w:eastAsia="仿宋_GB2312" w:cs="Arial"/>
                <w:color w:val="auto"/>
                <w:sz w:val="18"/>
                <w:szCs w:val="18"/>
              </w:rPr>
              <w:t>璞瑅润府</w:t>
            </w:r>
            <w:r>
              <w:rPr>
                <w:rFonts w:hint="eastAsia" w:ascii="Arial" w:hAnsi="Arial" w:eastAsia="仿宋_GB2312" w:cs="Arial"/>
                <w:color w:val="auto"/>
                <w:sz w:val="18"/>
                <w:szCs w:val="18"/>
              </w:rPr>
              <w:tab/>
            </w:r>
          </w:p>
        </w:tc>
        <w:tc>
          <w:tcPr>
            <w:tcW w:w="1967" w:type="dxa"/>
            <w:gridSpan w:val="2"/>
            <w:tcBorders>
              <w:top w:val="single" w:color="auto" w:sz="4" w:space="0"/>
              <w:left w:val="single" w:color="auto" w:sz="4" w:space="0"/>
              <w:bottom w:val="single" w:color="auto" w:sz="4" w:space="0"/>
              <w:right w:val="single" w:color="auto" w:sz="4" w:space="0"/>
            </w:tcBorders>
          </w:tcPr>
          <w:p w14:paraId="49CD1D0D">
            <w:pPr>
              <w:widowControl/>
              <w:spacing w:line="240" w:lineRule="exact"/>
              <w:jc w:val="center"/>
              <w:rPr>
                <w:rFonts w:ascii="Arial" w:hAnsi="Arial" w:eastAsia="仿宋_GB2312" w:cs="Arial"/>
                <w:color w:val="auto"/>
                <w:sz w:val="20"/>
              </w:rPr>
            </w:pPr>
            <w:r>
              <w:rPr>
                <w:rFonts w:hint="eastAsia" w:ascii="Arial" w:hAnsi="Arial" w:eastAsia="仿宋_GB2312" w:cs="Arial"/>
                <w:color w:val="auto"/>
                <w:sz w:val="18"/>
                <w:szCs w:val="18"/>
              </w:rPr>
              <w:t>富力首开·金禧璞瑅</w:t>
            </w:r>
            <w:r>
              <w:rPr>
                <w:rFonts w:hint="eastAsia" w:ascii="Arial" w:hAnsi="Arial" w:eastAsia="仿宋_GB2312" w:cs="Arial"/>
                <w:color w:val="auto"/>
                <w:sz w:val="18"/>
                <w:szCs w:val="18"/>
              </w:rPr>
              <w:tab/>
            </w:r>
          </w:p>
        </w:tc>
        <w:tc>
          <w:tcPr>
            <w:tcW w:w="1994" w:type="dxa"/>
            <w:gridSpan w:val="2"/>
            <w:tcBorders>
              <w:top w:val="single" w:color="auto" w:sz="4" w:space="0"/>
              <w:left w:val="single" w:color="auto" w:sz="4" w:space="0"/>
              <w:bottom w:val="single" w:color="auto" w:sz="4" w:space="0"/>
              <w:right w:val="single" w:color="000000" w:sz="4" w:space="0"/>
            </w:tcBorders>
          </w:tcPr>
          <w:p w14:paraId="2A20F8A7">
            <w:pPr>
              <w:widowControl/>
              <w:spacing w:line="240" w:lineRule="exact"/>
              <w:jc w:val="center"/>
              <w:rPr>
                <w:rFonts w:ascii="Arial" w:hAnsi="Arial" w:eastAsia="仿宋_GB2312" w:cs="Arial"/>
                <w:color w:val="auto"/>
                <w:sz w:val="20"/>
              </w:rPr>
            </w:pPr>
            <w:r>
              <w:rPr>
                <w:rFonts w:hint="eastAsia" w:ascii="Arial" w:hAnsi="Arial" w:eastAsia="仿宋_GB2312" w:cs="Arial"/>
                <w:color w:val="auto"/>
                <w:sz w:val="18"/>
                <w:szCs w:val="18"/>
              </w:rPr>
              <w:t>招商中建·顺义臻珑府</w:t>
            </w:r>
          </w:p>
        </w:tc>
      </w:tr>
      <w:tr w14:paraId="17A0F5B0">
        <w:tblPrEx>
          <w:tblCellMar>
            <w:top w:w="57" w:type="dxa"/>
            <w:left w:w="57" w:type="dxa"/>
            <w:bottom w:w="57" w:type="dxa"/>
            <w:right w:w="57" w:type="dxa"/>
          </w:tblCellMar>
        </w:tblPrEx>
        <w:trPr>
          <w:cantSplit/>
          <w:jc w:val="center"/>
        </w:trPr>
        <w:tc>
          <w:tcPr>
            <w:tcW w:w="3179" w:type="dxa"/>
            <w:gridSpan w:val="2"/>
            <w:tcBorders>
              <w:top w:val="single" w:color="auto" w:sz="4" w:space="0"/>
              <w:left w:val="single" w:color="auto" w:sz="4" w:space="0"/>
              <w:bottom w:val="single" w:color="auto" w:sz="4" w:space="0"/>
              <w:right w:val="single" w:color="auto" w:sz="4" w:space="0"/>
            </w:tcBorders>
            <w:shd w:val="clear" w:color="auto" w:fill="auto"/>
            <w:noWrap/>
            <w:vAlign w:val="bottom"/>
          </w:tcPr>
          <w:p w14:paraId="41A9D720">
            <w:pPr>
              <w:widowControl/>
              <w:spacing w:line="240" w:lineRule="exact"/>
              <w:rPr>
                <w:rFonts w:ascii="Arial" w:hAnsi="Arial" w:eastAsia="仿宋_GB2312" w:cs="Arial"/>
                <w:color w:val="auto"/>
                <w:sz w:val="20"/>
              </w:rPr>
            </w:pPr>
            <w:r>
              <w:rPr>
                <w:rFonts w:ascii="Arial" w:hAnsi="Arial" w:eastAsia="仿宋_GB2312" w:cs="Arial"/>
                <w:color w:val="auto"/>
                <w:sz w:val="20"/>
              </w:rPr>
              <w:t>交易时间</w:t>
            </w:r>
          </w:p>
        </w:tc>
        <w:tc>
          <w:tcPr>
            <w:tcW w:w="961" w:type="dxa"/>
            <w:tcBorders>
              <w:top w:val="single" w:color="auto" w:sz="4" w:space="0"/>
              <w:left w:val="single" w:color="auto" w:sz="4" w:space="0"/>
              <w:bottom w:val="single" w:color="auto" w:sz="4" w:space="0"/>
            </w:tcBorders>
            <w:vAlign w:val="center"/>
          </w:tcPr>
          <w:p w14:paraId="13834710">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single" w:color="auto" w:sz="4" w:space="0"/>
              <w:bottom w:val="single" w:color="auto" w:sz="4" w:space="0"/>
              <w:right w:val="single" w:color="auto" w:sz="4" w:space="0"/>
            </w:tcBorders>
            <w:vAlign w:val="center"/>
          </w:tcPr>
          <w:p w14:paraId="58938385">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921" w:type="dxa"/>
            <w:tcBorders>
              <w:top w:val="single" w:color="auto" w:sz="4" w:space="0"/>
              <w:left w:val="single" w:color="auto" w:sz="4" w:space="0"/>
              <w:bottom w:val="single" w:color="auto" w:sz="4" w:space="0"/>
            </w:tcBorders>
            <w:vAlign w:val="center"/>
          </w:tcPr>
          <w:p w14:paraId="3324975A">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single" w:color="auto" w:sz="4" w:space="0"/>
              <w:bottom w:val="single" w:color="auto" w:sz="4" w:space="0"/>
              <w:right w:val="single" w:color="auto" w:sz="4" w:space="0"/>
            </w:tcBorders>
            <w:vAlign w:val="center"/>
          </w:tcPr>
          <w:p w14:paraId="5125A5AC">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single" w:color="auto" w:sz="4" w:space="0"/>
              <w:left w:val="single" w:color="auto" w:sz="4" w:space="0"/>
              <w:bottom w:val="single" w:color="auto" w:sz="4" w:space="0"/>
            </w:tcBorders>
            <w:vAlign w:val="center"/>
          </w:tcPr>
          <w:p w14:paraId="18903DD5">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single" w:color="auto" w:sz="4" w:space="0"/>
              <w:bottom w:val="single" w:color="auto" w:sz="4" w:space="0"/>
              <w:right w:val="single" w:color="auto" w:sz="4" w:space="0"/>
            </w:tcBorders>
            <w:vAlign w:val="center"/>
          </w:tcPr>
          <w:p w14:paraId="64CA18A6">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r>
      <w:tr w14:paraId="706F23B5">
        <w:tblPrEx>
          <w:tblCellMar>
            <w:top w:w="57" w:type="dxa"/>
            <w:left w:w="57" w:type="dxa"/>
            <w:bottom w:w="57" w:type="dxa"/>
            <w:right w:w="57" w:type="dxa"/>
          </w:tblCellMar>
        </w:tblPrEx>
        <w:trPr>
          <w:cantSplit/>
          <w:jc w:val="center"/>
        </w:trPr>
        <w:tc>
          <w:tcPr>
            <w:tcW w:w="3179" w:type="dxa"/>
            <w:gridSpan w:val="2"/>
            <w:tcBorders>
              <w:top w:val="single" w:color="auto" w:sz="4" w:space="0"/>
              <w:left w:val="single" w:color="auto" w:sz="4" w:space="0"/>
              <w:bottom w:val="single" w:color="auto" w:sz="4" w:space="0"/>
              <w:right w:val="single" w:color="auto" w:sz="4" w:space="0"/>
            </w:tcBorders>
            <w:shd w:val="clear" w:color="auto" w:fill="auto"/>
            <w:noWrap/>
            <w:vAlign w:val="bottom"/>
          </w:tcPr>
          <w:p w14:paraId="1E70033C">
            <w:pPr>
              <w:widowControl/>
              <w:spacing w:line="240" w:lineRule="exact"/>
              <w:rPr>
                <w:rFonts w:ascii="Arial" w:hAnsi="Arial" w:eastAsia="仿宋_GB2312" w:cs="Arial"/>
                <w:color w:val="auto"/>
                <w:sz w:val="20"/>
              </w:rPr>
            </w:pPr>
            <w:r>
              <w:rPr>
                <w:rFonts w:ascii="Arial" w:hAnsi="Arial" w:eastAsia="仿宋_GB2312" w:cs="Arial"/>
                <w:color w:val="auto"/>
                <w:sz w:val="20"/>
              </w:rPr>
              <w:t>交易情况</w:t>
            </w:r>
          </w:p>
        </w:tc>
        <w:tc>
          <w:tcPr>
            <w:tcW w:w="961" w:type="dxa"/>
            <w:tcBorders>
              <w:top w:val="single" w:color="auto" w:sz="4" w:space="0"/>
              <w:left w:val="single" w:color="auto" w:sz="4" w:space="0"/>
              <w:bottom w:val="single" w:color="auto" w:sz="4" w:space="0"/>
            </w:tcBorders>
            <w:vAlign w:val="center"/>
          </w:tcPr>
          <w:p w14:paraId="672ABDDF">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single" w:color="auto" w:sz="4" w:space="0"/>
              <w:bottom w:val="single" w:color="auto" w:sz="4" w:space="0"/>
              <w:right w:val="single" w:color="auto" w:sz="4" w:space="0"/>
            </w:tcBorders>
            <w:vAlign w:val="center"/>
          </w:tcPr>
          <w:p w14:paraId="27341FD5">
            <w:pPr>
              <w:widowControl/>
              <w:spacing w:line="240" w:lineRule="exact"/>
              <w:jc w:val="both"/>
              <w:rPr>
                <w:rFonts w:ascii="Arial" w:hAnsi="Arial" w:eastAsia="仿宋_GB2312" w:cs="Arial"/>
                <w:color w:val="auto"/>
                <w:sz w:val="20"/>
              </w:rPr>
            </w:pPr>
            <w:r>
              <w:rPr>
                <w:rFonts w:ascii="Arial" w:hAnsi="Arial" w:eastAsia="仿宋_GB2312" w:cs="Arial"/>
                <w:color w:val="auto"/>
                <w:sz w:val="20"/>
              </w:rPr>
              <w:t>100</w:t>
            </w:r>
          </w:p>
        </w:tc>
        <w:tc>
          <w:tcPr>
            <w:tcW w:w="921" w:type="dxa"/>
            <w:tcBorders>
              <w:top w:val="single" w:color="auto" w:sz="4" w:space="0"/>
              <w:left w:val="single" w:color="auto" w:sz="4" w:space="0"/>
              <w:bottom w:val="single" w:color="auto" w:sz="4" w:space="0"/>
            </w:tcBorders>
            <w:vAlign w:val="center"/>
          </w:tcPr>
          <w:p w14:paraId="67F9F0DB">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single" w:color="auto" w:sz="4" w:space="0"/>
              <w:bottom w:val="single" w:color="auto" w:sz="4" w:space="0"/>
              <w:right w:val="single" w:color="auto" w:sz="4" w:space="0"/>
            </w:tcBorders>
            <w:vAlign w:val="center"/>
          </w:tcPr>
          <w:p w14:paraId="0AADED03">
            <w:pPr>
              <w:widowControl/>
              <w:spacing w:line="240" w:lineRule="exact"/>
              <w:rPr>
                <w:rFonts w:ascii="Arial" w:hAnsi="Arial" w:eastAsia="仿宋_GB2312" w:cs="Arial"/>
                <w:color w:val="auto"/>
                <w:sz w:val="20"/>
              </w:rPr>
            </w:pPr>
            <w:r>
              <w:rPr>
                <w:rFonts w:ascii="Arial" w:hAnsi="Arial" w:eastAsia="仿宋_GB2312" w:cs="Arial"/>
                <w:color w:val="auto"/>
                <w:sz w:val="20"/>
              </w:rPr>
              <w:t>100</w:t>
            </w:r>
          </w:p>
        </w:tc>
        <w:tc>
          <w:tcPr>
            <w:tcW w:w="845" w:type="dxa"/>
            <w:tcBorders>
              <w:top w:val="single" w:color="auto" w:sz="4" w:space="0"/>
              <w:left w:val="single" w:color="auto" w:sz="4" w:space="0"/>
              <w:bottom w:val="single" w:color="auto" w:sz="4" w:space="0"/>
            </w:tcBorders>
            <w:vAlign w:val="center"/>
          </w:tcPr>
          <w:p w14:paraId="030A824D">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single" w:color="auto" w:sz="4" w:space="0"/>
              <w:bottom w:val="single" w:color="auto" w:sz="4" w:space="0"/>
              <w:right w:val="single" w:color="auto" w:sz="4" w:space="0"/>
            </w:tcBorders>
            <w:vAlign w:val="center"/>
          </w:tcPr>
          <w:p w14:paraId="5E82572B">
            <w:pPr>
              <w:widowControl/>
              <w:spacing w:line="240" w:lineRule="exact"/>
              <w:rPr>
                <w:rFonts w:ascii="Arial" w:hAnsi="Arial" w:eastAsia="仿宋_GB2312" w:cs="Arial"/>
                <w:color w:val="auto"/>
                <w:sz w:val="20"/>
              </w:rPr>
            </w:pPr>
            <w:r>
              <w:rPr>
                <w:rFonts w:ascii="Arial" w:hAnsi="Arial" w:eastAsia="仿宋_GB2312" w:cs="Arial"/>
                <w:color w:val="auto"/>
                <w:sz w:val="20"/>
              </w:rPr>
              <w:t>100</w:t>
            </w:r>
          </w:p>
        </w:tc>
      </w:tr>
      <w:tr w14:paraId="308E7A96">
        <w:tblPrEx>
          <w:tblCellMar>
            <w:top w:w="57" w:type="dxa"/>
            <w:left w:w="57" w:type="dxa"/>
            <w:bottom w:w="57" w:type="dxa"/>
            <w:right w:w="57" w:type="dxa"/>
          </w:tblCellMar>
        </w:tblPrEx>
        <w:trPr>
          <w:cantSplit/>
          <w:jc w:val="center"/>
        </w:trPr>
        <w:tc>
          <w:tcPr>
            <w:tcW w:w="3179" w:type="dxa"/>
            <w:gridSpan w:val="2"/>
            <w:tcBorders>
              <w:top w:val="nil"/>
              <w:left w:val="single" w:color="auto" w:sz="4" w:space="0"/>
              <w:bottom w:val="single" w:color="auto" w:sz="4" w:space="0"/>
              <w:right w:val="single" w:color="auto" w:sz="4" w:space="0"/>
            </w:tcBorders>
            <w:shd w:val="clear" w:color="auto" w:fill="auto"/>
            <w:vAlign w:val="bottom"/>
          </w:tcPr>
          <w:p w14:paraId="39389309">
            <w:pPr>
              <w:widowControl/>
              <w:spacing w:line="240" w:lineRule="exact"/>
              <w:rPr>
                <w:rFonts w:ascii="Arial" w:hAnsi="Arial" w:eastAsia="仿宋_GB2312" w:cs="Arial"/>
                <w:color w:val="auto"/>
                <w:sz w:val="20"/>
              </w:rPr>
            </w:pPr>
            <w:r>
              <w:rPr>
                <w:rFonts w:ascii="Arial" w:hAnsi="Arial" w:eastAsia="仿宋_GB2312" w:cs="Arial"/>
                <w:color w:val="auto"/>
                <w:sz w:val="20"/>
              </w:rPr>
              <w:t>用途</w:t>
            </w:r>
          </w:p>
        </w:tc>
        <w:tc>
          <w:tcPr>
            <w:tcW w:w="961" w:type="dxa"/>
            <w:tcBorders>
              <w:top w:val="nil"/>
              <w:left w:val="nil"/>
              <w:bottom w:val="single" w:color="auto" w:sz="4" w:space="0"/>
            </w:tcBorders>
            <w:vAlign w:val="center"/>
          </w:tcPr>
          <w:p w14:paraId="64D5A6B5">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2566678F">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921" w:type="dxa"/>
            <w:tcBorders>
              <w:top w:val="nil"/>
              <w:left w:val="single" w:color="auto" w:sz="4" w:space="0"/>
              <w:bottom w:val="single" w:color="auto" w:sz="4" w:space="0"/>
            </w:tcBorders>
            <w:vAlign w:val="center"/>
          </w:tcPr>
          <w:p w14:paraId="286A847F">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5DDE6706">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nil"/>
              <w:left w:val="single" w:color="auto" w:sz="4" w:space="0"/>
              <w:bottom w:val="single" w:color="auto" w:sz="4" w:space="0"/>
            </w:tcBorders>
            <w:vAlign w:val="center"/>
          </w:tcPr>
          <w:p w14:paraId="5B92D24E">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3BD59BB3">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r>
      <w:tr w14:paraId="3DF58C1D">
        <w:tblPrEx>
          <w:tblCellMar>
            <w:top w:w="57" w:type="dxa"/>
            <w:left w:w="57" w:type="dxa"/>
            <w:bottom w:w="57" w:type="dxa"/>
            <w:right w:w="57" w:type="dxa"/>
          </w:tblCellMar>
        </w:tblPrEx>
        <w:trPr>
          <w:cantSplit/>
          <w:jc w:val="center"/>
        </w:trPr>
        <w:tc>
          <w:tcPr>
            <w:tcW w:w="3179" w:type="dxa"/>
            <w:gridSpan w:val="2"/>
            <w:tcBorders>
              <w:top w:val="nil"/>
              <w:left w:val="single" w:color="auto" w:sz="4" w:space="0"/>
              <w:bottom w:val="single" w:color="auto" w:sz="4" w:space="0"/>
              <w:right w:val="single" w:color="auto" w:sz="4" w:space="0"/>
            </w:tcBorders>
            <w:shd w:val="clear" w:color="auto" w:fill="auto"/>
            <w:vAlign w:val="center"/>
          </w:tcPr>
          <w:p w14:paraId="5E432ADC">
            <w:pPr>
              <w:widowControl/>
              <w:spacing w:line="240" w:lineRule="exact"/>
              <w:rPr>
                <w:rFonts w:ascii="Arial" w:hAnsi="Arial" w:eastAsia="仿宋_GB2312" w:cs="Arial"/>
                <w:color w:val="auto"/>
                <w:sz w:val="20"/>
              </w:rPr>
            </w:pPr>
            <w:r>
              <w:rPr>
                <w:rFonts w:hint="eastAsia" w:ascii="Arial" w:hAnsi="Arial" w:eastAsia="仿宋_GB2312" w:cs="Arial"/>
                <w:color w:val="auto"/>
                <w:sz w:val="20"/>
              </w:rPr>
              <w:t>容积率</w:t>
            </w:r>
          </w:p>
        </w:tc>
        <w:tc>
          <w:tcPr>
            <w:tcW w:w="961" w:type="dxa"/>
            <w:tcBorders>
              <w:top w:val="nil"/>
              <w:left w:val="nil"/>
              <w:bottom w:val="single" w:color="auto" w:sz="4" w:space="0"/>
            </w:tcBorders>
            <w:vAlign w:val="center"/>
          </w:tcPr>
          <w:p w14:paraId="4F30C5EC">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13E0F942">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99</w:t>
            </w:r>
          </w:p>
        </w:tc>
        <w:tc>
          <w:tcPr>
            <w:tcW w:w="921" w:type="dxa"/>
            <w:tcBorders>
              <w:top w:val="nil"/>
              <w:left w:val="single" w:color="auto" w:sz="4" w:space="0"/>
              <w:bottom w:val="single" w:color="auto" w:sz="4" w:space="0"/>
            </w:tcBorders>
            <w:vAlign w:val="center"/>
          </w:tcPr>
          <w:p w14:paraId="5FEECA5C">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137855B0">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99</w:t>
            </w:r>
          </w:p>
        </w:tc>
        <w:tc>
          <w:tcPr>
            <w:tcW w:w="845" w:type="dxa"/>
            <w:tcBorders>
              <w:top w:val="nil"/>
              <w:left w:val="single" w:color="auto" w:sz="4" w:space="0"/>
              <w:bottom w:val="single" w:color="auto" w:sz="4" w:space="0"/>
            </w:tcBorders>
            <w:vAlign w:val="center"/>
          </w:tcPr>
          <w:p w14:paraId="74ADCF3C">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2728C2FA">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98</w:t>
            </w:r>
          </w:p>
        </w:tc>
      </w:tr>
      <w:tr w14:paraId="7DAA4D75">
        <w:tblPrEx>
          <w:tblCellMar>
            <w:top w:w="57" w:type="dxa"/>
            <w:left w:w="57" w:type="dxa"/>
            <w:bottom w:w="57" w:type="dxa"/>
            <w:right w:w="57" w:type="dxa"/>
          </w:tblCellMar>
        </w:tblPrEx>
        <w:trPr>
          <w:cantSplit/>
          <w:jc w:val="center"/>
        </w:trPr>
        <w:tc>
          <w:tcPr>
            <w:tcW w:w="1277" w:type="dxa"/>
            <w:vMerge w:val="restart"/>
            <w:tcBorders>
              <w:top w:val="nil"/>
              <w:left w:val="single" w:color="auto" w:sz="4" w:space="0"/>
              <w:right w:val="single" w:color="auto" w:sz="4" w:space="0"/>
            </w:tcBorders>
            <w:shd w:val="clear" w:color="auto" w:fill="auto"/>
            <w:vAlign w:val="center"/>
          </w:tcPr>
          <w:p w14:paraId="74BCFD20">
            <w:pPr>
              <w:widowControl/>
              <w:spacing w:line="240" w:lineRule="exact"/>
              <w:rPr>
                <w:rFonts w:ascii="Arial" w:hAnsi="Arial" w:eastAsia="仿宋_GB2312" w:cs="Arial"/>
                <w:color w:val="auto"/>
                <w:sz w:val="20"/>
              </w:rPr>
            </w:pPr>
            <w:r>
              <w:rPr>
                <w:rFonts w:ascii="Arial" w:hAnsi="Arial" w:eastAsia="仿宋_GB2312" w:cs="Arial"/>
                <w:color w:val="auto"/>
                <w:sz w:val="20"/>
              </w:rPr>
              <w:t>区域因素</w:t>
            </w:r>
          </w:p>
        </w:tc>
        <w:tc>
          <w:tcPr>
            <w:tcW w:w="1902" w:type="dxa"/>
            <w:tcBorders>
              <w:top w:val="nil"/>
              <w:left w:val="nil"/>
              <w:bottom w:val="single" w:color="auto" w:sz="4" w:space="0"/>
              <w:right w:val="single" w:color="auto" w:sz="4" w:space="0"/>
            </w:tcBorders>
            <w:shd w:val="clear" w:color="auto" w:fill="auto"/>
            <w:noWrap/>
          </w:tcPr>
          <w:p w14:paraId="5F645AE3">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住宅社区成熟度</w:t>
            </w:r>
          </w:p>
        </w:tc>
        <w:tc>
          <w:tcPr>
            <w:tcW w:w="961" w:type="dxa"/>
            <w:tcBorders>
              <w:top w:val="nil"/>
              <w:left w:val="nil"/>
              <w:bottom w:val="single" w:color="auto" w:sz="4" w:space="0"/>
            </w:tcBorders>
            <w:vAlign w:val="center"/>
          </w:tcPr>
          <w:p w14:paraId="5F723723">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05C9177D">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103</w:t>
            </w:r>
          </w:p>
        </w:tc>
        <w:tc>
          <w:tcPr>
            <w:tcW w:w="921" w:type="dxa"/>
            <w:tcBorders>
              <w:top w:val="nil"/>
              <w:left w:val="single" w:color="auto" w:sz="4" w:space="0"/>
              <w:bottom w:val="single" w:color="auto" w:sz="4" w:space="0"/>
            </w:tcBorders>
            <w:vAlign w:val="center"/>
          </w:tcPr>
          <w:p w14:paraId="09AFA4A2">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11EE387B">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nil"/>
              <w:left w:val="single" w:color="auto" w:sz="4" w:space="0"/>
              <w:bottom w:val="single" w:color="auto" w:sz="4" w:space="0"/>
            </w:tcBorders>
            <w:vAlign w:val="center"/>
          </w:tcPr>
          <w:p w14:paraId="4B1D49CD">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28B08A12">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103</w:t>
            </w:r>
          </w:p>
        </w:tc>
      </w:tr>
      <w:tr w14:paraId="613C7CD8">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vAlign w:val="center"/>
          </w:tcPr>
          <w:p w14:paraId="398B8AE4">
            <w:pPr>
              <w:widowControl/>
              <w:spacing w:line="240" w:lineRule="exact"/>
              <w:rPr>
                <w:rFonts w:ascii="Arial" w:hAnsi="Arial" w:eastAsia="仿宋_GB2312" w:cs="Arial"/>
                <w:color w:val="auto"/>
                <w:sz w:val="20"/>
              </w:rPr>
            </w:pPr>
          </w:p>
        </w:tc>
        <w:tc>
          <w:tcPr>
            <w:tcW w:w="1902" w:type="dxa"/>
            <w:tcBorders>
              <w:top w:val="nil"/>
              <w:left w:val="nil"/>
              <w:bottom w:val="single" w:color="auto" w:sz="4" w:space="0"/>
              <w:right w:val="single" w:color="auto" w:sz="4" w:space="0"/>
            </w:tcBorders>
            <w:shd w:val="clear" w:color="auto" w:fill="auto"/>
            <w:noWrap/>
          </w:tcPr>
          <w:p w14:paraId="4E1AFD89">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交通便捷度</w:t>
            </w:r>
          </w:p>
        </w:tc>
        <w:tc>
          <w:tcPr>
            <w:tcW w:w="961" w:type="dxa"/>
            <w:tcBorders>
              <w:top w:val="nil"/>
              <w:left w:val="nil"/>
              <w:bottom w:val="single" w:color="auto" w:sz="4" w:space="0"/>
            </w:tcBorders>
            <w:vAlign w:val="center"/>
          </w:tcPr>
          <w:p w14:paraId="223D54F9">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521B6781">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108</w:t>
            </w:r>
          </w:p>
        </w:tc>
        <w:tc>
          <w:tcPr>
            <w:tcW w:w="921" w:type="dxa"/>
            <w:tcBorders>
              <w:top w:val="nil"/>
              <w:left w:val="single" w:color="auto" w:sz="4" w:space="0"/>
              <w:bottom w:val="single" w:color="auto" w:sz="4" w:space="0"/>
            </w:tcBorders>
            <w:vAlign w:val="center"/>
          </w:tcPr>
          <w:p w14:paraId="3F174D34">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298E20F5">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104</w:t>
            </w:r>
          </w:p>
        </w:tc>
        <w:tc>
          <w:tcPr>
            <w:tcW w:w="845" w:type="dxa"/>
            <w:tcBorders>
              <w:top w:val="nil"/>
              <w:left w:val="single" w:color="auto" w:sz="4" w:space="0"/>
              <w:bottom w:val="single" w:color="auto" w:sz="4" w:space="0"/>
            </w:tcBorders>
            <w:vAlign w:val="center"/>
          </w:tcPr>
          <w:p w14:paraId="6E605E7B">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1E888443">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104</w:t>
            </w:r>
          </w:p>
        </w:tc>
      </w:tr>
      <w:tr w14:paraId="48468B49">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vAlign w:val="center"/>
          </w:tcPr>
          <w:p w14:paraId="47A45A29">
            <w:pPr>
              <w:widowControl/>
              <w:spacing w:line="240" w:lineRule="exact"/>
              <w:rPr>
                <w:rFonts w:ascii="Arial" w:hAnsi="Arial" w:eastAsia="仿宋_GB2312" w:cs="Arial"/>
                <w:color w:val="auto"/>
                <w:sz w:val="20"/>
              </w:rPr>
            </w:pPr>
          </w:p>
        </w:tc>
        <w:tc>
          <w:tcPr>
            <w:tcW w:w="1902" w:type="dxa"/>
            <w:tcBorders>
              <w:top w:val="nil"/>
              <w:left w:val="nil"/>
              <w:bottom w:val="single" w:color="auto" w:sz="4" w:space="0"/>
              <w:right w:val="single" w:color="auto" w:sz="4" w:space="0"/>
            </w:tcBorders>
            <w:shd w:val="clear" w:color="auto" w:fill="auto"/>
            <w:noWrap/>
          </w:tcPr>
          <w:p w14:paraId="0D3F4495">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公共配套设施</w:t>
            </w:r>
          </w:p>
        </w:tc>
        <w:tc>
          <w:tcPr>
            <w:tcW w:w="961" w:type="dxa"/>
            <w:tcBorders>
              <w:top w:val="nil"/>
              <w:left w:val="nil"/>
              <w:bottom w:val="single" w:color="auto" w:sz="4" w:space="0"/>
            </w:tcBorders>
            <w:vAlign w:val="center"/>
          </w:tcPr>
          <w:p w14:paraId="70BB4E0F">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4FA39611">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103</w:t>
            </w:r>
          </w:p>
        </w:tc>
        <w:tc>
          <w:tcPr>
            <w:tcW w:w="921" w:type="dxa"/>
            <w:tcBorders>
              <w:top w:val="nil"/>
              <w:left w:val="single" w:color="auto" w:sz="4" w:space="0"/>
              <w:bottom w:val="single" w:color="auto" w:sz="4" w:space="0"/>
            </w:tcBorders>
            <w:vAlign w:val="center"/>
          </w:tcPr>
          <w:p w14:paraId="1077DB16">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3446D751">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nil"/>
              <w:left w:val="single" w:color="auto" w:sz="4" w:space="0"/>
              <w:bottom w:val="single" w:color="auto" w:sz="4" w:space="0"/>
            </w:tcBorders>
            <w:vAlign w:val="center"/>
          </w:tcPr>
          <w:p w14:paraId="147031A0">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425467AF">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103</w:t>
            </w:r>
          </w:p>
        </w:tc>
      </w:tr>
      <w:tr w14:paraId="4379A668">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vAlign w:val="center"/>
          </w:tcPr>
          <w:p w14:paraId="67BFD8B6">
            <w:pPr>
              <w:widowControl/>
              <w:spacing w:line="240" w:lineRule="exact"/>
              <w:rPr>
                <w:rFonts w:ascii="Arial" w:hAnsi="Arial" w:eastAsia="仿宋_GB2312" w:cs="Arial"/>
                <w:color w:val="auto"/>
                <w:sz w:val="20"/>
              </w:rPr>
            </w:pPr>
          </w:p>
        </w:tc>
        <w:tc>
          <w:tcPr>
            <w:tcW w:w="1902" w:type="dxa"/>
            <w:tcBorders>
              <w:top w:val="nil"/>
              <w:left w:val="nil"/>
              <w:bottom w:val="single" w:color="auto" w:sz="4" w:space="0"/>
              <w:right w:val="single" w:color="auto" w:sz="4" w:space="0"/>
            </w:tcBorders>
            <w:shd w:val="clear" w:color="auto" w:fill="auto"/>
            <w:noWrap/>
            <w:vAlign w:val="center"/>
          </w:tcPr>
          <w:p w14:paraId="3CED1F2C">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红线外基础设施水平</w:t>
            </w:r>
          </w:p>
        </w:tc>
        <w:tc>
          <w:tcPr>
            <w:tcW w:w="961" w:type="dxa"/>
            <w:tcBorders>
              <w:top w:val="nil"/>
              <w:left w:val="nil"/>
              <w:bottom w:val="single" w:color="auto" w:sz="4" w:space="0"/>
            </w:tcBorders>
            <w:vAlign w:val="center"/>
          </w:tcPr>
          <w:p w14:paraId="085764D3">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15BF13CE">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921" w:type="dxa"/>
            <w:tcBorders>
              <w:top w:val="nil"/>
              <w:left w:val="single" w:color="auto" w:sz="4" w:space="0"/>
              <w:bottom w:val="single" w:color="auto" w:sz="4" w:space="0"/>
            </w:tcBorders>
            <w:vAlign w:val="center"/>
          </w:tcPr>
          <w:p w14:paraId="5B94C0F4">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7B6DEE87">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nil"/>
              <w:left w:val="single" w:color="auto" w:sz="4" w:space="0"/>
              <w:bottom w:val="single" w:color="auto" w:sz="4" w:space="0"/>
            </w:tcBorders>
            <w:vAlign w:val="center"/>
          </w:tcPr>
          <w:p w14:paraId="4710DEF7">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2F3ED298">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r>
      <w:tr w14:paraId="74CADE78">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vAlign w:val="center"/>
          </w:tcPr>
          <w:p w14:paraId="132AFD71">
            <w:pPr>
              <w:widowControl/>
              <w:spacing w:line="240" w:lineRule="exact"/>
              <w:rPr>
                <w:rFonts w:ascii="Arial" w:hAnsi="Arial" w:eastAsia="仿宋_GB2312" w:cs="Arial"/>
                <w:color w:val="auto"/>
                <w:sz w:val="20"/>
              </w:rPr>
            </w:pPr>
          </w:p>
        </w:tc>
        <w:tc>
          <w:tcPr>
            <w:tcW w:w="1902" w:type="dxa"/>
            <w:tcBorders>
              <w:top w:val="nil"/>
              <w:left w:val="nil"/>
              <w:bottom w:val="single" w:color="auto" w:sz="4" w:space="0"/>
              <w:right w:val="single" w:color="auto" w:sz="4" w:space="0"/>
            </w:tcBorders>
            <w:shd w:val="clear" w:color="auto" w:fill="auto"/>
            <w:noWrap/>
            <w:vAlign w:val="center"/>
          </w:tcPr>
          <w:p w14:paraId="30E745F2">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环境质量</w:t>
            </w:r>
          </w:p>
        </w:tc>
        <w:tc>
          <w:tcPr>
            <w:tcW w:w="961" w:type="dxa"/>
            <w:tcBorders>
              <w:top w:val="nil"/>
              <w:left w:val="nil"/>
              <w:bottom w:val="single" w:color="auto" w:sz="4" w:space="0"/>
            </w:tcBorders>
            <w:vAlign w:val="center"/>
          </w:tcPr>
          <w:p w14:paraId="6ABEC947">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4A5BAD5E">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103</w:t>
            </w:r>
          </w:p>
        </w:tc>
        <w:tc>
          <w:tcPr>
            <w:tcW w:w="921" w:type="dxa"/>
            <w:tcBorders>
              <w:top w:val="nil"/>
              <w:left w:val="single" w:color="auto" w:sz="4" w:space="0"/>
              <w:bottom w:val="single" w:color="auto" w:sz="4" w:space="0"/>
            </w:tcBorders>
            <w:vAlign w:val="center"/>
          </w:tcPr>
          <w:p w14:paraId="3E39B374">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7327B068">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nil"/>
              <w:left w:val="single" w:color="auto" w:sz="4" w:space="0"/>
              <w:bottom w:val="single" w:color="auto" w:sz="4" w:space="0"/>
            </w:tcBorders>
            <w:vAlign w:val="center"/>
          </w:tcPr>
          <w:p w14:paraId="55E7E4FA">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6F8AC9A8">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103</w:t>
            </w:r>
          </w:p>
        </w:tc>
      </w:tr>
      <w:tr w14:paraId="480B7B92">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vAlign w:val="center"/>
          </w:tcPr>
          <w:p w14:paraId="66C0844E">
            <w:pPr>
              <w:widowControl/>
              <w:spacing w:line="240" w:lineRule="exact"/>
              <w:rPr>
                <w:rFonts w:ascii="Arial" w:hAnsi="Arial" w:eastAsia="仿宋_GB2312" w:cs="Arial"/>
                <w:color w:val="auto"/>
                <w:sz w:val="20"/>
              </w:rPr>
            </w:pPr>
          </w:p>
        </w:tc>
        <w:tc>
          <w:tcPr>
            <w:tcW w:w="1902" w:type="dxa"/>
            <w:tcBorders>
              <w:top w:val="nil"/>
              <w:left w:val="nil"/>
              <w:bottom w:val="single" w:color="auto" w:sz="4" w:space="0"/>
              <w:right w:val="single" w:color="auto" w:sz="4" w:space="0"/>
            </w:tcBorders>
            <w:shd w:val="clear" w:color="auto" w:fill="auto"/>
            <w:noWrap/>
            <w:vAlign w:val="center"/>
          </w:tcPr>
          <w:p w14:paraId="4D89E8DD">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道路级别</w:t>
            </w:r>
          </w:p>
        </w:tc>
        <w:tc>
          <w:tcPr>
            <w:tcW w:w="961" w:type="dxa"/>
            <w:tcBorders>
              <w:top w:val="nil"/>
              <w:left w:val="nil"/>
              <w:bottom w:val="single" w:color="auto" w:sz="4" w:space="0"/>
            </w:tcBorders>
            <w:vAlign w:val="center"/>
          </w:tcPr>
          <w:p w14:paraId="2AF9AC85">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289689A8">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921" w:type="dxa"/>
            <w:tcBorders>
              <w:top w:val="nil"/>
              <w:left w:val="single" w:color="auto" w:sz="4" w:space="0"/>
              <w:bottom w:val="single" w:color="auto" w:sz="4" w:space="0"/>
            </w:tcBorders>
            <w:vAlign w:val="center"/>
          </w:tcPr>
          <w:p w14:paraId="11BDF2C0">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2DE7EE5B">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nil"/>
              <w:left w:val="single" w:color="auto" w:sz="4" w:space="0"/>
              <w:bottom w:val="single" w:color="auto" w:sz="4" w:space="0"/>
            </w:tcBorders>
            <w:vAlign w:val="center"/>
          </w:tcPr>
          <w:p w14:paraId="02EF88DD">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6FBFE59A">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r>
      <w:tr w14:paraId="10A542FC">
        <w:tblPrEx>
          <w:tblCellMar>
            <w:top w:w="57" w:type="dxa"/>
            <w:left w:w="57" w:type="dxa"/>
            <w:bottom w:w="57" w:type="dxa"/>
            <w:right w:w="57" w:type="dxa"/>
          </w:tblCellMar>
        </w:tblPrEx>
        <w:trPr>
          <w:cantSplit/>
          <w:jc w:val="center"/>
        </w:trPr>
        <w:tc>
          <w:tcPr>
            <w:tcW w:w="1277" w:type="dxa"/>
            <w:vMerge w:val="restart"/>
            <w:tcBorders>
              <w:top w:val="nil"/>
              <w:left w:val="single" w:color="auto" w:sz="4" w:space="0"/>
              <w:right w:val="single" w:color="auto" w:sz="4" w:space="0"/>
            </w:tcBorders>
            <w:shd w:val="clear" w:color="auto" w:fill="auto"/>
            <w:vAlign w:val="center"/>
          </w:tcPr>
          <w:p w14:paraId="788A9668">
            <w:pPr>
              <w:spacing w:line="240" w:lineRule="exact"/>
              <w:rPr>
                <w:rFonts w:ascii="Arial" w:hAnsi="Arial" w:eastAsia="仿宋_GB2312" w:cs="Arial"/>
                <w:color w:val="auto"/>
                <w:sz w:val="20"/>
              </w:rPr>
            </w:pPr>
            <w:r>
              <w:rPr>
                <w:rFonts w:ascii="Arial" w:hAnsi="Arial" w:eastAsia="仿宋_GB2312" w:cs="Arial"/>
                <w:color w:val="auto"/>
                <w:sz w:val="20"/>
              </w:rPr>
              <w:t>个别因素</w:t>
            </w:r>
          </w:p>
        </w:tc>
        <w:tc>
          <w:tcPr>
            <w:tcW w:w="1902" w:type="dxa"/>
            <w:tcBorders>
              <w:top w:val="nil"/>
              <w:left w:val="nil"/>
              <w:bottom w:val="single" w:color="auto" w:sz="4" w:space="0"/>
              <w:right w:val="single" w:color="auto" w:sz="4" w:space="0"/>
            </w:tcBorders>
            <w:shd w:val="clear" w:color="auto" w:fill="auto"/>
            <w:noWrap/>
            <w:vAlign w:val="center"/>
          </w:tcPr>
          <w:p w14:paraId="46855DC9">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建筑类型</w:t>
            </w:r>
          </w:p>
        </w:tc>
        <w:tc>
          <w:tcPr>
            <w:tcW w:w="961" w:type="dxa"/>
            <w:tcBorders>
              <w:top w:val="nil"/>
              <w:left w:val="nil"/>
              <w:bottom w:val="single" w:color="auto" w:sz="4" w:space="0"/>
            </w:tcBorders>
            <w:vAlign w:val="center"/>
          </w:tcPr>
          <w:p w14:paraId="309B7FAD">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2C4B7A22">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98</w:t>
            </w:r>
          </w:p>
        </w:tc>
        <w:tc>
          <w:tcPr>
            <w:tcW w:w="921" w:type="dxa"/>
            <w:tcBorders>
              <w:top w:val="nil"/>
              <w:left w:val="single" w:color="auto" w:sz="4" w:space="0"/>
              <w:bottom w:val="single" w:color="auto" w:sz="4" w:space="0"/>
            </w:tcBorders>
            <w:vAlign w:val="center"/>
          </w:tcPr>
          <w:p w14:paraId="256E9A77">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6795EB37">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98</w:t>
            </w:r>
          </w:p>
        </w:tc>
        <w:tc>
          <w:tcPr>
            <w:tcW w:w="845" w:type="dxa"/>
            <w:tcBorders>
              <w:top w:val="nil"/>
              <w:left w:val="single" w:color="auto" w:sz="4" w:space="0"/>
              <w:bottom w:val="single" w:color="auto" w:sz="4" w:space="0"/>
            </w:tcBorders>
            <w:vAlign w:val="center"/>
          </w:tcPr>
          <w:p w14:paraId="49C75F30">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336D524C">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98</w:t>
            </w:r>
          </w:p>
        </w:tc>
      </w:tr>
      <w:tr w14:paraId="276AF709">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shd w:val="clear" w:color="auto" w:fill="auto"/>
            <w:vAlign w:val="center"/>
          </w:tcPr>
          <w:p w14:paraId="552475CC">
            <w:pPr>
              <w:widowControl/>
              <w:spacing w:line="240" w:lineRule="exact"/>
              <w:rPr>
                <w:rFonts w:ascii="Arial" w:hAnsi="Arial" w:eastAsia="仿宋_GB2312" w:cs="Arial"/>
                <w:color w:val="auto"/>
                <w:sz w:val="20"/>
              </w:rPr>
            </w:pPr>
          </w:p>
        </w:tc>
        <w:tc>
          <w:tcPr>
            <w:tcW w:w="1902" w:type="dxa"/>
            <w:tcBorders>
              <w:top w:val="nil"/>
              <w:left w:val="nil"/>
              <w:bottom w:val="single" w:color="auto" w:sz="4" w:space="0"/>
              <w:right w:val="single" w:color="auto" w:sz="4" w:space="0"/>
            </w:tcBorders>
            <w:shd w:val="clear" w:color="auto" w:fill="auto"/>
            <w:noWrap/>
            <w:vAlign w:val="center"/>
          </w:tcPr>
          <w:p w14:paraId="31638A97">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建筑结构</w:t>
            </w:r>
          </w:p>
        </w:tc>
        <w:tc>
          <w:tcPr>
            <w:tcW w:w="961" w:type="dxa"/>
            <w:tcBorders>
              <w:top w:val="nil"/>
              <w:left w:val="nil"/>
              <w:bottom w:val="single" w:color="auto" w:sz="4" w:space="0"/>
            </w:tcBorders>
            <w:vAlign w:val="center"/>
          </w:tcPr>
          <w:p w14:paraId="51A5AE06">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14519115">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921" w:type="dxa"/>
            <w:tcBorders>
              <w:top w:val="nil"/>
              <w:left w:val="single" w:color="auto" w:sz="4" w:space="0"/>
              <w:bottom w:val="single" w:color="auto" w:sz="4" w:space="0"/>
            </w:tcBorders>
            <w:vAlign w:val="center"/>
          </w:tcPr>
          <w:p w14:paraId="7F3A64B3">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0DD18490">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nil"/>
              <w:left w:val="single" w:color="auto" w:sz="4" w:space="0"/>
              <w:bottom w:val="single" w:color="auto" w:sz="4" w:space="0"/>
            </w:tcBorders>
            <w:vAlign w:val="center"/>
          </w:tcPr>
          <w:p w14:paraId="06DCF67A">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3E20B162">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r>
      <w:tr w14:paraId="517715EF">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vAlign w:val="center"/>
          </w:tcPr>
          <w:p w14:paraId="3351E9F1">
            <w:pPr>
              <w:widowControl/>
              <w:spacing w:line="240" w:lineRule="exact"/>
              <w:rPr>
                <w:rFonts w:ascii="Arial" w:hAnsi="Arial" w:eastAsia="仿宋_GB2312" w:cs="Arial"/>
                <w:color w:val="auto"/>
                <w:sz w:val="20"/>
              </w:rPr>
            </w:pPr>
          </w:p>
        </w:tc>
        <w:tc>
          <w:tcPr>
            <w:tcW w:w="1902" w:type="dxa"/>
            <w:tcBorders>
              <w:top w:val="nil"/>
              <w:left w:val="nil"/>
              <w:bottom w:val="single" w:color="auto" w:sz="4" w:space="0"/>
              <w:right w:val="single" w:color="auto" w:sz="4" w:space="0"/>
            </w:tcBorders>
            <w:shd w:val="clear" w:color="auto" w:fill="auto"/>
            <w:noWrap/>
            <w:vAlign w:val="center"/>
          </w:tcPr>
          <w:p w14:paraId="451A44C3">
            <w:pPr>
              <w:widowControl/>
              <w:adjustRightInd/>
              <w:spacing w:line="240" w:lineRule="exact"/>
              <w:textAlignment w:val="auto"/>
              <w:rPr>
                <w:rFonts w:ascii="Arial" w:hAnsi="Arial" w:eastAsia="仿宋_GB2312" w:cs="Arial"/>
                <w:color w:val="auto"/>
                <w:sz w:val="18"/>
                <w:szCs w:val="18"/>
              </w:rPr>
            </w:pPr>
            <w:r>
              <w:rPr>
                <w:rFonts w:ascii="Arial" w:hAnsi="Arial" w:eastAsia="仿宋_GB2312" w:cs="Arial"/>
                <w:color w:val="auto"/>
                <w:sz w:val="18"/>
                <w:szCs w:val="18"/>
              </w:rPr>
              <w:t>物业管理</w:t>
            </w:r>
          </w:p>
        </w:tc>
        <w:tc>
          <w:tcPr>
            <w:tcW w:w="961" w:type="dxa"/>
            <w:tcBorders>
              <w:top w:val="nil"/>
              <w:left w:val="nil"/>
              <w:bottom w:val="single" w:color="auto" w:sz="4" w:space="0"/>
            </w:tcBorders>
            <w:vAlign w:val="center"/>
          </w:tcPr>
          <w:p w14:paraId="2C9D06DC">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77E34C97">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921" w:type="dxa"/>
            <w:tcBorders>
              <w:top w:val="nil"/>
              <w:left w:val="single" w:color="auto" w:sz="4" w:space="0"/>
              <w:bottom w:val="single" w:color="auto" w:sz="4" w:space="0"/>
            </w:tcBorders>
            <w:vAlign w:val="center"/>
          </w:tcPr>
          <w:p w14:paraId="0874213D">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0C6031A0">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nil"/>
              <w:left w:val="single" w:color="auto" w:sz="4" w:space="0"/>
              <w:bottom w:val="single" w:color="auto" w:sz="4" w:space="0"/>
            </w:tcBorders>
            <w:vAlign w:val="center"/>
          </w:tcPr>
          <w:p w14:paraId="775875D1">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1161493E">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r>
      <w:tr w14:paraId="3E58808E">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vAlign w:val="center"/>
          </w:tcPr>
          <w:p w14:paraId="53228C0F">
            <w:pPr>
              <w:widowControl/>
              <w:spacing w:line="240" w:lineRule="exact"/>
              <w:rPr>
                <w:rFonts w:ascii="Arial" w:hAnsi="Arial" w:eastAsia="仿宋_GB2312" w:cs="Arial"/>
                <w:color w:val="auto"/>
                <w:sz w:val="20"/>
              </w:rPr>
            </w:pPr>
          </w:p>
        </w:tc>
        <w:tc>
          <w:tcPr>
            <w:tcW w:w="1902" w:type="dxa"/>
            <w:tcBorders>
              <w:top w:val="nil"/>
              <w:left w:val="nil"/>
              <w:bottom w:val="single" w:color="auto" w:sz="4" w:space="0"/>
              <w:right w:val="single" w:color="auto" w:sz="4" w:space="0"/>
            </w:tcBorders>
            <w:shd w:val="clear" w:color="auto" w:fill="auto"/>
            <w:noWrap/>
            <w:vAlign w:val="center"/>
          </w:tcPr>
          <w:p w14:paraId="4C24F5BB">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市政基础设施</w:t>
            </w:r>
          </w:p>
        </w:tc>
        <w:tc>
          <w:tcPr>
            <w:tcW w:w="961" w:type="dxa"/>
            <w:tcBorders>
              <w:top w:val="nil"/>
              <w:left w:val="nil"/>
              <w:bottom w:val="single" w:color="auto" w:sz="4" w:space="0"/>
            </w:tcBorders>
            <w:vAlign w:val="center"/>
          </w:tcPr>
          <w:p w14:paraId="3F192265">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09112D46">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921" w:type="dxa"/>
            <w:tcBorders>
              <w:top w:val="nil"/>
              <w:left w:val="single" w:color="auto" w:sz="4" w:space="0"/>
              <w:bottom w:val="single" w:color="auto" w:sz="4" w:space="0"/>
            </w:tcBorders>
            <w:vAlign w:val="center"/>
          </w:tcPr>
          <w:p w14:paraId="78558322">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7B26687B">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nil"/>
              <w:left w:val="single" w:color="auto" w:sz="4" w:space="0"/>
              <w:bottom w:val="single" w:color="auto" w:sz="4" w:space="0"/>
            </w:tcBorders>
            <w:vAlign w:val="center"/>
          </w:tcPr>
          <w:p w14:paraId="40129ED4">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76097097">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r>
      <w:tr w14:paraId="06FC45E0">
        <w:tblPrEx>
          <w:tblCellMar>
            <w:top w:w="57" w:type="dxa"/>
            <w:left w:w="57" w:type="dxa"/>
            <w:bottom w:w="57" w:type="dxa"/>
            <w:right w:w="57" w:type="dxa"/>
          </w:tblCellMar>
        </w:tblPrEx>
        <w:trPr>
          <w:cantSplit/>
          <w:jc w:val="center"/>
        </w:trPr>
        <w:tc>
          <w:tcPr>
            <w:tcW w:w="1277" w:type="dxa"/>
            <w:vMerge w:val="continue"/>
            <w:tcBorders>
              <w:left w:val="single" w:color="auto" w:sz="4" w:space="0"/>
              <w:bottom w:val="single" w:color="auto" w:sz="4" w:space="0"/>
              <w:right w:val="single" w:color="auto" w:sz="4" w:space="0"/>
            </w:tcBorders>
            <w:vAlign w:val="center"/>
          </w:tcPr>
          <w:p w14:paraId="2C2BFCF7">
            <w:pPr>
              <w:widowControl/>
              <w:spacing w:line="240" w:lineRule="exact"/>
              <w:rPr>
                <w:rFonts w:ascii="Arial" w:hAnsi="Arial" w:eastAsia="仿宋_GB2312" w:cs="Arial"/>
                <w:color w:val="auto"/>
                <w:sz w:val="20"/>
              </w:rPr>
            </w:pPr>
          </w:p>
        </w:tc>
        <w:tc>
          <w:tcPr>
            <w:tcW w:w="1902" w:type="dxa"/>
            <w:tcBorders>
              <w:top w:val="nil"/>
              <w:left w:val="nil"/>
              <w:bottom w:val="single" w:color="auto" w:sz="4" w:space="0"/>
              <w:right w:val="single" w:color="auto" w:sz="4" w:space="0"/>
            </w:tcBorders>
            <w:shd w:val="clear" w:color="auto" w:fill="auto"/>
            <w:noWrap/>
            <w:vAlign w:val="center"/>
          </w:tcPr>
          <w:p w14:paraId="5E58D105">
            <w:pPr>
              <w:widowControl/>
              <w:adjustRightInd/>
              <w:spacing w:line="240" w:lineRule="exact"/>
              <w:textAlignment w:val="auto"/>
              <w:rPr>
                <w:rFonts w:ascii="Arial" w:hAnsi="Arial" w:eastAsia="仿宋_GB2312" w:cs="Arial"/>
                <w:color w:val="auto"/>
                <w:sz w:val="18"/>
                <w:szCs w:val="18"/>
              </w:rPr>
            </w:pPr>
            <w:r>
              <w:rPr>
                <w:rFonts w:hint="eastAsia" w:ascii="Arial" w:hAnsi="Arial" w:eastAsia="仿宋_GB2312" w:cs="Arial"/>
                <w:color w:val="auto"/>
                <w:sz w:val="18"/>
                <w:szCs w:val="18"/>
              </w:rPr>
              <w:t>内部</w:t>
            </w:r>
            <w:r>
              <w:rPr>
                <w:rFonts w:ascii="Arial" w:hAnsi="Arial" w:eastAsia="仿宋_GB2312" w:cs="Arial"/>
                <w:color w:val="auto"/>
                <w:sz w:val="18"/>
                <w:szCs w:val="18"/>
              </w:rPr>
              <w:t>装修</w:t>
            </w:r>
          </w:p>
        </w:tc>
        <w:tc>
          <w:tcPr>
            <w:tcW w:w="961" w:type="dxa"/>
            <w:tcBorders>
              <w:top w:val="nil"/>
              <w:left w:val="nil"/>
              <w:bottom w:val="single" w:color="auto" w:sz="4" w:space="0"/>
            </w:tcBorders>
            <w:vAlign w:val="center"/>
          </w:tcPr>
          <w:p w14:paraId="1E0C838A">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971" w:type="dxa"/>
            <w:tcBorders>
              <w:top w:val="nil"/>
              <w:bottom w:val="single" w:color="auto" w:sz="4" w:space="0"/>
              <w:right w:val="single" w:color="auto" w:sz="4" w:space="0"/>
            </w:tcBorders>
            <w:vAlign w:val="center"/>
          </w:tcPr>
          <w:p w14:paraId="7678C223">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921" w:type="dxa"/>
            <w:tcBorders>
              <w:top w:val="nil"/>
              <w:left w:val="single" w:color="auto" w:sz="4" w:space="0"/>
              <w:bottom w:val="single" w:color="auto" w:sz="4" w:space="0"/>
            </w:tcBorders>
            <w:vAlign w:val="center"/>
          </w:tcPr>
          <w:p w14:paraId="483E0D33">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046" w:type="dxa"/>
            <w:tcBorders>
              <w:top w:val="nil"/>
              <w:bottom w:val="single" w:color="auto" w:sz="4" w:space="0"/>
              <w:right w:val="single" w:color="auto" w:sz="4" w:space="0"/>
            </w:tcBorders>
            <w:vAlign w:val="center"/>
          </w:tcPr>
          <w:p w14:paraId="36CD44BE">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c>
          <w:tcPr>
            <w:tcW w:w="845" w:type="dxa"/>
            <w:tcBorders>
              <w:top w:val="nil"/>
              <w:left w:val="single" w:color="auto" w:sz="4" w:space="0"/>
              <w:bottom w:val="single" w:color="auto" w:sz="4" w:space="0"/>
            </w:tcBorders>
            <w:vAlign w:val="center"/>
          </w:tcPr>
          <w:p w14:paraId="338AD9F2">
            <w:pPr>
              <w:widowControl/>
              <w:spacing w:line="240" w:lineRule="exact"/>
              <w:jc w:val="right"/>
              <w:rPr>
                <w:rFonts w:ascii="Arial" w:hAnsi="Arial" w:eastAsia="仿宋_GB2312" w:cs="Arial"/>
                <w:color w:val="auto"/>
                <w:sz w:val="20"/>
              </w:rPr>
            </w:pPr>
            <w:r>
              <w:rPr>
                <w:rFonts w:ascii="Arial" w:hAnsi="Arial" w:eastAsia="仿宋_GB2312" w:cs="Arial"/>
                <w:color w:val="auto"/>
                <w:sz w:val="20"/>
              </w:rPr>
              <w:t>100/</w:t>
            </w:r>
          </w:p>
        </w:tc>
        <w:tc>
          <w:tcPr>
            <w:tcW w:w="1149" w:type="dxa"/>
            <w:tcBorders>
              <w:top w:val="nil"/>
              <w:bottom w:val="single" w:color="auto" w:sz="4" w:space="0"/>
              <w:right w:val="single" w:color="auto" w:sz="4" w:space="0"/>
            </w:tcBorders>
            <w:vAlign w:val="center"/>
          </w:tcPr>
          <w:p w14:paraId="49196C90">
            <w:pPr>
              <w:widowControl/>
              <w:spacing w:line="240" w:lineRule="exact"/>
              <w:jc w:val="both"/>
              <w:rPr>
                <w:rFonts w:ascii="Arial" w:hAnsi="Arial" w:eastAsia="仿宋_GB2312" w:cs="Arial"/>
                <w:color w:val="auto"/>
                <w:sz w:val="20"/>
              </w:rPr>
            </w:pPr>
            <w:r>
              <w:rPr>
                <w:rFonts w:hint="eastAsia" w:ascii="Arial" w:hAnsi="Arial" w:eastAsia="仿宋_GB2312" w:cs="Arial"/>
                <w:color w:val="auto"/>
                <w:sz w:val="20"/>
              </w:rPr>
              <w:t>100</w:t>
            </w:r>
          </w:p>
        </w:tc>
      </w:tr>
      <w:tr w14:paraId="585E08CE">
        <w:tblPrEx>
          <w:tblCellMar>
            <w:top w:w="57" w:type="dxa"/>
            <w:left w:w="57" w:type="dxa"/>
            <w:bottom w:w="57" w:type="dxa"/>
            <w:right w:w="57" w:type="dxa"/>
          </w:tblCellMar>
        </w:tblPrEx>
        <w:trPr>
          <w:cantSplit/>
          <w:jc w:val="center"/>
        </w:trPr>
        <w:tc>
          <w:tcPr>
            <w:tcW w:w="3179" w:type="dxa"/>
            <w:gridSpan w:val="2"/>
            <w:tcBorders>
              <w:top w:val="single" w:color="auto" w:sz="4" w:space="0"/>
              <w:left w:val="single" w:color="auto" w:sz="4" w:space="0"/>
              <w:bottom w:val="single" w:color="auto" w:sz="4" w:space="0"/>
              <w:right w:val="single" w:color="auto" w:sz="4" w:space="0"/>
            </w:tcBorders>
            <w:vAlign w:val="center"/>
          </w:tcPr>
          <w:p w14:paraId="479EA534">
            <w:pPr>
              <w:widowControl/>
              <w:spacing w:line="240" w:lineRule="exact"/>
              <w:rPr>
                <w:rFonts w:ascii="Arial" w:hAnsi="Arial" w:eastAsia="仿宋_GB2312" w:cs="Arial"/>
                <w:color w:val="auto"/>
                <w:sz w:val="20"/>
              </w:rPr>
            </w:pPr>
            <w:r>
              <w:rPr>
                <w:rFonts w:ascii="Arial" w:hAnsi="Arial" w:eastAsia="仿宋_GB2312" w:cs="Arial"/>
                <w:color w:val="auto"/>
                <w:sz w:val="20"/>
              </w:rPr>
              <w:t>销售价格（元/平方米）</w:t>
            </w:r>
          </w:p>
        </w:tc>
        <w:tc>
          <w:tcPr>
            <w:tcW w:w="1932" w:type="dxa"/>
            <w:gridSpan w:val="2"/>
            <w:tcBorders>
              <w:top w:val="single" w:color="auto" w:sz="4" w:space="0"/>
              <w:left w:val="nil"/>
              <w:bottom w:val="single" w:color="auto" w:sz="4" w:space="0"/>
              <w:right w:val="single" w:color="auto" w:sz="4" w:space="0"/>
            </w:tcBorders>
          </w:tcPr>
          <w:p w14:paraId="24C3DC24">
            <w:pPr>
              <w:widowControl/>
              <w:spacing w:line="240" w:lineRule="exact"/>
              <w:jc w:val="center"/>
              <w:rPr>
                <w:rFonts w:ascii="Arial" w:hAnsi="Arial" w:eastAsia="仿宋_GB2312" w:cs="Arial"/>
                <w:color w:val="auto"/>
                <w:sz w:val="20"/>
              </w:rPr>
            </w:pPr>
            <w:r>
              <w:rPr>
                <w:rFonts w:hint="eastAsia" w:ascii="Arial" w:hAnsi="Arial" w:eastAsia="仿宋_GB2312" w:cs="Arial"/>
                <w:color w:val="auto"/>
                <w:sz w:val="20"/>
              </w:rPr>
              <w:t>35135</w:t>
            </w:r>
          </w:p>
        </w:tc>
        <w:tc>
          <w:tcPr>
            <w:tcW w:w="1967" w:type="dxa"/>
            <w:gridSpan w:val="2"/>
            <w:tcBorders>
              <w:top w:val="single" w:color="auto" w:sz="4" w:space="0"/>
              <w:left w:val="single" w:color="auto" w:sz="4" w:space="0"/>
              <w:bottom w:val="single" w:color="auto" w:sz="4" w:space="0"/>
              <w:right w:val="single" w:color="auto" w:sz="4" w:space="0"/>
            </w:tcBorders>
          </w:tcPr>
          <w:p w14:paraId="24B39251">
            <w:pPr>
              <w:widowControl/>
              <w:spacing w:line="240" w:lineRule="exact"/>
              <w:jc w:val="center"/>
              <w:rPr>
                <w:rFonts w:ascii="Arial" w:hAnsi="Arial" w:eastAsia="仿宋_GB2312" w:cs="Arial"/>
                <w:color w:val="auto"/>
                <w:sz w:val="20"/>
              </w:rPr>
            </w:pPr>
            <w:r>
              <w:rPr>
                <w:rFonts w:hint="eastAsia" w:ascii="Arial" w:hAnsi="Arial" w:eastAsia="仿宋_GB2312" w:cs="Arial"/>
                <w:color w:val="auto"/>
                <w:sz w:val="20"/>
              </w:rPr>
              <w:t>31102</w:t>
            </w:r>
          </w:p>
        </w:tc>
        <w:tc>
          <w:tcPr>
            <w:tcW w:w="1994" w:type="dxa"/>
            <w:gridSpan w:val="2"/>
            <w:tcBorders>
              <w:top w:val="single" w:color="auto" w:sz="4" w:space="0"/>
              <w:left w:val="single" w:color="auto" w:sz="4" w:space="0"/>
              <w:bottom w:val="single" w:color="auto" w:sz="4" w:space="0"/>
              <w:right w:val="single" w:color="auto" w:sz="4" w:space="0"/>
            </w:tcBorders>
          </w:tcPr>
          <w:p w14:paraId="478461FC">
            <w:pPr>
              <w:widowControl/>
              <w:spacing w:line="240" w:lineRule="exact"/>
              <w:jc w:val="center"/>
              <w:rPr>
                <w:rFonts w:ascii="Arial" w:hAnsi="Arial" w:eastAsia="仿宋_GB2312" w:cs="Arial"/>
                <w:color w:val="auto"/>
                <w:sz w:val="20"/>
              </w:rPr>
            </w:pPr>
            <w:r>
              <w:rPr>
                <w:rFonts w:hint="eastAsia" w:ascii="Arial" w:hAnsi="Arial" w:eastAsia="仿宋_GB2312" w:cs="Arial"/>
                <w:color w:val="auto"/>
                <w:sz w:val="20"/>
              </w:rPr>
              <w:t>31801</w:t>
            </w:r>
          </w:p>
        </w:tc>
      </w:tr>
      <w:tr w14:paraId="65E61AA3">
        <w:tblPrEx>
          <w:tblCellMar>
            <w:top w:w="57" w:type="dxa"/>
            <w:left w:w="57" w:type="dxa"/>
            <w:bottom w:w="57" w:type="dxa"/>
            <w:right w:w="57" w:type="dxa"/>
          </w:tblCellMar>
        </w:tblPrEx>
        <w:trPr>
          <w:cantSplit/>
          <w:jc w:val="center"/>
        </w:trPr>
        <w:tc>
          <w:tcPr>
            <w:tcW w:w="3179" w:type="dxa"/>
            <w:gridSpan w:val="2"/>
            <w:tcBorders>
              <w:top w:val="single" w:color="auto" w:sz="4" w:space="0"/>
              <w:left w:val="single" w:color="auto" w:sz="4" w:space="0"/>
              <w:bottom w:val="single" w:color="auto" w:sz="4" w:space="0"/>
              <w:right w:val="single" w:color="auto" w:sz="4" w:space="0"/>
            </w:tcBorders>
            <w:vAlign w:val="center"/>
          </w:tcPr>
          <w:p w14:paraId="51976973">
            <w:pPr>
              <w:widowControl/>
              <w:spacing w:line="240" w:lineRule="exact"/>
              <w:rPr>
                <w:rFonts w:ascii="Arial" w:hAnsi="Arial" w:eastAsia="仿宋_GB2312" w:cs="Arial"/>
                <w:color w:val="auto"/>
                <w:sz w:val="20"/>
              </w:rPr>
            </w:pPr>
            <w:r>
              <w:rPr>
                <w:rFonts w:ascii="Arial" w:hAnsi="Arial" w:eastAsia="仿宋_GB2312" w:cs="Arial"/>
                <w:color w:val="auto"/>
                <w:sz w:val="20"/>
              </w:rPr>
              <w:t>比</w:t>
            </w:r>
            <w:r>
              <w:rPr>
                <w:rFonts w:hint="eastAsia" w:ascii="Arial" w:hAnsi="Arial" w:eastAsia="仿宋_GB2312" w:cs="Arial"/>
                <w:color w:val="auto"/>
                <w:sz w:val="20"/>
              </w:rPr>
              <w:t>准</w:t>
            </w:r>
            <w:r>
              <w:rPr>
                <w:rFonts w:ascii="Arial" w:hAnsi="Arial" w:eastAsia="仿宋_GB2312" w:cs="Arial"/>
                <w:color w:val="auto"/>
                <w:sz w:val="20"/>
              </w:rPr>
              <w:t>价格（元/平方米）</w:t>
            </w:r>
          </w:p>
        </w:tc>
        <w:tc>
          <w:tcPr>
            <w:tcW w:w="1932" w:type="dxa"/>
            <w:gridSpan w:val="2"/>
            <w:tcBorders>
              <w:top w:val="single" w:color="auto" w:sz="4" w:space="0"/>
              <w:left w:val="single" w:color="auto" w:sz="4" w:space="0"/>
              <w:bottom w:val="single" w:color="auto" w:sz="4" w:space="0"/>
              <w:right w:val="single" w:color="auto" w:sz="4" w:space="0"/>
            </w:tcBorders>
          </w:tcPr>
          <w:p w14:paraId="013AD9A2">
            <w:pPr>
              <w:widowControl/>
              <w:spacing w:line="240" w:lineRule="exact"/>
              <w:jc w:val="center"/>
              <w:rPr>
                <w:rFonts w:ascii="Arial" w:hAnsi="Arial" w:eastAsia="仿宋_GB2312" w:cs="Arial"/>
                <w:color w:val="auto"/>
                <w:sz w:val="20"/>
              </w:rPr>
            </w:pPr>
            <w:r>
              <w:rPr>
                <w:rFonts w:hint="eastAsia" w:ascii="Arial" w:hAnsi="Arial" w:eastAsia="仿宋_GB2312" w:cs="Arial"/>
                <w:color w:val="auto"/>
                <w:sz w:val="20"/>
              </w:rPr>
              <w:t>30686</w:t>
            </w:r>
          </w:p>
        </w:tc>
        <w:tc>
          <w:tcPr>
            <w:tcW w:w="1967" w:type="dxa"/>
            <w:gridSpan w:val="2"/>
            <w:tcBorders>
              <w:top w:val="single" w:color="auto" w:sz="4" w:space="0"/>
              <w:left w:val="single" w:color="auto" w:sz="4" w:space="0"/>
              <w:bottom w:val="single" w:color="auto" w:sz="4" w:space="0"/>
              <w:right w:val="single" w:color="auto" w:sz="4" w:space="0"/>
            </w:tcBorders>
          </w:tcPr>
          <w:p w14:paraId="24C6744E">
            <w:pPr>
              <w:widowControl/>
              <w:spacing w:line="240" w:lineRule="exact"/>
              <w:jc w:val="center"/>
              <w:rPr>
                <w:rFonts w:ascii="Arial" w:hAnsi="Arial" w:eastAsia="仿宋_GB2312" w:cs="Arial"/>
                <w:color w:val="auto"/>
                <w:sz w:val="20"/>
              </w:rPr>
            </w:pPr>
            <w:r>
              <w:rPr>
                <w:rFonts w:hint="eastAsia" w:ascii="Arial" w:hAnsi="Arial" w:eastAsia="仿宋_GB2312" w:cs="Arial"/>
                <w:color w:val="auto"/>
                <w:sz w:val="20"/>
              </w:rPr>
              <w:t>30824</w:t>
            </w:r>
          </w:p>
        </w:tc>
        <w:tc>
          <w:tcPr>
            <w:tcW w:w="1994" w:type="dxa"/>
            <w:gridSpan w:val="2"/>
            <w:tcBorders>
              <w:top w:val="single" w:color="auto" w:sz="4" w:space="0"/>
              <w:left w:val="single" w:color="auto" w:sz="4" w:space="0"/>
              <w:bottom w:val="single" w:color="auto" w:sz="4" w:space="0"/>
              <w:right w:val="single" w:color="auto" w:sz="4" w:space="0"/>
            </w:tcBorders>
          </w:tcPr>
          <w:p w14:paraId="4AF7DAD2">
            <w:pPr>
              <w:widowControl/>
              <w:spacing w:line="240" w:lineRule="exact"/>
              <w:jc w:val="center"/>
              <w:rPr>
                <w:rFonts w:ascii="Arial" w:hAnsi="Arial" w:eastAsia="仿宋_GB2312" w:cs="Arial"/>
                <w:color w:val="auto"/>
                <w:sz w:val="20"/>
              </w:rPr>
            </w:pPr>
            <w:r>
              <w:rPr>
                <w:rFonts w:hint="eastAsia" w:ascii="Arial" w:hAnsi="Arial" w:eastAsia="仿宋_GB2312" w:cs="Arial"/>
                <w:color w:val="auto"/>
                <w:sz w:val="20"/>
              </w:rPr>
              <w:t>29137</w:t>
            </w:r>
          </w:p>
        </w:tc>
      </w:tr>
    </w:tbl>
    <w:p w14:paraId="2B8EA722">
      <w:pPr>
        <w:spacing w:before="50" w:after="50" w:line="300" w:lineRule="auto"/>
        <w:ind w:firstLine="560" w:firstLineChars="200"/>
        <w:jc w:val="both"/>
        <w:rPr>
          <w:rFonts w:ascii="Arial" w:hAnsi="Arial" w:eastAsia="仿宋_GB2312" w:cs="Arial"/>
          <w:color w:val="auto"/>
          <w:sz w:val="28"/>
        </w:rPr>
      </w:pPr>
      <w:r>
        <w:rPr>
          <w:rFonts w:ascii="Arial" w:hAnsi="Arial" w:eastAsia="仿宋_GB2312" w:cs="Arial"/>
          <w:snapToGrid w:val="0"/>
          <w:color w:val="auto"/>
          <w:sz w:val="28"/>
        </w:rPr>
        <w:t>注：</w:t>
      </w:r>
      <w:r>
        <w:rPr>
          <w:rFonts w:ascii="Arial" w:hAnsi="Arial" w:eastAsia="仿宋_GB2312" w:cs="Arial"/>
          <w:color w:val="auto"/>
          <w:sz w:val="28"/>
        </w:rPr>
        <w:t>三个案例的销售价格为销售均价。</w:t>
      </w:r>
    </w:p>
    <w:p w14:paraId="38E1A499">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北京市国有建设用地使用权出让地价评估技术导则》（2026年2月10日实施）（6.3.3（9）比准价格确定）：所选取的若干个比较实例价格经过各项比较修正后，可选用简单算术平均法或加权算术平均法计算综合结果作为比准价格；</w:t>
      </w:r>
    </w:p>
    <w:p w14:paraId="1EE63994">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1）一般采用算术平均法。对于比准价格差异≤10%的可采用简单算术平均法，比准价格差异&gt;10%而&lt;40%的采用加权算术平均法，比准价格差异&gt;40%的应重新选择比较实例；</w:t>
      </w:r>
    </w:p>
    <w:p w14:paraId="50832F39">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2）采用加权算术平均法时，应充分合理说明权重取值的理由，通常与估价对象条件越接近的成交案例比准价格可取较高权重值。</w:t>
      </w:r>
    </w:p>
    <w:p w14:paraId="242A5EEA">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经计算，比准价格差异为5.79%（（30824－29137）÷29137＝5.79%）比准价格差异&lt;10%，故本次采用简单算术平均法确定比准价格作为估价对象房地产市场比较法评估测算结果，即：</w:t>
      </w:r>
    </w:p>
    <w:p w14:paraId="01706D01">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住宅用房</w:t>
      </w:r>
      <w:r>
        <w:rPr>
          <w:rFonts w:ascii="Arial" w:hAnsi="Arial" w:eastAsia="仿宋_GB2312" w:cs="Arial"/>
          <w:color w:val="auto"/>
          <w:sz w:val="28"/>
        </w:rPr>
        <w:t>比准价格</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s="Arial"/>
          <w:color w:val="auto"/>
          <w:sz w:val="28"/>
        </w:rPr>
        <w:t>30686＋30824＋29137</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3</w:t>
      </w:r>
    </w:p>
    <w:p w14:paraId="45F5D1D4">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 xml:space="preserve">                ＝30216</w:t>
      </w:r>
      <w:r>
        <w:rPr>
          <w:rFonts w:ascii="Arial" w:hAnsi="Arial" w:eastAsia="仿宋_GB2312" w:cs="Arial"/>
          <w:color w:val="auto"/>
          <w:sz w:val="28"/>
        </w:rPr>
        <w:t>（元/平方米）</w:t>
      </w:r>
    </w:p>
    <w:p w14:paraId="2CDF5772">
      <w:pPr>
        <w:spacing w:before="50" w:after="50"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szCs w:val="28"/>
        </w:rPr>
        <w:t>根据</w:t>
      </w:r>
      <w:r>
        <w:rPr>
          <w:rFonts w:hint="eastAsia" w:ascii="Arial" w:hAnsi="Arial" w:eastAsia="仿宋_GB2312"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_GB2312" w:cs="Arial"/>
          <w:color w:val="auto"/>
          <w:sz w:val="28"/>
        </w:rPr>
        <w:t>估价对象</w:t>
      </w:r>
      <w:r>
        <w:rPr>
          <w:rFonts w:hint="eastAsia" w:ascii="Arial" w:hAnsi="Arial" w:eastAsia="仿宋_GB2312" w:cs="Arial"/>
          <w:color w:val="auto"/>
          <w:sz w:val="28"/>
        </w:rPr>
        <w:t>住宅</w:t>
      </w:r>
      <w:r>
        <w:rPr>
          <w:rFonts w:ascii="Arial" w:hAnsi="Arial" w:eastAsia="仿宋_GB2312" w:cs="Arial"/>
          <w:color w:val="auto"/>
          <w:sz w:val="28"/>
        </w:rPr>
        <w:t>用途总建筑规模为68148.54平方米。则：</w:t>
      </w:r>
    </w:p>
    <w:p w14:paraId="6D9878C6">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住宅用途</w:t>
      </w:r>
      <w:r>
        <w:rPr>
          <w:rFonts w:ascii="Arial" w:hAnsi="Arial" w:eastAsia="仿宋_GB2312" w:cs="Arial"/>
          <w:color w:val="auto"/>
          <w:sz w:val="28"/>
        </w:rPr>
        <w:t>开发价值总价</w:t>
      </w:r>
    </w:p>
    <w:p w14:paraId="295149D9">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＝30216×</w:t>
      </w:r>
      <w:r>
        <w:rPr>
          <w:rFonts w:ascii="Arial" w:hAnsi="Arial" w:eastAsia="仿宋_GB2312" w:cs="Arial"/>
          <w:color w:val="auto"/>
          <w:sz w:val="28"/>
        </w:rPr>
        <w:t>68148.54</w:t>
      </w:r>
      <w:r>
        <w:rPr>
          <w:rFonts w:hint="eastAsia" w:ascii="Arial" w:hAnsi="Arial" w:eastAsia="仿宋_GB2312" w:cs="Arial"/>
          <w:color w:val="auto"/>
          <w:sz w:val="28"/>
        </w:rPr>
        <w:t>÷</w:t>
      </w:r>
      <w:r>
        <w:rPr>
          <w:rFonts w:ascii="Arial" w:hAnsi="Arial" w:eastAsia="仿宋_GB2312" w:cs="Arial"/>
          <w:color w:val="auto"/>
          <w:sz w:val="28"/>
        </w:rPr>
        <w:t>10000</w:t>
      </w:r>
    </w:p>
    <w:p w14:paraId="318757D0">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＝205917.6285</w:t>
      </w:r>
      <w:r>
        <w:rPr>
          <w:rFonts w:ascii="Arial" w:hAnsi="Arial" w:eastAsia="仿宋_GB2312" w:cs="Arial"/>
          <w:color w:val="auto"/>
          <w:sz w:val="28"/>
        </w:rPr>
        <w:t>（万元）</w:t>
      </w:r>
    </w:p>
    <w:p w14:paraId="12F4880B">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C.开发成本</w:t>
      </w:r>
    </w:p>
    <w:p w14:paraId="605C9D1D">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根据《北京市国有建设用地使用权出让地价评估技术导则》（2026年2月10日实施）6.2.1开发成本确定:</w:t>
      </w:r>
    </w:p>
    <w:p w14:paraId="51A12861">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开发成本是项目开发建设期间所发生的客观费用的总和。</w:t>
      </w:r>
    </w:p>
    <w:p w14:paraId="46C48BC9">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开发成本计算公式为：</w:t>
      </w:r>
    </w:p>
    <w:p w14:paraId="600189CA">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开发成本＝购地税费＋房屋建设成本＋管理费用＋销售费用＋投资利息＋销售税费</w:t>
      </w:r>
    </w:p>
    <w:p w14:paraId="5DE79A77">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房屋建设成本＝前期费用＋建筑安装工程费＋基础设施建设费＋公共配套设施建设费＋开发期间税费＋其他工程费</w:t>
      </w:r>
    </w:p>
    <w:p w14:paraId="07505195">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a.购地税费</w:t>
      </w:r>
    </w:p>
    <w:p w14:paraId="5D0D0AA9">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设定估价对</w:t>
      </w:r>
      <w:r>
        <w:rPr>
          <w:rFonts w:hint="eastAsia" w:ascii="Arial" w:hAnsi="Arial" w:eastAsia="仿宋_GB2312"/>
          <w:color w:val="auto"/>
          <w:sz w:val="28"/>
        </w:rPr>
        <w:t>象于“七通”条件下的城镇住宅用地熟地总价为</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万元。取得土地的税费指契税、印花税及交易手续费等，按照《中华人民共和国印花税法》（2021年6月10日第十三届全国人民代表大会常务委员会第二十九次会议通过），土地使用权出让合同按产权转移书据征收印花税，印花税及交易手续费以土地价值的0.05%计算，按照《中华人民共和国契税法》（2020年8月11日第十三届全国人民代表大会常务委员会第二十一次会议通过）</w:t>
      </w:r>
      <w:r>
        <w:rPr>
          <w:rFonts w:hint="eastAsia" w:ascii="Arial" w:hAnsi="Arial" w:eastAsia="仿宋_GB2312"/>
          <w:color w:val="auto"/>
          <w:sz w:val="28"/>
          <w:lang w:eastAsia="zh-CN"/>
        </w:rPr>
        <w:t>、《</w:t>
      </w:r>
      <w:r>
        <w:rPr>
          <w:rFonts w:hint="eastAsia" w:ascii="Arial" w:hAnsi="Arial" w:eastAsia="仿宋_GB2312"/>
          <w:color w:val="auto"/>
          <w:sz w:val="28"/>
        </w:rPr>
        <w:t>北京市人民代表大会常务委员会关于北京市契税具体适用税率等事项的决定</w:t>
      </w:r>
      <w:r>
        <w:rPr>
          <w:rFonts w:hint="eastAsia" w:ascii="Arial" w:hAnsi="Arial" w:eastAsia="仿宋_GB2312"/>
          <w:color w:val="auto"/>
          <w:sz w:val="28"/>
          <w:lang w:eastAsia="zh-CN"/>
        </w:rPr>
        <w:t>》（</w:t>
      </w:r>
      <w:r>
        <w:rPr>
          <w:rFonts w:hint="eastAsia" w:ascii="Arial" w:hAnsi="Arial" w:eastAsia="仿宋_GB2312"/>
          <w:color w:val="auto"/>
          <w:sz w:val="28"/>
        </w:rPr>
        <w:t>本决定自2021年9月1日起施行</w:t>
      </w:r>
      <w:r>
        <w:rPr>
          <w:rFonts w:hint="eastAsia" w:ascii="Arial" w:hAnsi="Arial" w:eastAsia="仿宋_GB2312"/>
          <w:color w:val="auto"/>
          <w:sz w:val="28"/>
          <w:lang w:eastAsia="zh-CN"/>
        </w:rPr>
        <w:t>），</w:t>
      </w:r>
      <w:r>
        <w:rPr>
          <w:rFonts w:hint="eastAsia" w:ascii="Arial" w:hAnsi="Arial" w:eastAsia="仿宋_GB2312"/>
          <w:color w:val="auto"/>
          <w:sz w:val="28"/>
        </w:rPr>
        <w:t>契税以土地成交价的3%缴纳，则两者合计为3.05%。即购地税费为3.05%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万元。</w:t>
      </w:r>
    </w:p>
    <w:p w14:paraId="1F6454B2">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b.</w:t>
      </w:r>
      <w:r>
        <w:rPr>
          <w:rFonts w:hint="eastAsia" w:ascii="仿宋_GB2312" w:eastAsia="仿宋_GB2312"/>
          <w:color w:val="auto"/>
          <w:sz w:val="28"/>
        </w:rPr>
        <w:t>房屋建设成本</w:t>
      </w:r>
    </w:p>
    <w:p w14:paraId="4906F56A">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a）建筑安装工程费</w:t>
      </w:r>
    </w:p>
    <w:p w14:paraId="0558D8D1">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指建造商品房及附属工程所发生的土建工程费用、安装工程费用、装饰装修工程费用等。参照住房和城乡建设部标准定额研究所发布的北京建安成本，同时参考评估人员掌握的目前同类地区、相同档次项目的建筑结构及装修情况，综合确定估价对象的建筑安装工程费用为5000元/平方米</w:t>
      </w:r>
    </w:p>
    <w:p w14:paraId="580920AE">
      <w:pPr>
        <w:spacing w:line="300" w:lineRule="auto"/>
        <w:ind w:firstLine="560" w:firstLineChars="200"/>
        <w:jc w:val="both"/>
        <w:rPr>
          <w:rFonts w:ascii="Arial" w:hAnsi="Arial" w:eastAsia="仿宋_GB2312" w:cs="Arial"/>
          <w:color w:val="auto"/>
          <w:sz w:val="28"/>
        </w:rPr>
      </w:pP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w:t>
      </w:r>
      <w:r>
        <w:rPr>
          <w:rFonts w:ascii="Arial" w:hAnsi="Arial" w:eastAsia="仿宋_GB2312" w:cs="Arial"/>
          <w:color w:val="auto"/>
          <w:sz w:val="28"/>
        </w:rPr>
        <w:t>估价对象A334托幼用地建筑规模</w:t>
      </w:r>
      <w:r>
        <w:rPr>
          <w:rFonts w:hint="eastAsia" w:ascii="Arial" w:hAnsi="Arial" w:eastAsia="仿宋_GB2312" w:cs="Arial"/>
          <w:color w:val="auto"/>
          <w:sz w:val="28"/>
        </w:rPr>
        <w:t>3359.98</w:t>
      </w:r>
      <w:r>
        <w:rPr>
          <w:rFonts w:ascii="Arial" w:hAnsi="Arial" w:eastAsia="仿宋_GB2312" w:cs="Arial"/>
          <w:color w:val="auto"/>
          <w:sz w:val="28"/>
        </w:rPr>
        <w:t>平方米不出让，</w:t>
      </w:r>
      <w:r>
        <w:rPr>
          <w:rFonts w:hint="eastAsia" w:ascii="Arial" w:hAnsi="Arial" w:eastAsia="仿宋_GB2312" w:cs="Arial"/>
          <w:color w:val="auto"/>
          <w:sz w:val="28"/>
        </w:rPr>
        <w:t>建设成本需城镇</w:t>
      </w:r>
      <w:r>
        <w:rPr>
          <w:rFonts w:ascii="Arial" w:hAnsi="Arial" w:eastAsia="仿宋_GB2312" w:cs="Arial"/>
          <w:color w:val="auto"/>
          <w:sz w:val="28"/>
        </w:rPr>
        <w:t>住宅用地进行分摊，</w:t>
      </w:r>
      <w:r>
        <w:rPr>
          <w:rFonts w:hint="eastAsia" w:ascii="Arial" w:hAnsi="Arial" w:eastAsia="仿宋_GB2312" w:cs="Arial"/>
          <w:color w:val="auto"/>
          <w:sz w:val="28"/>
        </w:rPr>
        <w:t>结合市场上同类物业建设工程、设备安装工程和装饰装修工程的材料及施工费用，确定其单位建筑面积的建安工程费为4500元/平方米</w:t>
      </w:r>
      <w:r>
        <w:rPr>
          <w:rFonts w:ascii="Arial" w:hAnsi="Arial" w:eastAsia="仿宋_GB2312" w:cs="Arial"/>
          <w:color w:val="auto"/>
          <w:sz w:val="28"/>
        </w:rPr>
        <w:t>，</w:t>
      </w:r>
      <w:r>
        <w:rPr>
          <w:rFonts w:hint="eastAsia" w:ascii="Arial" w:hAnsi="Arial" w:eastAsia="仿宋" w:cs="Arial"/>
          <w:color w:val="auto"/>
          <w:sz w:val="28"/>
        </w:rPr>
        <w:t>则有：</w:t>
      </w:r>
    </w:p>
    <w:p w14:paraId="58105DBF">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建筑安装工程费＝（50</w:t>
      </w:r>
      <w:r>
        <w:rPr>
          <w:rFonts w:ascii="Arial" w:hAnsi="Arial" w:eastAsia="仿宋_GB2312"/>
          <w:color w:val="auto"/>
          <w:sz w:val="28"/>
        </w:rPr>
        <w:t>00</w:t>
      </w:r>
      <w:r>
        <w:rPr>
          <w:rFonts w:hint="eastAsia" w:ascii="仿宋_GB2312" w:eastAsia="仿宋_GB2312"/>
          <w:color w:val="auto"/>
          <w:sz w:val="28"/>
        </w:rPr>
        <w:t>×</w:t>
      </w:r>
      <w:r>
        <w:rPr>
          <w:rFonts w:ascii="Arial" w:hAnsi="Arial" w:eastAsia="仿宋_GB2312" w:cs="Arial"/>
          <w:color w:val="auto"/>
          <w:sz w:val="28"/>
        </w:rPr>
        <w:t>68148.54</w:t>
      </w:r>
      <w:r>
        <w:rPr>
          <w:rFonts w:hint="eastAsia" w:ascii="Arial" w:hAnsi="Arial" w:eastAsia="仿宋_GB2312" w:cs="Arial"/>
          <w:color w:val="auto"/>
          <w:sz w:val="28"/>
        </w:rPr>
        <w:t>＋4500</w:t>
      </w:r>
      <w:r>
        <w:rPr>
          <w:rFonts w:hint="eastAsia" w:ascii="仿宋_GB2312" w:eastAsia="仿宋_GB2312"/>
          <w:color w:val="auto"/>
          <w:sz w:val="28"/>
        </w:rPr>
        <w:t>×</w:t>
      </w:r>
      <w:r>
        <w:rPr>
          <w:rFonts w:hint="eastAsia" w:ascii="Arial" w:hAnsi="Arial" w:eastAsia="仿宋_GB2312" w:cs="Arial"/>
          <w:color w:val="auto"/>
          <w:sz w:val="28"/>
        </w:rPr>
        <w:t>3359.98）÷</w:t>
      </w:r>
      <w:r>
        <w:rPr>
          <w:rFonts w:ascii="Arial" w:hAnsi="Arial" w:eastAsia="仿宋_GB2312" w:cs="Arial"/>
          <w:color w:val="auto"/>
          <w:sz w:val="28"/>
        </w:rPr>
        <w:t>10000</w:t>
      </w:r>
      <w:r>
        <w:rPr>
          <w:rFonts w:hint="eastAsia" w:ascii="仿宋_GB2312" w:eastAsia="仿宋_GB2312"/>
          <w:color w:val="auto"/>
          <w:sz w:val="28"/>
        </w:rPr>
        <w:t>＝</w:t>
      </w:r>
      <w:r>
        <w:rPr>
          <w:rFonts w:hint="eastAsia" w:ascii="Arial" w:hAnsi="Arial" w:eastAsia="仿宋_GB2312"/>
          <w:color w:val="auto"/>
          <w:sz w:val="28"/>
        </w:rPr>
        <w:t>35586.2610（万元）</w:t>
      </w:r>
    </w:p>
    <w:p w14:paraId="0D735F14">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b）前期费用</w:t>
      </w:r>
    </w:p>
    <w:p w14:paraId="528D3FDA">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勘察设计和前期工程费指建造商品房及附属工程过程中勘察、测量设计、市场调研等费用。目前北京市房地产开发中该类建筑物的勘察设计和前期工程费用一般为建造成本的5－10%之间，根据估价对象自身状况，本次评估确定勘察设计和前期工程费以建筑安装工程费为计费基础取8%，则有：</w:t>
      </w:r>
    </w:p>
    <w:p w14:paraId="6F6DF71E">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勘查设计和前期工程费＝建安费用×取费标准</w:t>
      </w:r>
    </w:p>
    <w:p w14:paraId="2705A411">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＝35586.2610×8</w:t>
      </w:r>
      <w:r>
        <w:rPr>
          <w:rFonts w:ascii="Arial" w:hAnsi="Arial" w:eastAsia="仿宋_GB2312"/>
          <w:color w:val="auto"/>
          <w:sz w:val="28"/>
        </w:rPr>
        <w:t>%</w:t>
      </w:r>
    </w:p>
    <w:p w14:paraId="276BB086">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＝2846.9009（万元）</w:t>
      </w:r>
    </w:p>
    <w:p w14:paraId="6C1D304A">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c）基础设施建设费</w:t>
      </w:r>
    </w:p>
    <w:p w14:paraId="2EADC382">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基础设施建设费是指建</w:t>
      </w:r>
      <w:r>
        <w:rPr>
          <w:rFonts w:hint="eastAsia" w:ascii="Arial" w:hAnsi="Arial" w:eastAsia="仿宋_GB2312"/>
          <w:color w:val="auto"/>
          <w:sz w:val="28"/>
        </w:rPr>
        <w:t>筑物外墙外边线2m以外和项目红线范围内的道路、供水、供电、供气、通信、绿化、环卫、排水、室外照明等设施的建设费用，以及各项设施与市政千道、千管、干线等的接口费用，北京市房地产开发项目宗地内基础设施建设费一般为建安工程费的5%－15%。根据估价人员现场调查，通过区域电力、燃气、暖气、上下水标准及室外绿化、道路等配套情况，同时结合估价对象所处位置、建设规模等情况，基础设施建设费取建筑安装工程费的10%,则有：</w:t>
      </w:r>
    </w:p>
    <w:p w14:paraId="1C1B66A9">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基础设施建设费＝建安费用×取费标准</w:t>
      </w:r>
    </w:p>
    <w:p w14:paraId="1B35BA9D">
      <w:pPr>
        <w:spacing w:line="300" w:lineRule="auto"/>
        <w:ind w:firstLine="2520" w:firstLineChars="900"/>
        <w:jc w:val="both"/>
        <w:rPr>
          <w:rFonts w:ascii="Arial" w:hAnsi="Arial" w:eastAsia="仿宋_GB2312"/>
          <w:color w:val="auto"/>
          <w:sz w:val="28"/>
        </w:rPr>
      </w:pPr>
      <w:r>
        <w:rPr>
          <w:rFonts w:hint="eastAsia" w:ascii="Arial" w:hAnsi="Arial" w:eastAsia="仿宋_GB2312"/>
          <w:color w:val="auto"/>
          <w:sz w:val="28"/>
        </w:rPr>
        <w:t>＝35586.2610×10</w:t>
      </w:r>
      <w:r>
        <w:rPr>
          <w:rFonts w:ascii="Arial" w:hAnsi="Arial" w:eastAsia="仿宋_GB2312"/>
          <w:color w:val="auto"/>
          <w:sz w:val="28"/>
        </w:rPr>
        <w:t>%</w:t>
      </w:r>
    </w:p>
    <w:p w14:paraId="663E513A">
      <w:pPr>
        <w:spacing w:line="300" w:lineRule="auto"/>
        <w:ind w:firstLine="2520" w:firstLineChars="900"/>
        <w:jc w:val="both"/>
        <w:rPr>
          <w:rFonts w:ascii="Arial" w:hAnsi="Arial" w:eastAsia="仿宋_GB2312"/>
          <w:color w:val="auto"/>
          <w:sz w:val="28"/>
        </w:rPr>
      </w:pPr>
      <w:r>
        <w:rPr>
          <w:rFonts w:hint="eastAsia" w:ascii="Arial" w:hAnsi="Arial" w:eastAsia="仿宋_GB2312"/>
          <w:color w:val="auto"/>
          <w:sz w:val="28"/>
        </w:rPr>
        <w:t>＝3558.6261（万元）</w:t>
      </w:r>
    </w:p>
    <w:p w14:paraId="0F5B4694">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d）</w:t>
      </w:r>
      <w:r>
        <w:rPr>
          <w:rFonts w:hint="eastAsia" w:ascii="仿宋_GB2312" w:eastAsia="仿宋_GB2312"/>
          <w:color w:val="auto"/>
          <w:sz w:val="28"/>
        </w:rPr>
        <w:t>公共配套设施费用</w:t>
      </w:r>
    </w:p>
    <w:p w14:paraId="6E8E1E51">
      <w:pPr>
        <w:spacing w:before="50" w:after="50"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公共配套设施建设费按照城市规划要求小区内配套的教育、医疗卫生、文化体育、社区服务等非营业性设施的建设费用。小区配套费用仅限于住宅小区开发时计取，一般按建安成本的2%－10%计取。根据估价对象所在区域的一般公共配套设施建设费水平，结合本项目的具体公共配套设施建设状况，取</w:t>
      </w:r>
      <w:r>
        <w:rPr>
          <w:rFonts w:hint="eastAsia" w:ascii="Arial" w:hAnsi="Arial" w:eastAsia="仿宋_GB2312"/>
          <w:color w:val="auto"/>
          <w:sz w:val="28"/>
        </w:rPr>
        <w:t>建筑安装工程费</w:t>
      </w:r>
      <w:r>
        <w:rPr>
          <w:rFonts w:hint="eastAsia" w:ascii="Arial" w:hAnsi="Arial" w:eastAsia="仿宋" w:cs="Arial"/>
          <w:color w:val="auto"/>
          <w:sz w:val="28"/>
          <w:szCs w:val="28"/>
        </w:rPr>
        <w:t>的8%，</w:t>
      </w:r>
      <w:r>
        <w:rPr>
          <w:rFonts w:ascii="Arial" w:hAnsi="Arial" w:eastAsia="仿宋" w:cs="Arial"/>
          <w:color w:val="auto"/>
          <w:sz w:val="28"/>
          <w:szCs w:val="28"/>
        </w:rPr>
        <w:t>则有：</w:t>
      </w:r>
    </w:p>
    <w:p w14:paraId="0997729E">
      <w:pPr>
        <w:spacing w:line="300" w:lineRule="auto"/>
        <w:ind w:firstLine="560" w:firstLineChars="200"/>
        <w:jc w:val="both"/>
        <w:rPr>
          <w:rFonts w:ascii="Arial" w:hAnsi="Arial" w:eastAsia="仿宋_GB2312"/>
          <w:color w:val="auto"/>
          <w:sz w:val="28"/>
        </w:rPr>
      </w:pPr>
      <w:r>
        <w:rPr>
          <w:rFonts w:ascii="Arial" w:hAnsi="Arial" w:eastAsia="仿宋" w:cs="Arial"/>
          <w:color w:val="auto"/>
          <w:sz w:val="28"/>
          <w:szCs w:val="28"/>
        </w:rPr>
        <w:t>公共配套设施费用</w:t>
      </w:r>
      <w:r>
        <w:rPr>
          <w:rFonts w:hint="eastAsia" w:ascii="Arial" w:hAnsi="Arial" w:eastAsia="仿宋_GB2312"/>
          <w:color w:val="auto"/>
          <w:sz w:val="28"/>
        </w:rPr>
        <w:t>＝建安费用×取费标准</w:t>
      </w:r>
    </w:p>
    <w:p w14:paraId="4079CE6F">
      <w:pPr>
        <w:spacing w:line="300" w:lineRule="auto"/>
        <w:ind w:firstLine="2800" w:firstLineChars="1000"/>
        <w:jc w:val="both"/>
        <w:rPr>
          <w:rFonts w:ascii="Arial" w:hAnsi="Arial" w:eastAsia="仿宋_GB2312"/>
          <w:color w:val="auto"/>
          <w:sz w:val="28"/>
        </w:rPr>
      </w:pPr>
      <w:r>
        <w:rPr>
          <w:rFonts w:hint="eastAsia" w:ascii="Arial" w:hAnsi="Arial" w:eastAsia="仿宋_GB2312"/>
          <w:color w:val="auto"/>
          <w:sz w:val="28"/>
        </w:rPr>
        <w:t>＝35586.2610×8</w:t>
      </w:r>
      <w:r>
        <w:rPr>
          <w:rFonts w:ascii="Arial" w:hAnsi="Arial" w:eastAsia="仿宋_GB2312"/>
          <w:color w:val="auto"/>
          <w:sz w:val="28"/>
        </w:rPr>
        <w:t>%</w:t>
      </w:r>
    </w:p>
    <w:p w14:paraId="0E29032B">
      <w:pPr>
        <w:spacing w:line="300" w:lineRule="auto"/>
        <w:ind w:firstLine="2800" w:firstLineChars="1000"/>
        <w:jc w:val="both"/>
        <w:rPr>
          <w:rFonts w:ascii="仿宋_GB2312" w:eastAsia="仿宋_GB2312"/>
          <w:color w:val="auto"/>
          <w:sz w:val="28"/>
        </w:rPr>
      </w:pPr>
      <w:r>
        <w:rPr>
          <w:rFonts w:hint="eastAsia" w:ascii="Arial" w:hAnsi="Arial" w:eastAsia="仿宋_GB2312"/>
          <w:color w:val="auto"/>
          <w:sz w:val="28"/>
        </w:rPr>
        <w:t>＝2846.9009（万元）</w:t>
      </w:r>
    </w:p>
    <w:p w14:paraId="6E53B973">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e）</w:t>
      </w:r>
      <w:r>
        <w:rPr>
          <w:rFonts w:hint="eastAsia" w:ascii="仿宋_GB2312" w:eastAsia="仿宋_GB2312"/>
          <w:color w:val="auto"/>
          <w:sz w:val="28"/>
        </w:rPr>
        <w:t>开发期间税费</w:t>
      </w:r>
    </w:p>
    <w:p w14:paraId="33F0B8D7">
      <w:pPr>
        <w:spacing w:before="50" w:after="50" w:line="300" w:lineRule="auto"/>
        <w:ind w:firstLine="560" w:firstLineChars="200"/>
        <w:jc w:val="both"/>
        <w:rPr>
          <w:rFonts w:ascii="Arial" w:hAnsi="Arial" w:eastAsia="仿宋" w:cs="Arial"/>
          <w:color w:val="auto"/>
          <w:sz w:val="28"/>
          <w:szCs w:val="28"/>
        </w:rPr>
      </w:pPr>
      <w:r>
        <w:rPr>
          <w:rFonts w:hint="eastAsia" w:ascii="仿宋_GB2312" w:eastAsia="仿宋_GB2312"/>
          <w:color w:val="auto"/>
          <w:sz w:val="28"/>
        </w:rPr>
        <w:t>主要</w:t>
      </w:r>
      <w:r>
        <w:rPr>
          <w:rFonts w:hint="eastAsia" w:ascii="Arial" w:hAnsi="Arial" w:eastAsia="仿宋" w:cs="Arial"/>
          <w:color w:val="auto"/>
          <w:sz w:val="28"/>
          <w:szCs w:val="28"/>
        </w:rPr>
        <w:t>包括有关部门税收和地方政府或其他有关部门收取的费用，如工程监理费、竣工验收费、绿化建设费、人防工程费等。</w:t>
      </w:r>
      <w:r>
        <w:rPr>
          <w:rFonts w:hint="eastAsia" w:ascii="仿宋_GB2312" w:eastAsia="仿宋_GB2312"/>
          <w:color w:val="auto"/>
          <w:sz w:val="28"/>
        </w:rPr>
        <w:t>开发期间税费</w:t>
      </w:r>
      <w:r>
        <w:rPr>
          <w:rFonts w:hint="eastAsia" w:ascii="Arial" w:hAnsi="Arial" w:eastAsia="仿宋_GB2312"/>
          <w:color w:val="auto"/>
          <w:sz w:val="28"/>
        </w:rPr>
        <w:t>一般为建筑安装工程费用的2%－5%，</w:t>
      </w:r>
      <w:r>
        <w:rPr>
          <w:rFonts w:hint="eastAsia" w:ascii="Arial" w:hAnsi="Arial" w:eastAsia="仿宋" w:cs="Arial"/>
          <w:color w:val="auto"/>
          <w:sz w:val="28"/>
          <w:szCs w:val="28"/>
        </w:rPr>
        <w:t>根据估价对象所处区域的一般情况，并结合估价对象的实际情况，按建筑安装工程费的2%测算，</w:t>
      </w:r>
      <w:r>
        <w:rPr>
          <w:rFonts w:ascii="Arial" w:hAnsi="Arial" w:eastAsia="仿宋" w:cs="Arial"/>
          <w:color w:val="auto"/>
          <w:sz w:val="28"/>
          <w:szCs w:val="28"/>
        </w:rPr>
        <w:t>则有：</w:t>
      </w:r>
    </w:p>
    <w:p w14:paraId="1E1B175E">
      <w:pPr>
        <w:spacing w:line="300" w:lineRule="auto"/>
        <w:ind w:firstLine="560" w:firstLineChars="200"/>
        <w:jc w:val="both"/>
        <w:rPr>
          <w:rFonts w:ascii="Arial" w:hAnsi="Arial" w:eastAsia="仿宋_GB2312"/>
          <w:color w:val="auto"/>
          <w:sz w:val="28"/>
        </w:rPr>
      </w:pPr>
      <w:r>
        <w:rPr>
          <w:rFonts w:hint="eastAsia" w:ascii="Arial" w:hAnsi="Arial" w:eastAsia="仿宋" w:cs="Arial"/>
          <w:color w:val="auto"/>
          <w:sz w:val="28"/>
          <w:szCs w:val="28"/>
        </w:rPr>
        <w:t>开发期间税费</w:t>
      </w:r>
      <w:r>
        <w:rPr>
          <w:rFonts w:hint="eastAsia" w:ascii="Arial" w:hAnsi="Arial" w:eastAsia="仿宋_GB2312"/>
          <w:color w:val="auto"/>
          <w:sz w:val="28"/>
        </w:rPr>
        <w:t>＝建安费用×取费标准</w:t>
      </w:r>
    </w:p>
    <w:p w14:paraId="7D0EEDA4">
      <w:pPr>
        <w:spacing w:line="300" w:lineRule="auto"/>
        <w:ind w:firstLine="2240" w:firstLineChars="800"/>
        <w:jc w:val="both"/>
        <w:rPr>
          <w:rFonts w:ascii="Arial" w:hAnsi="Arial" w:eastAsia="仿宋_GB2312"/>
          <w:color w:val="auto"/>
          <w:sz w:val="28"/>
        </w:rPr>
      </w:pPr>
      <w:r>
        <w:rPr>
          <w:rFonts w:hint="eastAsia" w:ascii="Arial" w:hAnsi="Arial" w:eastAsia="仿宋_GB2312"/>
          <w:color w:val="auto"/>
          <w:sz w:val="28"/>
        </w:rPr>
        <w:t>＝35586.2610×2</w:t>
      </w:r>
      <w:r>
        <w:rPr>
          <w:rFonts w:ascii="Arial" w:hAnsi="Arial" w:eastAsia="仿宋_GB2312"/>
          <w:color w:val="auto"/>
          <w:sz w:val="28"/>
        </w:rPr>
        <w:t>%</w:t>
      </w:r>
    </w:p>
    <w:p w14:paraId="4A4B51D8">
      <w:pPr>
        <w:spacing w:before="50" w:after="50" w:line="300" w:lineRule="auto"/>
        <w:ind w:firstLine="2240" w:firstLineChars="800"/>
        <w:jc w:val="both"/>
        <w:rPr>
          <w:rFonts w:ascii="Arial" w:hAnsi="Arial" w:eastAsia="仿宋_GB2312"/>
          <w:color w:val="auto"/>
          <w:sz w:val="28"/>
        </w:rPr>
      </w:pPr>
      <w:r>
        <w:rPr>
          <w:rFonts w:hint="eastAsia" w:ascii="Arial" w:hAnsi="Arial" w:eastAsia="仿宋_GB2312"/>
          <w:color w:val="auto"/>
          <w:sz w:val="28"/>
        </w:rPr>
        <w:t>＝711.7252（万元）</w:t>
      </w:r>
    </w:p>
    <w:p w14:paraId="3E68E4DB">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f）其他工程费</w:t>
      </w:r>
    </w:p>
    <w:p w14:paraId="69740C35">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其他工程费是指在工程建设中，除建筑安装工程费和设备、工具、器具购置费以外的费用。根据目前北京市房地产开发的情况。其他工程费一般为建筑安装工程费用的2%－5%，确定以建筑安装工程费用为计费基础取5%</w:t>
      </w:r>
      <w:r>
        <w:rPr>
          <w:rFonts w:hint="eastAsia" w:ascii="Arial" w:hAnsi="Arial" w:eastAsia="仿宋" w:cs="Arial"/>
          <w:color w:val="auto"/>
          <w:sz w:val="28"/>
          <w:szCs w:val="28"/>
        </w:rPr>
        <w:t>，</w:t>
      </w:r>
      <w:r>
        <w:rPr>
          <w:rFonts w:ascii="Arial" w:hAnsi="Arial" w:eastAsia="仿宋" w:cs="Arial"/>
          <w:color w:val="auto"/>
          <w:sz w:val="28"/>
          <w:szCs w:val="28"/>
        </w:rPr>
        <w:t>则有：</w:t>
      </w:r>
    </w:p>
    <w:p w14:paraId="39F8CCF3">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其他工程费＝建安费用×取费标准</w:t>
      </w:r>
    </w:p>
    <w:p w14:paraId="11A39CFE">
      <w:pPr>
        <w:spacing w:line="300" w:lineRule="auto"/>
        <w:ind w:firstLine="1960" w:firstLineChars="700"/>
        <w:jc w:val="both"/>
        <w:rPr>
          <w:rFonts w:ascii="Arial" w:hAnsi="Arial" w:eastAsia="仿宋_GB2312"/>
          <w:color w:val="auto"/>
          <w:sz w:val="28"/>
        </w:rPr>
      </w:pPr>
      <w:r>
        <w:rPr>
          <w:rFonts w:hint="eastAsia" w:ascii="Arial" w:hAnsi="Arial" w:eastAsia="仿宋_GB2312"/>
          <w:color w:val="auto"/>
          <w:sz w:val="28"/>
        </w:rPr>
        <w:t>＝35586.2610×5</w:t>
      </w:r>
      <w:r>
        <w:rPr>
          <w:rFonts w:ascii="Arial" w:hAnsi="Arial" w:eastAsia="仿宋_GB2312"/>
          <w:color w:val="auto"/>
          <w:sz w:val="28"/>
        </w:rPr>
        <w:t>%</w:t>
      </w:r>
    </w:p>
    <w:p w14:paraId="6565C4FF">
      <w:pPr>
        <w:spacing w:line="300" w:lineRule="auto"/>
        <w:ind w:firstLine="1960" w:firstLineChars="700"/>
        <w:jc w:val="both"/>
        <w:rPr>
          <w:rFonts w:ascii="Arial" w:hAnsi="Arial" w:eastAsia="仿宋_GB2312"/>
          <w:color w:val="auto"/>
          <w:sz w:val="28"/>
        </w:rPr>
      </w:pPr>
      <w:r>
        <w:rPr>
          <w:rFonts w:hint="eastAsia" w:ascii="Arial" w:hAnsi="Arial" w:eastAsia="仿宋_GB2312"/>
          <w:color w:val="auto"/>
          <w:sz w:val="28"/>
        </w:rPr>
        <w:t>＝1779.3131（万元）</w:t>
      </w:r>
    </w:p>
    <w:p w14:paraId="7A01FD71">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g）房屋建设成本</w:t>
      </w:r>
    </w:p>
    <w:p w14:paraId="55D0879B">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房屋建设成本</w:t>
      </w:r>
      <w:r>
        <w:rPr>
          <w:rFonts w:hint="eastAsia" w:ascii="仿宋_GB2312" w:eastAsia="仿宋_GB2312"/>
          <w:color w:val="auto"/>
          <w:sz w:val="28"/>
        </w:rPr>
        <w:t>为上述</w:t>
      </w:r>
      <w:r>
        <w:rPr>
          <w:rFonts w:hint="eastAsia" w:ascii="Arial" w:hAnsi="Arial" w:eastAsia="仿宋_GB2312"/>
          <w:color w:val="auto"/>
          <w:sz w:val="28"/>
        </w:rPr>
        <w:t>6</w:t>
      </w:r>
      <w:r>
        <w:rPr>
          <w:rFonts w:hint="eastAsia" w:ascii="仿宋_GB2312" w:eastAsia="仿宋_GB2312"/>
          <w:color w:val="auto"/>
          <w:sz w:val="28"/>
        </w:rPr>
        <w:t>项之和，则有：</w:t>
      </w:r>
    </w:p>
    <w:p w14:paraId="07F9F822">
      <w:pPr>
        <w:spacing w:line="300" w:lineRule="auto"/>
        <w:ind w:firstLine="562" w:firstLineChars="201"/>
        <w:rPr>
          <w:rFonts w:ascii="Arial" w:hAnsi="Arial" w:eastAsia="仿宋_GB2312"/>
          <w:color w:val="auto"/>
          <w:sz w:val="28"/>
        </w:rPr>
      </w:pPr>
      <w:r>
        <w:rPr>
          <w:rFonts w:hint="eastAsia" w:ascii="Arial" w:hAnsi="Arial" w:eastAsia="仿宋_GB2312"/>
          <w:color w:val="auto"/>
          <w:sz w:val="28"/>
        </w:rPr>
        <w:t>房屋建设成本</w:t>
      </w:r>
    </w:p>
    <w:p w14:paraId="198FC759">
      <w:pPr>
        <w:spacing w:line="300" w:lineRule="auto"/>
        <w:ind w:firstLine="562" w:firstLineChars="201"/>
        <w:rPr>
          <w:rFonts w:ascii="Arial" w:hAnsi="Arial" w:eastAsia="仿宋_GB2312"/>
          <w:color w:val="auto"/>
          <w:sz w:val="28"/>
        </w:rPr>
      </w:pPr>
      <w:r>
        <w:rPr>
          <w:rFonts w:hint="eastAsia" w:ascii="Arial" w:hAnsi="Arial" w:eastAsia="仿宋_GB2312"/>
          <w:color w:val="auto"/>
          <w:sz w:val="28"/>
        </w:rPr>
        <w:t xml:space="preserve">＝前期费用＋建筑安装工程费＋基础设施建设费＋公共配套设施建设费＋开发期间税费＋其他工程费  </w:t>
      </w:r>
    </w:p>
    <w:p w14:paraId="489BE722">
      <w:pPr>
        <w:spacing w:line="300" w:lineRule="auto"/>
        <w:ind w:firstLine="562" w:firstLineChars="201"/>
        <w:jc w:val="both"/>
        <w:rPr>
          <w:rFonts w:ascii="Arial" w:hAnsi="Arial" w:eastAsia="仿宋_GB2312"/>
          <w:color w:val="auto"/>
          <w:sz w:val="28"/>
        </w:rPr>
      </w:pPr>
      <w:r>
        <w:rPr>
          <w:rFonts w:hint="eastAsia" w:ascii="Arial" w:hAnsi="Arial" w:eastAsia="仿宋_GB2312"/>
          <w:color w:val="auto"/>
          <w:sz w:val="28"/>
        </w:rPr>
        <w:t>＝2846.9009＋35586.2610＋3558.6261＋2846.9009＋711.7252＋</w:t>
      </w:r>
    </w:p>
    <w:p w14:paraId="5C874A55">
      <w:pPr>
        <w:spacing w:line="300" w:lineRule="auto"/>
        <w:rPr>
          <w:rFonts w:ascii="Arial" w:hAnsi="Arial" w:eastAsia="仿宋_GB2312"/>
          <w:color w:val="auto"/>
          <w:sz w:val="28"/>
        </w:rPr>
      </w:pPr>
      <w:r>
        <w:rPr>
          <w:rFonts w:hint="eastAsia" w:ascii="Arial" w:hAnsi="Arial" w:eastAsia="仿宋_GB2312"/>
          <w:color w:val="auto"/>
          <w:sz w:val="28"/>
        </w:rPr>
        <w:t>1779.3131</w:t>
      </w:r>
    </w:p>
    <w:p w14:paraId="2D265C88">
      <w:pPr>
        <w:spacing w:line="300" w:lineRule="auto"/>
        <w:ind w:firstLine="560" w:firstLineChars="200"/>
        <w:rPr>
          <w:rFonts w:ascii="Arial" w:hAnsi="Arial" w:eastAsia="仿宋_GB2312"/>
          <w:color w:val="auto"/>
          <w:sz w:val="28"/>
        </w:rPr>
      </w:pPr>
      <w:r>
        <w:rPr>
          <w:rFonts w:hint="eastAsia" w:ascii="Arial" w:hAnsi="Arial" w:eastAsia="仿宋_GB2312"/>
          <w:color w:val="auto"/>
          <w:sz w:val="28"/>
        </w:rPr>
        <w:t>＝47329.7272（万元）</w:t>
      </w:r>
    </w:p>
    <w:p w14:paraId="705D6DE2">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c.</w:t>
      </w:r>
      <w:r>
        <w:rPr>
          <w:rFonts w:hint="eastAsia" w:ascii="仿宋_GB2312" w:eastAsia="仿宋_GB2312"/>
          <w:color w:val="auto"/>
          <w:sz w:val="28"/>
        </w:rPr>
        <w:t>管理费用</w:t>
      </w:r>
    </w:p>
    <w:p w14:paraId="1A620E90">
      <w:pPr>
        <w:spacing w:line="300" w:lineRule="auto"/>
        <w:ind w:firstLine="560" w:firstLineChars="200"/>
        <w:jc w:val="both"/>
        <w:rPr>
          <w:rFonts w:ascii="仿宋_GB2312" w:eastAsia="仿宋_GB2312"/>
          <w:color w:val="auto"/>
          <w:sz w:val="28"/>
        </w:rPr>
      </w:pPr>
      <w:r>
        <w:rPr>
          <w:rFonts w:hint="eastAsia" w:ascii="仿宋_GB2312" w:hAnsi="Arial" w:eastAsia="仿宋_GB2312"/>
          <w:color w:val="auto"/>
          <w:sz w:val="28"/>
        </w:rPr>
        <w:t>管</w:t>
      </w:r>
      <w:r>
        <w:rPr>
          <w:rFonts w:hint="eastAsia" w:ascii="Arial" w:hAnsi="Arial" w:eastAsia="仿宋_GB2312"/>
          <w:color w:val="auto"/>
          <w:sz w:val="28"/>
        </w:rPr>
        <w:t>理费用是房地产开发商为组织和管理房地产开发经营活动的必要支出，主要包括人员工资、办公费、差旅费等.管理费用按照房地产开发企业财务会计制度核算，根据目前北京市房地产开发中管理费用的平均水平，该类房地产开发项目的管理费用一般为房屋建设成本的1－3%之间。根据项目实际情况，确定管理费用以房屋建设成本为计费基础取 3%，</w:t>
      </w:r>
      <w:r>
        <w:rPr>
          <w:rFonts w:hint="eastAsia" w:ascii="仿宋_GB2312" w:eastAsia="仿宋_GB2312"/>
          <w:color w:val="auto"/>
          <w:sz w:val="28"/>
        </w:rPr>
        <w:t>则有：</w:t>
      </w:r>
    </w:p>
    <w:p w14:paraId="64C4D64D">
      <w:pPr>
        <w:spacing w:line="300" w:lineRule="auto"/>
        <w:ind w:firstLine="560" w:firstLineChars="200"/>
        <w:jc w:val="both"/>
        <w:rPr>
          <w:rFonts w:ascii="仿宋_GB2312" w:eastAsia="仿宋_GB2312"/>
          <w:color w:val="auto"/>
          <w:sz w:val="28"/>
        </w:rPr>
      </w:pPr>
      <w:r>
        <w:rPr>
          <w:rFonts w:hint="eastAsia" w:ascii="仿宋_GB2312" w:eastAsia="仿宋_GB2312"/>
          <w:color w:val="auto"/>
          <w:sz w:val="28"/>
        </w:rPr>
        <w:t>管理费用＝</w:t>
      </w:r>
      <w:r>
        <w:rPr>
          <w:rFonts w:hint="eastAsia" w:ascii="Arial" w:hAnsi="Arial" w:eastAsia="仿宋_GB2312"/>
          <w:color w:val="auto"/>
          <w:sz w:val="28"/>
        </w:rPr>
        <w:t>房屋建设成本</w:t>
      </w:r>
      <w:r>
        <w:rPr>
          <w:rFonts w:hint="eastAsia" w:ascii="仿宋_GB2312" w:eastAsia="仿宋_GB2312"/>
          <w:color w:val="auto"/>
          <w:sz w:val="28"/>
        </w:rPr>
        <w:t>×管理费率</w:t>
      </w:r>
    </w:p>
    <w:p w14:paraId="02861D3D">
      <w:pPr>
        <w:spacing w:line="300" w:lineRule="auto"/>
        <w:ind w:firstLine="1680" w:firstLineChars="600"/>
        <w:jc w:val="both"/>
        <w:rPr>
          <w:rFonts w:ascii="Arial" w:hAnsi="Arial"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47329.7272×3%</w:t>
      </w:r>
    </w:p>
    <w:p w14:paraId="73D193AE">
      <w:pPr>
        <w:spacing w:line="300" w:lineRule="auto"/>
        <w:ind w:firstLine="1680" w:firstLineChars="600"/>
        <w:jc w:val="both"/>
        <w:rPr>
          <w:rFonts w:ascii="仿宋_GB2312"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1419.8918（</w:t>
      </w:r>
      <w:r>
        <w:rPr>
          <w:rFonts w:hint="eastAsia" w:ascii="仿宋_GB2312" w:eastAsia="仿宋_GB2312"/>
          <w:color w:val="auto"/>
          <w:sz w:val="28"/>
        </w:rPr>
        <w:t>万元）</w:t>
      </w:r>
    </w:p>
    <w:p w14:paraId="15BD4713">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d.销售费用</w:t>
      </w:r>
    </w:p>
    <w:p w14:paraId="1E144218">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销售费用指预售未来开发完成的房地产或者销售已经开发完成的房地产所必要的费用，包括广告费、销售资料制作费、样板房或样板间建设费售楼处建设费、销售人员费用或者销售代理费等。根据目前北京市居住用途房地产开发中销售费用的平均费用情况，该类建筑物的销售费用一般为房地产销售价格的2%－4%之间，本次评估确定销售费用以房地产销售价格为计费基础，费率取3%，</w:t>
      </w:r>
      <w:r>
        <w:rPr>
          <w:rFonts w:hint="eastAsia" w:ascii="仿宋_GB2312" w:eastAsia="仿宋_GB2312"/>
          <w:color w:val="auto"/>
          <w:sz w:val="28"/>
        </w:rPr>
        <w:t>则有：</w:t>
      </w:r>
    </w:p>
    <w:p w14:paraId="669F80CD">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销售费用</w:t>
      </w:r>
      <w:r>
        <w:rPr>
          <w:rFonts w:hint="eastAsia" w:ascii="仿宋_GB2312" w:eastAsia="仿宋_GB2312"/>
          <w:color w:val="auto"/>
          <w:sz w:val="28"/>
        </w:rPr>
        <w:t>＝项目开发完成后不动产总价×销售费率</w:t>
      </w:r>
    </w:p>
    <w:p w14:paraId="6770D883">
      <w:pPr>
        <w:spacing w:line="300" w:lineRule="auto"/>
        <w:ind w:firstLine="1680" w:firstLineChars="600"/>
        <w:jc w:val="both"/>
        <w:rPr>
          <w:rFonts w:ascii="Arial" w:hAnsi="Arial"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205917.6285×3%</w:t>
      </w:r>
    </w:p>
    <w:p w14:paraId="3711511A">
      <w:pPr>
        <w:spacing w:line="300" w:lineRule="auto"/>
        <w:ind w:firstLine="1680" w:firstLineChars="600"/>
        <w:jc w:val="both"/>
        <w:rPr>
          <w:rFonts w:ascii="仿宋_GB2312" w:hAnsi="Arial"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6177.5289（</w:t>
      </w:r>
      <w:r>
        <w:rPr>
          <w:rFonts w:hint="eastAsia" w:ascii="仿宋_GB2312" w:eastAsia="仿宋_GB2312"/>
          <w:color w:val="auto"/>
          <w:sz w:val="28"/>
        </w:rPr>
        <w:t>万元）</w:t>
      </w:r>
    </w:p>
    <w:p w14:paraId="08CA0CBE">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e.投资利息</w:t>
      </w:r>
    </w:p>
    <w:p w14:paraId="3B78126F">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投资利息指在房地产开发完成或实现销售之前发生的所有必要费用应计算的利息。</w:t>
      </w:r>
    </w:p>
    <w:p w14:paraId="4873304B">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本次评估综合考虑项目拟建设规模、主体结构高度以及装修状况，参考同类物业的开发周期，设定估价对象建设周期为3年。根据中国人民银行2026年3月20日公布的贷款市场报价利率（LPR）为，1年期LPR为3.0%，5 年期以上 LPR为 3.5%，由于未公布的 1－5 年期之间的具体 LPR 数据，本次评估采用插值法计算开发周期对应利率，得出3年期LPR为3.25%（3.0%＋（3－1）÷（5－1）×（3.5%－3.0%））。本次评估贷款利率取3.25%。地价款和购地税费全周期计息，房屋建设成本、管理费用、销售费用等预付资本应根据开发周期均匀投入计息，则有：</w:t>
      </w:r>
    </w:p>
    <w:p w14:paraId="2FB58F91">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投资利息＝（估价对象土地价格＋购地税费）×〔（1＋年利率）</w:t>
      </w:r>
      <w:r>
        <w:rPr>
          <w:rFonts w:hint="eastAsia" w:ascii="Arial" w:hAnsi="Arial" w:eastAsia="仿宋_GB2312"/>
          <w:color w:val="auto"/>
          <w:sz w:val="28"/>
          <w:vertAlign w:val="superscript"/>
        </w:rPr>
        <w:t>项目开发周期</w:t>
      </w:r>
      <w:r>
        <w:rPr>
          <w:rFonts w:hint="eastAsia" w:ascii="Arial" w:hAnsi="Arial" w:eastAsia="仿宋_GB2312"/>
          <w:color w:val="auto"/>
          <w:sz w:val="28"/>
        </w:rPr>
        <w:t>－1〕＋（房屋建设成本＋管理费用＋销售费用）×〔（1＋年利率）</w:t>
      </w:r>
      <w:r>
        <w:rPr>
          <w:rFonts w:hint="eastAsia" w:ascii="Arial" w:hAnsi="Arial" w:eastAsia="仿宋_GB2312"/>
          <w:color w:val="auto"/>
          <w:sz w:val="28"/>
          <w:vertAlign w:val="superscript"/>
        </w:rPr>
        <w:t>（项目开发周期÷2）</w:t>
      </w:r>
      <w:r>
        <w:rPr>
          <w:rFonts w:hint="eastAsia" w:ascii="Arial" w:hAnsi="Arial" w:eastAsia="仿宋_GB2312"/>
          <w:color w:val="auto"/>
          <w:sz w:val="28"/>
        </w:rPr>
        <w:t>－1〕</w:t>
      </w:r>
    </w:p>
    <w:p w14:paraId="36F8C8AE">
      <w:pPr>
        <w:spacing w:line="300" w:lineRule="auto"/>
        <w:ind w:firstLine="1680" w:firstLineChars="600"/>
        <w:jc w:val="both"/>
        <w:rPr>
          <w:rFonts w:ascii="Arial" w:hAnsi="Arial" w:eastAsia="仿宋_GB2312"/>
          <w:color w:val="auto"/>
          <w:sz w:val="28"/>
        </w:rPr>
      </w:pPr>
      <w:r>
        <w:rPr>
          <w:rFonts w:hint="eastAsia" w:ascii="Arial" w:hAnsi="Arial" w:eastAsia="仿宋_GB2312"/>
          <w:color w:val="auto"/>
          <w:sz w:val="28"/>
        </w:rPr>
        <w:t>＝（</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）×〔（1＋3.25%）</w:t>
      </w:r>
      <w:r>
        <w:rPr>
          <w:rFonts w:hint="eastAsia" w:ascii="Arial" w:hAnsi="Arial" w:eastAsia="仿宋_GB2312"/>
          <w:color w:val="auto"/>
          <w:sz w:val="28"/>
          <w:vertAlign w:val="superscript"/>
        </w:rPr>
        <w:t>3</w:t>
      </w:r>
      <w:r>
        <w:rPr>
          <w:rFonts w:hint="eastAsia" w:ascii="Arial" w:hAnsi="Arial" w:eastAsia="仿宋_GB2312"/>
          <w:color w:val="auto"/>
          <w:sz w:val="28"/>
        </w:rPr>
        <w:t>－1〕＋（47329.7272＋1419.8918＋6177.5289）×〔（1＋3.25%）</w:t>
      </w:r>
      <w:r>
        <w:rPr>
          <w:rFonts w:hint="eastAsia" w:ascii="Arial" w:hAnsi="Arial" w:eastAsia="仿宋_GB2312"/>
          <w:color w:val="auto"/>
          <w:sz w:val="28"/>
          <w:vertAlign w:val="superscript"/>
        </w:rPr>
        <w:t>（3÷2）</w:t>
      </w:r>
      <w:r>
        <w:rPr>
          <w:rFonts w:hint="eastAsia" w:ascii="Arial" w:hAnsi="Arial" w:eastAsia="仿宋_GB2312"/>
          <w:color w:val="auto"/>
          <w:sz w:val="28"/>
        </w:rPr>
        <w:t>－1〕</w:t>
      </w:r>
    </w:p>
    <w:p w14:paraId="55FE145C">
      <w:pPr>
        <w:spacing w:line="300" w:lineRule="auto"/>
        <w:ind w:firstLine="1680" w:firstLineChars="600"/>
        <w:jc w:val="both"/>
        <w:rPr>
          <w:rFonts w:ascii="仿宋_GB2312" w:eastAsia="仿宋_GB2312"/>
          <w:color w:val="auto"/>
          <w:sz w:val="28"/>
        </w:rPr>
      </w:pPr>
      <w:r>
        <w:rPr>
          <w:rFonts w:hint="eastAsia" w:ascii="Arial" w:hAnsi="Arial" w:eastAsia="仿宋_GB2312"/>
          <w:color w:val="auto"/>
          <w:sz w:val="28"/>
        </w:rPr>
        <w:t>＝2699.3383＋0.1038</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w:t>
      </w:r>
      <w:r>
        <w:rPr>
          <w:rFonts w:hint="eastAsia" w:ascii="仿宋_GB2312" w:eastAsia="仿宋_GB2312"/>
          <w:color w:val="auto"/>
          <w:sz w:val="28"/>
        </w:rPr>
        <w:t>万元）</w:t>
      </w:r>
    </w:p>
    <w:p w14:paraId="586D10D4">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f.销售税费</w:t>
      </w:r>
      <w:r>
        <w:rPr>
          <w:rFonts w:hint="eastAsia" w:ascii="Arial" w:hAnsi="Arial" w:eastAsia="仿宋_GB2312"/>
          <w:color w:val="auto"/>
          <w:sz w:val="28"/>
        </w:rPr>
        <w:tab/>
      </w:r>
    </w:p>
    <w:p w14:paraId="6842E861">
      <w:pPr>
        <w:spacing w:line="300" w:lineRule="auto"/>
        <w:ind w:firstLine="560" w:firstLineChars="200"/>
        <w:jc w:val="both"/>
        <w:rPr>
          <w:rFonts w:ascii="Arial" w:hAnsi="Arial" w:eastAsia="仿宋_GB2312" w:cs="Arial"/>
          <w:color w:val="auto"/>
          <w:sz w:val="28"/>
        </w:rPr>
      </w:pPr>
      <w:r>
        <w:rPr>
          <w:rFonts w:hint="eastAsia" w:ascii="仿宋_GB2312" w:hAnsi="Arial" w:eastAsia="仿宋_GB2312"/>
          <w:color w:val="auto"/>
          <w:sz w:val="28"/>
        </w:rPr>
        <w:t>本</w:t>
      </w:r>
      <w:r>
        <w:rPr>
          <w:rFonts w:hint="eastAsia" w:ascii="Arial" w:hAnsi="Arial" w:eastAsia="仿宋_GB2312" w:cs="Arial"/>
          <w:color w:val="auto"/>
          <w:sz w:val="28"/>
        </w:rPr>
        <w:t>处所指销售税费是指国家规定的相关销售税费。销售税费包括增值税及城市维护建设税、教育费附加和地方教育附加。</w:t>
      </w:r>
    </w:p>
    <w:p w14:paraId="7637E9AF">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w:t>
      </w:r>
      <w:r>
        <w:rPr>
          <w:rFonts w:hint="eastAsia" w:ascii="Arial" w:hAnsi="Arial" w:eastAsia="仿宋" w:cs="Arial"/>
          <w:color w:val="auto"/>
          <w:sz w:val="28"/>
          <w:szCs w:val="28"/>
        </w:rPr>
        <w:t>《中华人民共和国增值税法》及《中华人民共和国增值税法实施条例》</w:t>
      </w:r>
      <w:r>
        <w:rPr>
          <w:rFonts w:hint="eastAsia" w:ascii="Arial" w:hAnsi="Arial" w:eastAsia="仿宋_GB2312" w:cs="Arial"/>
          <w:color w:val="auto"/>
          <w:sz w:val="28"/>
        </w:rPr>
        <w:t>相关规定，对于一般纳税人自行开发销售的新建项目，适宜采用一般计税方式测算增值税。</w:t>
      </w:r>
      <w:r>
        <w:rPr>
          <w:rFonts w:ascii="Arial" w:hAnsi="Arial" w:eastAsia="仿宋_GB2312" w:cs="Arial"/>
          <w:color w:val="auto"/>
          <w:sz w:val="28"/>
        </w:rPr>
        <w:t>销售不动产税率为9%</w:t>
      </w:r>
      <w:r>
        <w:rPr>
          <w:rFonts w:hint="eastAsia" w:ascii="Arial" w:hAnsi="Arial" w:eastAsia="仿宋_GB2312" w:cs="Arial"/>
          <w:color w:val="auto"/>
          <w:sz w:val="28"/>
        </w:rPr>
        <w:t>，</w:t>
      </w:r>
      <w:r>
        <w:rPr>
          <w:rFonts w:ascii="Arial" w:hAnsi="Arial" w:eastAsia="仿宋_GB2312" w:cs="Arial"/>
          <w:color w:val="auto"/>
          <w:sz w:val="28"/>
        </w:rPr>
        <w:t>进项税额中建筑安装工程费、</w:t>
      </w:r>
      <w:r>
        <w:rPr>
          <w:rFonts w:hint="eastAsia" w:ascii="Arial" w:hAnsi="Arial" w:eastAsia="仿宋_GB2312" w:cs="Arial"/>
          <w:color w:val="auto"/>
          <w:sz w:val="28"/>
        </w:rPr>
        <w:t>基础设施建设费</w:t>
      </w:r>
      <w:r>
        <w:rPr>
          <w:rFonts w:ascii="Arial" w:hAnsi="Arial" w:eastAsia="仿宋_GB2312" w:cs="Arial"/>
          <w:color w:val="auto"/>
          <w:sz w:val="28"/>
        </w:rPr>
        <w:t>、</w:t>
      </w:r>
      <w:r>
        <w:rPr>
          <w:rFonts w:hint="eastAsia" w:ascii="Arial" w:hAnsi="Arial" w:eastAsia="仿宋_GB2312" w:cs="Arial"/>
          <w:color w:val="auto"/>
          <w:sz w:val="28"/>
        </w:rPr>
        <w:t>公共配套设施建设费</w:t>
      </w:r>
      <w:r>
        <w:rPr>
          <w:rFonts w:ascii="Arial" w:hAnsi="Arial" w:eastAsia="仿宋_GB2312" w:cs="Arial"/>
          <w:color w:val="auto"/>
          <w:sz w:val="28"/>
        </w:rPr>
        <w:t>属于建筑行业，税率为9%；</w:t>
      </w:r>
      <w:r>
        <w:rPr>
          <w:rFonts w:hint="eastAsia" w:ascii="Arial" w:hAnsi="Arial" w:eastAsia="仿宋_GB2312" w:cs="Arial"/>
          <w:color w:val="auto"/>
          <w:sz w:val="28"/>
        </w:rPr>
        <w:t>前期费用</w:t>
      </w:r>
      <w:r>
        <w:rPr>
          <w:rFonts w:ascii="Arial" w:hAnsi="Arial" w:eastAsia="仿宋_GB2312" w:cs="Arial"/>
          <w:color w:val="auto"/>
          <w:sz w:val="28"/>
        </w:rPr>
        <w:t>、</w:t>
      </w:r>
      <w:r>
        <w:rPr>
          <w:rFonts w:hint="eastAsia" w:ascii="Arial" w:hAnsi="Arial" w:eastAsia="仿宋_GB2312" w:cs="Arial"/>
          <w:color w:val="auto"/>
          <w:sz w:val="28"/>
        </w:rPr>
        <w:t>其他工程费、</w:t>
      </w:r>
      <w:r>
        <w:rPr>
          <w:rFonts w:ascii="Arial" w:hAnsi="Arial" w:eastAsia="仿宋_GB2312" w:cs="Arial"/>
          <w:color w:val="auto"/>
          <w:sz w:val="28"/>
        </w:rPr>
        <w:t>销售费用税率为6%</w:t>
      </w:r>
      <w:r>
        <w:rPr>
          <w:rFonts w:hint="eastAsia" w:ascii="Arial" w:hAnsi="Arial" w:eastAsia="仿宋_GB2312" w:cs="Arial"/>
          <w:color w:val="auto"/>
          <w:sz w:val="28"/>
        </w:rPr>
        <w:t>。根据《北京市财政局国家税务总局北京市税务局北京市民政局关于明确北京市城市维护建设税纳税人所在地具体地点的通知》（京财税〔2021〕1770号），估价对象位于顺义区，城市维护建设税为增值税的5%；根据《国务院关于修改&lt;征收教育费附加的暂行规定&gt;的决定》，教育费附加为增值税的3%；根据《北京市地方教育附加征收使用管理办法》，地方教育附加费为增值税的2%，则有：</w:t>
      </w:r>
    </w:p>
    <w:p w14:paraId="5D18B5A8">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增值税基本公式：增值税＝销项税额－进项税额</w:t>
      </w:r>
    </w:p>
    <w:p w14:paraId="696EB79D">
      <w:pPr>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销项税额</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s="Arial"/>
          <w:color w:val="auto"/>
          <w:sz w:val="28"/>
        </w:rPr>
        <w:t>开发完成后</w:t>
      </w:r>
      <w:r>
        <w:rPr>
          <w:rFonts w:ascii="Arial" w:hAnsi="Arial" w:eastAsia="仿宋_GB2312" w:cs="Arial"/>
          <w:color w:val="auto"/>
          <w:sz w:val="28"/>
        </w:rPr>
        <w:t>不动产总价</w:t>
      </w:r>
      <w:r>
        <w:rPr>
          <w:rFonts w:hint="eastAsia" w:ascii="Arial" w:hAnsi="Arial" w:eastAsia="仿宋_GB2312" w:cs="Arial"/>
          <w:color w:val="auto"/>
          <w:sz w:val="28"/>
        </w:rPr>
        <w:t>－</w:t>
      </w:r>
      <w:r>
        <w:rPr>
          <w:rFonts w:ascii="Arial" w:hAnsi="Arial" w:eastAsia="仿宋_GB2312" w:cs="Arial"/>
          <w:color w:val="auto"/>
          <w:sz w:val="28"/>
        </w:rPr>
        <w:t>土地使用权</w:t>
      </w:r>
      <w:r>
        <w:rPr>
          <w:rFonts w:hint="eastAsia" w:ascii="Arial" w:hAnsi="Arial" w:eastAsia="仿宋_GB2312"/>
          <w:color w:val="auto"/>
          <w:sz w:val="28"/>
        </w:rPr>
        <w:t>总价</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p>
    <w:p w14:paraId="135DA451">
      <w:pPr>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进项税额</w:t>
      </w:r>
      <w:r>
        <w:rPr>
          <w:rFonts w:hint="eastAsia" w:ascii="Arial" w:hAnsi="Arial" w:eastAsia="仿宋_GB2312" w:cs="Arial"/>
          <w:color w:val="auto"/>
          <w:sz w:val="28"/>
        </w:rPr>
        <w:t>＝（</w:t>
      </w:r>
      <w:r>
        <w:rPr>
          <w:rFonts w:hint="eastAsia" w:ascii="Arial" w:hAnsi="Arial" w:eastAsia="仿宋_GB2312"/>
          <w:color w:val="auto"/>
          <w:sz w:val="28"/>
        </w:rPr>
        <w:t>建筑安装工程费＋基础设施建设费＋公共配套设施建设费</w:t>
      </w:r>
      <w:r>
        <w:rPr>
          <w:rFonts w:hint="eastAsia" w:ascii="Arial" w:hAnsi="Arial" w:eastAsia="仿宋_GB2312" w:cs="Arial"/>
          <w:color w:val="auto"/>
          <w:sz w:val="28"/>
        </w:rPr>
        <w:t>＋开发期间税费）÷</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hint="eastAsia" w:ascii="Arial" w:hAnsi="Arial" w:eastAsia="仿宋_GB2312"/>
          <w:color w:val="auto"/>
          <w:sz w:val="28"/>
        </w:rPr>
        <w:t>前期费用</w:t>
      </w:r>
      <w:r>
        <w:rPr>
          <w:rFonts w:hint="eastAsia" w:ascii="Arial" w:hAnsi="Arial" w:eastAsia="仿宋_GB2312" w:cs="Arial"/>
          <w:color w:val="auto"/>
          <w:sz w:val="28"/>
        </w:rPr>
        <w:t>＋</w:t>
      </w:r>
      <w:r>
        <w:rPr>
          <w:rFonts w:hint="eastAsia" w:ascii="Arial" w:hAnsi="Arial" w:eastAsia="仿宋_GB2312"/>
          <w:color w:val="auto"/>
          <w:sz w:val="28"/>
        </w:rPr>
        <w:t>其他工程费＋</w:t>
      </w:r>
      <w:r>
        <w:rPr>
          <w:rFonts w:ascii="Arial" w:hAnsi="Arial" w:eastAsia="仿宋_GB2312" w:cs="Arial"/>
          <w:color w:val="auto"/>
          <w:sz w:val="28"/>
        </w:rPr>
        <w:t>销售费用</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w:t>
      </w:r>
      <w:r>
        <w:rPr>
          <w:rFonts w:ascii="Arial" w:hAnsi="Arial" w:eastAsia="仿宋_GB2312" w:cs="Arial"/>
          <w:color w:val="auto"/>
          <w:sz w:val="28"/>
        </w:rPr>
        <w:t xml:space="preserve">6%。 </w:t>
      </w:r>
    </w:p>
    <w:p w14:paraId="751C2E22">
      <w:pPr>
        <w:spacing w:line="300" w:lineRule="auto"/>
        <w:ind w:firstLine="560" w:firstLineChars="200"/>
        <w:rPr>
          <w:rFonts w:ascii="Arial" w:hAnsi="Arial" w:eastAsia="仿宋_GB2312" w:cs="Arial"/>
          <w:color w:val="auto"/>
          <w:sz w:val="28"/>
        </w:rPr>
      </w:pPr>
      <w:r>
        <w:rPr>
          <w:rFonts w:hint="eastAsia" w:ascii="Arial" w:hAnsi="Arial" w:eastAsia="仿宋_GB2312"/>
          <w:color w:val="auto"/>
          <w:sz w:val="28"/>
        </w:rPr>
        <w:t>销售税费</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s="Arial"/>
          <w:color w:val="auto"/>
          <w:sz w:val="28"/>
        </w:rPr>
        <w:t>205917.6285－</w:t>
      </w:r>
      <w:r>
        <w:rPr>
          <w:rFonts w:ascii="Arial" w:hAnsi="Arial" w:eastAsia="仿宋_GB2312"/>
          <w:color w:val="auto"/>
          <w:sz w:val="28"/>
        </w:rPr>
        <w:t>P</w:t>
      </w:r>
      <w:r>
        <w:rPr>
          <w:rFonts w:hint="eastAsia" w:ascii="Arial" w:hAnsi="Arial" w:eastAsia="仿宋_GB2312"/>
          <w:color w:val="auto"/>
          <w:sz w:val="28"/>
          <w:vertAlign w:val="subscript"/>
        </w:rPr>
        <w:t>土</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olor w:val="auto"/>
          <w:sz w:val="28"/>
        </w:rPr>
        <w:t>35586.2610</w:t>
      </w:r>
      <w:r>
        <w:rPr>
          <w:rFonts w:hint="eastAsia" w:ascii="Arial" w:hAnsi="Arial" w:eastAsia="仿宋_GB2312" w:cs="Arial"/>
          <w:color w:val="auto"/>
          <w:sz w:val="28"/>
        </w:rPr>
        <w:t>＋</w:t>
      </w:r>
      <w:r>
        <w:rPr>
          <w:rFonts w:hint="eastAsia" w:ascii="Arial" w:hAnsi="Arial" w:eastAsia="仿宋_GB2312"/>
          <w:color w:val="auto"/>
          <w:sz w:val="28"/>
        </w:rPr>
        <w:t>3558.6261＋2846.9009</w:t>
      </w:r>
      <w:r>
        <w:rPr>
          <w:rFonts w:hint="eastAsia" w:ascii="Arial" w:hAnsi="Arial" w:eastAsia="仿宋_GB2312" w:cs="Arial"/>
          <w:color w:val="auto"/>
          <w:sz w:val="28"/>
        </w:rPr>
        <w:t>＋711.7252</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olor w:val="auto"/>
          <w:sz w:val="28"/>
        </w:rPr>
        <w:t>2846.9009</w:t>
      </w:r>
      <w:r>
        <w:rPr>
          <w:rFonts w:hint="eastAsia" w:ascii="Arial" w:hAnsi="Arial" w:eastAsia="仿宋_GB2312" w:cs="Arial"/>
          <w:color w:val="auto"/>
          <w:sz w:val="28"/>
        </w:rPr>
        <w:t>＋</w:t>
      </w:r>
      <w:r>
        <w:rPr>
          <w:rFonts w:hint="eastAsia" w:ascii="Arial" w:hAnsi="Arial" w:eastAsia="仿宋_GB2312"/>
          <w:color w:val="auto"/>
          <w:sz w:val="28"/>
        </w:rPr>
        <w:t>1779.3131＋6177.5289</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}×（1＋5%＋3%＋2%）</w:t>
      </w:r>
    </w:p>
    <w:p w14:paraId="2A1C7A44">
      <w:pPr>
        <w:spacing w:line="300" w:lineRule="auto"/>
        <w:ind w:firstLine="1680" w:firstLineChars="600"/>
        <w:rPr>
          <w:rFonts w:ascii="Arial" w:hAnsi="Arial" w:eastAsia="仿宋_GB2312" w:cs="Arial"/>
          <w:color w:val="auto"/>
          <w:sz w:val="28"/>
        </w:rPr>
      </w:pPr>
      <w:r>
        <w:rPr>
          <w:rFonts w:hint="eastAsia" w:ascii="Arial" w:hAnsi="Arial" w:eastAsia="仿宋_GB2312" w:cs="Arial"/>
          <w:color w:val="auto"/>
          <w:sz w:val="28"/>
        </w:rPr>
        <w:t>＝14151.3484－</w:t>
      </w:r>
      <w:r>
        <w:rPr>
          <w:rFonts w:ascii="Arial" w:hAnsi="Arial" w:eastAsia="仿宋_GB2312" w:cs="Arial"/>
          <w:color w:val="auto"/>
          <w:sz w:val="28"/>
        </w:rPr>
        <w:t>0.0</w:t>
      </w:r>
      <w:r>
        <w:rPr>
          <w:rFonts w:hint="eastAsia" w:ascii="Arial" w:hAnsi="Arial" w:eastAsia="仿宋_GB2312" w:cs="Arial"/>
          <w:color w:val="auto"/>
          <w:sz w:val="28"/>
        </w:rPr>
        <w:t>909</w:t>
      </w:r>
      <w:r>
        <w:rPr>
          <w:rFonts w:ascii="Arial" w:hAnsi="Arial" w:eastAsia="仿宋_GB2312" w:cs="Arial"/>
          <w:color w:val="auto"/>
          <w:sz w:val="28"/>
        </w:rPr>
        <w:t>P</w:t>
      </w:r>
      <w:r>
        <w:rPr>
          <w:rFonts w:hint="eastAsia" w:ascii="Arial" w:hAnsi="Arial" w:eastAsia="仿宋" w:cs="Arial"/>
          <w:bCs/>
          <w:color w:val="auto"/>
          <w:sz w:val="21"/>
          <w:szCs w:val="21"/>
          <w:vertAlign w:val="subscript"/>
        </w:rPr>
        <w:t>土</w:t>
      </w:r>
      <w:r>
        <w:rPr>
          <w:rFonts w:ascii="Arial" w:hAnsi="Arial" w:eastAsia="仿宋_GB2312" w:cs="Arial"/>
          <w:color w:val="auto"/>
          <w:sz w:val="28"/>
        </w:rPr>
        <w:t>（万元）</w:t>
      </w:r>
    </w:p>
    <w:p w14:paraId="60379972">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g</w:t>
      </w:r>
      <w:r>
        <w:rPr>
          <w:rFonts w:ascii="Arial" w:hAnsi="Arial" w:eastAsia="仿宋_GB2312"/>
          <w:color w:val="auto"/>
          <w:sz w:val="28"/>
        </w:rPr>
        <w:t>.</w:t>
      </w:r>
      <w:r>
        <w:rPr>
          <w:rFonts w:hint="eastAsia" w:ascii="仿宋_GB2312" w:eastAsia="仿宋_GB2312"/>
          <w:color w:val="auto"/>
          <w:sz w:val="28"/>
        </w:rPr>
        <w:t>开发成本</w:t>
      </w:r>
    </w:p>
    <w:p w14:paraId="38B9854F">
      <w:pPr>
        <w:spacing w:line="300" w:lineRule="auto"/>
        <w:ind w:firstLine="560" w:firstLineChars="200"/>
        <w:jc w:val="both"/>
        <w:rPr>
          <w:rFonts w:ascii="仿宋_GB2312" w:eastAsia="仿宋_GB2312"/>
          <w:color w:val="auto"/>
          <w:sz w:val="28"/>
        </w:rPr>
      </w:pPr>
      <w:r>
        <w:rPr>
          <w:rFonts w:hint="eastAsia" w:ascii="仿宋_GB2312" w:eastAsia="仿宋_GB2312"/>
          <w:color w:val="auto"/>
          <w:sz w:val="28"/>
        </w:rPr>
        <w:t>开发成本为上述</w:t>
      </w:r>
      <w:r>
        <w:rPr>
          <w:rFonts w:hint="eastAsia" w:ascii="Arial" w:hAnsi="Arial" w:eastAsia="仿宋_GB2312"/>
          <w:color w:val="auto"/>
          <w:sz w:val="28"/>
        </w:rPr>
        <w:t>6</w:t>
      </w:r>
      <w:r>
        <w:rPr>
          <w:rFonts w:hint="eastAsia" w:ascii="仿宋_GB2312" w:eastAsia="仿宋_GB2312"/>
          <w:color w:val="auto"/>
          <w:sz w:val="28"/>
        </w:rPr>
        <w:t>项合计，则有：</w:t>
      </w:r>
    </w:p>
    <w:p w14:paraId="4AB9F417">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w:t>
      </w:r>
    </w:p>
    <w:p w14:paraId="77D05078">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＝购地税费＋房屋建设成本＋管理费用＋销售费用＋投资利息＋销售税费</w:t>
      </w:r>
    </w:p>
    <w:p w14:paraId="65CEC8E7">
      <w:pPr>
        <w:spacing w:line="300" w:lineRule="auto"/>
        <w:ind w:firstLine="560" w:firstLineChars="200"/>
        <w:jc w:val="both"/>
        <w:rPr>
          <w:rFonts w:ascii="Arial" w:hAnsi="Arial" w:eastAsia="仿宋_GB2312"/>
          <w:color w:val="auto"/>
          <w:sz w:val="28"/>
        </w:rPr>
      </w:pPr>
      <w:r>
        <w:rPr>
          <w:rFonts w:hint="eastAsia" w:ascii="Arial" w:hAnsi="Arial" w:eastAsia="仿宋_GB2312" w:cs="Arial"/>
          <w:color w:val="auto"/>
          <w:sz w:val="28"/>
        </w:rPr>
        <w:t>＝</w:t>
      </w:r>
      <w:r>
        <w:rPr>
          <w:rFonts w:hint="eastAsia" w:ascii="Arial" w:hAnsi="Arial" w:eastAsia="仿宋_GB2312"/>
          <w:color w:val="auto"/>
          <w:sz w:val="28"/>
        </w:rPr>
        <w:t>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＋47329.7272＋1419.8918</w:t>
      </w:r>
      <w:r>
        <w:rPr>
          <w:rFonts w:hint="eastAsia" w:ascii="Arial" w:hAnsi="Arial" w:eastAsia="仿宋" w:cs="Arial"/>
          <w:color w:val="auto"/>
          <w:sz w:val="28"/>
        </w:rPr>
        <w:t>＋</w:t>
      </w:r>
      <w:r>
        <w:rPr>
          <w:rFonts w:hint="eastAsia" w:ascii="Arial" w:hAnsi="Arial" w:eastAsia="仿宋_GB2312"/>
          <w:color w:val="auto"/>
          <w:sz w:val="28"/>
        </w:rPr>
        <w:t>6177.5289＋2699.3383</w:t>
      </w:r>
    </w:p>
    <w:p w14:paraId="1CCDB4C5">
      <w:pPr>
        <w:spacing w:line="300" w:lineRule="auto"/>
        <w:jc w:val="both"/>
        <w:rPr>
          <w:rFonts w:ascii="Arial" w:hAnsi="Arial" w:eastAsia="仿宋_GB2312" w:cs="Arial"/>
          <w:color w:val="auto"/>
          <w:sz w:val="28"/>
        </w:rPr>
      </w:pPr>
      <w:r>
        <w:rPr>
          <w:rFonts w:hint="eastAsia" w:ascii="Arial" w:hAnsi="Arial" w:eastAsia="仿宋_GB2312"/>
          <w:color w:val="auto"/>
          <w:sz w:val="28"/>
        </w:rPr>
        <w:t>＋0.1038</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w:t>
      </w:r>
      <w:r>
        <w:rPr>
          <w:rFonts w:hint="eastAsia" w:ascii="Arial" w:hAnsi="Arial" w:eastAsia="仿宋_GB2312" w:cs="Arial"/>
          <w:color w:val="auto"/>
          <w:sz w:val="28"/>
        </w:rPr>
        <w:t>14151.3484－</w:t>
      </w:r>
      <w:r>
        <w:rPr>
          <w:rFonts w:ascii="Arial" w:hAnsi="Arial" w:eastAsia="仿宋_GB2312" w:cs="Arial"/>
          <w:color w:val="auto"/>
          <w:sz w:val="28"/>
        </w:rPr>
        <w:t>0.0</w:t>
      </w:r>
      <w:r>
        <w:rPr>
          <w:rFonts w:hint="eastAsia" w:ascii="Arial" w:hAnsi="Arial" w:eastAsia="仿宋_GB2312" w:cs="Arial"/>
          <w:color w:val="auto"/>
          <w:sz w:val="28"/>
        </w:rPr>
        <w:t>909</w:t>
      </w:r>
      <w:r>
        <w:rPr>
          <w:rFonts w:ascii="Arial" w:hAnsi="Arial" w:eastAsia="仿宋_GB2312" w:cs="Arial"/>
          <w:color w:val="auto"/>
          <w:sz w:val="28"/>
        </w:rPr>
        <w:t>P</w:t>
      </w:r>
    </w:p>
    <w:p w14:paraId="4D3A3241">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w:t>
      </w:r>
      <w:r>
        <w:rPr>
          <w:rFonts w:hint="eastAsia" w:ascii="Arial" w:hAnsi="Arial" w:eastAsia="仿宋_GB2312"/>
          <w:color w:val="auto"/>
          <w:sz w:val="28"/>
        </w:rPr>
        <w:t>71777.8346＋0.0434</w:t>
      </w:r>
      <w:r>
        <w:rPr>
          <w:rFonts w:ascii="Arial" w:hAnsi="Arial" w:eastAsia="仿宋_GB2312"/>
          <w:color w:val="auto"/>
          <w:sz w:val="28"/>
        </w:rPr>
        <w:t xml:space="preserve"> P</w:t>
      </w:r>
      <w:r>
        <w:rPr>
          <w:rFonts w:hint="eastAsia" w:ascii="仿宋_GB2312" w:eastAsia="仿宋_GB2312"/>
          <w:color w:val="auto"/>
          <w:sz w:val="28"/>
          <w:vertAlign w:val="subscript"/>
        </w:rPr>
        <w:t>土</w:t>
      </w:r>
      <w:r>
        <w:rPr>
          <w:rFonts w:hint="eastAsia" w:ascii="Arial" w:hAnsi="Arial" w:eastAsia="仿宋_GB2312"/>
          <w:color w:val="auto"/>
          <w:sz w:val="28"/>
        </w:rPr>
        <w:t>（</w:t>
      </w:r>
      <w:r>
        <w:rPr>
          <w:rFonts w:hint="eastAsia" w:ascii="仿宋_GB2312" w:eastAsia="仿宋_GB2312"/>
          <w:color w:val="auto"/>
          <w:sz w:val="28"/>
        </w:rPr>
        <w:t>万元）</w:t>
      </w:r>
    </w:p>
    <w:p w14:paraId="3961338D">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D</w:t>
      </w:r>
      <w:r>
        <w:rPr>
          <w:rFonts w:ascii="Arial" w:hAnsi="Arial" w:eastAsia="仿宋_GB2312"/>
          <w:color w:val="auto"/>
          <w:sz w:val="28"/>
        </w:rPr>
        <w:t>.</w:t>
      </w:r>
      <w:r>
        <w:rPr>
          <w:rFonts w:hint="eastAsia" w:ascii="仿宋_GB2312" w:eastAsia="仿宋_GB2312"/>
          <w:color w:val="auto"/>
          <w:sz w:val="28"/>
        </w:rPr>
        <w:t>开发利润（投资利润）</w:t>
      </w:r>
    </w:p>
    <w:p w14:paraId="08C09890">
      <w:pPr>
        <w:spacing w:line="300" w:lineRule="auto"/>
        <w:ind w:firstLine="560" w:firstLineChars="200"/>
        <w:jc w:val="both"/>
        <w:rPr>
          <w:rFonts w:ascii="Arial" w:hAnsi="Arial" w:eastAsia="仿宋_GB2312" w:cs="Arial"/>
          <w:color w:val="auto"/>
          <w:sz w:val="28"/>
        </w:rPr>
      </w:pPr>
      <w:r>
        <w:rPr>
          <w:rFonts w:hint="eastAsia" w:ascii="仿宋_GB2312" w:hAnsi="Arial" w:eastAsia="仿宋_GB2312"/>
          <w:color w:val="auto"/>
          <w:sz w:val="28"/>
        </w:rPr>
        <w:t>开发利润是指房地产开发商投资房地产开发项目应取得的资金报酬及承担</w:t>
      </w:r>
      <w:r>
        <w:rPr>
          <w:rFonts w:hint="eastAsia" w:ascii="Arial" w:hAnsi="Arial" w:eastAsia="仿宋_GB2312" w:cs="Arial"/>
          <w:color w:val="auto"/>
          <w:sz w:val="28"/>
        </w:rPr>
        <w:t xml:space="preserve">风险补偿。一般以土地或不动产总价值或全部预付资本的一定比例计算，利润率宜采用同一市场上类似土地或不动产开发项目的平均利润率。本次评估采用投资利润率，以全部预付资本的一定比例计算。 </w:t>
      </w:r>
    </w:p>
    <w:p w14:paraId="34A3C6B5">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北京市国有建设用地使用权出让地价评估技术导则》（2026年2月10日实施），剩余法房地产开发投资利润率，参考区间值住宅用途为25%－35%。估价对象位于北京市顺义区，结合估价对象容积率等自身条件，本次取城镇住宅用地开发商投资利润率为30%。</w:t>
      </w:r>
      <w:r>
        <w:rPr>
          <w:rFonts w:hint="eastAsia" w:ascii="仿宋_GB2312" w:eastAsia="仿宋_GB2312"/>
          <w:color w:val="auto"/>
          <w:sz w:val="28"/>
        </w:rPr>
        <w:t>则有：</w:t>
      </w:r>
    </w:p>
    <w:p w14:paraId="208A5CBA">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投资利润</w:t>
      </w:r>
    </w:p>
    <w:p w14:paraId="6EF0636F">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＝（估价对象土地价格＋购地税费＋房屋建设成本＋管理费用＋销售费用）×投资利润率</w:t>
      </w:r>
    </w:p>
    <w:p w14:paraId="6A84A9FD">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w:t>
      </w:r>
      <w:r>
        <w:rPr>
          <w:rFonts w:hint="eastAsia" w:ascii="仿宋_GB2312" w:eastAsia="仿宋_GB2312"/>
          <w:color w:val="auto"/>
          <w:sz w:val="28"/>
        </w:rPr>
        <w:t xml:space="preserve"> </w:t>
      </w:r>
      <w:r>
        <w:rPr>
          <w:rFonts w:ascii="Arial" w:hAnsi="Arial" w:eastAsia="仿宋_GB2312"/>
          <w:color w:val="auto"/>
          <w:sz w:val="28"/>
        </w:rPr>
        <w:t>P</w:t>
      </w:r>
      <w:r>
        <w:rPr>
          <w:rFonts w:hint="eastAsia" w:ascii="仿宋_GB2312" w:eastAsia="仿宋_GB2312"/>
          <w:color w:val="auto"/>
          <w:sz w:val="28"/>
          <w:vertAlign w:val="subscript"/>
        </w:rPr>
        <w:t>土</w:t>
      </w:r>
      <w:r>
        <w:rPr>
          <w:rFonts w:hint="eastAsia" w:ascii="Arial" w:hAnsi="Arial" w:eastAsia="仿宋_GB2312" w:cs="Arial"/>
          <w:color w:val="auto"/>
          <w:sz w:val="28"/>
        </w:rPr>
        <w:t>＋3.05%</w:t>
      </w:r>
      <w:r>
        <w:rPr>
          <w:rFonts w:hint="eastAsia" w:ascii="仿宋_GB2312" w:eastAsia="仿宋_GB2312"/>
          <w:color w:val="auto"/>
          <w:sz w:val="28"/>
        </w:rPr>
        <w:t xml:space="preserve"> </w:t>
      </w:r>
      <w:r>
        <w:rPr>
          <w:rFonts w:ascii="Arial" w:hAnsi="Arial" w:eastAsia="仿宋_GB2312"/>
          <w:color w:val="auto"/>
          <w:sz w:val="28"/>
        </w:rPr>
        <w:t>P</w:t>
      </w:r>
      <w:r>
        <w:rPr>
          <w:rFonts w:hint="eastAsia" w:ascii="仿宋_GB2312" w:eastAsia="仿宋_GB2312"/>
          <w:color w:val="auto"/>
          <w:sz w:val="28"/>
          <w:vertAlign w:val="subscript"/>
        </w:rPr>
        <w:t>土</w:t>
      </w:r>
      <w:r>
        <w:rPr>
          <w:rFonts w:hint="eastAsia" w:ascii="Arial" w:hAnsi="Arial" w:eastAsia="仿宋_GB2312" w:cs="Arial"/>
          <w:color w:val="auto"/>
          <w:sz w:val="28"/>
        </w:rPr>
        <w:t>＋</w:t>
      </w:r>
      <w:r>
        <w:rPr>
          <w:rFonts w:hint="eastAsia" w:ascii="Arial" w:hAnsi="Arial" w:eastAsia="仿宋_GB2312"/>
          <w:color w:val="auto"/>
          <w:sz w:val="28"/>
        </w:rPr>
        <w:t>47329.7272</w:t>
      </w:r>
      <w:r>
        <w:rPr>
          <w:rFonts w:hint="eastAsia" w:ascii="Arial" w:hAnsi="Arial" w:eastAsia="仿宋_GB2312" w:cs="Arial"/>
          <w:color w:val="auto"/>
          <w:sz w:val="28"/>
        </w:rPr>
        <w:t>＋</w:t>
      </w:r>
      <w:r>
        <w:rPr>
          <w:rFonts w:hint="eastAsia" w:ascii="Arial" w:hAnsi="Arial" w:eastAsia="仿宋_GB2312"/>
          <w:color w:val="auto"/>
          <w:sz w:val="28"/>
        </w:rPr>
        <w:t>1419.8918</w:t>
      </w:r>
      <w:r>
        <w:rPr>
          <w:rFonts w:hint="eastAsia" w:ascii="Arial" w:hAnsi="Arial" w:eastAsia="仿宋_GB2312" w:cs="Arial"/>
          <w:color w:val="auto"/>
          <w:sz w:val="28"/>
        </w:rPr>
        <w:t>＋</w:t>
      </w:r>
      <w:r>
        <w:rPr>
          <w:rFonts w:hint="eastAsia" w:ascii="Arial" w:hAnsi="Arial" w:eastAsia="仿宋_GB2312"/>
          <w:color w:val="auto"/>
          <w:sz w:val="28"/>
        </w:rPr>
        <w:t>6177.5289</w:t>
      </w:r>
      <w:r>
        <w:rPr>
          <w:rFonts w:hint="eastAsia" w:ascii="Arial" w:hAnsi="Arial" w:eastAsia="仿宋_GB2312" w:cs="Arial"/>
          <w:color w:val="auto"/>
          <w:sz w:val="28"/>
        </w:rPr>
        <w:t>）×30%</w:t>
      </w:r>
    </w:p>
    <w:p w14:paraId="37238E1E">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w:t>
      </w:r>
      <w:r>
        <w:rPr>
          <w:rFonts w:hint="eastAsia" w:ascii="Arial" w:hAnsi="Arial" w:eastAsia="仿宋_GB2312"/>
          <w:color w:val="auto"/>
          <w:sz w:val="28"/>
        </w:rPr>
        <w:t>16478.1444</w:t>
      </w:r>
      <w:r>
        <w:rPr>
          <w:rFonts w:hint="eastAsia" w:ascii="Arial" w:hAnsi="Arial" w:eastAsia="仿宋" w:cs="Arial"/>
          <w:color w:val="auto"/>
          <w:sz w:val="28"/>
        </w:rPr>
        <w:t>＋</w:t>
      </w:r>
      <w:r>
        <w:rPr>
          <w:rFonts w:ascii="Arial" w:hAnsi="Arial" w:eastAsia="仿宋" w:cs="Arial"/>
          <w:color w:val="auto"/>
          <w:sz w:val="28"/>
        </w:rPr>
        <w:t>0.3092</w:t>
      </w:r>
      <w:r>
        <w:rPr>
          <w:rFonts w:hint="eastAsia" w:ascii="Arial" w:hAnsi="Arial" w:eastAsia="仿宋" w:cs="Arial"/>
          <w:color w:val="auto"/>
          <w:sz w:val="28"/>
        </w:rPr>
        <w:t>P</w:t>
      </w:r>
      <w:r>
        <w:rPr>
          <w:rFonts w:hint="eastAsia" w:ascii="Arial" w:hAnsi="Arial" w:eastAsia="仿宋" w:cs="Arial"/>
          <w:color w:val="auto"/>
          <w:sz w:val="28"/>
          <w:vertAlign w:val="subscript"/>
        </w:rPr>
        <w:t>土</w:t>
      </w:r>
      <w:r>
        <w:rPr>
          <w:rFonts w:hint="eastAsia" w:ascii="仿宋_GB2312" w:eastAsia="仿宋_GB2312"/>
          <w:color w:val="auto"/>
          <w:sz w:val="28"/>
        </w:rPr>
        <w:t>（万元）</w:t>
      </w:r>
    </w:p>
    <w:p w14:paraId="3CC8A46D">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E</w:t>
      </w:r>
      <w:r>
        <w:rPr>
          <w:rFonts w:ascii="Arial" w:hAnsi="Arial" w:eastAsia="仿宋_GB2312"/>
          <w:color w:val="auto"/>
          <w:sz w:val="28"/>
        </w:rPr>
        <w:t>.</w:t>
      </w:r>
      <w:r>
        <w:rPr>
          <w:rFonts w:hint="eastAsia" w:ascii="仿宋_GB2312" w:eastAsia="仿宋_GB2312"/>
          <w:color w:val="auto"/>
          <w:sz w:val="28"/>
        </w:rPr>
        <w:t>求取估价对象土地价格</w:t>
      </w:r>
    </w:p>
    <w:p w14:paraId="75C3ADAF">
      <w:pPr>
        <w:spacing w:line="300" w:lineRule="auto"/>
        <w:ind w:firstLine="600" w:firstLineChars="200"/>
        <w:jc w:val="both"/>
        <w:rPr>
          <w:rFonts w:ascii="仿宋_GB2312" w:eastAsia="仿宋_GB2312"/>
          <w:color w:val="auto"/>
          <w:spacing w:val="10"/>
          <w:sz w:val="28"/>
        </w:rPr>
      </w:pPr>
      <w:r>
        <w:rPr>
          <w:rFonts w:hint="eastAsia" w:ascii="仿宋_GB2312" w:eastAsia="仿宋_GB2312"/>
          <w:color w:val="auto"/>
          <w:spacing w:val="10"/>
          <w:sz w:val="28"/>
        </w:rPr>
        <w:t>土地价格（</w:t>
      </w:r>
      <w:r>
        <w:rPr>
          <w:rFonts w:ascii="Arial" w:hAnsi="Arial" w:eastAsia="仿宋_GB2312"/>
          <w:color w:val="auto"/>
          <w:sz w:val="28"/>
        </w:rPr>
        <w:t>P</w:t>
      </w:r>
      <w:r>
        <w:rPr>
          <w:rFonts w:hint="eastAsia" w:ascii="仿宋_GB2312" w:eastAsia="仿宋_GB2312"/>
          <w:color w:val="auto"/>
          <w:sz w:val="28"/>
          <w:vertAlign w:val="subscript"/>
        </w:rPr>
        <w:t>土</w:t>
      </w:r>
      <w:r>
        <w:rPr>
          <w:rFonts w:hint="eastAsia" w:ascii="仿宋_GB2312" w:eastAsia="仿宋_GB2312"/>
          <w:color w:val="auto"/>
          <w:spacing w:val="10"/>
          <w:sz w:val="28"/>
        </w:rPr>
        <w:t>）</w:t>
      </w:r>
    </w:p>
    <w:p w14:paraId="4C2FB5CB">
      <w:pPr>
        <w:spacing w:line="300" w:lineRule="auto"/>
        <w:ind w:firstLine="560" w:firstLineChars="200"/>
        <w:jc w:val="both"/>
        <w:rPr>
          <w:rFonts w:ascii="仿宋_GB2312" w:eastAsia="仿宋_GB2312"/>
          <w:color w:val="auto"/>
          <w:sz w:val="28"/>
        </w:rPr>
      </w:pPr>
      <w:r>
        <w:rPr>
          <w:rFonts w:hint="eastAsia" w:ascii="仿宋_GB2312" w:eastAsia="仿宋_GB2312"/>
          <w:color w:val="auto"/>
          <w:sz w:val="28"/>
        </w:rPr>
        <w:t>＝开发完成后的不动产总价－开发成本－开发利润</w:t>
      </w:r>
    </w:p>
    <w:p w14:paraId="14EDA288">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w:t>
      </w:r>
      <w:r>
        <w:rPr>
          <w:rFonts w:hint="eastAsia" w:ascii="Arial" w:hAnsi="Arial" w:eastAsia="仿宋_GB2312" w:cs="Arial"/>
          <w:color w:val="auto"/>
          <w:sz w:val="28"/>
        </w:rPr>
        <w:t>205917.6285</w:t>
      </w:r>
      <w:r>
        <w:rPr>
          <w:rFonts w:hint="eastAsia" w:ascii="仿宋_GB2312" w:eastAsia="仿宋_GB2312"/>
          <w:color w:val="auto"/>
          <w:sz w:val="28"/>
        </w:rPr>
        <w:t>－</w:t>
      </w:r>
      <w:r>
        <w:rPr>
          <w:rFonts w:hint="eastAsia" w:ascii="Arial" w:hAnsi="Arial" w:eastAsia="仿宋_GB2312" w:cs="Arial"/>
          <w:color w:val="auto"/>
          <w:sz w:val="28"/>
        </w:rPr>
        <w:t>（</w:t>
      </w:r>
      <w:r>
        <w:rPr>
          <w:rFonts w:hint="eastAsia" w:ascii="Arial" w:hAnsi="Arial" w:eastAsia="仿宋_GB2312"/>
          <w:color w:val="auto"/>
          <w:sz w:val="28"/>
        </w:rPr>
        <w:t>71777.8346＋0.0434</w:t>
      </w:r>
      <w:r>
        <w:rPr>
          <w:rFonts w:ascii="Arial" w:hAnsi="Arial" w:eastAsia="仿宋_GB2312"/>
          <w:color w:val="auto"/>
          <w:sz w:val="28"/>
        </w:rPr>
        <w:t xml:space="preserve"> P</w:t>
      </w:r>
      <w:r>
        <w:rPr>
          <w:rFonts w:hint="eastAsia" w:ascii="仿宋_GB2312" w:eastAsia="仿宋_GB2312"/>
          <w:color w:val="auto"/>
          <w:sz w:val="28"/>
          <w:vertAlign w:val="subscript"/>
        </w:rPr>
        <w:t>土</w:t>
      </w:r>
      <w:r>
        <w:rPr>
          <w:rFonts w:hint="eastAsia" w:ascii="Arial" w:hAnsi="Arial" w:eastAsia="仿宋_GB2312" w:cs="Arial"/>
          <w:color w:val="auto"/>
          <w:sz w:val="28"/>
        </w:rPr>
        <w:t>）</w:t>
      </w:r>
      <w:r>
        <w:rPr>
          <w:rFonts w:hint="eastAsia" w:ascii="仿宋_GB2312" w:eastAsia="仿宋_GB2312"/>
          <w:color w:val="auto"/>
          <w:sz w:val="28"/>
        </w:rPr>
        <w:t>－（</w:t>
      </w:r>
      <w:r>
        <w:rPr>
          <w:rFonts w:hint="eastAsia" w:ascii="Arial" w:hAnsi="Arial" w:eastAsia="仿宋_GB2312"/>
          <w:color w:val="auto"/>
          <w:sz w:val="28"/>
        </w:rPr>
        <w:t>16478.1444</w:t>
      </w:r>
    </w:p>
    <w:p w14:paraId="7913B610">
      <w:pPr>
        <w:spacing w:line="300" w:lineRule="auto"/>
        <w:ind w:firstLine="560" w:firstLineChars="200"/>
        <w:jc w:val="both"/>
        <w:rPr>
          <w:rFonts w:ascii="Arial" w:hAnsi="Arial" w:eastAsia="仿宋_GB2312"/>
          <w:color w:val="auto"/>
          <w:sz w:val="28"/>
        </w:rPr>
      </w:pPr>
      <w:r>
        <w:rPr>
          <w:rFonts w:hint="eastAsia" w:ascii="Arial" w:hAnsi="Arial" w:eastAsia="仿宋" w:cs="Arial"/>
          <w:color w:val="auto"/>
          <w:sz w:val="28"/>
        </w:rPr>
        <w:t>＋</w:t>
      </w:r>
      <w:r>
        <w:rPr>
          <w:rFonts w:ascii="Arial" w:hAnsi="Arial" w:eastAsia="仿宋" w:cs="Arial"/>
          <w:color w:val="auto"/>
          <w:sz w:val="28"/>
        </w:rPr>
        <w:t>0.3092</w:t>
      </w:r>
      <w:r>
        <w:rPr>
          <w:rFonts w:hint="eastAsia" w:ascii="Arial" w:hAnsi="Arial" w:eastAsia="仿宋" w:cs="Arial"/>
          <w:color w:val="auto"/>
          <w:sz w:val="28"/>
        </w:rPr>
        <w:t>P</w:t>
      </w:r>
      <w:r>
        <w:rPr>
          <w:rFonts w:hint="eastAsia" w:ascii="Arial" w:hAnsi="Arial" w:eastAsia="仿宋" w:cs="Arial"/>
          <w:color w:val="auto"/>
          <w:sz w:val="28"/>
          <w:vertAlign w:val="subscript"/>
        </w:rPr>
        <w:t>土</w:t>
      </w:r>
      <w:r>
        <w:rPr>
          <w:rFonts w:hint="eastAsia" w:ascii="仿宋_GB2312" w:eastAsia="仿宋_GB2312"/>
          <w:color w:val="auto"/>
          <w:sz w:val="28"/>
        </w:rPr>
        <w:t xml:space="preserve">） </w:t>
      </w:r>
    </w:p>
    <w:p w14:paraId="1AEFE43F">
      <w:pPr>
        <w:spacing w:before="120" w:beforeLines="50" w:after="120" w:afterLines="50" w:line="300" w:lineRule="auto"/>
        <w:ind w:firstLine="560" w:firstLineChars="200"/>
        <w:rPr>
          <w:rFonts w:ascii="仿宋_GB2312"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86989.2426</w:t>
      </w:r>
      <w:r>
        <w:rPr>
          <w:rFonts w:hint="eastAsia" w:ascii="仿宋_GB2312" w:eastAsia="仿宋_GB2312"/>
          <w:color w:val="auto"/>
          <w:sz w:val="28"/>
        </w:rPr>
        <w:t>（万元）</w:t>
      </w:r>
    </w:p>
    <w:p w14:paraId="3E477B49">
      <w:pPr>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楼面地价＝</w:t>
      </w:r>
      <w:r>
        <w:rPr>
          <w:rFonts w:ascii="Arial" w:hAnsi="Arial" w:eastAsia="仿宋" w:cs="Arial"/>
          <w:color w:val="auto"/>
          <w:sz w:val="28"/>
        </w:rPr>
        <w:t>土地价格</w:t>
      </w:r>
      <w:r>
        <w:rPr>
          <w:rFonts w:hint="eastAsia" w:ascii="Arial" w:hAnsi="Arial" w:eastAsia="仿宋" w:cs="Arial"/>
          <w:color w:val="auto"/>
          <w:sz w:val="28"/>
        </w:rPr>
        <w:t>÷住宅用房建筑</w:t>
      </w:r>
      <w:r>
        <w:rPr>
          <w:rFonts w:ascii="Arial" w:hAnsi="Arial" w:eastAsia="仿宋" w:cs="Arial"/>
          <w:color w:val="auto"/>
          <w:sz w:val="28"/>
        </w:rPr>
        <w:t>面积</w:t>
      </w:r>
      <w:r>
        <w:rPr>
          <w:rFonts w:hint="eastAsia" w:ascii="Arial" w:hAnsi="Arial" w:eastAsia="仿宋" w:cs="Arial"/>
          <w:color w:val="auto"/>
          <w:sz w:val="28"/>
        </w:rPr>
        <w:t>×</w:t>
      </w:r>
      <w:r>
        <w:rPr>
          <w:rFonts w:ascii="Arial" w:hAnsi="Arial" w:eastAsia="仿宋" w:cs="Arial"/>
          <w:color w:val="auto"/>
          <w:sz w:val="28"/>
        </w:rPr>
        <w:t>10000</w:t>
      </w:r>
    </w:p>
    <w:p w14:paraId="013BCB96">
      <w:pPr>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w:t>
      </w:r>
      <w:r>
        <w:rPr>
          <w:rFonts w:hint="eastAsia" w:ascii="Arial" w:hAnsi="Arial" w:eastAsia="仿宋_GB2312"/>
          <w:color w:val="auto"/>
          <w:sz w:val="28"/>
        </w:rPr>
        <w:t>86989.2426</w:t>
      </w:r>
      <w:r>
        <w:rPr>
          <w:rFonts w:hint="eastAsia" w:ascii="Arial" w:hAnsi="Arial" w:eastAsia="仿宋" w:cs="Arial"/>
          <w:color w:val="auto"/>
          <w:sz w:val="28"/>
        </w:rPr>
        <w:t>÷</w:t>
      </w:r>
      <w:r>
        <w:rPr>
          <w:rFonts w:ascii="Arial" w:hAnsi="Arial" w:eastAsia="仿宋" w:cs="Arial"/>
          <w:color w:val="auto"/>
          <w:sz w:val="28"/>
        </w:rPr>
        <w:t>68148.54</w:t>
      </w:r>
      <w:r>
        <w:rPr>
          <w:rFonts w:hint="eastAsia" w:ascii="Arial" w:hAnsi="Arial" w:eastAsia="仿宋" w:cs="Arial"/>
          <w:color w:val="auto"/>
          <w:sz w:val="28"/>
        </w:rPr>
        <w:t>×</w:t>
      </w:r>
      <w:r>
        <w:rPr>
          <w:rFonts w:ascii="Arial" w:hAnsi="Arial" w:eastAsia="仿宋" w:cs="Arial"/>
          <w:color w:val="auto"/>
          <w:sz w:val="28"/>
        </w:rPr>
        <w:t>10000</w:t>
      </w:r>
    </w:p>
    <w:p w14:paraId="01E2874D">
      <w:pPr>
        <w:spacing w:before="120" w:beforeLines="50" w:after="120" w:afterLines="50" w:line="300" w:lineRule="auto"/>
        <w:ind w:firstLine="560" w:firstLineChars="200"/>
        <w:rPr>
          <w:rFonts w:ascii="Arial" w:hAnsi="Arial" w:eastAsia="仿宋" w:cs="Arial"/>
          <w:color w:val="auto"/>
          <w:sz w:val="28"/>
        </w:rPr>
      </w:pPr>
      <w:r>
        <w:rPr>
          <w:rFonts w:hint="eastAsia" w:ascii="Arial" w:hAnsi="Arial" w:eastAsia="仿宋" w:cs="Arial"/>
          <w:color w:val="auto"/>
          <w:sz w:val="28"/>
        </w:rPr>
        <w:t>＝12765</w:t>
      </w:r>
      <w:r>
        <w:rPr>
          <w:rFonts w:ascii="Arial" w:hAnsi="Arial" w:eastAsia="仿宋" w:cs="Arial"/>
          <w:color w:val="auto"/>
          <w:sz w:val="28"/>
        </w:rPr>
        <w:t>（元/平方米）</w:t>
      </w:r>
    </w:p>
    <w:p w14:paraId="1B5DD1B3">
      <w:pPr>
        <w:spacing w:before="120" w:beforeLines="50" w:after="120" w:afterLines="50" w:line="300" w:lineRule="auto"/>
        <w:ind w:firstLine="560" w:firstLineChars="200"/>
        <w:rPr>
          <w:rFonts w:ascii="Arial" w:hAnsi="Arial" w:eastAsia="仿宋" w:cs="Arial"/>
          <w:color w:val="auto"/>
          <w:sz w:val="28"/>
        </w:rPr>
      </w:pPr>
    </w:p>
    <w:p w14:paraId="1ECF2D8E">
      <w:pPr>
        <w:spacing w:before="50" w:after="50" w:line="300" w:lineRule="auto"/>
        <w:ind w:firstLine="562" w:firstLineChars="200"/>
        <w:rPr>
          <w:rFonts w:ascii="Arial" w:hAnsi="Arial" w:eastAsia="仿宋_GB2312" w:cs="Arial"/>
          <w:b/>
          <w:bCs/>
          <w:color w:val="auto"/>
          <w:sz w:val="28"/>
        </w:rPr>
      </w:pPr>
      <w:r>
        <w:rPr>
          <w:rFonts w:hint="eastAsia" w:ascii="Arial" w:hAnsi="Arial" w:eastAsia="仿宋_GB2312" w:cs="Arial"/>
          <w:b/>
          <w:bCs/>
          <w:color w:val="auto"/>
          <w:sz w:val="28"/>
        </w:rPr>
        <w:t>不考虑A334托幼用地不出让建筑规模3359.98平方米的代建成本</w:t>
      </w:r>
    </w:p>
    <w:p w14:paraId="17C6EAC0">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C.开发成本</w:t>
      </w:r>
    </w:p>
    <w:p w14:paraId="4BD080B9">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a.购地税费</w:t>
      </w:r>
    </w:p>
    <w:p w14:paraId="20C3F5F3">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购地税费为3.05%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万元。</w:t>
      </w:r>
    </w:p>
    <w:p w14:paraId="5217C78E">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b.</w:t>
      </w:r>
      <w:r>
        <w:rPr>
          <w:rFonts w:hint="eastAsia" w:ascii="仿宋_GB2312" w:eastAsia="仿宋_GB2312"/>
          <w:color w:val="auto"/>
          <w:sz w:val="28"/>
        </w:rPr>
        <w:t>房屋建设成本</w:t>
      </w:r>
    </w:p>
    <w:p w14:paraId="3DB5D6C1">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a）建筑安装工程费</w:t>
      </w:r>
    </w:p>
    <w:p w14:paraId="79FF8DA2">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指建造商品房及附属工程所发生的土建工程费用、安装工程费用、装饰装修工程费用等。参照住房和城乡建设部标准定额研究所发布的北京建安成本，同时参考评估人员掌握的目前同类地区、相同档次项目的建筑结构及装修情况，综合确定估价对象的建筑安装工程费用为5000元/平方米</w:t>
      </w:r>
    </w:p>
    <w:p w14:paraId="43F15ABA">
      <w:pPr>
        <w:spacing w:line="300" w:lineRule="auto"/>
        <w:ind w:firstLine="560" w:firstLineChars="200"/>
        <w:jc w:val="both"/>
        <w:rPr>
          <w:rFonts w:ascii="Arial" w:hAnsi="Arial" w:eastAsia="仿宋_GB2312" w:cs="Arial"/>
          <w:color w:val="auto"/>
          <w:sz w:val="28"/>
        </w:rPr>
      </w:pPr>
      <w:r>
        <w:rPr>
          <w:rFonts w:hint="eastAsia" w:ascii="Arial" w:hAnsi="Arial" w:eastAsia="仿宋_GB2312"/>
          <w:color w:val="auto"/>
          <w:sz w:val="28"/>
        </w:rPr>
        <w:t>建筑安装工程费＝50</w:t>
      </w:r>
      <w:r>
        <w:rPr>
          <w:rFonts w:ascii="Arial" w:hAnsi="Arial" w:eastAsia="仿宋_GB2312"/>
          <w:color w:val="auto"/>
          <w:sz w:val="28"/>
        </w:rPr>
        <w:t>00</w:t>
      </w:r>
      <w:r>
        <w:rPr>
          <w:rFonts w:hint="eastAsia" w:ascii="仿宋_GB2312" w:eastAsia="仿宋_GB2312"/>
          <w:color w:val="auto"/>
          <w:sz w:val="28"/>
        </w:rPr>
        <w:t>×</w:t>
      </w:r>
      <w:r>
        <w:rPr>
          <w:rFonts w:ascii="Arial" w:hAnsi="Arial" w:eastAsia="仿宋_GB2312" w:cs="Arial"/>
          <w:color w:val="auto"/>
          <w:sz w:val="28"/>
        </w:rPr>
        <w:t>68148.54</w:t>
      </w:r>
      <w:r>
        <w:rPr>
          <w:rFonts w:hint="eastAsia" w:ascii="Arial" w:hAnsi="Arial" w:eastAsia="仿宋_GB2312" w:cs="Arial"/>
          <w:color w:val="auto"/>
          <w:sz w:val="28"/>
        </w:rPr>
        <w:t>÷</w:t>
      </w:r>
      <w:r>
        <w:rPr>
          <w:rFonts w:ascii="Arial" w:hAnsi="Arial" w:eastAsia="仿宋_GB2312" w:cs="Arial"/>
          <w:color w:val="auto"/>
          <w:sz w:val="28"/>
        </w:rPr>
        <w:t>10000</w:t>
      </w:r>
    </w:p>
    <w:p w14:paraId="0369E992">
      <w:pPr>
        <w:spacing w:line="300" w:lineRule="auto"/>
        <w:ind w:firstLine="2520" w:firstLineChars="900"/>
        <w:jc w:val="both"/>
        <w:rPr>
          <w:rFonts w:ascii="Arial" w:hAnsi="Arial" w:eastAsia="仿宋_GB2312"/>
          <w:color w:val="auto"/>
          <w:sz w:val="28"/>
        </w:rPr>
      </w:pPr>
      <w:r>
        <w:rPr>
          <w:rFonts w:hint="eastAsia" w:ascii="Arial" w:hAnsi="Arial" w:eastAsia="仿宋_GB2312" w:cs="Arial"/>
          <w:color w:val="auto"/>
          <w:sz w:val="28"/>
        </w:rPr>
        <w:t>＝34074.2700（</w:t>
      </w:r>
      <w:r>
        <w:rPr>
          <w:rFonts w:hint="eastAsia" w:ascii="Arial" w:hAnsi="Arial" w:eastAsia="仿宋_GB2312"/>
          <w:color w:val="auto"/>
          <w:sz w:val="28"/>
        </w:rPr>
        <w:t>万元）</w:t>
      </w:r>
    </w:p>
    <w:p w14:paraId="08E55662">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b）前期费用</w:t>
      </w:r>
    </w:p>
    <w:p w14:paraId="6CDBA26E">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勘察设计和前期工程费指建造商品房及附属工程过程中勘察、测量设计、市场调研等费用。目前北京市房地产开发中该类建筑物的勘察设计和前期工程费用一般为建造成本的5－10%之间，根据估价对象自身状况，本次评估确定勘察设计和前期工程费以建筑安装工程费为计费基础取8%，则有：</w:t>
      </w:r>
    </w:p>
    <w:p w14:paraId="167EBFA4">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勘查设计和前期工程费＝建安费用×取费标准</w:t>
      </w:r>
    </w:p>
    <w:p w14:paraId="0B1DE929">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w:t>
      </w:r>
      <w:r>
        <w:rPr>
          <w:rFonts w:hint="eastAsia" w:ascii="Arial" w:hAnsi="Arial" w:eastAsia="仿宋_GB2312" w:cs="Arial"/>
          <w:color w:val="auto"/>
          <w:sz w:val="28"/>
        </w:rPr>
        <w:t>34074.2700</w:t>
      </w:r>
      <w:r>
        <w:rPr>
          <w:rFonts w:hint="eastAsia" w:ascii="Arial" w:hAnsi="Arial" w:eastAsia="仿宋_GB2312"/>
          <w:color w:val="auto"/>
          <w:sz w:val="28"/>
        </w:rPr>
        <w:t>×8</w:t>
      </w:r>
      <w:r>
        <w:rPr>
          <w:rFonts w:ascii="Arial" w:hAnsi="Arial" w:eastAsia="仿宋_GB2312"/>
          <w:color w:val="auto"/>
          <w:sz w:val="28"/>
        </w:rPr>
        <w:t>%</w:t>
      </w:r>
    </w:p>
    <w:p w14:paraId="75A6C0C8">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＝2725.9416（万元）</w:t>
      </w:r>
    </w:p>
    <w:p w14:paraId="32DE231A">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c）基础设施建设费</w:t>
      </w:r>
    </w:p>
    <w:p w14:paraId="23DB7F83">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基础设施建设费是指建筑物外墙外边线2m以外和项目红线范围内的道路、供水、供电、</w:t>
      </w:r>
      <w:r>
        <w:rPr>
          <w:rFonts w:hint="eastAsia" w:ascii="Arial" w:hAnsi="Arial" w:eastAsia="仿宋_GB2312"/>
          <w:color w:val="auto"/>
          <w:sz w:val="28"/>
        </w:rPr>
        <w:t>供气、通信、绿化、环卫、排水、室外照明等设施的建设费用，以及各项设施与市政千道、千管、干线等的接口费用，北京市房地产开发项目宗地内基础设施建设费一般为建安工程费的5%－15%。根据估价人员现场调查，通过区域电力、燃气、暖气、上下水标准及室外绿化、道路等配套情况，同时结合估价对象所处位置、建设规模等情况，基础设施建设费取建筑安装工程费的10%,则有：</w:t>
      </w:r>
    </w:p>
    <w:p w14:paraId="7A80B89C">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基础设施建设费＝建安费用×取费标准</w:t>
      </w:r>
    </w:p>
    <w:p w14:paraId="7FA9AD43">
      <w:pPr>
        <w:spacing w:line="300" w:lineRule="auto"/>
        <w:ind w:firstLine="2520" w:firstLineChars="900"/>
        <w:jc w:val="both"/>
        <w:rPr>
          <w:rFonts w:ascii="Arial" w:hAnsi="Arial" w:eastAsia="仿宋_GB2312"/>
          <w:color w:val="auto"/>
          <w:sz w:val="28"/>
        </w:rPr>
      </w:pPr>
      <w:r>
        <w:rPr>
          <w:rFonts w:hint="eastAsia" w:ascii="Arial" w:hAnsi="Arial" w:eastAsia="仿宋_GB2312"/>
          <w:color w:val="auto"/>
          <w:sz w:val="28"/>
        </w:rPr>
        <w:t>＝</w:t>
      </w:r>
      <w:r>
        <w:rPr>
          <w:rFonts w:hint="eastAsia" w:ascii="Arial" w:hAnsi="Arial" w:eastAsia="仿宋_GB2312" w:cs="Arial"/>
          <w:color w:val="auto"/>
          <w:sz w:val="28"/>
        </w:rPr>
        <w:t>34074.2700</w:t>
      </w:r>
      <w:r>
        <w:rPr>
          <w:rFonts w:hint="eastAsia" w:ascii="Arial" w:hAnsi="Arial" w:eastAsia="仿宋_GB2312"/>
          <w:color w:val="auto"/>
          <w:sz w:val="28"/>
        </w:rPr>
        <w:t>×10</w:t>
      </w:r>
      <w:r>
        <w:rPr>
          <w:rFonts w:ascii="Arial" w:hAnsi="Arial" w:eastAsia="仿宋_GB2312"/>
          <w:color w:val="auto"/>
          <w:sz w:val="28"/>
        </w:rPr>
        <w:t>%</w:t>
      </w:r>
    </w:p>
    <w:p w14:paraId="417AB3D3">
      <w:pPr>
        <w:spacing w:line="300" w:lineRule="auto"/>
        <w:ind w:firstLine="2520" w:firstLineChars="900"/>
        <w:jc w:val="both"/>
        <w:rPr>
          <w:rFonts w:ascii="Arial" w:hAnsi="Arial" w:eastAsia="仿宋_GB2312"/>
          <w:color w:val="auto"/>
          <w:sz w:val="28"/>
        </w:rPr>
      </w:pPr>
      <w:r>
        <w:rPr>
          <w:rFonts w:hint="eastAsia" w:ascii="Arial" w:hAnsi="Arial" w:eastAsia="仿宋_GB2312"/>
          <w:color w:val="auto"/>
          <w:sz w:val="28"/>
        </w:rPr>
        <w:t>＝3407.4270（万元）</w:t>
      </w:r>
    </w:p>
    <w:p w14:paraId="21A3C1E8">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d）</w:t>
      </w:r>
      <w:r>
        <w:rPr>
          <w:rFonts w:hint="eastAsia" w:ascii="仿宋_GB2312" w:eastAsia="仿宋_GB2312"/>
          <w:color w:val="auto"/>
          <w:sz w:val="28"/>
        </w:rPr>
        <w:t>公共配套设施费用</w:t>
      </w:r>
    </w:p>
    <w:p w14:paraId="552B08E5">
      <w:pPr>
        <w:spacing w:before="50" w:after="50"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公共配套设施建设费按照城市规划要求小区内配套的教育、医疗卫生、文化体育、社区服务等非营业性设施的建设费用。小区配套费用仅限于住宅小区开发时计取，一般按建安成本的2%－10%计取。根据估价对象所在区域的一般公共配套设施建设费水平，结合本项目的具体公共配套设施建设状况，取</w:t>
      </w:r>
      <w:r>
        <w:rPr>
          <w:rFonts w:hint="eastAsia" w:ascii="Arial" w:hAnsi="Arial" w:eastAsia="仿宋_GB2312"/>
          <w:color w:val="auto"/>
          <w:sz w:val="28"/>
        </w:rPr>
        <w:t>建筑安装工程费</w:t>
      </w:r>
      <w:r>
        <w:rPr>
          <w:rFonts w:hint="eastAsia" w:ascii="Arial" w:hAnsi="Arial" w:eastAsia="仿宋" w:cs="Arial"/>
          <w:color w:val="auto"/>
          <w:sz w:val="28"/>
          <w:szCs w:val="28"/>
        </w:rPr>
        <w:t>的8%，</w:t>
      </w:r>
      <w:r>
        <w:rPr>
          <w:rFonts w:ascii="Arial" w:hAnsi="Arial" w:eastAsia="仿宋" w:cs="Arial"/>
          <w:color w:val="auto"/>
          <w:sz w:val="28"/>
          <w:szCs w:val="28"/>
        </w:rPr>
        <w:t>则有：</w:t>
      </w:r>
    </w:p>
    <w:p w14:paraId="71D60AA7">
      <w:pPr>
        <w:spacing w:line="300" w:lineRule="auto"/>
        <w:ind w:firstLine="560" w:firstLineChars="200"/>
        <w:jc w:val="both"/>
        <w:rPr>
          <w:rFonts w:ascii="Arial" w:hAnsi="Arial" w:eastAsia="仿宋_GB2312"/>
          <w:color w:val="auto"/>
          <w:sz w:val="28"/>
        </w:rPr>
      </w:pPr>
      <w:r>
        <w:rPr>
          <w:rFonts w:ascii="Arial" w:hAnsi="Arial" w:eastAsia="仿宋" w:cs="Arial"/>
          <w:color w:val="auto"/>
          <w:sz w:val="28"/>
          <w:szCs w:val="28"/>
        </w:rPr>
        <w:t>公共配套设施费用</w:t>
      </w:r>
      <w:r>
        <w:rPr>
          <w:rFonts w:hint="eastAsia" w:ascii="Arial" w:hAnsi="Arial" w:eastAsia="仿宋_GB2312"/>
          <w:color w:val="auto"/>
          <w:sz w:val="28"/>
        </w:rPr>
        <w:t>＝建安费用×取费标准</w:t>
      </w:r>
    </w:p>
    <w:p w14:paraId="3BC8AC9D">
      <w:pPr>
        <w:spacing w:line="300" w:lineRule="auto"/>
        <w:ind w:firstLine="2800" w:firstLineChars="1000"/>
        <w:jc w:val="both"/>
        <w:rPr>
          <w:rFonts w:ascii="Arial" w:hAnsi="Arial" w:eastAsia="仿宋_GB2312"/>
          <w:color w:val="auto"/>
          <w:sz w:val="28"/>
        </w:rPr>
      </w:pPr>
      <w:r>
        <w:rPr>
          <w:rFonts w:hint="eastAsia" w:ascii="Arial" w:hAnsi="Arial" w:eastAsia="仿宋_GB2312"/>
          <w:color w:val="auto"/>
          <w:sz w:val="28"/>
        </w:rPr>
        <w:t>＝</w:t>
      </w:r>
      <w:r>
        <w:rPr>
          <w:rFonts w:hint="eastAsia" w:ascii="Arial" w:hAnsi="Arial" w:eastAsia="仿宋_GB2312" w:cs="Arial"/>
          <w:color w:val="auto"/>
          <w:sz w:val="28"/>
        </w:rPr>
        <w:t>34074.2700</w:t>
      </w:r>
      <w:r>
        <w:rPr>
          <w:rFonts w:hint="eastAsia" w:ascii="Arial" w:hAnsi="Arial" w:eastAsia="仿宋_GB2312"/>
          <w:color w:val="auto"/>
          <w:sz w:val="28"/>
        </w:rPr>
        <w:t>×8</w:t>
      </w:r>
      <w:r>
        <w:rPr>
          <w:rFonts w:ascii="Arial" w:hAnsi="Arial" w:eastAsia="仿宋_GB2312"/>
          <w:color w:val="auto"/>
          <w:sz w:val="28"/>
        </w:rPr>
        <w:t>%</w:t>
      </w:r>
    </w:p>
    <w:p w14:paraId="20CF750E">
      <w:pPr>
        <w:spacing w:line="300" w:lineRule="auto"/>
        <w:ind w:firstLine="2800" w:firstLineChars="1000"/>
        <w:jc w:val="both"/>
        <w:rPr>
          <w:rFonts w:ascii="仿宋_GB2312" w:eastAsia="仿宋_GB2312"/>
          <w:color w:val="auto"/>
          <w:sz w:val="28"/>
        </w:rPr>
      </w:pPr>
      <w:r>
        <w:rPr>
          <w:rFonts w:hint="eastAsia" w:ascii="Arial" w:hAnsi="Arial" w:eastAsia="仿宋_GB2312"/>
          <w:color w:val="auto"/>
          <w:sz w:val="28"/>
        </w:rPr>
        <w:t>＝2725.9416（万元）</w:t>
      </w:r>
    </w:p>
    <w:p w14:paraId="30B7D972">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e）</w:t>
      </w:r>
      <w:r>
        <w:rPr>
          <w:rFonts w:hint="eastAsia" w:ascii="仿宋_GB2312" w:eastAsia="仿宋_GB2312"/>
          <w:color w:val="auto"/>
          <w:sz w:val="28"/>
        </w:rPr>
        <w:t>开发期间税费</w:t>
      </w:r>
    </w:p>
    <w:p w14:paraId="73A5B3B6">
      <w:pPr>
        <w:spacing w:before="50" w:after="50" w:line="300" w:lineRule="auto"/>
        <w:ind w:firstLine="560" w:firstLineChars="200"/>
        <w:jc w:val="both"/>
        <w:rPr>
          <w:rFonts w:ascii="Arial" w:hAnsi="Arial" w:eastAsia="仿宋" w:cs="Arial"/>
          <w:color w:val="auto"/>
          <w:sz w:val="28"/>
          <w:szCs w:val="28"/>
        </w:rPr>
      </w:pPr>
      <w:r>
        <w:rPr>
          <w:rFonts w:hint="eastAsia" w:ascii="仿宋_GB2312" w:eastAsia="仿宋_GB2312"/>
          <w:color w:val="auto"/>
          <w:sz w:val="28"/>
        </w:rPr>
        <w:t>主要</w:t>
      </w:r>
      <w:r>
        <w:rPr>
          <w:rFonts w:hint="eastAsia" w:ascii="Arial" w:hAnsi="Arial" w:eastAsia="仿宋" w:cs="Arial"/>
          <w:color w:val="auto"/>
          <w:sz w:val="28"/>
          <w:szCs w:val="28"/>
        </w:rPr>
        <w:t>包括有关部门税收和地方政府或其他有关部门收取的费用，如工程监理费、竣工验收费、绿化建设费、人防工程费等。</w:t>
      </w:r>
      <w:r>
        <w:rPr>
          <w:rFonts w:hint="eastAsia" w:ascii="仿宋_GB2312" w:eastAsia="仿宋_GB2312"/>
          <w:color w:val="auto"/>
          <w:sz w:val="28"/>
        </w:rPr>
        <w:t>开发期间税费</w:t>
      </w:r>
      <w:r>
        <w:rPr>
          <w:rFonts w:hint="eastAsia" w:ascii="Arial" w:hAnsi="Arial" w:eastAsia="仿宋_GB2312"/>
          <w:color w:val="auto"/>
          <w:sz w:val="28"/>
        </w:rPr>
        <w:t>一般为建筑安装工程费用的2%－5%，</w:t>
      </w:r>
      <w:r>
        <w:rPr>
          <w:rFonts w:hint="eastAsia" w:ascii="Arial" w:hAnsi="Arial" w:eastAsia="仿宋" w:cs="Arial"/>
          <w:color w:val="auto"/>
          <w:sz w:val="28"/>
          <w:szCs w:val="28"/>
        </w:rPr>
        <w:t>根据估价对象所处区域的一般情况，并结合估价对象的实际情况，按建筑安装工程费的2%测算，</w:t>
      </w:r>
      <w:r>
        <w:rPr>
          <w:rFonts w:ascii="Arial" w:hAnsi="Arial" w:eastAsia="仿宋" w:cs="Arial"/>
          <w:color w:val="auto"/>
          <w:sz w:val="28"/>
          <w:szCs w:val="28"/>
        </w:rPr>
        <w:t>则有：</w:t>
      </w:r>
    </w:p>
    <w:p w14:paraId="0F0A39A2">
      <w:pPr>
        <w:spacing w:line="300" w:lineRule="auto"/>
        <w:ind w:firstLine="560" w:firstLineChars="200"/>
        <w:jc w:val="both"/>
        <w:rPr>
          <w:rFonts w:ascii="Arial" w:hAnsi="Arial" w:eastAsia="仿宋_GB2312"/>
          <w:color w:val="auto"/>
          <w:sz w:val="28"/>
        </w:rPr>
      </w:pPr>
      <w:r>
        <w:rPr>
          <w:rFonts w:hint="eastAsia" w:ascii="Arial" w:hAnsi="Arial" w:eastAsia="仿宋" w:cs="Arial"/>
          <w:color w:val="auto"/>
          <w:sz w:val="28"/>
          <w:szCs w:val="28"/>
        </w:rPr>
        <w:t>开发期间税费</w:t>
      </w:r>
      <w:r>
        <w:rPr>
          <w:rFonts w:hint="eastAsia" w:ascii="Arial" w:hAnsi="Arial" w:eastAsia="仿宋_GB2312"/>
          <w:color w:val="auto"/>
          <w:sz w:val="28"/>
        </w:rPr>
        <w:t>＝建安费用×取费标准</w:t>
      </w:r>
    </w:p>
    <w:p w14:paraId="092264FA">
      <w:pPr>
        <w:spacing w:line="300" w:lineRule="auto"/>
        <w:ind w:firstLine="2240" w:firstLineChars="800"/>
        <w:jc w:val="both"/>
        <w:rPr>
          <w:rFonts w:ascii="Arial" w:hAnsi="Arial" w:eastAsia="仿宋_GB2312"/>
          <w:color w:val="auto"/>
          <w:sz w:val="28"/>
        </w:rPr>
      </w:pPr>
      <w:r>
        <w:rPr>
          <w:rFonts w:hint="eastAsia" w:ascii="Arial" w:hAnsi="Arial" w:eastAsia="仿宋_GB2312"/>
          <w:color w:val="auto"/>
          <w:sz w:val="28"/>
        </w:rPr>
        <w:t>＝</w:t>
      </w:r>
      <w:r>
        <w:rPr>
          <w:rFonts w:hint="eastAsia" w:ascii="Arial" w:hAnsi="Arial" w:eastAsia="仿宋_GB2312" w:cs="Arial"/>
          <w:color w:val="auto"/>
          <w:sz w:val="28"/>
        </w:rPr>
        <w:t>34074.2700</w:t>
      </w:r>
      <w:r>
        <w:rPr>
          <w:rFonts w:hint="eastAsia" w:ascii="Arial" w:hAnsi="Arial" w:eastAsia="仿宋_GB2312"/>
          <w:color w:val="auto"/>
          <w:sz w:val="28"/>
        </w:rPr>
        <w:t>×2</w:t>
      </w:r>
      <w:r>
        <w:rPr>
          <w:rFonts w:ascii="Arial" w:hAnsi="Arial" w:eastAsia="仿宋_GB2312"/>
          <w:color w:val="auto"/>
          <w:sz w:val="28"/>
        </w:rPr>
        <w:t>%</w:t>
      </w:r>
    </w:p>
    <w:p w14:paraId="2C77CE8D">
      <w:pPr>
        <w:spacing w:before="50" w:after="50" w:line="300" w:lineRule="auto"/>
        <w:ind w:firstLine="2240" w:firstLineChars="800"/>
        <w:jc w:val="both"/>
        <w:rPr>
          <w:rFonts w:ascii="Arial" w:hAnsi="Arial" w:eastAsia="仿宋_GB2312"/>
          <w:color w:val="auto"/>
          <w:sz w:val="28"/>
        </w:rPr>
      </w:pPr>
      <w:r>
        <w:rPr>
          <w:rFonts w:hint="eastAsia" w:ascii="Arial" w:hAnsi="Arial" w:eastAsia="仿宋_GB2312"/>
          <w:color w:val="auto"/>
          <w:sz w:val="28"/>
        </w:rPr>
        <w:t>＝681.4854（万元）</w:t>
      </w:r>
    </w:p>
    <w:p w14:paraId="4C028D0A">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f）其他工程费</w:t>
      </w:r>
    </w:p>
    <w:p w14:paraId="15BFE75E">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其他工程费是指在工程建设中，除建筑安装工程费和设备、工具、器具购置费以外的费用。根据目前北京市房地产开发的情况。其他工程费一般为建筑安装工程费用的2%－5%，确定以建筑安装工程费用为计费基础取5%</w:t>
      </w:r>
      <w:r>
        <w:rPr>
          <w:rFonts w:hint="eastAsia" w:ascii="Arial" w:hAnsi="Arial" w:eastAsia="仿宋" w:cs="Arial"/>
          <w:color w:val="auto"/>
          <w:sz w:val="28"/>
          <w:szCs w:val="28"/>
        </w:rPr>
        <w:t>，</w:t>
      </w:r>
      <w:r>
        <w:rPr>
          <w:rFonts w:ascii="Arial" w:hAnsi="Arial" w:eastAsia="仿宋" w:cs="Arial"/>
          <w:color w:val="auto"/>
          <w:sz w:val="28"/>
          <w:szCs w:val="28"/>
        </w:rPr>
        <w:t>则有：</w:t>
      </w:r>
    </w:p>
    <w:p w14:paraId="0D94EB5C">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其他工程费＝建安费用×取费标准</w:t>
      </w:r>
    </w:p>
    <w:p w14:paraId="4435D7A4">
      <w:pPr>
        <w:spacing w:line="300" w:lineRule="auto"/>
        <w:ind w:firstLine="1960" w:firstLineChars="700"/>
        <w:jc w:val="both"/>
        <w:rPr>
          <w:rFonts w:ascii="Arial" w:hAnsi="Arial" w:eastAsia="仿宋_GB2312"/>
          <w:color w:val="auto"/>
          <w:sz w:val="28"/>
        </w:rPr>
      </w:pPr>
      <w:r>
        <w:rPr>
          <w:rFonts w:hint="eastAsia" w:ascii="Arial" w:hAnsi="Arial" w:eastAsia="仿宋_GB2312"/>
          <w:color w:val="auto"/>
          <w:sz w:val="28"/>
        </w:rPr>
        <w:t>＝</w:t>
      </w:r>
      <w:r>
        <w:rPr>
          <w:rFonts w:hint="eastAsia" w:ascii="Arial" w:hAnsi="Arial" w:eastAsia="仿宋_GB2312" w:cs="Arial"/>
          <w:color w:val="auto"/>
          <w:sz w:val="28"/>
        </w:rPr>
        <w:t>34074.2700</w:t>
      </w:r>
      <w:r>
        <w:rPr>
          <w:rFonts w:hint="eastAsia" w:ascii="Arial" w:hAnsi="Arial" w:eastAsia="仿宋_GB2312"/>
          <w:color w:val="auto"/>
          <w:sz w:val="28"/>
        </w:rPr>
        <w:t>×5</w:t>
      </w:r>
      <w:r>
        <w:rPr>
          <w:rFonts w:ascii="Arial" w:hAnsi="Arial" w:eastAsia="仿宋_GB2312"/>
          <w:color w:val="auto"/>
          <w:sz w:val="28"/>
        </w:rPr>
        <w:t>%</w:t>
      </w:r>
    </w:p>
    <w:p w14:paraId="77315421">
      <w:pPr>
        <w:spacing w:line="300" w:lineRule="auto"/>
        <w:ind w:firstLine="1960" w:firstLineChars="700"/>
        <w:jc w:val="both"/>
        <w:rPr>
          <w:rFonts w:ascii="Arial" w:hAnsi="Arial" w:eastAsia="仿宋_GB2312"/>
          <w:color w:val="auto"/>
          <w:sz w:val="28"/>
        </w:rPr>
      </w:pPr>
      <w:r>
        <w:rPr>
          <w:rFonts w:hint="eastAsia" w:ascii="Arial" w:hAnsi="Arial" w:eastAsia="仿宋_GB2312"/>
          <w:color w:val="auto"/>
          <w:sz w:val="28"/>
        </w:rPr>
        <w:t>＝1703.7135（万元）</w:t>
      </w:r>
    </w:p>
    <w:p w14:paraId="03EA1205">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g）房屋建设成本</w:t>
      </w:r>
    </w:p>
    <w:p w14:paraId="3F88C8D7">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房屋建设成本</w:t>
      </w:r>
      <w:r>
        <w:rPr>
          <w:rFonts w:hint="eastAsia" w:ascii="仿宋_GB2312" w:eastAsia="仿宋_GB2312"/>
          <w:color w:val="auto"/>
          <w:sz w:val="28"/>
        </w:rPr>
        <w:t>为上述6项之和，则有：</w:t>
      </w:r>
    </w:p>
    <w:p w14:paraId="3CAB07B6">
      <w:pPr>
        <w:spacing w:line="300" w:lineRule="auto"/>
        <w:ind w:firstLine="562" w:firstLineChars="201"/>
        <w:rPr>
          <w:rFonts w:ascii="Arial" w:hAnsi="Arial" w:eastAsia="仿宋_GB2312"/>
          <w:color w:val="auto"/>
          <w:sz w:val="28"/>
        </w:rPr>
      </w:pPr>
      <w:r>
        <w:rPr>
          <w:rFonts w:hint="eastAsia" w:ascii="Arial" w:hAnsi="Arial" w:eastAsia="仿宋_GB2312"/>
          <w:color w:val="auto"/>
          <w:sz w:val="28"/>
        </w:rPr>
        <w:t>房屋建设成本</w:t>
      </w:r>
    </w:p>
    <w:p w14:paraId="5419C6EC">
      <w:pPr>
        <w:spacing w:line="300" w:lineRule="auto"/>
        <w:ind w:firstLine="562" w:firstLineChars="201"/>
        <w:rPr>
          <w:rFonts w:ascii="Arial" w:hAnsi="Arial" w:eastAsia="仿宋_GB2312"/>
          <w:color w:val="auto"/>
          <w:sz w:val="28"/>
        </w:rPr>
      </w:pPr>
      <w:r>
        <w:rPr>
          <w:rFonts w:hint="eastAsia" w:ascii="Arial" w:hAnsi="Arial" w:eastAsia="仿宋_GB2312"/>
          <w:color w:val="auto"/>
          <w:sz w:val="28"/>
        </w:rPr>
        <w:t xml:space="preserve">＝前期费用＋建筑安装工程费＋基础设施建设费＋公共配套设施建设费＋开发期间税费＋其他工程费  </w:t>
      </w:r>
    </w:p>
    <w:p w14:paraId="1A394109">
      <w:pPr>
        <w:spacing w:line="300" w:lineRule="auto"/>
        <w:ind w:firstLine="562" w:firstLineChars="201"/>
        <w:jc w:val="both"/>
        <w:rPr>
          <w:rFonts w:ascii="Arial" w:hAnsi="Arial" w:eastAsia="仿宋_GB2312"/>
          <w:color w:val="auto"/>
          <w:sz w:val="28"/>
        </w:rPr>
      </w:pPr>
      <w:r>
        <w:rPr>
          <w:rFonts w:hint="eastAsia" w:ascii="Arial" w:hAnsi="Arial" w:eastAsia="仿宋_GB2312"/>
          <w:color w:val="auto"/>
          <w:sz w:val="28"/>
        </w:rPr>
        <w:t>＝2725.9416＋34074.2700＋3407.4270＋2725.9416＋681.4854＋</w:t>
      </w:r>
    </w:p>
    <w:p w14:paraId="1DD70A39">
      <w:pPr>
        <w:spacing w:line="300" w:lineRule="auto"/>
        <w:rPr>
          <w:rFonts w:ascii="Arial" w:hAnsi="Arial" w:eastAsia="仿宋_GB2312"/>
          <w:color w:val="auto"/>
          <w:sz w:val="28"/>
        </w:rPr>
      </w:pPr>
      <w:r>
        <w:rPr>
          <w:rFonts w:hint="eastAsia" w:ascii="Arial" w:hAnsi="Arial" w:eastAsia="仿宋_GB2312"/>
          <w:color w:val="auto"/>
          <w:sz w:val="28"/>
        </w:rPr>
        <w:t>1703.7135</w:t>
      </w:r>
    </w:p>
    <w:p w14:paraId="4E37183E">
      <w:pPr>
        <w:spacing w:line="300" w:lineRule="auto"/>
        <w:ind w:firstLine="560" w:firstLineChars="200"/>
        <w:rPr>
          <w:rFonts w:ascii="Arial" w:hAnsi="Arial" w:eastAsia="仿宋_GB2312"/>
          <w:color w:val="auto"/>
          <w:sz w:val="28"/>
        </w:rPr>
      </w:pPr>
      <w:r>
        <w:rPr>
          <w:rFonts w:hint="eastAsia" w:ascii="Arial" w:hAnsi="Arial" w:eastAsia="仿宋_GB2312"/>
          <w:color w:val="auto"/>
          <w:sz w:val="28"/>
        </w:rPr>
        <w:t>＝45318.7791（万元）</w:t>
      </w:r>
    </w:p>
    <w:p w14:paraId="1D2EFE96">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c.</w:t>
      </w:r>
      <w:r>
        <w:rPr>
          <w:rFonts w:hint="eastAsia" w:ascii="仿宋_GB2312" w:eastAsia="仿宋_GB2312"/>
          <w:color w:val="auto"/>
          <w:sz w:val="28"/>
        </w:rPr>
        <w:t>管理费用</w:t>
      </w:r>
    </w:p>
    <w:p w14:paraId="6D30E3EA">
      <w:pPr>
        <w:spacing w:line="300" w:lineRule="auto"/>
        <w:ind w:firstLine="560" w:firstLineChars="200"/>
        <w:jc w:val="both"/>
        <w:rPr>
          <w:rFonts w:ascii="仿宋_GB2312" w:eastAsia="仿宋_GB2312"/>
          <w:color w:val="auto"/>
          <w:sz w:val="28"/>
        </w:rPr>
      </w:pPr>
      <w:r>
        <w:rPr>
          <w:rFonts w:hint="eastAsia" w:ascii="仿宋_GB2312" w:hAnsi="Arial" w:eastAsia="仿宋_GB2312"/>
          <w:color w:val="auto"/>
          <w:sz w:val="28"/>
        </w:rPr>
        <w:t>管</w:t>
      </w:r>
      <w:r>
        <w:rPr>
          <w:rFonts w:hint="eastAsia" w:ascii="Arial" w:hAnsi="Arial" w:eastAsia="仿宋_GB2312"/>
          <w:color w:val="auto"/>
          <w:sz w:val="28"/>
        </w:rPr>
        <w:t>理费用是房地产开发商为组织和管理房地产开发经营活动的必要支出，主要包括人员工资、办公费、差旅费等.管理费用按照房地产开发企业财务会计制度核算，根据目前北京市房地产开发中管理费用的平均水平，该类房地产开发项目的管理费用一般为房屋建设成本的1－3%之间。根据项目实际情况，确定管理费用以房屋建设成本为计费基础取 3%，</w:t>
      </w:r>
      <w:r>
        <w:rPr>
          <w:rFonts w:hint="eastAsia" w:ascii="仿宋_GB2312" w:eastAsia="仿宋_GB2312"/>
          <w:color w:val="auto"/>
          <w:sz w:val="28"/>
        </w:rPr>
        <w:t>则有：</w:t>
      </w:r>
    </w:p>
    <w:p w14:paraId="2DFF2FF0">
      <w:pPr>
        <w:spacing w:line="300" w:lineRule="auto"/>
        <w:ind w:firstLine="560" w:firstLineChars="200"/>
        <w:jc w:val="both"/>
        <w:rPr>
          <w:rFonts w:ascii="仿宋_GB2312" w:eastAsia="仿宋_GB2312"/>
          <w:color w:val="auto"/>
          <w:sz w:val="28"/>
        </w:rPr>
      </w:pPr>
      <w:r>
        <w:rPr>
          <w:rFonts w:hint="eastAsia" w:ascii="仿宋_GB2312" w:eastAsia="仿宋_GB2312"/>
          <w:color w:val="auto"/>
          <w:sz w:val="28"/>
        </w:rPr>
        <w:t>管理费用＝</w:t>
      </w:r>
      <w:r>
        <w:rPr>
          <w:rFonts w:hint="eastAsia" w:ascii="Arial" w:hAnsi="Arial" w:eastAsia="仿宋_GB2312"/>
          <w:color w:val="auto"/>
          <w:sz w:val="28"/>
        </w:rPr>
        <w:t>房屋建设成本</w:t>
      </w:r>
      <w:r>
        <w:rPr>
          <w:rFonts w:hint="eastAsia" w:ascii="仿宋_GB2312" w:eastAsia="仿宋_GB2312"/>
          <w:color w:val="auto"/>
          <w:sz w:val="28"/>
        </w:rPr>
        <w:t>×管理费率</w:t>
      </w:r>
    </w:p>
    <w:p w14:paraId="41511FC1">
      <w:pPr>
        <w:spacing w:line="300" w:lineRule="auto"/>
        <w:ind w:firstLine="1680" w:firstLineChars="600"/>
        <w:jc w:val="both"/>
        <w:rPr>
          <w:rFonts w:ascii="Arial" w:hAnsi="Arial"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45318.7791×3%</w:t>
      </w:r>
    </w:p>
    <w:p w14:paraId="33CA52AA">
      <w:pPr>
        <w:spacing w:line="300" w:lineRule="auto"/>
        <w:ind w:firstLine="1680" w:firstLineChars="600"/>
        <w:jc w:val="both"/>
        <w:rPr>
          <w:rFonts w:ascii="仿宋_GB2312"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1359.5634（</w:t>
      </w:r>
      <w:r>
        <w:rPr>
          <w:rFonts w:hint="eastAsia" w:ascii="仿宋_GB2312" w:eastAsia="仿宋_GB2312"/>
          <w:color w:val="auto"/>
          <w:sz w:val="28"/>
        </w:rPr>
        <w:t>万元）</w:t>
      </w:r>
    </w:p>
    <w:p w14:paraId="17DA0139">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d.销售费用</w:t>
      </w:r>
    </w:p>
    <w:p w14:paraId="14403EEB">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销售费用指预售未来开发完成的房地产或者销售已经开发完成的房地产所必要的费用，包括广告费、销售资料制作费、样板房或样板间建设费售楼处建设费、销售人员费用或者销售代理费等。根据目前北京市居住用途房地产开发中销售费用的平均费用情况，该类建筑物的销售费用一般为房地产销售价格的2%－4%之间，本次评估确定销售费用以房地产销售价格为计费基础，费率取3%，</w:t>
      </w:r>
      <w:r>
        <w:rPr>
          <w:rFonts w:hint="eastAsia" w:ascii="仿宋_GB2312" w:eastAsia="仿宋_GB2312"/>
          <w:color w:val="auto"/>
          <w:sz w:val="28"/>
        </w:rPr>
        <w:t>则有：</w:t>
      </w:r>
    </w:p>
    <w:p w14:paraId="0C5BAEEB">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销售费用</w:t>
      </w:r>
      <w:r>
        <w:rPr>
          <w:rFonts w:hint="eastAsia" w:ascii="仿宋_GB2312" w:eastAsia="仿宋_GB2312"/>
          <w:color w:val="auto"/>
          <w:sz w:val="28"/>
        </w:rPr>
        <w:t>＝项目开发完成后不动产总价×销售费率</w:t>
      </w:r>
    </w:p>
    <w:p w14:paraId="676138D4">
      <w:pPr>
        <w:spacing w:line="300" w:lineRule="auto"/>
        <w:ind w:firstLine="1680" w:firstLineChars="600"/>
        <w:jc w:val="both"/>
        <w:rPr>
          <w:rFonts w:ascii="Arial" w:hAnsi="Arial"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205917.6285×3%</w:t>
      </w:r>
    </w:p>
    <w:p w14:paraId="48408BD4">
      <w:pPr>
        <w:spacing w:line="300" w:lineRule="auto"/>
        <w:ind w:firstLine="1680" w:firstLineChars="600"/>
        <w:jc w:val="both"/>
        <w:rPr>
          <w:rFonts w:ascii="仿宋_GB2312" w:hAnsi="Arial"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6177.5289（</w:t>
      </w:r>
      <w:r>
        <w:rPr>
          <w:rFonts w:hint="eastAsia" w:ascii="仿宋_GB2312" w:eastAsia="仿宋_GB2312"/>
          <w:color w:val="auto"/>
          <w:sz w:val="28"/>
        </w:rPr>
        <w:t>万元）</w:t>
      </w:r>
    </w:p>
    <w:p w14:paraId="40A9DA81">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e.投资利息</w:t>
      </w:r>
    </w:p>
    <w:p w14:paraId="7E9397AF">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投资利息指在房地产开发完成或实现销售之前发生的所有必要费用应计算的利息。</w:t>
      </w:r>
    </w:p>
    <w:p w14:paraId="322ABA7B">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本次评估综合考虑项目拟建设规模、主体结构高度以及装修状况，参考同类物业的开发周期，设定估价对象建设周期为3年。根据中国人民银行2026年3月20日公布的贷款市场报价利率（LPR）为，1年期LPR为3.0%，5 年期以上 LPR为 3.5%，由于未公布的 1－5 年期之间的具体 LPR 数据，本次评估采用插值法计算开发周期对应利率，得出3年期LPR为3.25%（3.0%＋（3－1）÷（5－1）×（3.5%－3.0%））。本次评估贷款利率取3.25%。地价款和购地税费全周期计息，房屋建设成本、管理费用、销售费用等预付资本应根据开发周期均匀投入计息，则有：</w:t>
      </w:r>
    </w:p>
    <w:p w14:paraId="315F2B84">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投资利息＝（估价对象土地价格＋购地税费）×〔（1＋年利率）</w:t>
      </w:r>
      <w:r>
        <w:rPr>
          <w:rFonts w:hint="eastAsia" w:ascii="Arial" w:hAnsi="Arial" w:eastAsia="仿宋_GB2312"/>
          <w:color w:val="auto"/>
          <w:sz w:val="28"/>
          <w:vertAlign w:val="superscript"/>
        </w:rPr>
        <w:t>项目开发周期</w:t>
      </w:r>
      <w:r>
        <w:rPr>
          <w:rFonts w:hint="eastAsia" w:ascii="Arial" w:hAnsi="Arial" w:eastAsia="仿宋_GB2312"/>
          <w:color w:val="auto"/>
          <w:sz w:val="28"/>
        </w:rPr>
        <w:t>－1〕＋（房屋建设成本＋管理费用＋销售费用）×〔（1＋年利率）</w:t>
      </w:r>
      <w:r>
        <w:rPr>
          <w:rFonts w:hint="eastAsia" w:ascii="Arial" w:hAnsi="Arial" w:eastAsia="仿宋_GB2312"/>
          <w:color w:val="auto"/>
          <w:sz w:val="28"/>
          <w:vertAlign w:val="superscript"/>
        </w:rPr>
        <w:t>（项目开发周期÷2）</w:t>
      </w:r>
      <w:r>
        <w:rPr>
          <w:rFonts w:hint="eastAsia" w:ascii="Arial" w:hAnsi="Arial" w:eastAsia="仿宋_GB2312"/>
          <w:color w:val="auto"/>
          <w:sz w:val="28"/>
        </w:rPr>
        <w:t>－1〕</w:t>
      </w:r>
    </w:p>
    <w:p w14:paraId="359DFF5F">
      <w:pPr>
        <w:spacing w:line="300" w:lineRule="auto"/>
        <w:ind w:firstLine="1680" w:firstLineChars="600"/>
        <w:jc w:val="both"/>
        <w:rPr>
          <w:rFonts w:ascii="Arial" w:hAnsi="Arial" w:eastAsia="仿宋_GB2312"/>
          <w:color w:val="auto"/>
          <w:sz w:val="28"/>
        </w:rPr>
      </w:pPr>
      <w:r>
        <w:rPr>
          <w:rFonts w:hint="eastAsia" w:ascii="Arial" w:hAnsi="Arial" w:eastAsia="仿宋_GB2312"/>
          <w:color w:val="auto"/>
          <w:sz w:val="28"/>
        </w:rPr>
        <w:t>＝（</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）×〔（1＋3.25%）</w:t>
      </w:r>
      <w:r>
        <w:rPr>
          <w:rFonts w:hint="eastAsia" w:ascii="Arial" w:hAnsi="Arial" w:eastAsia="仿宋_GB2312"/>
          <w:color w:val="auto"/>
          <w:sz w:val="28"/>
          <w:vertAlign w:val="superscript"/>
        </w:rPr>
        <w:t>3</w:t>
      </w:r>
      <w:r>
        <w:rPr>
          <w:rFonts w:hint="eastAsia" w:ascii="Arial" w:hAnsi="Arial" w:eastAsia="仿宋_GB2312"/>
          <w:color w:val="auto"/>
          <w:sz w:val="28"/>
        </w:rPr>
        <w:t>－1〕＋（45318.7791＋1359.5634＋6177.5289）×〔（1＋3.25%）</w:t>
      </w:r>
      <w:r>
        <w:rPr>
          <w:rFonts w:hint="eastAsia" w:ascii="Arial" w:hAnsi="Arial" w:eastAsia="仿宋_GB2312"/>
          <w:color w:val="auto"/>
          <w:sz w:val="28"/>
          <w:vertAlign w:val="superscript"/>
        </w:rPr>
        <w:t>（3÷2）</w:t>
      </w:r>
      <w:r>
        <w:rPr>
          <w:rFonts w:hint="eastAsia" w:ascii="Arial" w:hAnsi="Arial" w:eastAsia="仿宋_GB2312"/>
          <w:color w:val="auto"/>
          <w:sz w:val="28"/>
        </w:rPr>
        <w:t>－1〕</w:t>
      </w:r>
    </w:p>
    <w:p w14:paraId="5F5D7647">
      <w:pPr>
        <w:spacing w:line="300" w:lineRule="auto"/>
        <w:ind w:firstLine="1680" w:firstLineChars="600"/>
        <w:jc w:val="both"/>
        <w:rPr>
          <w:rFonts w:ascii="仿宋_GB2312" w:eastAsia="仿宋_GB2312"/>
          <w:color w:val="auto"/>
          <w:sz w:val="28"/>
        </w:rPr>
      </w:pPr>
      <w:r>
        <w:rPr>
          <w:rFonts w:hint="eastAsia" w:ascii="Arial" w:hAnsi="Arial" w:eastAsia="仿宋_GB2312"/>
          <w:color w:val="auto"/>
          <w:sz w:val="28"/>
        </w:rPr>
        <w:t>＝2597.5476＋0.1038</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w:t>
      </w:r>
      <w:r>
        <w:rPr>
          <w:rFonts w:hint="eastAsia" w:ascii="仿宋_GB2312" w:eastAsia="仿宋_GB2312"/>
          <w:color w:val="auto"/>
          <w:sz w:val="28"/>
        </w:rPr>
        <w:t>万元）</w:t>
      </w:r>
    </w:p>
    <w:p w14:paraId="234F0CEB">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f.销售税费</w:t>
      </w:r>
      <w:r>
        <w:rPr>
          <w:rFonts w:hint="eastAsia" w:ascii="Arial" w:hAnsi="Arial" w:eastAsia="仿宋_GB2312"/>
          <w:color w:val="auto"/>
          <w:sz w:val="28"/>
        </w:rPr>
        <w:tab/>
      </w:r>
    </w:p>
    <w:p w14:paraId="5FB69342">
      <w:pPr>
        <w:spacing w:line="300" w:lineRule="auto"/>
        <w:ind w:firstLine="560" w:firstLineChars="200"/>
        <w:jc w:val="both"/>
        <w:rPr>
          <w:rFonts w:ascii="Arial" w:hAnsi="Arial" w:eastAsia="仿宋_GB2312" w:cs="Arial"/>
          <w:color w:val="auto"/>
          <w:sz w:val="28"/>
        </w:rPr>
      </w:pPr>
      <w:r>
        <w:rPr>
          <w:rFonts w:hint="eastAsia" w:ascii="仿宋_GB2312" w:hAnsi="Arial" w:eastAsia="仿宋_GB2312"/>
          <w:color w:val="auto"/>
          <w:sz w:val="28"/>
        </w:rPr>
        <w:t>本</w:t>
      </w:r>
      <w:r>
        <w:rPr>
          <w:rFonts w:hint="eastAsia" w:ascii="Arial" w:hAnsi="Arial" w:eastAsia="仿宋_GB2312" w:cs="Arial"/>
          <w:color w:val="auto"/>
          <w:sz w:val="28"/>
        </w:rPr>
        <w:t>处所指销售税费是指国家规定的相关销售税费。销售税费包括增值税及城市维护建设税、教育费附加和地方教育附加。</w:t>
      </w:r>
    </w:p>
    <w:p w14:paraId="43017EED">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w:t>
      </w:r>
      <w:r>
        <w:rPr>
          <w:rFonts w:hint="eastAsia" w:ascii="Arial" w:hAnsi="Arial" w:eastAsia="仿宋" w:cs="Arial"/>
          <w:color w:val="auto"/>
          <w:sz w:val="28"/>
          <w:szCs w:val="28"/>
        </w:rPr>
        <w:t>《中华人民共和国增值税法》及《中华人民共和国增值税法实施条例》</w:t>
      </w:r>
      <w:r>
        <w:rPr>
          <w:rFonts w:hint="eastAsia" w:ascii="Arial" w:hAnsi="Arial" w:eastAsia="仿宋_GB2312" w:cs="Arial"/>
          <w:color w:val="auto"/>
          <w:sz w:val="28"/>
        </w:rPr>
        <w:t>相关规定，对于一般纳税人自行开发销售的新建项目，适宜采用一般计税方式测算增值税。</w:t>
      </w:r>
      <w:r>
        <w:rPr>
          <w:rFonts w:ascii="Arial" w:hAnsi="Arial" w:eastAsia="仿宋_GB2312" w:cs="Arial"/>
          <w:color w:val="auto"/>
          <w:sz w:val="28"/>
        </w:rPr>
        <w:t>销售不动产税率为9%</w:t>
      </w:r>
      <w:r>
        <w:rPr>
          <w:rFonts w:hint="eastAsia" w:ascii="Arial" w:hAnsi="Arial" w:eastAsia="仿宋_GB2312" w:cs="Arial"/>
          <w:color w:val="auto"/>
          <w:sz w:val="28"/>
        </w:rPr>
        <w:t>，</w:t>
      </w:r>
      <w:r>
        <w:rPr>
          <w:rFonts w:ascii="Arial" w:hAnsi="Arial" w:eastAsia="仿宋_GB2312" w:cs="Arial"/>
          <w:color w:val="auto"/>
          <w:sz w:val="28"/>
        </w:rPr>
        <w:t>进项税额中建筑安装工程费、</w:t>
      </w:r>
      <w:r>
        <w:rPr>
          <w:rFonts w:hint="eastAsia" w:ascii="Arial" w:hAnsi="Arial" w:eastAsia="仿宋_GB2312" w:cs="Arial"/>
          <w:color w:val="auto"/>
          <w:sz w:val="28"/>
        </w:rPr>
        <w:t>基础设施建设费</w:t>
      </w:r>
      <w:r>
        <w:rPr>
          <w:rFonts w:ascii="Arial" w:hAnsi="Arial" w:eastAsia="仿宋_GB2312" w:cs="Arial"/>
          <w:color w:val="auto"/>
          <w:sz w:val="28"/>
        </w:rPr>
        <w:t>、</w:t>
      </w:r>
      <w:r>
        <w:rPr>
          <w:rFonts w:hint="eastAsia" w:ascii="Arial" w:hAnsi="Arial" w:eastAsia="仿宋_GB2312" w:cs="Arial"/>
          <w:color w:val="auto"/>
          <w:sz w:val="28"/>
        </w:rPr>
        <w:t>公共配套设施建设费</w:t>
      </w:r>
      <w:r>
        <w:rPr>
          <w:rFonts w:ascii="Arial" w:hAnsi="Arial" w:eastAsia="仿宋_GB2312" w:cs="Arial"/>
          <w:color w:val="auto"/>
          <w:sz w:val="28"/>
        </w:rPr>
        <w:t>属于建筑行业，税率为9%；</w:t>
      </w:r>
      <w:r>
        <w:rPr>
          <w:rFonts w:hint="eastAsia" w:ascii="Arial" w:hAnsi="Arial" w:eastAsia="仿宋_GB2312" w:cs="Arial"/>
          <w:color w:val="auto"/>
          <w:sz w:val="28"/>
        </w:rPr>
        <w:t>前期费用</w:t>
      </w:r>
      <w:r>
        <w:rPr>
          <w:rFonts w:ascii="Arial" w:hAnsi="Arial" w:eastAsia="仿宋_GB2312" w:cs="Arial"/>
          <w:color w:val="auto"/>
          <w:sz w:val="28"/>
        </w:rPr>
        <w:t>、</w:t>
      </w:r>
      <w:r>
        <w:rPr>
          <w:rFonts w:hint="eastAsia" w:ascii="Arial" w:hAnsi="Arial" w:eastAsia="仿宋_GB2312" w:cs="Arial"/>
          <w:color w:val="auto"/>
          <w:sz w:val="28"/>
        </w:rPr>
        <w:t>其他工程费、</w:t>
      </w:r>
      <w:r>
        <w:rPr>
          <w:rFonts w:ascii="Arial" w:hAnsi="Arial" w:eastAsia="仿宋_GB2312" w:cs="Arial"/>
          <w:color w:val="auto"/>
          <w:sz w:val="28"/>
        </w:rPr>
        <w:t>销售费用税率为6%</w:t>
      </w:r>
      <w:r>
        <w:rPr>
          <w:rFonts w:hint="eastAsia" w:ascii="Arial" w:hAnsi="Arial" w:eastAsia="仿宋_GB2312" w:cs="Arial"/>
          <w:color w:val="auto"/>
          <w:sz w:val="28"/>
        </w:rPr>
        <w:t>。根据《北京市财政局国家税务总局北京市税务局北京市民政局关于明确北京市城市维护建设税纳税人所在地具体地点的通知》（京财税〔2021〕1770号），估价对象位于顺义区，城市维护建设税为增值税的5%；根据《国务院关于修改&lt;征收教育费附加的暂行规定&gt;的决定》，教育费附加为增值税的3%；根据《北京市地方教育附加征收使用管理办法》，地方教育附加费为增值税的2%，则有：</w:t>
      </w:r>
    </w:p>
    <w:p w14:paraId="442BD048">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增值税基本公式：增值税＝销项税额－进项税额</w:t>
      </w:r>
    </w:p>
    <w:p w14:paraId="6BEFE8B7">
      <w:pPr>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销项税额</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s="Arial"/>
          <w:color w:val="auto"/>
          <w:sz w:val="28"/>
        </w:rPr>
        <w:t>开发完成后</w:t>
      </w:r>
      <w:r>
        <w:rPr>
          <w:rFonts w:ascii="Arial" w:hAnsi="Arial" w:eastAsia="仿宋_GB2312" w:cs="Arial"/>
          <w:color w:val="auto"/>
          <w:sz w:val="28"/>
        </w:rPr>
        <w:t>不动产总价</w:t>
      </w:r>
      <w:r>
        <w:rPr>
          <w:rFonts w:hint="eastAsia" w:ascii="Arial" w:hAnsi="Arial" w:eastAsia="仿宋_GB2312" w:cs="Arial"/>
          <w:color w:val="auto"/>
          <w:sz w:val="28"/>
        </w:rPr>
        <w:t>－</w:t>
      </w:r>
      <w:r>
        <w:rPr>
          <w:rFonts w:ascii="Arial" w:hAnsi="Arial" w:eastAsia="仿宋_GB2312" w:cs="Arial"/>
          <w:color w:val="auto"/>
          <w:sz w:val="28"/>
        </w:rPr>
        <w:t>土地使用权</w:t>
      </w:r>
      <w:r>
        <w:rPr>
          <w:rFonts w:hint="eastAsia" w:ascii="Arial" w:hAnsi="Arial" w:eastAsia="仿宋_GB2312"/>
          <w:color w:val="auto"/>
          <w:sz w:val="28"/>
        </w:rPr>
        <w:t>总价</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p>
    <w:p w14:paraId="1B556506">
      <w:pPr>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进项税额</w:t>
      </w:r>
      <w:r>
        <w:rPr>
          <w:rFonts w:hint="eastAsia" w:ascii="Arial" w:hAnsi="Arial" w:eastAsia="仿宋_GB2312" w:cs="Arial"/>
          <w:color w:val="auto"/>
          <w:sz w:val="28"/>
        </w:rPr>
        <w:t>＝（</w:t>
      </w:r>
      <w:r>
        <w:rPr>
          <w:rFonts w:hint="eastAsia" w:ascii="Arial" w:hAnsi="Arial" w:eastAsia="仿宋_GB2312"/>
          <w:color w:val="auto"/>
          <w:sz w:val="28"/>
        </w:rPr>
        <w:t>建筑安装工程费＋基础设施建设费＋公共配套设施建设费</w:t>
      </w:r>
      <w:r>
        <w:rPr>
          <w:rFonts w:hint="eastAsia" w:ascii="Arial" w:hAnsi="Arial" w:eastAsia="仿宋_GB2312" w:cs="Arial"/>
          <w:color w:val="auto"/>
          <w:sz w:val="28"/>
        </w:rPr>
        <w:t>＋开发期间税费）÷</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hint="eastAsia" w:ascii="Arial" w:hAnsi="Arial" w:eastAsia="仿宋_GB2312"/>
          <w:color w:val="auto"/>
          <w:sz w:val="28"/>
        </w:rPr>
        <w:t>前期费用</w:t>
      </w:r>
      <w:r>
        <w:rPr>
          <w:rFonts w:hint="eastAsia" w:ascii="Arial" w:hAnsi="Arial" w:eastAsia="仿宋_GB2312" w:cs="Arial"/>
          <w:color w:val="auto"/>
          <w:sz w:val="28"/>
        </w:rPr>
        <w:t>＋</w:t>
      </w:r>
      <w:r>
        <w:rPr>
          <w:rFonts w:hint="eastAsia" w:ascii="Arial" w:hAnsi="Arial" w:eastAsia="仿宋_GB2312"/>
          <w:color w:val="auto"/>
          <w:sz w:val="28"/>
        </w:rPr>
        <w:t>其他工程费＋</w:t>
      </w:r>
      <w:r>
        <w:rPr>
          <w:rFonts w:ascii="Arial" w:hAnsi="Arial" w:eastAsia="仿宋_GB2312" w:cs="Arial"/>
          <w:color w:val="auto"/>
          <w:sz w:val="28"/>
        </w:rPr>
        <w:t>销售费用</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w:t>
      </w:r>
      <w:r>
        <w:rPr>
          <w:rFonts w:ascii="Arial" w:hAnsi="Arial" w:eastAsia="仿宋_GB2312" w:cs="Arial"/>
          <w:color w:val="auto"/>
          <w:sz w:val="28"/>
        </w:rPr>
        <w:t xml:space="preserve">6%。 </w:t>
      </w:r>
    </w:p>
    <w:p w14:paraId="04AD0C11">
      <w:pPr>
        <w:spacing w:line="300" w:lineRule="auto"/>
        <w:ind w:firstLine="560" w:firstLineChars="200"/>
        <w:rPr>
          <w:rFonts w:ascii="Arial" w:hAnsi="Arial" w:eastAsia="仿宋_GB2312" w:cs="Arial"/>
          <w:color w:val="auto"/>
          <w:sz w:val="28"/>
        </w:rPr>
      </w:pPr>
      <w:r>
        <w:rPr>
          <w:rFonts w:hint="eastAsia" w:ascii="Arial" w:hAnsi="Arial" w:eastAsia="仿宋_GB2312"/>
          <w:color w:val="auto"/>
          <w:sz w:val="28"/>
        </w:rPr>
        <w:t>销售税费</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s="Arial"/>
          <w:color w:val="auto"/>
          <w:sz w:val="28"/>
        </w:rPr>
        <w:t>205917.6285－</w:t>
      </w:r>
      <w:r>
        <w:rPr>
          <w:rFonts w:ascii="Arial" w:hAnsi="Arial" w:eastAsia="仿宋_GB2312"/>
          <w:color w:val="auto"/>
          <w:sz w:val="28"/>
        </w:rPr>
        <w:t>P</w:t>
      </w:r>
      <w:r>
        <w:rPr>
          <w:rFonts w:hint="eastAsia" w:ascii="Arial" w:hAnsi="Arial" w:eastAsia="仿宋_GB2312"/>
          <w:color w:val="auto"/>
          <w:sz w:val="28"/>
          <w:vertAlign w:val="subscript"/>
        </w:rPr>
        <w:t>土</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olor w:val="auto"/>
          <w:sz w:val="28"/>
        </w:rPr>
        <w:t>34074.2700</w:t>
      </w:r>
      <w:r>
        <w:rPr>
          <w:rFonts w:hint="eastAsia" w:ascii="Arial" w:hAnsi="Arial" w:eastAsia="仿宋_GB2312" w:cs="Arial"/>
          <w:color w:val="auto"/>
          <w:sz w:val="28"/>
        </w:rPr>
        <w:t>＋</w:t>
      </w:r>
      <w:r>
        <w:rPr>
          <w:rFonts w:hint="eastAsia" w:ascii="Arial" w:hAnsi="Arial" w:eastAsia="仿宋_GB2312"/>
          <w:color w:val="auto"/>
          <w:sz w:val="28"/>
        </w:rPr>
        <w:t>3407.4270＋2725.9416</w:t>
      </w:r>
      <w:r>
        <w:rPr>
          <w:rFonts w:hint="eastAsia" w:ascii="Arial" w:hAnsi="Arial" w:eastAsia="仿宋_GB2312" w:cs="Arial"/>
          <w:color w:val="auto"/>
          <w:sz w:val="28"/>
        </w:rPr>
        <w:t>＋681.4854</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olor w:val="auto"/>
          <w:sz w:val="28"/>
        </w:rPr>
        <w:t>2725.9416</w:t>
      </w:r>
      <w:r>
        <w:rPr>
          <w:rFonts w:hint="eastAsia" w:ascii="Arial" w:hAnsi="Arial" w:eastAsia="仿宋_GB2312" w:cs="Arial"/>
          <w:color w:val="auto"/>
          <w:sz w:val="28"/>
        </w:rPr>
        <w:t>＋</w:t>
      </w:r>
      <w:r>
        <w:rPr>
          <w:rFonts w:hint="eastAsia" w:ascii="Arial" w:hAnsi="Arial" w:eastAsia="仿宋_GB2312"/>
          <w:color w:val="auto"/>
          <w:sz w:val="28"/>
        </w:rPr>
        <w:t>1703.7135＋6177.5289</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}×（1＋5%＋3%＋2%）</w:t>
      </w:r>
    </w:p>
    <w:p w14:paraId="05548449">
      <w:pPr>
        <w:spacing w:line="300" w:lineRule="auto"/>
        <w:ind w:firstLine="1680" w:firstLineChars="600"/>
        <w:rPr>
          <w:rFonts w:ascii="Arial" w:hAnsi="Arial" w:eastAsia="仿宋_GB2312" w:cs="Arial"/>
          <w:color w:val="auto"/>
          <w:sz w:val="28"/>
        </w:rPr>
      </w:pPr>
      <w:r>
        <w:rPr>
          <w:rFonts w:hint="eastAsia" w:ascii="Arial" w:hAnsi="Arial" w:eastAsia="仿宋_GB2312" w:cs="Arial"/>
          <w:color w:val="auto"/>
          <w:sz w:val="28"/>
        </w:rPr>
        <w:t>＝14328.3802－</w:t>
      </w:r>
      <w:r>
        <w:rPr>
          <w:rFonts w:ascii="Arial" w:hAnsi="Arial" w:eastAsia="仿宋_GB2312" w:cs="Arial"/>
          <w:color w:val="auto"/>
          <w:sz w:val="28"/>
        </w:rPr>
        <w:t>0.0</w:t>
      </w:r>
      <w:r>
        <w:rPr>
          <w:rFonts w:hint="eastAsia" w:ascii="Arial" w:hAnsi="Arial" w:eastAsia="仿宋_GB2312" w:cs="Arial"/>
          <w:color w:val="auto"/>
          <w:sz w:val="28"/>
        </w:rPr>
        <w:t>909</w:t>
      </w:r>
      <w:r>
        <w:rPr>
          <w:rFonts w:ascii="Arial" w:hAnsi="Arial" w:eastAsia="仿宋_GB2312" w:cs="Arial"/>
          <w:color w:val="auto"/>
          <w:sz w:val="28"/>
        </w:rPr>
        <w:t>P</w:t>
      </w:r>
      <w:r>
        <w:rPr>
          <w:rFonts w:hint="eastAsia" w:ascii="Arial" w:hAnsi="Arial" w:eastAsia="仿宋" w:cs="Arial"/>
          <w:bCs/>
          <w:color w:val="auto"/>
          <w:sz w:val="21"/>
          <w:szCs w:val="21"/>
          <w:vertAlign w:val="subscript"/>
        </w:rPr>
        <w:t>土</w:t>
      </w:r>
      <w:r>
        <w:rPr>
          <w:rFonts w:ascii="Arial" w:hAnsi="Arial" w:eastAsia="仿宋_GB2312" w:cs="Arial"/>
          <w:color w:val="auto"/>
          <w:sz w:val="28"/>
        </w:rPr>
        <w:t>（万元）</w:t>
      </w:r>
    </w:p>
    <w:p w14:paraId="4E53968B">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g</w:t>
      </w:r>
      <w:r>
        <w:rPr>
          <w:rFonts w:ascii="Arial" w:hAnsi="Arial" w:eastAsia="仿宋_GB2312"/>
          <w:color w:val="auto"/>
          <w:sz w:val="28"/>
        </w:rPr>
        <w:t>.</w:t>
      </w:r>
      <w:r>
        <w:rPr>
          <w:rFonts w:hint="eastAsia" w:ascii="仿宋_GB2312" w:eastAsia="仿宋_GB2312"/>
          <w:color w:val="auto"/>
          <w:sz w:val="28"/>
        </w:rPr>
        <w:t>开发成本</w:t>
      </w:r>
    </w:p>
    <w:p w14:paraId="55ADEF1E">
      <w:pPr>
        <w:spacing w:line="300" w:lineRule="auto"/>
        <w:ind w:firstLine="560" w:firstLineChars="200"/>
        <w:jc w:val="both"/>
        <w:rPr>
          <w:rFonts w:ascii="仿宋_GB2312" w:eastAsia="仿宋_GB2312"/>
          <w:color w:val="auto"/>
          <w:sz w:val="28"/>
        </w:rPr>
      </w:pPr>
      <w:r>
        <w:rPr>
          <w:rFonts w:hint="eastAsia" w:ascii="仿宋_GB2312" w:eastAsia="仿宋_GB2312"/>
          <w:color w:val="auto"/>
          <w:sz w:val="28"/>
        </w:rPr>
        <w:t>开发成本为上述</w:t>
      </w:r>
      <w:r>
        <w:rPr>
          <w:rFonts w:hint="eastAsia" w:ascii="Arial" w:hAnsi="Arial" w:eastAsia="仿宋_GB2312"/>
          <w:color w:val="auto"/>
          <w:sz w:val="28"/>
        </w:rPr>
        <w:t>6</w:t>
      </w:r>
      <w:r>
        <w:rPr>
          <w:rFonts w:hint="eastAsia" w:ascii="仿宋_GB2312" w:eastAsia="仿宋_GB2312"/>
          <w:color w:val="auto"/>
          <w:sz w:val="28"/>
        </w:rPr>
        <w:t>项合计，则有：</w:t>
      </w:r>
    </w:p>
    <w:p w14:paraId="59832D08">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w:t>
      </w:r>
    </w:p>
    <w:p w14:paraId="648FADE9">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＝购地税费＋房屋建设成本＋管理费用＋销售费用＋投资利息＋销售税费</w:t>
      </w:r>
    </w:p>
    <w:p w14:paraId="4B1EF185">
      <w:pPr>
        <w:spacing w:line="300" w:lineRule="auto"/>
        <w:ind w:firstLine="560" w:firstLineChars="200"/>
        <w:jc w:val="both"/>
        <w:rPr>
          <w:rFonts w:ascii="Arial" w:hAnsi="Arial" w:eastAsia="仿宋_GB2312"/>
          <w:color w:val="auto"/>
          <w:sz w:val="28"/>
        </w:rPr>
      </w:pPr>
      <w:r>
        <w:rPr>
          <w:rFonts w:hint="eastAsia" w:ascii="Arial" w:hAnsi="Arial" w:eastAsia="仿宋_GB2312" w:cs="Arial"/>
          <w:color w:val="auto"/>
          <w:sz w:val="28"/>
        </w:rPr>
        <w:t>＝</w:t>
      </w:r>
      <w:r>
        <w:rPr>
          <w:rFonts w:hint="eastAsia" w:ascii="Arial" w:hAnsi="Arial" w:eastAsia="仿宋_GB2312"/>
          <w:color w:val="auto"/>
          <w:sz w:val="28"/>
        </w:rPr>
        <w:t>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＋45318.7791＋1359.5634</w:t>
      </w:r>
      <w:r>
        <w:rPr>
          <w:rFonts w:hint="eastAsia" w:ascii="Arial" w:hAnsi="Arial" w:eastAsia="仿宋" w:cs="Arial"/>
          <w:color w:val="auto"/>
          <w:sz w:val="28"/>
        </w:rPr>
        <w:t>＋</w:t>
      </w:r>
      <w:r>
        <w:rPr>
          <w:rFonts w:hint="eastAsia" w:ascii="Arial" w:hAnsi="Arial" w:eastAsia="仿宋_GB2312"/>
          <w:color w:val="auto"/>
          <w:sz w:val="28"/>
        </w:rPr>
        <w:t>6177.5289＋2597.5476</w:t>
      </w:r>
    </w:p>
    <w:p w14:paraId="4E91287D">
      <w:pPr>
        <w:spacing w:line="300" w:lineRule="auto"/>
        <w:ind w:firstLine="560" w:firstLineChars="200"/>
        <w:jc w:val="both"/>
        <w:rPr>
          <w:rFonts w:ascii="Arial" w:hAnsi="Arial" w:eastAsia="仿宋_GB2312" w:cs="Arial"/>
          <w:color w:val="auto"/>
          <w:sz w:val="28"/>
        </w:rPr>
      </w:pPr>
      <w:r>
        <w:rPr>
          <w:rFonts w:hint="eastAsia" w:ascii="Arial" w:hAnsi="Arial" w:eastAsia="仿宋_GB2312"/>
          <w:color w:val="auto"/>
          <w:sz w:val="28"/>
        </w:rPr>
        <w:t>＋0.1038</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w:t>
      </w:r>
      <w:r>
        <w:rPr>
          <w:rFonts w:hint="eastAsia" w:ascii="Arial" w:hAnsi="Arial" w:eastAsia="仿宋_GB2312" w:cs="Arial"/>
          <w:color w:val="auto"/>
          <w:sz w:val="28"/>
        </w:rPr>
        <w:t>14328.3802－</w:t>
      </w:r>
      <w:r>
        <w:rPr>
          <w:rFonts w:ascii="Arial" w:hAnsi="Arial" w:eastAsia="仿宋_GB2312" w:cs="Arial"/>
          <w:color w:val="auto"/>
          <w:sz w:val="28"/>
        </w:rPr>
        <w:t>0.0</w:t>
      </w:r>
      <w:r>
        <w:rPr>
          <w:rFonts w:hint="eastAsia" w:ascii="Arial" w:hAnsi="Arial" w:eastAsia="仿宋_GB2312" w:cs="Arial"/>
          <w:color w:val="auto"/>
          <w:sz w:val="28"/>
        </w:rPr>
        <w:t>909</w:t>
      </w:r>
      <w:r>
        <w:rPr>
          <w:rFonts w:ascii="Arial" w:hAnsi="Arial" w:eastAsia="仿宋_GB2312" w:cs="Arial"/>
          <w:color w:val="auto"/>
          <w:sz w:val="28"/>
        </w:rPr>
        <w:t>P</w:t>
      </w:r>
    </w:p>
    <w:p w14:paraId="00F38F95">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w:t>
      </w:r>
      <w:r>
        <w:rPr>
          <w:rFonts w:hint="eastAsia" w:ascii="Arial" w:hAnsi="Arial" w:eastAsia="仿宋_GB2312"/>
          <w:color w:val="auto"/>
          <w:sz w:val="28"/>
        </w:rPr>
        <w:t>69781.7992＋0.0434</w:t>
      </w:r>
      <w:r>
        <w:rPr>
          <w:rFonts w:ascii="Arial" w:hAnsi="Arial" w:eastAsia="仿宋_GB2312"/>
          <w:color w:val="auto"/>
          <w:sz w:val="28"/>
        </w:rPr>
        <w:t xml:space="preserve"> P</w:t>
      </w:r>
      <w:r>
        <w:rPr>
          <w:rFonts w:hint="eastAsia" w:ascii="仿宋_GB2312" w:eastAsia="仿宋_GB2312"/>
          <w:color w:val="auto"/>
          <w:sz w:val="28"/>
          <w:vertAlign w:val="subscript"/>
        </w:rPr>
        <w:t>土</w:t>
      </w:r>
      <w:r>
        <w:rPr>
          <w:rFonts w:hint="eastAsia" w:ascii="Arial" w:hAnsi="Arial" w:eastAsia="仿宋_GB2312"/>
          <w:color w:val="auto"/>
          <w:sz w:val="28"/>
        </w:rPr>
        <w:t>（</w:t>
      </w:r>
      <w:r>
        <w:rPr>
          <w:rFonts w:hint="eastAsia" w:ascii="仿宋_GB2312" w:eastAsia="仿宋_GB2312"/>
          <w:color w:val="auto"/>
          <w:sz w:val="28"/>
        </w:rPr>
        <w:t>万元）</w:t>
      </w:r>
    </w:p>
    <w:p w14:paraId="7C040419">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D</w:t>
      </w:r>
      <w:r>
        <w:rPr>
          <w:rFonts w:ascii="Arial" w:hAnsi="Arial" w:eastAsia="仿宋_GB2312"/>
          <w:color w:val="auto"/>
          <w:sz w:val="28"/>
        </w:rPr>
        <w:t>.</w:t>
      </w:r>
      <w:r>
        <w:rPr>
          <w:rFonts w:hint="eastAsia" w:ascii="仿宋_GB2312" w:eastAsia="仿宋_GB2312"/>
          <w:color w:val="auto"/>
          <w:sz w:val="28"/>
        </w:rPr>
        <w:t>开发利润（投资利润）</w:t>
      </w:r>
    </w:p>
    <w:p w14:paraId="74574E3A">
      <w:pPr>
        <w:spacing w:line="300" w:lineRule="auto"/>
        <w:ind w:firstLine="560" w:firstLineChars="200"/>
        <w:jc w:val="both"/>
        <w:rPr>
          <w:rFonts w:ascii="Arial" w:hAnsi="Arial" w:eastAsia="仿宋_GB2312" w:cs="Arial"/>
          <w:color w:val="auto"/>
          <w:sz w:val="28"/>
        </w:rPr>
      </w:pPr>
      <w:r>
        <w:rPr>
          <w:rFonts w:hint="eastAsia" w:ascii="仿宋_GB2312" w:hAnsi="Arial" w:eastAsia="仿宋_GB2312"/>
          <w:color w:val="auto"/>
          <w:sz w:val="28"/>
        </w:rPr>
        <w:t>开发利润是指房地产开发商投资房地产开发项目应取得的资金报酬及承担</w:t>
      </w:r>
      <w:r>
        <w:rPr>
          <w:rFonts w:hint="eastAsia" w:ascii="Arial" w:hAnsi="Arial" w:eastAsia="仿宋_GB2312" w:cs="Arial"/>
          <w:color w:val="auto"/>
          <w:sz w:val="28"/>
        </w:rPr>
        <w:t xml:space="preserve">风险补偿。一般以土地或不动产总价值或全部预付资本的一定比例计算，利润率宜采用同一市场上类似土地或不动产开发项目的平均利润率。本次评估采用投资利润率，以全部预付资本的一定比例计算。 </w:t>
      </w:r>
    </w:p>
    <w:p w14:paraId="7EC3E8C0">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北京市国有建设用地使用权出让地价评估技术导则》（2026年2月10日实施），剩余法房地产开发投资利润率，参考区间值住宅用途为25%－35%。估价对象位于北京市顺义区，结合估价对象容积率等自身条件，本次取城镇住宅用地开发商投资利润率为30%。</w:t>
      </w:r>
      <w:r>
        <w:rPr>
          <w:rFonts w:hint="eastAsia" w:ascii="仿宋_GB2312" w:eastAsia="仿宋_GB2312"/>
          <w:color w:val="auto"/>
          <w:sz w:val="28"/>
        </w:rPr>
        <w:t>则有：</w:t>
      </w:r>
    </w:p>
    <w:p w14:paraId="4FE96AAE">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投资利润</w:t>
      </w:r>
    </w:p>
    <w:p w14:paraId="54069B26">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＝（估价对象土地价格＋购地税费＋房屋建设成本＋管理费用＋销售费用）×投资利润率</w:t>
      </w:r>
    </w:p>
    <w:p w14:paraId="2A7DFEDB">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w:t>
      </w:r>
      <w:r>
        <w:rPr>
          <w:rFonts w:hint="eastAsia" w:ascii="仿宋_GB2312" w:eastAsia="仿宋_GB2312"/>
          <w:color w:val="auto"/>
          <w:sz w:val="28"/>
        </w:rPr>
        <w:t xml:space="preserve"> </w:t>
      </w:r>
      <w:r>
        <w:rPr>
          <w:rFonts w:ascii="Arial" w:hAnsi="Arial" w:eastAsia="仿宋_GB2312"/>
          <w:color w:val="auto"/>
          <w:sz w:val="28"/>
        </w:rPr>
        <w:t>P</w:t>
      </w:r>
      <w:r>
        <w:rPr>
          <w:rFonts w:hint="eastAsia" w:ascii="仿宋_GB2312" w:eastAsia="仿宋_GB2312"/>
          <w:color w:val="auto"/>
          <w:sz w:val="28"/>
          <w:vertAlign w:val="subscript"/>
        </w:rPr>
        <w:t>土</w:t>
      </w:r>
      <w:r>
        <w:rPr>
          <w:rFonts w:hint="eastAsia" w:ascii="Arial" w:hAnsi="Arial" w:eastAsia="仿宋_GB2312" w:cs="Arial"/>
          <w:color w:val="auto"/>
          <w:sz w:val="28"/>
        </w:rPr>
        <w:t>＋3.05%</w:t>
      </w:r>
      <w:r>
        <w:rPr>
          <w:rFonts w:hint="eastAsia" w:ascii="仿宋_GB2312" w:eastAsia="仿宋_GB2312"/>
          <w:color w:val="auto"/>
          <w:sz w:val="28"/>
        </w:rPr>
        <w:t xml:space="preserve"> </w:t>
      </w:r>
      <w:r>
        <w:rPr>
          <w:rFonts w:ascii="Arial" w:hAnsi="Arial" w:eastAsia="仿宋_GB2312"/>
          <w:color w:val="auto"/>
          <w:sz w:val="28"/>
        </w:rPr>
        <w:t>P</w:t>
      </w:r>
      <w:r>
        <w:rPr>
          <w:rFonts w:hint="eastAsia" w:ascii="仿宋_GB2312" w:eastAsia="仿宋_GB2312"/>
          <w:color w:val="auto"/>
          <w:sz w:val="28"/>
          <w:vertAlign w:val="subscript"/>
        </w:rPr>
        <w:t>土</w:t>
      </w:r>
      <w:r>
        <w:rPr>
          <w:rFonts w:hint="eastAsia" w:ascii="Arial" w:hAnsi="Arial" w:eastAsia="仿宋_GB2312" w:cs="Arial"/>
          <w:color w:val="auto"/>
          <w:sz w:val="28"/>
        </w:rPr>
        <w:t>＋</w:t>
      </w:r>
      <w:r>
        <w:rPr>
          <w:rFonts w:hint="eastAsia" w:ascii="Arial" w:hAnsi="Arial" w:eastAsia="仿宋_GB2312"/>
          <w:color w:val="auto"/>
          <w:sz w:val="28"/>
        </w:rPr>
        <w:t>45318.7791＋1359.5634</w:t>
      </w:r>
      <w:r>
        <w:rPr>
          <w:rFonts w:hint="eastAsia" w:ascii="Arial" w:hAnsi="Arial" w:eastAsia="仿宋" w:cs="Arial"/>
          <w:color w:val="auto"/>
          <w:sz w:val="28"/>
        </w:rPr>
        <w:t>＋</w:t>
      </w:r>
      <w:r>
        <w:rPr>
          <w:rFonts w:hint="eastAsia" w:ascii="Arial" w:hAnsi="Arial" w:eastAsia="仿宋_GB2312"/>
          <w:color w:val="auto"/>
          <w:sz w:val="28"/>
        </w:rPr>
        <w:t>6177.5289</w:t>
      </w:r>
      <w:r>
        <w:rPr>
          <w:rFonts w:hint="eastAsia" w:ascii="Arial" w:hAnsi="Arial" w:eastAsia="仿宋_GB2312" w:cs="Arial"/>
          <w:color w:val="auto"/>
          <w:sz w:val="28"/>
        </w:rPr>
        <w:t>）×30%</w:t>
      </w:r>
    </w:p>
    <w:p w14:paraId="67CF72B4">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w:t>
      </w:r>
      <w:r>
        <w:rPr>
          <w:rFonts w:hint="eastAsia" w:ascii="Arial" w:hAnsi="Arial" w:eastAsia="仿宋_GB2312"/>
          <w:color w:val="auto"/>
          <w:sz w:val="28"/>
        </w:rPr>
        <w:t>15856.7614</w:t>
      </w:r>
      <w:r>
        <w:rPr>
          <w:rFonts w:hint="eastAsia" w:ascii="Arial" w:hAnsi="Arial" w:eastAsia="仿宋" w:cs="Arial"/>
          <w:color w:val="auto"/>
          <w:sz w:val="28"/>
        </w:rPr>
        <w:t>＋</w:t>
      </w:r>
      <w:r>
        <w:rPr>
          <w:rFonts w:ascii="Arial" w:hAnsi="Arial" w:eastAsia="仿宋" w:cs="Arial"/>
          <w:color w:val="auto"/>
          <w:sz w:val="28"/>
        </w:rPr>
        <w:t>0.3092</w:t>
      </w:r>
      <w:r>
        <w:rPr>
          <w:rFonts w:hint="eastAsia" w:ascii="Arial" w:hAnsi="Arial" w:eastAsia="仿宋" w:cs="Arial"/>
          <w:color w:val="auto"/>
          <w:sz w:val="28"/>
        </w:rPr>
        <w:t>P</w:t>
      </w:r>
      <w:r>
        <w:rPr>
          <w:rFonts w:hint="eastAsia" w:ascii="Arial" w:hAnsi="Arial" w:eastAsia="仿宋" w:cs="Arial"/>
          <w:color w:val="auto"/>
          <w:sz w:val="28"/>
          <w:vertAlign w:val="subscript"/>
        </w:rPr>
        <w:t>土</w:t>
      </w:r>
      <w:r>
        <w:rPr>
          <w:rFonts w:hint="eastAsia" w:ascii="仿宋_GB2312" w:eastAsia="仿宋_GB2312"/>
          <w:color w:val="auto"/>
          <w:sz w:val="28"/>
        </w:rPr>
        <w:t>（万元）</w:t>
      </w:r>
    </w:p>
    <w:p w14:paraId="2EF63A3D">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E</w:t>
      </w:r>
      <w:r>
        <w:rPr>
          <w:rFonts w:ascii="Arial" w:hAnsi="Arial" w:eastAsia="仿宋_GB2312"/>
          <w:color w:val="auto"/>
          <w:sz w:val="28"/>
        </w:rPr>
        <w:t>.</w:t>
      </w:r>
      <w:r>
        <w:rPr>
          <w:rFonts w:hint="eastAsia" w:ascii="仿宋_GB2312" w:eastAsia="仿宋_GB2312"/>
          <w:color w:val="auto"/>
          <w:sz w:val="28"/>
        </w:rPr>
        <w:t>求取估价对象土地价格</w:t>
      </w:r>
    </w:p>
    <w:p w14:paraId="573C5C34">
      <w:pPr>
        <w:spacing w:line="300" w:lineRule="auto"/>
        <w:ind w:firstLine="600" w:firstLineChars="200"/>
        <w:jc w:val="both"/>
        <w:rPr>
          <w:rFonts w:ascii="仿宋_GB2312" w:eastAsia="仿宋_GB2312"/>
          <w:color w:val="auto"/>
          <w:spacing w:val="10"/>
          <w:sz w:val="28"/>
        </w:rPr>
      </w:pPr>
      <w:r>
        <w:rPr>
          <w:rFonts w:hint="eastAsia" w:ascii="仿宋_GB2312" w:eastAsia="仿宋_GB2312"/>
          <w:color w:val="auto"/>
          <w:spacing w:val="10"/>
          <w:sz w:val="28"/>
        </w:rPr>
        <w:t>土地价格（</w:t>
      </w:r>
      <w:r>
        <w:rPr>
          <w:rFonts w:ascii="Arial" w:hAnsi="Arial" w:eastAsia="仿宋_GB2312"/>
          <w:color w:val="auto"/>
          <w:sz w:val="28"/>
        </w:rPr>
        <w:t>P</w:t>
      </w:r>
      <w:r>
        <w:rPr>
          <w:rFonts w:hint="eastAsia" w:ascii="仿宋_GB2312" w:eastAsia="仿宋_GB2312"/>
          <w:color w:val="auto"/>
          <w:sz w:val="28"/>
          <w:vertAlign w:val="subscript"/>
        </w:rPr>
        <w:t>土</w:t>
      </w:r>
      <w:r>
        <w:rPr>
          <w:rFonts w:hint="eastAsia" w:ascii="仿宋_GB2312" w:eastAsia="仿宋_GB2312"/>
          <w:color w:val="auto"/>
          <w:spacing w:val="10"/>
          <w:sz w:val="28"/>
        </w:rPr>
        <w:t>）</w:t>
      </w:r>
    </w:p>
    <w:p w14:paraId="28A04D5F">
      <w:pPr>
        <w:spacing w:line="300" w:lineRule="auto"/>
        <w:ind w:firstLine="560" w:firstLineChars="200"/>
        <w:jc w:val="both"/>
        <w:rPr>
          <w:rFonts w:ascii="仿宋_GB2312" w:eastAsia="仿宋_GB2312"/>
          <w:color w:val="auto"/>
          <w:sz w:val="28"/>
        </w:rPr>
      </w:pPr>
      <w:r>
        <w:rPr>
          <w:rFonts w:hint="eastAsia" w:ascii="仿宋_GB2312" w:eastAsia="仿宋_GB2312"/>
          <w:color w:val="auto"/>
          <w:sz w:val="28"/>
        </w:rPr>
        <w:t>＝开发完成后的不动产总价－开发成本－开发利润</w:t>
      </w:r>
    </w:p>
    <w:p w14:paraId="7FB16889">
      <w:pPr>
        <w:spacing w:line="300" w:lineRule="auto"/>
        <w:ind w:firstLine="560" w:firstLineChars="200"/>
        <w:rPr>
          <w:rFonts w:ascii="Arial" w:hAnsi="Arial" w:eastAsia="仿宋_GB2312"/>
          <w:color w:val="auto"/>
          <w:sz w:val="28"/>
        </w:rPr>
      </w:pPr>
      <w:r>
        <w:rPr>
          <w:rFonts w:hint="eastAsia" w:ascii="仿宋_GB2312" w:eastAsia="仿宋_GB2312"/>
          <w:color w:val="auto"/>
          <w:sz w:val="28"/>
        </w:rPr>
        <w:t>＝</w:t>
      </w:r>
      <w:r>
        <w:rPr>
          <w:rFonts w:hint="eastAsia" w:ascii="Arial" w:hAnsi="Arial" w:eastAsia="仿宋_GB2312" w:cs="Arial"/>
          <w:color w:val="auto"/>
          <w:sz w:val="28"/>
        </w:rPr>
        <w:t>205917.6285</w:t>
      </w:r>
      <w:r>
        <w:rPr>
          <w:rFonts w:hint="eastAsia" w:ascii="仿宋_GB2312" w:eastAsia="仿宋_GB2312"/>
          <w:color w:val="auto"/>
          <w:sz w:val="28"/>
        </w:rPr>
        <w:t>－</w:t>
      </w:r>
      <w:r>
        <w:rPr>
          <w:rFonts w:hint="eastAsia" w:ascii="Arial" w:hAnsi="Arial" w:eastAsia="仿宋_GB2312" w:cs="Arial"/>
          <w:color w:val="auto"/>
          <w:sz w:val="28"/>
        </w:rPr>
        <w:t>（</w:t>
      </w:r>
      <w:r>
        <w:rPr>
          <w:rFonts w:hint="eastAsia" w:ascii="Arial" w:hAnsi="Arial" w:eastAsia="仿宋_GB2312"/>
          <w:color w:val="auto"/>
          <w:sz w:val="28"/>
        </w:rPr>
        <w:t>69781.7992＋0.0434</w:t>
      </w:r>
      <w:r>
        <w:rPr>
          <w:rFonts w:ascii="Arial" w:hAnsi="Arial" w:eastAsia="仿宋_GB2312"/>
          <w:color w:val="auto"/>
          <w:sz w:val="28"/>
        </w:rPr>
        <w:t xml:space="preserve"> P</w:t>
      </w:r>
      <w:r>
        <w:rPr>
          <w:rFonts w:hint="eastAsia" w:ascii="仿宋_GB2312" w:eastAsia="仿宋_GB2312"/>
          <w:color w:val="auto"/>
          <w:sz w:val="28"/>
          <w:vertAlign w:val="subscript"/>
        </w:rPr>
        <w:t>土</w:t>
      </w:r>
      <w:r>
        <w:rPr>
          <w:rFonts w:hint="eastAsia" w:ascii="Arial" w:hAnsi="Arial" w:eastAsia="仿宋_GB2312" w:cs="Arial"/>
          <w:color w:val="auto"/>
          <w:sz w:val="28"/>
        </w:rPr>
        <w:t>）－（</w:t>
      </w:r>
      <w:r>
        <w:rPr>
          <w:rFonts w:hint="eastAsia" w:ascii="Arial" w:hAnsi="Arial" w:eastAsia="仿宋_GB2312"/>
          <w:color w:val="auto"/>
          <w:sz w:val="28"/>
        </w:rPr>
        <w:t>15856.7614</w:t>
      </w:r>
      <w:r>
        <w:rPr>
          <w:rFonts w:hint="eastAsia" w:ascii="Arial" w:hAnsi="Arial" w:eastAsia="仿宋" w:cs="Arial"/>
          <w:color w:val="auto"/>
          <w:sz w:val="28"/>
        </w:rPr>
        <w:t>＋</w:t>
      </w:r>
      <w:r>
        <w:rPr>
          <w:rFonts w:ascii="Arial" w:hAnsi="Arial" w:eastAsia="仿宋" w:cs="Arial"/>
          <w:color w:val="auto"/>
          <w:sz w:val="28"/>
        </w:rPr>
        <w:t>0.3092</w:t>
      </w:r>
      <w:r>
        <w:rPr>
          <w:rFonts w:hint="eastAsia" w:ascii="Arial" w:hAnsi="Arial" w:eastAsia="仿宋" w:cs="Arial"/>
          <w:color w:val="auto"/>
          <w:sz w:val="28"/>
        </w:rPr>
        <w:t>P</w:t>
      </w:r>
      <w:r>
        <w:rPr>
          <w:rFonts w:hint="eastAsia" w:ascii="Arial" w:hAnsi="Arial" w:eastAsia="仿宋" w:cs="Arial"/>
          <w:color w:val="auto"/>
          <w:sz w:val="28"/>
          <w:vertAlign w:val="subscript"/>
        </w:rPr>
        <w:t>土</w:t>
      </w:r>
      <w:r>
        <w:rPr>
          <w:rFonts w:hint="eastAsia" w:ascii="仿宋_GB2312" w:eastAsia="仿宋_GB2312"/>
          <w:color w:val="auto"/>
          <w:sz w:val="28"/>
        </w:rPr>
        <w:t xml:space="preserve">） </w:t>
      </w:r>
    </w:p>
    <w:p w14:paraId="7B007817">
      <w:pPr>
        <w:spacing w:before="120" w:beforeLines="50" w:after="120" w:afterLines="50" w:line="300" w:lineRule="auto"/>
        <w:ind w:firstLine="560" w:firstLineChars="200"/>
        <w:rPr>
          <w:rFonts w:ascii="仿宋_GB2312"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88924.3442</w:t>
      </w:r>
      <w:r>
        <w:rPr>
          <w:rFonts w:hint="eastAsia" w:ascii="仿宋_GB2312" w:eastAsia="仿宋_GB2312"/>
          <w:color w:val="auto"/>
          <w:sz w:val="28"/>
        </w:rPr>
        <w:t>（万元）</w:t>
      </w:r>
    </w:p>
    <w:p w14:paraId="61F6779E">
      <w:pPr>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楼面地价＝</w:t>
      </w:r>
      <w:r>
        <w:rPr>
          <w:rFonts w:ascii="Arial" w:hAnsi="Arial" w:eastAsia="仿宋" w:cs="Arial"/>
          <w:color w:val="auto"/>
          <w:sz w:val="28"/>
        </w:rPr>
        <w:t>土地价格</w:t>
      </w:r>
      <w:r>
        <w:rPr>
          <w:rFonts w:hint="eastAsia" w:ascii="Arial" w:hAnsi="Arial" w:eastAsia="仿宋" w:cs="Arial"/>
          <w:color w:val="auto"/>
          <w:sz w:val="28"/>
        </w:rPr>
        <w:t>÷住宅用房建筑</w:t>
      </w:r>
      <w:r>
        <w:rPr>
          <w:rFonts w:ascii="Arial" w:hAnsi="Arial" w:eastAsia="仿宋" w:cs="Arial"/>
          <w:color w:val="auto"/>
          <w:sz w:val="28"/>
        </w:rPr>
        <w:t>面积</w:t>
      </w:r>
      <w:r>
        <w:rPr>
          <w:rFonts w:hint="eastAsia" w:ascii="Arial" w:hAnsi="Arial" w:eastAsia="仿宋" w:cs="Arial"/>
          <w:color w:val="auto"/>
          <w:sz w:val="28"/>
        </w:rPr>
        <w:t>×</w:t>
      </w:r>
      <w:r>
        <w:rPr>
          <w:rFonts w:ascii="Arial" w:hAnsi="Arial" w:eastAsia="仿宋" w:cs="Arial"/>
          <w:color w:val="auto"/>
          <w:sz w:val="28"/>
        </w:rPr>
        <w:t>10000</w:t>
      </w:r>
    </w:p>
    <w:p w14:paraId="368B7290">
      <w:pPr>
        <w:spacing w:line="300" w:lineRule="auto"/>
        <w:ind w:firstLine="560" w:firstLineChars="200"/>
        <w:jc w:val="both"/>
        <w:rPr>
          <w:rFonts w:ascii="Arial" w:hAnsi="Arial" w:eastAsia="仿宋" w:cs="Arial"/>
          <w:color w:val="auto"/>
          <w:sz w:val="28"/>
        </w:rPr>
      </w:pPr>
      <w:r>
        <w:rPr>
          <w:rFonts w:hint="eastAsia" w:ascii="Arial" w:hAnsi="Arial" w:eastAsia="仿宋" w:cs="Arial"/>
          <w:color w:val="auto"/>
          <w:sz w:val="28"/>
        </w:rPr>
        <w:t>＝</w:t>
      </w:r>
      <w:r>
        <w:rPr>
          <w:rFonts w:hint="eastAsia" w:ascii="Arial" w:hAnsi="Arial" w:eastAsia="仿宋_GB2312"/>
          <w:color w:val="auto"/>
          <w:sz w:val="28"/>
        </w:rPr>
        <w:t>88924.3442</w:t>
      </w:r>
      <w:r>
        <w:rPr>
          <w:rFonts w:hint="eastAsia" w:ascii="Arial" w:hAnsi="Arial" w:eastAsia="仿宋" w:cs="Arial"/>
          <w:color w:val="auto"/>
          <w:sz w:val="28"/>
        </w:rPr>
        <w:t>÷</w:t>
      </w:r>
      <w:r>
        <w:rPr>
          <w:rFonts w:ascii="Arial" w:hAnsi="Arial" w:eastAsia="仿宋" w:cs="Arial"/>
          <w:color w:val="auto"/>
          <w:sz w:val="28"/>
        </w:rPr>
        <w:t>68148.54</w:t>
      </w:r>
      <w:r>
        <w:rPr>
          <w:rFonts w:hint="eastAsia" w:ascii="Arial" w:hAnsi="Arial" w:eastAsia="仿宋" w:cs="Arial"/>
          <w:color w:val="auto"/>
          <w:sz w:val="28"/>
        </w:rPr>
        <w:t>×</w:t>
      </w:r>
      <w:r>
        <w:rPr>
          <w:rFonts w:ascii="Arial" w:hAnsi="Arial" w:eastAsia="仿宋" w:cs="Arial"/>
          <w:color w:val="auto"/>
          <w:sz w:val="28"/>
        </w:rPr>
        <w:t>10000</w:t>
      </w:r>
    </w:p>
    <w:p w14:paraId="5508F490">
      <w:pPr>
        <w:spacing w:before="120" w:beforeLines="50" w:after="120" w:afterLines="50" w:line="300" w:lineRule="auto"/>
        <w:ind w:firstLine="560" w:firstLineChars="200"/>
        <w:rPr>
          <w:rFonts w:ascii="Arial" w:hAnsi="Arial" w:eastAsia="仿宋_GB2312" w:cs="Arial"/>
          <w:color w:val="auto"/>
          <w:sz w:val="28"/>
        </w:rPr>
      </w:pPr>
      <w:r>
        <w:rPr>
          <w:rFonts w:hint="eastAsia" w:ascii="Arial" w:hAnsi="Arial" w:eastAsia="仿宋" w:cs="Arial"/>
          <w:color w:val="auto"/>
          <w:sz w:val="28"/>
        </w:rPr>
        <w:t>＝13049</w:t>
      </w:r>
      <w:r>
        <w:rPr>
          <w:rFonts w:ascii="Arial" w:hAnsi="Arial" w:eastAsia="仿宋" w:cs="Arial"/>
          <w:color w:val="auto"/>
          <w:sz w:val="28"/>
        </w:rPr>
        <w:t>（元/平方米）</w:t>
      </w:r>
    </w:p>
    <w:p w14:paraId="195347F4">
      <w:pPr>
        <w:spacing w:before="50" w:after="50" w:line="300" w:lineRule="auto"/>
        <w:ind w:firstLine="560" w:firstLineChars="200"/>
        <w:jc w:val="both"/>
        <w:rPr>
          <w:rFonts w:ascii="Arial" w:hAnsi="Arial" w:eastAsia="仿宋" w:cs="Arial"/>
          <w:color w:val="auto"/>
          <w:sz w:val="28"/>
        </w:rPr>
      </w:pPr>
      <w:r>
        <w:rPr>
          <w:rFonts w:hint="eastAsia" w:ascii="Arial" w:hAnsi="Arial" w:eastAsia="仿宋_GB2312" w:cs="Arial"/>
          <w:color w:val="auto"/>
          <w:sz w:val="28"/>
        </w:rPr>
        <w:t>考虑代建成本的</w:t>
      </w:r>
      <w:r>
        <w:rPr>
          <w:rFonts w:hint="eastAsia" w:ascii="Arial" w:hAnsi="Arial" w:eastAsia="仿宋" w:cs="Arial"/>
          <w:color w:val="auto"/>
          <w:sz w:val="28"/>
        </w:rPr>
        <w:t>楼面地价＝12765</w:t>
      </w:r>
      <w:r>
        <w:rPr>
          <w:rFonts w:ascii="Arial" w:hAnsi="Arial" w:eastAsia="仿宋" w:cs="Arial"/>
          <w:color w:val="auto"/>
          <w:sz w:val="28"/>
        </w:rPr>
        <w:t>（元/平方米）</w:t>
      </w:r>
    </w:p>
    <w:p w14:paraId="6BC3CA94">
      <w:pPr>
        <w:spacing w:before="50" w:after="50" w:line="300" w:lineRule="auto"/>
        <w:ind w:firstLine="560" w:firstLineChars="200"/>
        <w:jc w:val="both"/>
        <w:rPr>
          <w:rFonts w:ascii="Arial" w:hAnsi="Arial" w:eastAsia="仿宋" w:cs="Arial"/>
          <w:color w:val="auto"/>
          <w:sz w:val="28"/>
        </w:rPr>
      </w:pPr>
      <w:r>
        <w:rPr>
          <w:rFonts w:hint="eastAsia" w:ascii="Arial" w:hAnsi="Arial" w:eastAsia="仿宋_GB2312" w:cs="Arial"/>
          <w:color w:val="auto"/>
          <w:sz w:val="28"/>
        </w:rPr>
        <w:t>不考虑代建成本的</w:t>
      </w:r>
      <w:r>
        <w:rPr>
          <w:rFonts w:hint="eastAsia" w:ascii="Arial" w:hAnsi="Arial" w:eastAsia="仿宋" w:cs="Arial"/>
          <w:color w:val="auto"/>
          <w:sz w:val="28"/>
        </w:rPr>
        <w:t>楼面地价＝13049</w:t>
      </w:r>
      <w:r>
        <w:rPr>
          <w:rFonts w:ascii="Arial" w:hAnsi="Arial" w:eastAsia="仿宋" w:cs="Arial"/>
          <w:color w:val="auto"/>
          <w:sz w:val="28"/>
        </w:rPr>
        <w:t>（元/平方米）</w:t>
      </w:r>
    </w:p>
    <w:p w14:paraId="1FD67C84">
      <w:pPr>
        <w:spacing w:before="50" w:after="50" w:line="300" w:lineRule="auto"/>
        <w:ind w:firstLine="560" w:firstLineChars="200"/>
        <w:jc w:val="both"/>
        <w:rPr>
          <w:rFonts w:ascii="Arial" w:hAnsi="Arial" w:eastAsia="仿宋_GB2312" w:cs="Arial"/>
          <w:color w:val="auto"/>
          <w:sz w:val="28"/>
        </w:rPr>
      </w:pPr>
    </w:p>
    <w:p w14:paraId="004B0FCD">
      <w:pPr>
        <w:spacing w:before="50" w:after="50" w:line="300" w:lineRule="auto"/>
        <w:ind w:firstLine="560" w:firstLineChars="200"/>
        <w:jc w:val="both"/>
        <w:rPr>
          <w:rFonts w:ascii="Arial" w:hAnsi="Arial" w:eastAsia="仿宋_GB2312" w:cs="Arial"/>
          <w:color w:val="auto"/>
          <w:sz w:val="28"/>
        </w:rPr>
      </w:pPr>
    </w:p>
    <w:p w14:paraId="7B15F312">
      <w:pPr>
        <w:spacing w:before="50" w:after="50" w:line="300" w:lineRule="auto"/>
        <w:ind w:firstLine="560" w:firstLineChars="200"/>
        <w:jc w:val="center"/>
        <w:rPr>
          <w:rFonts w:ascii="Arial" w:hAnsi="Arial" w:eastAsia="仿宋_GB2312" w:cs="Arial"/>
          <w:color w:val="auto"/>
          <w:sz w:val="28"/>
        </w:rPr>
      </w:pPr>
      <w:r>
        <w:rPr>
          <w:rFonts w:ascii="Arial" w:hAnsi="Arial" w:eastAsia="仿宋_GB2312" w:cs="Arial"/>
          <w:color w:val="auto"/>
          <w:sz w:val="28"/>
        </w:rPr>
        <w:br w:type="page"/>
      </w:r>
      <w:r>
        <w:rPr>
          <w:rFonts w:ascii="Arial" w:hAnsi="Arial" w:eastAsia="仿宋_GB2312" w:cs="Arial"/>
          <w:color w:val="auto"/>
          <w:sz w:val="28"/>
        </w:rPr>
        <w:t>剩余法测算表（住宅）</w:t>
      </w:r>
    </w:p>
    <w:tbl>
      <w:tblPr>
        <w:tblStyle w:val="34"/>
        <w:tblW w:w="4997"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612"/>
        <w:gridCol w:w="2498"/>
        <w:gridCol w:w="1888"/>
        <w:gridCol w:w="1461"/>
        <w:gridCol w:w="2945"/>
      </w:tblGrid>
      <w:tr w14:paraId="25868BB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blHeader/>
          <w:jc w:val="center"/>
        </w:trPr>
        <w:tc>
          <w:tcPr>
            <w:tcW w:w="325" w:type="pct"/>
            <w:shd w:val="clear" w:color="auto" w:fill="auto"/>
            <w:noWrap/>
            <w:vAlign w:val="center"/>
          </w:tcPr>
          <w:p w14:paraId="7551F45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序号</w:t>
            </w:r>
          </w:p>
        </w:tc>
        <w:tc>
          <w:tcPr>
            <w:tcW w:w="1327" w:type="pct"/>
            <w:shd w:val="clear" w:color="auto" w:fill="auto"/>
            <w:noWrap/>
            <w:vAlign w:val="center"/>
          </w:tcPr>
          <w:p w14:paraId="339E889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项目名称</w:t>
            </w:r>
          </w:p>
        </w:tc>
        <w:tc>
          <w:tcPr>
            <w:tcW w:w="1004" w:type="pct"/>
            <w:shd w:val="clear" w:color="auto" w:fill="auto"/>
            <w:noWrap/>
            <w:vAlign w:val="center"/>
          </w:tcPr>
          <w:p w14:paraId="5E0ED25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总额</w:t>
            </w:r>
            <w:r>
              <w:rPr>
                <w:rFonts w:hint="eastAsia" w:ascii="Arial" w:hAnsi="Arial" w:eastAsia="仿宋" w:cs="Arial"/>
                <w:bCs/>
                <w:color w:val="auto"/>
                <w:sz w:val="21"/>
                <w:szCs w:val="21"/>
              </w:rPr>
              <w:t>（万元）</w:t>
            </w:r>
          </w:p>
        </w:tc>
        <w:tc>
          <w:tcPr>
            <w:tcW w:w="777" w:type="pct"/>
            <w:shd w:val="clear" w:color="auto" w:fill="auto"/>
            <w:noWrap/>
            <w:vAlign w:val="center"/>
          </w:tcPr>
          <w:p w14:paraId="7D04C71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单价</w:t>
            </w:r>
            <w:r>
              <w:rPr>
                <w:rFonts w:hint="eastAsia" w:ascii="Arial" w:hAnsi="Arial" w:eastAsia="仿宋" w:cs="Arial"/>
                <w:bCs/>
                <w:color w:val="auto"/>
                <w:sz w:val="21"/>
                <w:szCs w:val="21"/>
              </w:rPr>
              <w:t>（元/㎡）</w:t>
            </w:r>
          </w:p>
        </w:tc>
        <w:tc>
          <w:tcPr>
            <w:tcW w:w="1565" w:type="pct"/>
          </w:tcPr>
          <w:p w14:paraId="7C717B92">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备注</w:t>
            </w:r>
          </w:p>
        </w:tc>
      </w:tr>
      <w:tr w14:paraId="19ABE07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5AEE1F7C">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p>
        </w:tc>
        <w:tc>
          <w:tcPr>
            <w:tcW w:w="1327" w:type="pct"/>
            <w:shd w:val="clear" w:color="auto" w:fill="auto"/>
            <w:noWrap/>
            <w:vAlign w:val="center"/>
          </w:tcPr>
          <w:p w14:paraId="00C11D52">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开发完成后不动产总价</w:t>
            </w:r>
          </w:p>
        </w:tc>
        <w:tc>
          <w:tcPr>
            <w:tcW w:w="1833" w:type="dxa"/>
            <w:shd w:val="clear" w:color="auto" w:fill="auto"/>
            <w:noWrap/>
            <w:vAlign w:val="center"/>
          </w:tcPr>
          <w:p w14:paraId="3A2CFDA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205917.6285 </w:t>
            </w:r>
          </w:p>
        </w:tc>
        <w:tc>
          <w:tcPr>
            <w:tcW w:w="1418" w:type="dxa"/>
            <w:shd w:val="clear" w:color="auto" w:fill="auto"/>
            <w:noWrap/>
            <w:vAlign w:val="center"/>
          </w:tcPr>
          <w:p w14:paraId="0231B5A5">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30216</w:t>
            </w:r>
          </w:p>
        </w:tc>
        <w:tc>
          <w:tcPr>
            <w:tcW w:w="1565" w:type="pct"/>
          </w:tcPr>
          <w:p w14:paraId="7EA79F85">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销售价格</w:t>
            </w:r>
            <w:r>
              <w:rPr>
                <w:rFonts w:hint="eastAsia" w:ascii="Arial" w:hAnsi="Arial" w:eastAsia="仿宋" w:cs="Arial"/>
                <w:bCs/>
                <w:color w:val="auto"/>
                <w:sz w:val="21"/>
                <w:szCs w:val="21"/>
              </w:rPr>
              <w:t>×</w:t>
            </w:r>
            <w:r>
              <w:rPr>
                <w:rFonts w:ascii="Arial" w:hAnsi="Arial" w:eastAsia="仿宋" w:cs="Arial"/>
                <w:bCs/>
                <w:color w:val="auto"/>
                <w:sz w:val="21"/>
                <w:szCs w:val="21"/>
              </w:rPr>
              <w:t>可收益建筑面积</w:t>
            </w:r>
          </w:p>
        </w:tc>
      </w:tr>
      <w:tr w14:paraId="665D6F1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vAlign w:val="center"/>
          </w:tcPr>
          <w:p w14:paraId="752887B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2</w:t>
            </w:r>
          </w:p>
        </w:tc>
        <w:tc>
          <w:tcPr>
            <w:tcW w:w="1327" w:type="pct"/>
            <w:shd w:val="clear" w:color="auto" w:fill="auto"/>
            <w:noWrap/>
            <w:vAlign w:val="center"/>
          </w:tcPr>
          <w:p w14:paraId="47F952D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开发成本</w:t>
            </w:r>
          </w:p>
        </w:tc>
        <w:tc>
          <w:tcPr>
            <w:tcW w:w="1833" w:type="dxa"/>
            <w:shd w:val="clear" w:color="auto" w:fill="auto"/>
            <w:noWrap/>
            <w:vAlign w:val="center"/>
          </w:tcPr>
          <w:p w14:paraId="685EB38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75553.1677 </w:t>
            </w:r>
          </w:p>
        </w:tc>
        <w:tc>
          <w:tcPr>
            <w:tcW w:w="1418" w:type="dxa"/>
            <w:shd w:val="clear" w:color="auto" w:fill="auto"/>
            <w:noWrap/>
            <w:vAlign w:val="center"/>
          </w:tcPr>
          <w:p w14:paraId="0FA30F1C">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10566 </w:t>
            </w:r>
          </w:p>
        </w:tc>
        <w:tc>
          <w:tcPr>
            <w:tcW w:w="1565" w:type="pct"/>
          </w:tcPr>
          <w:p w14:paraId="1D4CE01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r>
              <w:rPr>
                <w:rFonts w:hint="eastAsia" w:ascii="Arial" w:hAnsi="Arial" w:eastAsia="仿宋" w:cs="Arial"/>
                <w:bCs/>
                <w:color w:val="auto"/>
                <w:sz w:val="21"/>
                <w:szCs w:val="21"/>
              </w:rPr>
              <w:t>－</w:t>
            </w:r>
            <w:r>
              <w:rPr>
                <w:rFonts w:ascii="Arial" w:hAnsi="Arial" w:eastAsia="仿宋" w:cs="Arial"/>
                <w:bCs/>
                <w:color w:val="auto"/>
                <w:sz w:val="21"/>
                <w:szCs w:val="21"/>
              </w:rPr>
              <w:t>（</w:t>
            </w:r>
            <w:r>
              <w:rPr>
                <w:rFonts w:hint="eastAsia" w:ascii="Arial" w:hAnsi="Arial" w:eastAsia="仿宋" w:cs="Arial"/>
                <w:bCs/>
                <w:color w:val="auto"/>
                <w:sz w:val="21"/>
                <w:szCs w:val="21"/>
              </w:rPr>
              <w:t>6</w:t>
            </w:r>
            <w:r>
              <w:rPr>
                <w:rFonts w:ascii="Arial" w:hAnsi="Arial" w:eastAsia="仿宋" w:cs="Arial"/>
                <w:bCs/>
                <w:color w:val="auto"/>
                <w:sz w:val="21"/>
                <w:szCs w:val="21"/>
              </w:rPr>
              <w:t>）之和</w:t>
            </w:r>
          </w:p>
        </w:tc>
      </w:tr>
      <w:tr w14:paraId="42AEE2B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03B9929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p>
        </w:tc>
        <w:tc>
          <w:tcPr>
            <w:tcW w:w="1327" w:type="pct"/>
            <w:shd w:val="clear" w:color="auto" w:fill="auto"/>
            <w:noWrap/>
            <w:vAlign w:val="center"/>
          </w:tcPr>
          <w:p w14:paraId="6931A09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购地税费</w:t>
            </w:r>
          </w:p>
        </w:tc>
        <w:tc>
          <w:tcPr>
            <w:tcW w:w="1833" w:type="dxa"/>
            <w:shd w:val="clear" w:color="auto" w:fill="auto"/>
            <w:noWrap/>
            <w:vAlign w:val="center"/>
          </w:tcPr>
          <w:p w14:paraId="0F88FE55">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2653.1719 </w:t>
            </w:r>
          </w:p>
        </w:tc>
        <w:tc>
          <w:tcPr>
            <w:tcW w:w="1418" w:type="dxa"/>
            <w:shd w:val="clear" w:color="auto" w:fill="auto"/>
            <w:noWrap/>
            <w:vAlign w:val="center"/>
          </w:tcPr>
          <w:p w14:paraId="49D4491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371 </w:t>
            </w:r>
          </w:p>
        </w:tc>
        <w:tc>
          <w:tcPr>
            <w:tcW w:w="1565" w:type="pct"/>
          </w:tcPr>
          <w:p w14:paraId="6264CAD6">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w:t>
            </w:r>
          </w:p>
        </w:tc>
      </w:tr>
      <w:tr w14:paraId="443C065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42564AB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2</w:t>
            </w:r>
            <w:r>
              <w:rPr>
                <w:rFonts w:ascii="Arial" w:hAnsi="Arial" w:eastAsia="仿宋" w:cs="Arial"/>
                <w:bCs/>
                <w:color w:val="auto"/>
                <w:sz w:val="21"/>
                <w:szCs w:val="21"/>
              </w:rPr>
              <w:t>）</w:t>
            </w:r>
          </w:p>
        </w:tc>
        <w:tc>
          <w:tcPr>
            <w:tcW w:w="1327" w:type="pct"/>
            <w:shd w:val="clear" w:color="auto" w:fill="auto"/>
            <w:noWrap/>
            <w:vAlign w:val="center"/>
          </w:tcPr>
          <w:p w14:paraId="37B94806">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房屋建设成本</w:t>
            </w:r>
          </w:p>
        </w:tc>
        <w:tc>
          <w:tcPr>
            <w:tcW w:w="1833" w:type="dxa"/>
            <w:shd w:val="clear" w:color="auto" w:fill="auto"/>
            <w:noWrap/>
            <w:vAlign w:val="center"/>
          </w:tcPr>
          <w:p w14:paraId="38226C4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47329.7272 </w:t>
            </w:r>
          </w:p>
        </w:tc>
        <w:tc>
          <w:tcPr>
            <w:tcW w:w="1418" w:type="dxa"/>
            <w:shd w:val="clear" w:color="auto" w:fill="auto"/>
            <w:noWrap/>
            <w:vAlign w:val="center"/>
          </w:tcPr>
          <w:p w14:paraId="0FCF10E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6619 </w:t>
            </w:r>
          </w:p>
        </w:tc>
        <w:tc>
          <w:tcPr>
            <w:tcW w:w="1565" w:type="pct"/>
          </w:tcPr>
          <w:p w14:paraId="3634980B">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下述</w:t>
            </w:r>
            <w:r>
              <w:rPr>
                <w:rFonts w:hint="eastAsia" w:ascii="Arial" w:hAnsi="Arial" w:eastAsia="仿宋" w:cs="Arial"/>
                <w:color w:val="auto"/>
                <w:sz w:val="21"/>
                <w:szCs w:val="21"/>
              </w:rPr>
              <w:t>6</w:t>
            </w:r>
            <w:r>
              <w:rPr>
                <w:rFonts w:ascii="Arial" w:hAnsi="Arial" w:eastAsia="仿宋" w:cs="Arial"/>
                <w:color w:val="auto"/>
                <w:sz w:val="21"/>
                <w:szCs w:val="21"/>
              </w:rPr>
              <w:t>项之和</w:t>
            </w:r>
          </w:p>
        </w:tc>
      </w:tr>
      <w:tr w14:paraId="4572005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022DF91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w:t>
            </w:r>
          </w:p>
        </w:tc>
        <w:tc>
          <w:tcPr>
            <w:tcW w:w="1327" w:type="pct"/>
            <w:shd w:val="clear" w:color="auto" w:fill="auto"/>
            <w:noWrap/>
            <w:vAlign w:val="center"/>
          </w:tcPr>
          <w:p w14:paraId="2D975D8F">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建筑安装工程费</w:t>
            </w:r>
          </w:p>
        </w:tc>
        <w:tc>
          <w:tcPr>
            <w:tcW w:w="1833" w:type="dxa"/>
            <w:shd w:val="clear" w:color="auto" w:fill="auto"/>
            <w:noWrap/>
            <w:vAlign w:val="center"/>
          </w:tcPr>
          <w:p w14:paraId="3C8989D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35586.2610 </w:t>
            </w:r>
          </w:p>
        </w:tc>
        <w:tc>
          <w:tcPr>
            <w:tcW w:w="1418" w:type="dxa"/>
            <w:shd w:val="clear" w:color="auto" w:fill="auto"/>
            <w:noWrap/>
            <w:vAlign w:val="center"/>
          </w:tcPr>
          <w:p w14:paraId="0C4868E7">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4977 </w:t>
            </w:r>
          </w:p>
        </w:tc>
        <w:tc>
          <w:tcPr>
            <w:tcW w:w="1565" w:type="pct"/>
          </w:tcPr>
          <w:p w14:paraId="6897067B">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考虑托幼用地建设成本</w:t>
            </w:r>
          </w:p>
        </w:tc>
      </w:tr>
      <w:tr w14:paraId="15B6A92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PrEx>
        <w:trPr>
          <w:cantSplit/>
          <w:jc w:val="center"/>
        </w:trPr>
        <w:tc>
          <w:tcPr>
            <w:tcW w:w="325" w:type="pct"/>
            <w:shd w:val="clear" w:color="auto" w:fill="auto"/>
            <w:noWrap/>
            <w:vAlign w:val="center"/>
          </w:tcPr>
          <w:p w14:paraId="74D8F5D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w:t>
            </w:r>
          </w:p>
        </w:tc>
        <w:tc>
          <w:tcPr>
            <w:tcW w:w="1327" w:type="pct"/>
            <w:shd w:val="clear" w:color="auto" w:fill="auto"/>
            <w:noWrap/>
            <w:vAlign w:val="center"/>
          </w:tcPr>
          <w:p w14:paraId="2B52AF7A">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前期费用</w:t>
            </w:r>
          </w:p>
        </w:tc>
        <w:tc>
          <w:tcPr>
            <w:tcW w:w="1833" w:type="dxa"/>
            <w:shd w:val="clear" w:color="auto" w:fill="auto"/>
            <w:noWrap/>
            <w:vAlign w:val="center"/>
          </w:tcPr>
          <w:p w14:paraId="3E7B98E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2846.9009 </w:t>
            </w:r>
          </w:p>
        </w:tc>
        <w:tc>
          <w:tcPr>
            <w:tcW w:w="1418" w:type="dxa"/>
            <w:shd w:val="clear" w:color="auto" w:fill="auto"/>
            <w:noWrap/>
            <w:vAlign w:val="center"/>
          </w:tcPr>
          <w:p w14:paraId="437E84A2">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398 </w:t>
            </w:r>
          </w:p>
        </w:tc>
        <w:tc>
          <w:tcPr>
            <w:tcW w:w="1565" w:type="pct"/>
          </w:tcPr>
          <w:p w14:paraId="655B98A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建筑安装工程费×8%</w:t>
            </w:r>
          </w:p>
        </w:tc>
      </w:tr>
      <w:tr w14:paraId="7AD8A9C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B2731F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w:t>
            </w:r>
          </w:p>
        </w:tc>
        <w:tc>
          <w:tcPr>
            <w:tcW w:w="1327" w:type="pct"/>
            <w:shd w:val="clear" w:color="auto" w:fill="auto"/>
            <w:noWrap/>
            <w:vAlign w:val="center"/>
          </w:tcPr>
          <w:p w14:paraId="5835A4AC">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基础设施建设费</w:t>
            </w:r>
          </w:p>
        </w:tc>
        <w:tc>
          <w:tcPr>
            <w:tcW w:w="1833" w:type="dxa"/>
            <w:shd w:val="clear" w:color="auto" w:fill="auto"/>
            <w:noWrap/>
            <w:vAlign w:val="center"/>
          </w:tcPr>
          <w:p w14:paraId="5E62FB0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3558.6261 </w:t>
            </w:r>
          </w:p>
        </w:tc>
        <w:tc>
          <w:tcPr>
            <w:tcW w:w="1418" w:type="dxa"/>
            <w:shd w:val="clear" w:color="auto" w:fill="auto"/>
            <w:noWrap/>
            <w:vAlign w:val="center"/>
          </w:tcPr>
          <w:p w14:paraId="6BC4F1E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498 </w:t>
            </w:r>
          </w:p>
        </w:tc>
        <w:tc>
          <w:tcPr>
            <w:tcW w:w="1565" w:type="pct"/>
          </w:tcPr>
          <w:p w14:paraId="1182D5A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建筑安装工程费×8%</w:t>
            </w:r>
          </w:p>
        </w:tc>
      </w:tr>
      <w:tr w14:paraId="38F4364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109EDBA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w:t>
            </w:r>
          </w:p>
        </w:tc>
        <w:tc>
          <w:tcPr>
            <w:tcW w:w="1327" w:type="pct"/>
            <w:shd w:val="clear" w:color="auto" w:fill="auto"/>
            <w:noWrap/>
            <w:vAlign w:val="center"/>
          </w:tcPr>
          <w:p w14:paraId="4C8202FB">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公共配套设施费用</w:t>
            </w:r>
          </w:p>
        </w:tc>
        <w:tc>
          <w:tcPr>
            <w:tcW w:w="1833" w:type="dxa"/>
            <w:shd w:val="clear" w:color="auto" w:fill="auto"/>
            <w:noWrap/>
            <w:vAlign w:val="center"/>
          </w:tcPr>
          <w:p w14:paraId="0520A88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2846.9009 </w:t>
            </w:r>
          </w:p>
        </w:tc>
        <w:tc>
          <w:tcPr>
            <w:tcW w:w="1418" w:type="dxa"/>
            <w:shd w:val="clear" w:color="auto" w:fill="auto"/>
            <w:noWrap/>
            <w:vAlign w:val="center"/>
          </w:tcPr>
          <w:p w14:paraId="3A51C36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398 </w:t>
            </w:r>
          </w:p>
        </w:tc>
        <w:tc>
          <w:tcPr>
            <w:tcW w:w="1565" w:type="pct"/>
          </w:tcPr>
          <w:p w14:paraId="7FE15AF9">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建筑安装工程费×10%</w:t>
            </w:r>
          </w:p>
        </w:tc>
      </w:tr>
      <w:tr w14:paraId="43A11EE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20346FF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327" w:type="pct"/>
            <w:shd w:val="clear" w:color="auto" w:fill="auto"/>
            <w:noWrap/>
            <w:vAlign w:val="center"/>
          </w:tcPr>
          <w:p w14:paraId="1EFA138C">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开发期间税费</w:t>
            </w:r>
          </w:p>
        </w:tc>
        <w:tc>
          <w:tcPr>
            <w:tcW w:w="1833" w:type="dxa"/>
            <w:shd w:val="clear" w:color="auto" w:fill="auto"/>
            <w:noWrap/>
            <w:vAlign w:val="center"/>
          </w:tcPr>
          <w:p w14:paraId="7E59B82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711.7252 </w:t>
            </w:r>
          </w:p>
        </w:tc>
        <w:tc>
          <w:tcPr>
            <w:tcW w:w="1418" w:type="dxa"/>
            <w:shd w:val="clear" w:color="auto" w:fill="auto"/>
            <w:noWrap/>
            <w:vAlign w:val="center"/>
          </w:tcPr>
          <w:p w14:paraId="314FEA0C">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100 </w:t>
            </w:r>
          </w:p>
        </w:tc>
        <w:tc>
          <w:tcPr>
            <w:tcW w:w="1565" w:type="pct"/>
            <w:vAlign w:val="center"/>
          </w:tcPr>
          <w:p w14:paraId="500EAC43">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bCs/>
                <w:color w:val="auto"/>
                <w:sz w:val="21"/>
                <w:szCs w:val="21"/>
              </w:rPr>
              <w:t>建筑安装工程费×2%</w:t>
            </w:r>
          </w:p>
        </w:tc>
      </w:tr>
      <w:tr w14:paraId="614D46B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52F2B8B4">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6）</w:t>
            </w:r>
          </w:p>
        </w:tc>
        <w:tc>
          <w:tcPr>
            <w:tcW w:w="1327" w:type="pct"/>
            <w:shd w:val="clear" w:color="auto" w:fill="auto"/>
            <w:noWrap/>
            <w:vAlign w:val="center"/>
          </w:tcPr>
          <w:p w14:paraId="44A65DB0">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其他工程费</w:t>
            </w:r>
          </w:p>
        </w:tc>
        <w:tc>
          <w:tcPr>
            <w:tcW w:w="1833" w:type="dxa"/>
            <w:shd w:val="clear" w:color="auto" w:fill="auto"/>
            <w:noWrap/>
            <w:vAlign w:val="center"/>
          </w:tcPr>
          <w:p w14:paraId="2DFA872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1779.3131 </w:t>
            </w:r>
          </w:p>
        </w:tc>
        <w:tc>
          <w:tcPr>
            <w:tcW w:w="1418" w:type="dxa"/>
            <w:shd w:val="clear" w:color="auto" w:fill="auto"/>
            <w:noWrap/>
            <w:vAlign w:val="center"/>
          </w:tcPr>
          <w:p w14:paraId="62758C2C">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249 </w:t>
            </w:r>
          </w:p>
        </w:tc>
        <w:tc>
          <w:tcPr>
            <w:tcW w:w="1565" w:type="pct"/>
            <w:vAlign w:val="center"/>
          </w:tcPr>
          <w:p w14:paraId="09230C0F">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bCs/>
                <w:color w:val="auto"/>
                <w:sz w:val="21"/>
                <w:szCs w:val="21"/>
              </w:rPr>
              <w:t>建筑安装工程费×5%</w:t>
            </w:r>
          </w:p>
        </w:tc>
      </w:tr>
      <w:tr w14:paraId="0B3A19D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1C2B5FE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3</w:t>
            </w:r>
            <w:r>
              <w:rPr>
                <w:rFonts w:ascii="Arial" w:hAnsi="Arial" w:eastAsia="仿宋" w:cs="Arial"/>
                <w:bCs/>
                <w:color w:val="auto"/>
                <w:sz w:val="21"/>
                <w:szCs w:val="21"/>
              </w:rPr>
              <w:t>）</w:t>
            </w:r>
          </w:p>
        </w:tc>
        <w:tc>
          <w:tcPr>
            <w:tcW w:w="1327" w:type="pct"/>
            <w:shd w:val="clear" w:color="auto" w:fill="auto"/>
            <w:noWrap/>
            <w:vAlign w:val="center"/>
          </w:tcPr>
          <w:p w14:paraId="69ADE82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管理费用</w:t>
            </w:r>
          </w:p>
        </w:tc>
        <w:tc>
          <w:tcPr>
            <w:tcW w:w="1833" w:type="dxa"/>
            <w:shd w:val="clear" w:color="auto" w:fill="auto"/>
            <w:noWrap/>
            <w:vAlign w:val="center"/>
          </w:tcPr>
          <w:p w14:paraId="2A5C60A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1419.8918 </w:t>
            </w:r>
          </w:p>
        </w:tc>
        <w:tc>
          <w:tcPr>
            <w:tcW w:w="1418" w:type="dxa"/>
            <w:shd w:val="clear" w:color="auto" w:fill="auto"/>
            <w:noWrap/>
            <w:vAlign w:val="center"/>
          </w:tcPr>
          <w:p w14:paraId="013C6CDF">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199 </w:t>
            </w:r>
          </w:p>
        </w:tc>
        <w:tc>
          <w:tcPr>
            <w:tcW w:w="1565" w:type="pct"/>
          </w:tcPr>
          <w:p w14:paraId="2CC6B1CA">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房屋建设成本×3%</w:t>
            </w:r>
          </w:p>
        </w:tc>
      </w:tr>
      <w:tr w14:paraId="103ADB5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22D2DF1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4</w:t>
            </w:r>
            <w:r>
              <w:rPr>
                <w:rFonts w:ascii="Arial" w:hAnsi="Arial" w:eastAsia="仿宋" w:cs="Arial"/>
                <w:bCs/>
                <w:color w:val="auto"/>
                <w:sz w:val="21"/>
                <w:szCs w:val="21"/>
              </w:rPr>
              <w:t>）</w:t>
            </w:r>
          </w:p>
        </w:tc>
        <w:tc>
          <w:tcPr>
            <w:tcW w:w="1327" w:type="pct"/>
            <w:shd w:val="clear" w:color="auto" w:fill="auto"/>
            <w:noWrap/>
            <w:vAlign w:val="center"/>
          </w:tcPr>
          <w:p w14:paraId="639A60F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销售费用</w:t>
            </w:r>
          </w:p>
        </w:tc>
        <w:tc>
          <w:tcPr>
            <w:tcW w:w="1833" w:type="dxa"/>
            <w:shd w:val="clear" w:color="auto" w:fill="auto"/>
            <w:noWrap/>
            <w:vAlign w:val="center"/>
          </w:tcPr>
          <w:p w14:paraId="1F28026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6177.5289 </w:t>
            </w:r>
          </w:p>
        </w:tc>
        <w:tc>
          <w:tcPr>
            <w:tcW w:w="1418" w:type="dxa"/>
            <w:shd w:val="clear" w:color="auto" w:fill="auto"/>
            <w:noWrap/>
            <w:vAlign w:val="center"/>
          </w:tcPr>
          <w:p w14:paraId="7F88F0A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864 </w:t>
            </w:r>
          </w:p>
        </w:tc>
        <w:tc>
          <w:tcPr>
            <w:tcW w:w="1565" w:type="pct"/>
          </w:tcPr>
          <w:p w14:paraId="28B7CCD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开发完成后不动产总价</w:t>
            </w:r>
            <w:r>
              <w:rPr>
                <w:rFonts w:hint="eastAsia" w:ascii="Arial" w:hAnsi="Arial" w:eastAsia="仿宋" w:cs="Arial"/>
                <w:bCs/>
                <w:color w:val="auto"/>
                <w:sz w:val="21"/>
                <w:szCs w:val="21"/>
              </w:rPr>
              <w:t>×3%</w:t>
            </w:r>
          </w:p>
        </w:tc>
      </w:tr>
      <w:tr w14:paraId="14DAD06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72E2EFB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5</w:t>
            </w:r>
            <w:r>
              <w:rPr>
                <w:rFonts w:ascii="Arial" w:hAnsi="Arial" w:eastAsia="仿宋" w:cs="Arial"/>
                <w:bCs/>
                <w:color w:val="auto"/>
                <w:sz w:val="21"/>
                <w:szCs w:val="21"/>
              </w:rPr>
              <w:t>）</w:t>
            </w:r>
          </w:p>
        </w:tc>
        <w:tc>
          <w:tcPr>
            <w:tcW w:w="1327" w:type="pct"/>
            <w:shd w:val="clear" w:color="auto" w:fill="auto"/>
            <w:noWrap/>
            <w:vAlign w:val="center"/>
          </w:tcPr>
          <w:p w14:paraId="62CC35C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投资利息</w:t>
            </w:r>
          </w:p>
        </w:tc>
        <w:tc>
          <w:tcPr>
            <w:tcW w:w="1833" w:type="dxa"/>
            <w:shd w:val="clear" w:color="auto" w:fill="auto"/>
            <w:noWrap/>
            <w:vAlign w:val="center"/>
          </w:tcPr>
          <w:p w14:paraId="6E017B2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11728.8217 </w:t>
            </w:r>
          </w:p>
        </w:tc>
        <w:tc>
          <w:tcPr>
            <w:tcW w:w="1418" w:type="dxa"/>
            <w:shd w:val="clear" w:color="auto" w:fill="auto"/>
            <w:noWrap/>
            <w:vAlign w:val="center"/>
          </w:tcPr>
          <w:p w14:paraId="7CCD842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1640 </w:t>
            </w:r>
          </w:p>
        </w:tc>
        <w:tc>
          <w:tcPr>
            <w:tcW w:w="1565" w:type="pct"/>
          </w:tcPr>
          <w:p w14:paraId="1AE1C061">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地价款和购地税费全周期计息，房屋建设成本、管理费用、销售费用等预付资本应根据开发周期均匀投入计息，贷款利率取3.25%</w:t>
            </w:r>
          </w:p>
        </w:tc>
      </w:tr>
      <w:tr w14:paraId="681C2E3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58FE5AB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6</w:t>
            </w:r>
            <w:r>
              <w:rPr>
                <w:rFonts w:ascii="Arial" w:hAnsi="Arial" w:eastAsia="仿宋" w:cs="Arial"/>
                <w:bCs/>
                <w:color w:val="auto"/>
                <w:sz w:val="21"/>
                <w:szCs w:val="21"/>
              </w:rPr>
              <w:t>）</w:t>
            </w:r>
          </w:p>
        </w:tc>
        <w:tc>
          <w:tcPr>
            <w:tcW w:w="1327" w:type="pct"/>
            <w:shd w:val="clear" w:color="auto" w:fill="auto"/>
            <w:noWrap/>
            <w:vAlign w:val="center"/>
          </w:tcPr>
          <w:p w14:paraId="79969396">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销售税费</w:t>
            </w:r>
          </w:p>
        </w:tc>
        <w:tc>
          <w:tcPr>
            <w:tcW w:w="1833" w:type="dxa"/>
            <w:shd w:val="clear" w:color="auto" w:fill="auto"/>
            <w:noWrap/>
            <w:vAlign w:val="center"/>
          </w:tcPr>
          <w:p w14:paraId="75512BF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22058.6706 </w:t>
            </w:r>
          </w:p>
        </w:tc>
        <w:tc>
          <w:tcPr>
            <w:tcW w:w="1418" w:type="dxa"/>
            <w:shd w:val="clear" w:color="auto" w:fill="auto"/>
            <w:noWrap/>
            <w:vAlign w:val="center"/>
          </w:tcPr>
          <w:p w14:paraId="284675B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3085 </w:t>
            </w:r>
          </w:p>
        </w:tc>
        <w:tc>
          <w:tcPr>
            <w:tcW w:w="1565" w:type="pct"/>
          </w:tcPr>
          <w:p w14:paraId="7B4C5FD5">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以</w:t>
            </w:r>
            <w:r>
              <w:rPr>
                <w:rFonts w:hint="eastAsia" w:ascii="Arial" w:hAnsi="Arial" w:eastAsia="仿宋" w:cs="Arial"/>
                <w:color w:val="auto"/>
                <w:sz w:val="21"/>
                <w:szCs w:val="21"/>
              </w:rPr>
              <w:t>“</w:t>
            </w:r>
            <w:r>
              <w:rPr>
                <w:rFonts w:ascii="Arial" w:hAnsi="Arial" w:eastAsia="仿宋" w:cs="Arial"/>
                <w:color w:val="auto"/>
                <w:sz w:val="21"/>
                <w:szCs w:val="21"/>
              </w:rPr>
              <w:t>开发完成后不动产总价/（1</w:t>
            </w:r>
            <w:r>
              <w:rPr>
                <w:rFonts w:hint="eastAsia" w:ascii="Arial" w:hAnsi="Arial" w:eastAsia="仿宋" w:cs="Arial"/>
                <w:color w:val="auto"/>
                <w:sz w:val="21"/>
                <w:szCs w:val="21"/>
              </w:rPr>
              <w:t>＋</w:t>
            </w:r>
            <w:r>
              <w:rPr>
                <w:rFonts w:ascii="Arial" w:hAnsi="Arial" w:eastAsia="仿宋" w:cs="Arial"/>
                <w:color w:val="auto"/>
                <w:sz w:val="21"/>
                <w:szCs w:val="21"/>
              </w:rPr>
              <w:t>5%）</w:t>
            </w:r>
            <w:r>
              <w:rPr>
                <w:rFonts w:hint="eastAsia" w:ascii="Arial" w:hAnsi="Arial" w:eastAsia="仿宋" w:cs="Arial"/>
                <w:color w:val="auto"/>
                <w:sz w:val="21"/>
                <w:szCs w:val="21"/>
              </w:rPr>
              <w:t>”</w:t>
            </w:r>
            <w:r>
              <w:rPr>
                <w:rFonts w:ascii="Arial" w:hAnsi="Arial" w:eastAsia="仿宋" w:cs="Arial"/>
                <w:color w:val="auto"/>
                <w:sz w:val="21"/>
                <w:szCs w:val="21"/>
              </w:rPr>
              <w:t>为基数计取</w:t>
            </w:r>
          </w:p>
        </w:tc>
      </w:tr>
      <w:tr w14:paraId="12389E7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vAlign w:val="center"/>
          </w:tcPr>
          <w:p w14:paraId="0ABB0AD5">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3</w:t>
            </w:r>
          </w:p>
        </w:tc>
        <w:tc>
          <w:tcPr>
            <w:tcW w:w="1327" w:type="pct"/>
            <w:shd w:val="clear" w:color="auto" w:fill="auto"/>
            <w:vAlign w:val="center"/>
          </w:tcPr>
          <w:p w14:paraId="6123538F">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投资利润</w:t>
            </w:r>
          </w:p>
        </w:tc>
        <w:tc>
          <w:tcPr>
            <w:tcW w:w="1833" w:type="dxa"/>
            <w:shd w:val="clear" w:color="auto" w:fill="auto"/>
            <w:vAlign w:val="center"/>
          </w:tcPr>
          <w:p w14:paraId="2C7DADA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43375.2182 </w:t>
            </w:r>
          </w:p>
        </w:tc>
        <w:tc>
          <w:tcPr>
            <w:tcW w:w="1418" w:type="dxa"/>
            <w:shd w:val="clear" w:color="auto" w:fill="auto"/>
            <w:noWrap/>
            <w:vAlign w:val="center"/>
          </w:tcPr>
          <w:p w14:paraId="2615C12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6066 </w:t>
            </w:r>
          </w:p>
        </w:tc>
        <w:tc>
          <w:tcPr>
            <w:tcW w:w="1565" w:type="pct"/>
          </w:tcPr>
          <w:p w14:paraId="656610F3">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 xml:space="preserve">以全部预付资本的一定比例计算，利润率取30% </w:t>
            </w:r>
          </w:p>
        </w:tc>
      </w:tr>
      <w:tr w14:paraId="0B4FF34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652" w:type="pct"/>
            <w:gridSpan w:val="2"/>
            <w:shd w:val="clear" w:color="auto" w:fill="auto"/>
            <w:noWrap/>
            <w:vAlign w:val="center"/>
          </w:tcPr>
          <w:p w14:paraId="256E5C4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4 .土地价格</w:t>
            </w:r>
          </w:p>
        </w:tc>
        <w:tc>
          <w:tcPr>
            <w:tcW w:w="1833" w:type="dxa"/>
            <w:shd w:val="clear" w:color="auto" w:fill="auto"/>
            <w:noWrap/>
            <w:vAlign w:val="center"/>
          </w:tcPr>
          <w:p w14:paraId="405A9EF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86989.2426 </w:t>
            </w:r>
          </w:p>
        </w:tc>
        <w:tc>
          <w:tcPr>
            <w:tcW w:w="1418" w:type="dxa"/>
            <w:shd w:val="clear" w:color="auto" w:fill="auto"/>
            <w:noWrap/>
            <w:vAlign w:val="center"/>
          </w:tcPr>
          <w:p w14:paraId="03B3AD27">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12765 </w:t>
            </w:r>
          </w:p>
        </w:tc>
        <w:tc>
          <w:tcPr>
            <w:tcW w:w="1565" w:type="pct"/>
          </w:tcPr>
          <w:p w14:paraId="705C18C2">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r>
              <w:rPr>
                <w:rFonts w:hint="eastAsia" w:ascii="Arial" w:hAnsi="Arial" w:eastAsia="仿宋" w:cs="Arial"/>
                <w:bCs/>
                <w:color w:val="auto"/>
                <w:sz w:val="21"/>
                <w:szCs w:val="21"/>
              </w:rPr>
              <w:t>－</w:t>
            </w:r>
            <w:r>
              <w:rPr>
                <w:rFonts w:ascii="Arial" w:hAnsi="Arial" w:eastAsia="仿宋" w:cs="Arial"/>
                <w:bCs/>
                <w:color w:val="auto"/>
                <w:sz w:val="21"/>
                <w:szCs w:val="21"/>
              </w:rPr>
              <w:t>2</w:t>
            </w:r>
            <w:r>
              <w:rPr>
                <w:rFonts w:hint="eastAsia" w:ascii="Arial" w:hAnsi="Arial" w:eastAsia="仿宋" w:cs="Arial"/>
                <w:bCs/>
                <w:color w:val="auto"/>
                <w:sz w:val="21"/>
                <w:szCs w:val="21"/>
              </w:rPr>
              <w:t>－</w:t>
            </w:r>
            <w:r>
              <w:rPr>
                <w:rFonts w:ascii="Arial" w:hAnsi="Arial" w:eastAsia="仿宋" w:cs="Arial"/>
                <w:bCs/>
                <w:color w:val="auto"/>
                <w:sz w:val="21"/>
                <w:szCs w:val="21"/>
              </w:rPr>
              <w:t>3</w:t>
            </w:r>
          </w:p>
        </w:tc>
      </w:tr>
    </w:tbl>
    <w:p w14:paraId="5E71D0E7">
      <w:pPr>
        <w:spacing w:before="50" w:after="50" w:line="300" w:lineRule="auto"/>
        <w:rPr>
          <w:rFonts w:ascii="Arial" w:hAnsi="Arial" w:eastAsia="仿宋" w:cs="Arial"/>
          <w:color w:val="auto"/>
          <w:sz w:val="21"/>
          <w:szCs w:val="21"/>
        </w:rPr>
      </w:pPr>
      <w:r>
        <w:rPr>
          <w:rFonts w:ascii="Arial" w:hAnsi="Arial" w:eastAsia="仿宋" w:cs="Arial"/>
          <w:color w:val="auto"/>
          <w:sz w:val="21"/>
          <w:szCs w:val="21"/>
        </w:rPr>
        <w:t>单位：万元、元/平方米</w:t>
      </w:r>
    </w:p>
    <w:p w14:paraId="5CFF315F">
      <w:pPr>
        <w:rPr>
          <w:rFonts w:ascii="Arial" w:hAnsi="Arial" w:eastAsia="仿宋" w:cs="Arial"/>
          <w:bCs/>
          <w:color w:val="auto"/>
          <w:sz w:val="28"/>
        </w:rPr>
      </w:pPr>
      <w:r>
        <w:rPr>
          <w:rFonts w:ascii="Arial" w:hAnsi="Arial" w:eastAsia="仿宋" w:cs="Arial"/>
          <w:bCs/>
          <w:color w:val="auto"/>
          <w:sz w:val="28"/>
        </w:rPr>
        <w:br w:type="page"/>
      </w:r>
    </w:p>
    <w:p w14:paraId="655A4DC6">
      <w:pPr>
        <w:spacing w:before="50" w:after="50" w:line="300" w:lineRule="auto"/>
        <w:ind w:firstLine="560" w:firstLineChars="200"/>
        <w:rPr>
          <w:rFonts w:ascii="Arial" w:hAnsi="Arial" w:eastAsia="仿宋_GB2312" w:cs="Arial"/>
          <w:b/>
          <w:color w:val="auto"/>
          <w:sz w:val="28"/>
        </w:rPr>
      </w:pPr>
      <w:r>
        <w:rPr>
          <w:rFonts w:hint="eastAsia" w:ascii="Arial" w:hAnsi="Arial" w:eastAsia="仿宋_GB2312" w:cs="Arial"/>
          <w:bCs/>
          <w:color w:val="auto"/>
          <w:sz w:val="28"/>
        </w:rPr>
        <w:t>（2）</w:t>
      </w:r>
      <w:r>
        <w:rPr>
          <w:rFonts w:hint="eastAsia" w:ascii="Arial" w:hAnsi="Arial" w:eastAsia="仿宋" w:cs="Arial"/>
          <w:b/>
          <w:bCs/>
          <w:color w:val="auto"/>
          <w:sz w:val="28"/>
          <w:szCs w:val="28"/>
        </w:rPr>
        <w:t>其他商业服务业用地剩余</w:t>
      </w:r>
      <w:r>
        <w:rPr>
          <w:rFonts w:ascii="Arial" w:hAnsi="Arial" w:eastAsia="仿宋" w:cs="Arial"/>
          <w:b/>
          <w:bCs/>
          <w:color w:val="auto"/>
          <w:sz w:val="28"/>
          <w:szCs w:val="28"/>
        </w:rPr>
        <w:t>法测算过程</w:t>
      </w:r>
    </w:p>
    <w:p w14:paraId="17928A61">
      <w:pPr>
        <w:spacing w:line="300" w:lineRule="auto"/>
        <w:ind w:firstLine="560" w:firstLineChars="200"/>
        <w:rPr>
          <w:rFonts w:ascii="Arial" w:hAnsi="Arial" w:eastAsia="仿宋" w:cs="Arial"/>
          <w:bCs/>
          <w:color w:val="auto"/>
          <w:sz w:val="28"/>
        </w:rPr>
      </w:pPr>
      <w:r>
        <w:rPr>
          <w:rFonts w:ascii="Arial" w:hAnsi="Arial" w:eastAsia="仿宋" w:cs="Arial"/>
          <w:bCs/>
          <w:color w:val="auto"/>
          <w:sz w:val="28"/>
        </w:rPr>
        <w:t>A.土地最有效利用方式</w:t>
      </w:r>
    </w:p>
    <w:p w14:paraId="70BBBD0F">
      <w:pPr>
        <w:snapToGrid w:val="0"/>
        <w:spacing w:line="300" w:lineRule="auto"/>
        <w:ind w:firstLine="560" w:firstLineChars="200"/>
        <w:jc w:val="both"/>
        <w:rPr>
          <w:rFonts w:ascii="Arial" w:hAnsi="Arial" w:eastAsia="仿宋" w:cs="Arial"/>
          <w:color w:val="auto"/>
          <w:sz w:val="28"/>
          <w:szCs w:val="28"/>
        </w:rPr>
      </w:pPr>
      <w:r>
        <w:rPr>
          <w:rFonts w:hint="eastAsia" w:ascii="Arial" w:hAnsi="Arial" w:eastAsia="仿宋" w:cs="Arial"/>
          <w:color w:val="auto"/>
          <w:sz w:val="28"/>
          <w:szCs w:val="28"/>
        </w:rPr>
        <w:t>根据《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复印件及本次评估目的</w:t>
      </w:r>
      <w:r>
        <w:rPr>
          <w:rFonts w:ascii="Arial" w:hAnsi="Arial" w:eastAsia="仿宋" w:cs="Arial"/>
          <w:color w:val="auto"/>
          <w:sz w:val="28"/>
          <w:szCs w:val="28"/>
        </w:rPr>
        <w:t>，本次评估设定如下：</w:t>
      </w:r>
    </w:p>
    <w:p w14:paraId="539AAD2B">
      <w:pPr>
        <w:spacing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a.设定估价对象能够顺利完成预期的开发建设目标；</w:t>
      </w:r>
    </w:p>
    <w:p w14:paraId="5F7FCE4A">
      <w:pPr>
        <w:spacing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b.本项目建筑物建设周期为</w:t>
      </w:r>
      <w:r>
        <w:rPr>
          <w:rFonts w:hint="eastAsia" w:ascii="Arial" w:hAnsi="Arial" w:eastAsia="仿宋" w:cs="Arial"/>
          <w:snapToGrid w:val="0"/>
          <w:color w:val="auto"/>
          <w:sz w:val="28"/>
        </w:rPr>
        <w:t>3</w:t>
      </w:r>
      <w:r>
        <w:rPr>
          <w:rFonts w:ascii="Arial" w:hAnsi="Arial" w:eastAsia="仿宋" w:cs="Arial"/>
          <w:snapToGrid w:val="0"/>
          <w:color w:val="auto"/>
          <w:sz w:val="28"/>
        </w:rPr>
        <w:t>年；</w:t>
      </w:r>
    </w:p>
    <w:p w14:paraId="3D36DC14">
      <w:pPr>
        <w:spacing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c.建安费用在项目周期内均匀投入，利息按复利计算；</w:t>
      </w:r>
    </w:p>
    <w:p w14:paraId="314BBA70">
      <w:pPr>
        <w:spacing w:line="300" w:lineRule="auto"/>
        <w:ind w:right="14" w:firstLine="560" w:firstLineChars="200"/>
        <w:rPr>
          <w:rFonts w:ascii="Arial" w:hAnsi="Arial" w:eastAsia="仿宋" w:cs="Arial"/>
          <w:snapToGrid w:val="0"/>
          <w:color w:val="auto"/>
          <w:sz w:val="28"/>
        </w:rPr>
      </w:pPr>
      <w:r>
        <w:rPr>
          <w:rFonts w:ascii="Arial" w:hAnsi="Arial" w:eastAsia="仿宋" w:cs="Arial"/>
          <w:snapToGrid w:val="0"/>
          <w:color w:val="auto"/>
          <w:sz w:val="28"/>
        </w:rPr>
        <w:t>d.在开发建设期间，房地产市场不会发生大的变化；</w:t>
      </w:r>
    </w:p>
    <w:p w14:paraId="4EE86102">
      <w:pPr>
        <w:spacing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e.本项目最佳用途为</w:t>
      </w:r>
      <w:r>
        <w:rPr>
          <w:rFonts w:hint="eastAsia" w:ascii="Arial" w:hAnsi="Arial" w:eastAsia="仿宋" w:cs="Arial"/>
          <w:snapToGrid w:val="0"/>
          <w:color w:val="auto"/>
          <w:sz w:val="28"/>
        </w:rPr>
        <w:t>其他商业服务业用地</w:t>
      </w:r>
      <w:r>
        <w:rPr>
          <w:rFonts w:ascii="Arial" w:hAnsi="Arial" w:eastAsia="仿宋" w:cs="Arial"/>
          <w:snapToGrid w:val="0"/>
          <w:color w:val="auto"/>
          <w:sz w:val="28"/>
        </w:rPr>
        <w:t>；</w:t>
      </w:r>
    </w:p>
    <w:p w14:paraId="71BE4FAE">
      <w:pPr>
        <w:spacing w:line="300" w:lineRule="auto"/>
        <w:ind w:left="560" w:right="14"/>
        <w:rPr>
          <w:rFonts w:ascii="Arial" w:hAnsi="Arial" w:eastAsia="仿宋" w:cs="Arial"/>
          <w:snapToGrid w:val="0"/>
          <w:color w:val="auto"/>
          <w:sz w:val="28"/>
        </w:rPr>
      </w:pPr>
      <w:r>
        <w:rPr>
          <w:rFonts w:ascii="Arial" w:hAnsi="Arial" w:eastAsia="仿宋" w:cs="Arial"/>
          <w:snapToGrid w:val="0"/>
          <w:color w:val="auto"/>
          <w:sz w:val="28"/>
        </w:rPr>
        <w:t>f.该项目在建成后即销售完毕；</w:t>
      </w:r>
    </w:p>
    <w:p w14:paraId="79C8A45A">
      <w:pPr>
        <w:spacing w:after="26"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g.在开发过程中或有调整规划用途情况建议参照本估价结果价值水平。</w:t>
      </w:r>
    </w:p>
    <w:p w14:paraId="21FA9478">
      <w:pPr>
        <w:spacing w:after="26"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剩余法是在预计开发完成后不动产正常交易价格的基础上，扣除预计的正常开发成本及有关专业费用、利息、利润和税收等，以价格余额来估算估价对象价格的一种方法。</w:t>
      </w:r>
    </w:p>
    <w:p w14:paraId="52CF0782">
      <w:pPr>
        <w:spacing w:after="51"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剩余法基本公式如下：</w:t>
      </w:r>
    </w:p>
    <w:p w14:paraId="557BEEE5">
      <w:pPr>
        <w:spacing w:before="50" w:after="50" w:line="300" w:lineRule="auto"/>
        <w:ind w:firstLine="560" w:firstLineChars="200"/>
        <w:rPr>
          <w:rFonts w:ascii="Arial" w:hAnsi="Arial" w:eastAsia="仿宋" w:cs="Arial"/>
          <w:b/>
          <w:color w:val="auto"/>
          <w:sz w:val="28"/>
        </w:rPr>
      </w:pPr>
      <w:r>
        <w:rPr>
          <w:rFonts w:ascii="Arial" w:hAnsi="Arial" w:eastAsia="仿宋" w:cs="Arial"/>
          <w:snapToGrid w:val="0"/>
          <w:color w:val="auto"/>
          <w:sz w:val="28"/>
        </w:rPr>
        <w:t>熟地价值：</w:t>
      </w:r>
      <w:r>
        <w:rPr>
          <w:rFonts w:ascii="Arial" w:hAnsi="Arial" w:eastAsia="仿宋" w:cs="Arial"/>
          <w:color w:val="auto"/>
          <w:sz w:val="28"/>
        </w:rPr>
        <w:t>待估宗地价格</w:t>
      </w:r>
      <w:r>
        <w:rPr>
          <w:rFonts w:hint="eastAsia" w:ascii="Arial" w:hAnsi="Arial" w:eastAsia="仿宋" w:cs="Arial"/>
          <w:color w:val="auto"/>
          <w:sz w:val="28"/>
        </w:rPr>
        <w:t>＝</w:t>
      </w:r>
      <w:r>
        <w:rPr>
          <w:rFonts w:ascii="Arial" w:hAnsi="Arial" w:eastAsia="仿宋" w:cs="Arial"/>
          <w:color w:val="auto"/>
          <w:sz w:val="28"/>
        </w:rPr>
        <w:t>不动产总价</w:t>
      </w:r>
      <w:r>
        <w:rPr>
          <w:rFonts w:hint="eastAsia" w:ascii="Arial" w:hAnsi="Arial" w:eastAsia="仿宋" w:cs="Arial"/>
          <w:color w:val="auto"/>
          <w:sz w:val="28"/>
        </w:rPr>
        <w:t>－</w:t>
      </w:r>
      <w:r>
        <w:rPr>
          <w:rFonts w:ascii="Arial" w:hAnsi="Arial" w:eastAsia="仿宋" w:cs="Arial"/>
          <w:color w:val="auto"/>
          <w:sz w:val="28"/>
        </w:rPr>
        <w:t>开发项目整体的开发成本</w:t>
      </w:r>
      <w:r>
        <w:rPr>
          <w:rFonts w:hint="eastAsia" w:ascii="Arial" w:hAnsi="Arial" w:eastAsia="仿宋" w:cs="Arial"/>
          <w:color w:val="auto"/>
          <w:sz w:val="28"/>
        </w:rPr>
        <w:t>－</w:t>
      </w:r>
      <w:r>
        <w:rPr>
          <w:rFonts w:ascii="Arial" w:hAnsi="Arial" w:eastAsia="仿宋" w:cs="Arial"/>
          <w:color w:val="auto"/>
          <w:sz w:val="28"/>
        </w:rPr>
        <w:t>客观开发利润</w:t>
      </w:r>
    </w:p>
    <w:p w14:paraId="1CA29644">
      <w:pPr>
        <w:spacing w:after="26"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B.开发完成后商业用途房地产价值的确定</w:t>
      </w:r>
    </w:p>
    <w:p w14:paraId="1B9B4C6A">
      <w:pPr>
        <w:spacing w:after="26" w:line="300" w:lineRule="auto"/>
        <w:ind w:firstLine="560" w:firstLineChars="200"/>
        <w:jc w:val="both"/>
        <w:rPr>
          <w:rFonts w:ascii="Arial" w:hAnsi="Arial" w:eastAsia="仿宋" w:cs="Arial"/>
          <w:snapToGrid w:val="0"/>
          <w:color w:val="auto"/>
          <w:sz w:val="28"/>
        </w:rPr>
      </w:pPr>
      <w:r>
        <w:rPr>
          <w:rFonts w:ascii="Arial" w:hAnsi="Arial" w:eastAsia="仿宋" w:cs="Arial"/>
          <w:snapToGrid w:val="0"/>
          <w:color w:val="auto"/>
          <w:sz w:val="28"/>
        </w:rPr>
        <w:t>假设建造商业用房，预计施工进度、施工计划及预计装修标准、设备设施情况等事项以周边类似房地产项目为参考。</w:t>
      </w:r>
    </w:p>
    <w:p w14:paraId="626BE244">
      <w:pPr>
        <w:spacing w:after="26"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综合分析估价对象的规划利用和管理限制条件，结合估价对象周边的业态、基础设施及公共配套设施状况，确定商业为最佳利用方式。</w:t>
      </w:r>
    </w:p>
    <w:p w14:paraId="5970F85E">
      <w:pPr>
        <w:spacing w:after="26"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根据项目的整体建筑规模和预期设备、装修标准，预计本项目建筑物建设周期为</w:t>
      </w:r>
      <w:r>
        <w:rPr>
          <w:rFonts w:hint="eastAsia" w:ascii="Arial" w:hAnsi="Arial" w:eastAsia="仿宋" w:cs="Arial"/>
          <w:snapToGrid w:val="0"/>
          <w:color w:val="auto"/>
          <w:sz w:val="28"/>
        </w:rPr>
        <w:t>3</w:t>
      </w:r>
      <w:r>
        <w:rPr>
          <w:rFonts w:ascii="Arial" w:hAnsi="Arial" w:eastAsia="仿宋" w:cs="Arial"/>
          <w:snapToGrid w:val="0"/>
          <w:color w:val="auto"/>
          <w:sz w:val="28"/>
        </w:rPr>
        <w:t>年。</w:t>
      </w:r>
    </w:p>
    <w:p w14:paraId="72A01FF0">
      <w:pPr>
        <w:spacing w:after="26" w:line="300" w:lineRule="auto"/>
        <w:ind w:firstLine="560" w:firstLineChars="200"/>
        <w:jc w:val="both"/>
        <w:rPr>
          <w:rFonts w:ascii="Arial" w:hAnsi="Arial" w:eastAsia="仿宋" w:cs="Arial"/>
          <w:snapToGrid w:val="0"/>
          <w:color w:val="auto"/>
          <w:sz w:val="28"/>
        </w:rPr>
      </w:pPr>
      <w:r>
        <w:rPr>
          <w:rFonts w:ascii="Arial" w:hAnsi="Arial" w:eastAsia="仿宋" w:cs="Arial"/>
          <w:snapToGrid w:val="0"/>
          <w:color w:val="auto"/>
          <w:sz w:val="28"/>
        </w:rPr>
        <w:t>由于项目未来可能涉及</w:t>
      </w:r>
      <w:r>
        <w:rPr>
          <w:rFonts w:hint="eastAsia" w:ascii="Arial" w:hAnsi="Arial" w:eastAsia="仿宋" w:cs="Arial"/>
          <w:snapToGrid w:val="0"/>
          <w:color w:val="auto"/>
          <w:sz w:val="28"/>
        </w:rPr>
        <w:t>其他商业服务业用地</w:t>
      </w:r>
      <w:r>
        <w:rPr>
          <w:rFonts w:ascii="Arial" w:hAnsi="Arial" w:eastAsia="仿宋" w:cs="Arial"/>
          <w:snapToGrid w:val="0"/>
          <w:color w:val="auto"/>
          <w:sz w:val="28"/>
        </w:rPr>
        <w:t>、公共服务用途，</w:t>
      </w:r>
      <w:r>
        <w:rPr>
          <w:rFonts w:hint="eastAsia" w:ascii="Arial" w:hAnsi="Arial" w:eastAsia="仿宋" w:cs="Arial"/>
          <w:snapToGrid w:val="0"/>
          <w:color w:val="auto"/>
          <w:sz w:val="28"/>
        </w:rPr>
        <w:t>根据北京市人民政府《关于印发〈北京市居住公共服务设施配置指标〉和〈北京市居住公共服务设施配置指标实施意见〉的通知》（京政发〔2025〕25号），按照户均人口2.31人/户、人均建筑面积35平方米/人计算，配套商业建筑面积约为176平方米，即其他商业服务业用途按照地上建筑面积176平方米计算。</w:t>
      </w:r>
    </w:p>
    <w:p w14:paraId="5750A193">
      <w:pPr>
        <w:spacing w:after="26" w:line="300" w:lineRule="auto"/>
        <w:ind w:firstLine="560" w:firstLineChars="200"/>
        <w:jc w:val="both"/>
        <w:rPr>
          <w:rFonts w:ascii="Arial" w:hAnsi="Arial" w:eastAsia="仿宋" w:cs="Arial"/>
          <w:color w:val="auto"/>
          <w:sz w:val="28"/>
        </w:rPr>
      </w:pPr>
      <w:r>
        <w:rPr>
          <w:rFonts w:ascii="Arial" w:hAnsi="Arial" w:eastAsia="仿宋" w:cs="Arial"/>
          <w:snapToGrid w:val="0"/>
          <w:color w:val="auto"/>
          <w:sz w:val="28"/>
        </w:rPr>
        <w:t>开发完成后的房地产价值的确定根据评估专业人员的市场调查及</w:t>
      </w:r>
      <w:r>
        <w:rPr>
          <w:rFonts w:ascii="Arial" w:hAnsi="Arial" w:eastAsia="仿宋" w:cs="Arial"/>
          <w:color w:val="auto"/>
          <w:sz w:val="28"/>
          <w:szCs w:val="28"/>
        </w:rPr>
        <w:t>查询中指数据、建委网站等网上发布信息，</w:t>
      </w:r>
      <w:r>
        <w:rPr>
          <w:rFonts w:ascii="Arial" w:hAnsi="Arial" w:eastAsia="仿宋" w:cs="Arial"/>
          <w:color w:val="auto"/>
          <w:sz w:val="28"/>
        </w:rPr>
        <w:t>采用房地产交易中的替代原则，选取与估价对象类似用途的案例，并分别进行交易情况、交易时间、用途、土地使用年限、区域因素、个别因素的修正。详见下表</w:t>
      </w:r>
      <w:r>
        <w:rPr>
          <w:rFonts w:hint="eastAsia" w:ascii="Arial" w:hAnsi="Arial" w:eastAsia="仿宋" w:cs="Arial"/>
          <w:color w:val="auto"/>
          <w:sz w:val="28"/>
        </w:rPr>
        <w:t>：</w:t>
      </w:r>
    </w:p>
    <w:tbl>
      <w:tblPr>
        <w:tblStyle w:val="34"/>
        <w:tblW w:w="92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2325"/>
        <w:gridCol w:w="2324"/>
        <w:gridCol w:w="2325"/>
        <w:gridCol w:w="2325"/>
      </w:tblGrid>
      <w:tr w14:paraId="2EF6E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90" w:hRule="atLeast"/>
        </w:trPr>
        <w:tc>
          <w:tcPr>
            <w:tcW w:w="2325" w:type="dxa"/>
            <w:shd w:val="clear" w:color="auto" w:fill="auto"/>
          </w:tcPr>
          <w:p w14:paraId="4547A0E8">
            <w:pPr>
              <w:widowControl/>
              <w:adjustRightInd/>
              <w:spacing w:line="240" w:lineRule="auto"/>
              <w:jc w:val="center"/>
              <w:textAlignment w:val="auto"/>
              <w:rPr>
                <w:rFonts w:ascii="Arial" w:hAnsi="Arial" w:eastAsia="仿宋_GB2312" w:cs="Arial"/>
                <w:color w:val="auto"/>
                <w:sz w:val="18"/>
                <w:szCs w:val="18"/>
              </w:rPr>
            </w:pPr>
          </w:p>
        </w:tc>
        <w:tc>
          <w:tcPr>
            <w:tcW w:w="2324" w:type="dxa"/>
            <w:shd w:val="clear" w:color="auto" w:fill="auto"/>
          </w:tcPr>
          <w:p w14:paraId="7D77C85E">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案例D</w:t>
            </w:r>
          </w:p>
        </w:tc>
        <w:tc>
          <w:tcPr>
            <w:tcW w:w="2325" w:type="dxa"/>
            <w:shd w:val="clear" w:color="auto" w:fill="auto"/>
          </w:tcPr>
          <w:p w14:paraId="0AE26C7A">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案例E</w:t>
            </w:r>
          </w:p>
        </w:tc>
        <w:tc>
          <w:tcPr>
            <w:tcW w:w="2325" w:type="dxa"/>
            <w:shd w:val="clear" w:color="auto" w:fill="auto"/>
          </w:tcPr>
          <w:p w14:paraId="3B5445CB">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案例F</w:t>
            </w:r>
          </w:p>
        </w:tc>
      </w:tr>
      <w:tr w14:paraId="2CAC4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90" w:hRule="atLeast"/>
        </w:trPr>
        <w:tc>
          <w:tcPr>
            <w:tcW w:w="2325" w:type="dxa"/>
            <w:shd w:val="clear" w:color="auto" w:fill="auto"/>
          </w:tcPr>
          <w:p w14:paraId="0DEA592E">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项目名称</w:t>
            </w:r>
          </w:p>
        </w:tc>
        <w:tc>
          <w:tcPr>
            <w:tcW w:w="2324" w:type="dxa"/>
            <w:shd w:val="clear" w:color="auto" w:fill="auto"/>
          </w:tcPr>
          <w:p w14:paraId="62AB9D0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 w:cs="Arial"/>
                <w:snapToGrid w:val="0"/>
                <w:color w:val="auto"/>
                <w:sz w:val="18"/>
                <w:szCs w:val="21"/>
              </w:rPr>
              <w:t>顺义绿地启航国际商铺</w:t>
            </w:r>
          </w:p>
        </w:tc>
        <w:tc>
          <w:tcPr>
            <w:tcW w:w="2325" w:type="dxa"/>
            <w:shd w:val="clear" w:color="auto" w:fill="auto"/>
          </w:tcPr>
          <w:p w14:paraId="58B4363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 w:cs="Arial"/>
                <w:snapToGrid w:val="0"/>
                <w:color w:val="auto"/>
                <w:sz w:val="18"/>
                <w:szCs w:val="21"/>
              </w:rPr>
              <w:t>中粮祥云小镇商铺</w:t>
            </w:r>
          </w:p>
        </w:tc>
        <w:tc>
          <w:tcPr>
            <w:tcW w:w="2325" w:type="dxa"/>
            <w:shd w:val="clear" w:color="auto" w:fill="auto"/>
          </w:tcPr>
          <w:p w14:paraId="48D24AC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 w:cs="Arial"/>
                <w:snapToGrid w:val="0"/>
                <w:color w:val="auto"/>
                <w:sz w:val="18"/>
                <w:szCs w:val="21"/>
              </w:rPr>
              <w:t>府前西街商铺</w:t>
            </w:r>
          </w:p>
        </w:tc>
      </w:tr>
      <w:tr w14:paraId="7FCE3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2A8631DA">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数据来源</w:t>
            </w:r>
          </w:p>
        </w:tc>
        <w:tc>
          <w:tcPr>
            <w:tcW w:w="2324" w:type="dxa"/>
            <w:shd w:val="clear" w:color="auto" w:fill="auto"/>
          </w:tcPr>
          <w:p w14:paraId="07CB78EC">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网络调查、电话及现场核实</w:t>
            </w:r>
          </w:p>
        </w:tc>
        <w:tc>
          <w:tcPr>
            <w:tcW w:w="2325" w:type="dxa"/>
            <w:shd w:val="clear" w:color="auto" w:fill="auto"/>
          </w:tcPr>
          <w:p w14:paraId="030D9F14">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网络调查、电话及现场核实</w:t>
            </w:r>
          </w:p>
        </w:tc>
        <w:tc>
          <w:tcPr>
            <w:tcW w:w="2325" w:type="dxa"/>
            <w:shd w:val="clear" w:color="auto" w:fill="auto"/>
          </w:tcPr>
          <w:p w14:paraId="5A34E7CB">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网络调查、电话及现场核实</w:t>
            </w:r>
          </w:p>
        </w:tc>
      </w:tr>
      <w:tr w14:paraId="71128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0D72835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交易价格（元/㎡）</w:t>
            </w:r>
          </w:p>
        </w:tc>
        <w:tc>
          <w:tcPr>
            <w:tcW w:w="2324" w:type="dxa"/>
            <w:shd w:val="clear" w:color="auto" w:fill="auto"/>
          </w:tcPr>
          <w:p w14:paraId="1616401C">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20000</w:t>
            </w:r>
          </w:p>
        </w:tc>
        <w:tc>
          <w:tcPr>
            <w:tcW w:w="2325" w:type="dxa"/>
            <w:shd w:val="clear" w:color="auto" w:fill="auto"/>
          </w:tcPr>
          <w:p w14:paraId="7F9491C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20000</w:t>
            </w:r>
          </w:p>
        </w:tc>
        <w:tc>
          <w:tcPr>
            <w:tcW w:w="2325" w:type="dxa"/>
            <w:shd w:val="clear" w:color="auto" w:fill="auto"/>
          </w:tcPr>
          <w:p w14:paraId="0F5BD61E">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21000</w:t>
            </w:r>
          </w:p>
        </w:tc>
      </w:tr>
      <w:tr w14:paraId="0A003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4940F92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成交日期</w:t>
            </w:r>
          </w:p>
        </w:tc>
        <w:tc>
          <w:tcPr>
            <w:tcW w:w="2324" w:type="dxa"/>
            <w:shd w:val="clear" w:color="auto" w:fill="auto"/>
          </w:tcPr>
          <w:p w14:paraId="5CCF9DCD">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2026年3月</w:t>
            </w:r>
          </w:p>
        </w:tc>
        <w:tc>
          <w:tcPr>
            <w:tcW w:w="2325" w:type="dxa"/>
            <w:shd w:val="clear" w:color="auto" w:fill="auto"/>
          </w:tcPr>
          <w:p w14:paraId="0DA5692B">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2026年3月</w:t>
            </w:r>
          </w:p>
        </w:tc>
        <w:tc>
          <w:tcPr>
            <w:tcW w:w="2325" w:type="dxa"/>
            <w:shd w:val="clear" w:color="auto" w:fill="auto"/>
          </w:tcPr>
          <w:p w14:paraId="2F22B4CD">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2026年3月</w:t>
            </w:r>
          </w:p>
        </w:tc>
      </w:tr>
      <w:tr w14:paraId="28E35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1AD45C3B">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用途</w:t>
            </w:r>
          </w:p>
        </w:tc>
        <w:tc>
          <w:tcPr>
            <w:tcW w:w="2324" w:type="dxa"/>
            <w:shd w:val="clear" w:color="auto" w:fill="auto"/>
          </w:tcPr>
          <w:p w14:paraId="1B921A67">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商业</w:t>
            </w:r>
          </w:p>
        </w:tc>
        <w:tc>
          <w:tcPr>
            <w:tcW w:w="2325" w:type="dxa"/>
            <w:shd w:val="clear" w:color="auto" w:fill="auto"/>
          </w:tcPr>
          <w:p w14:paraId="77C1F13A">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商业</w:t>
            </w:r>
          </w:p>
        </w:tc>
        <w:tc>
          <w:tcPr>
            <w:tcW w:w="2325" w:type="dxa"/>
            <w:shd w:val="clear" w:color="auto" w:fill="auto"/>
          </w:tcPr>
          <w:p w14:paraId="436C72E6">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商业</w:t>
            </w:r>
          </w:p>
        </w:tc>
      </w:tr>
      <w:tr w14:paraId="0838A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7D2E914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交易情况</w:t>
            </w:r>
          </w:p>
        </w:tc>
        <w:tc>
          <w:tcPr>
            <w:tcW w:w="2324" w:type="dxa"/>
            <w:shd w:val="clear" w:color="auto" w:fill="auto"/>
          </w:tcPr>
          <w:p w14:paraId="17310785">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正常</w:t>
            </w:r>
          </w:p>
        </w:tc>
        <w:tc>
          <w:tcPr>
            <w:tcW w:w="2325" w:type="dxa"/>
            <w:shd w:val="clear" w:color="auto" w:fill="auto"/>
          </w:tcPr>
          <w:p w14:paraId="02D93B3E">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正常</w:t>
            </w:r>
          </w:p>
        </w:tc>
        <w:tc>
          <w:tcPr>
            <w:tcW w:w="2325" w:type="dxa"/>
            <w:shd w:val="clear" w:color="auto" w:fill="auto"/>
          </w:tcPr>
          <w:p w14:paraId="661ABC2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正常</w:t>
            </w:r>
          </w:p>
        </w:tc>
      </w:tr>
      <w:tr w14:paraId="4C4DF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538B431D">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建筑结构</w:t>
            </w:r>
          </w:p>
        </w:tc>
        <w:tc>
          <w:tcPr>
            <w:tcW w:w="2324" w:type="dxa"/>
            <w:shd w:val="clear" w:color="auto" w:fill="auto"/>
          </w:tcPr>
          <w:p w14:paraId="1D65DD4B">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钢混</w:t>
            </w:r>
          </w:p>
        </w:tc>
        <w:tc>
          <w:tcPr>
            <w:tcW w:w="2325" w:type="dxa"/>
            <w:shd w:val="clear" w:color="auto" w:fill="auto"/>
          </w:tcPr>
          <w:p w14:paraId="30B5261F">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钢混</w:t>
            </w:r>
          </w:p>
        </w:tc>
        <w:tc>
          <w:tcPr>
            <w:tcW w:w="2325" w:type="dxa"/>
            <w:shd w:val="clear" w:color="auto" w:fill="auto"/>
          </w:tcPr>
          <w:p w14:paraId="15842AE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钢混</w:t>
            </w:r>
          </w:p>
        </w:tc>
      </w:tr>
      <w:tr w14:paraId="57847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1057C5F3">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商业类型</w:t>
            </w:r>
          </w:p>
        </w:tc>
        <w:tc>
          <w:tcPr>
            <w:tcW w:w="2324" w:type="dxa"/>
            <w:shd w:val="clear" w:color="auto" w:fill="auto"/>
          </w:tcPr>
          <w:p w14:paraId="1D20BAA9">
            <w:pPr>
              <w:widowControl/>
              <w:adjustRightInd/>
              <w:spacing w:line="240" w:lineRule="auto"/>
              <w:jc w:val="both"/>
              <w:textAlignment w:val="auto"/>
              <w:rPr>
                <w:rFonts w:ascii="Arial" w:hAnsi="Arial" w:eastAsia="仿宋_GB2312" w:cs="Arial"/>
                <w:color w:val="auto"/>
                <w:sz w:val="18"/>
                <w:szCs w:val="18"/>
              </w:rPr>
            </w:pPr>
            <w:r>
              <w:rPr>
                <w:rFonts w:hint="eastAsia" w:ascii="Arial" w:hAnsi="Arial" w:eastAsia="仿宋_GB2312" w:cs="Arial"/>
                <w:color w:val="auto"/>
                <w:sz w:val="18"/>
                <w:szCs w:val="18"/>
              </w:rPr>
              <w:t xml:space="preserve">        临街商铺</w:t>
            </w:r>
          </w:p>
        </w:tc>
        <w:tc>
          <w:tcPr>
            <w:tcW w:w="2325" w:type="dxa"/>
            <w:shd w:val="clear" w:color="auto" w:fill="auto"/>
          </w:tcPr>
          <w:p w14:paraId="17A9C8BC">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临街商铺</w:t>
            </w:r>
          </w:p>
        </w:tc>
        <w:tc>
          <w:tcPr>
            <w:tcW w:w="2325" w:type="dxa"/>
            <w:shd w:val="clear" w:color="auto" w:fill="auto"/>
          </w:tcPr>
          <w:p w14:paraId="7C5FC3A7">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临街商铺</w:t>
            </w:r>
          </w:p>
        </w:tc>
      </w:tr>
    </w:tbl>
    <w:p w14:paraId="1D75C376">
      <w:pPr>
        <w:rPr>
          <w:rFonts w:ascii="Arial" w:hAnsi="Arial" w:eastAsia="仿宋" w:cs="Arial"/>
          <w:color w:val="auto"/>
          <w:sz w:val="28"/>
        </w:rPr>
      </w:pPr>
      <w:r>
        <w:rPr>
          <w:rFonts w:hint="eastAsia" w:ascii="Arial" w:hAnsi="Arial" w:eastAsia="仿宋" w:cs="Arial"/>
          <w:color w:val="auto"/>
          <w:sz w:val="28"/>
        </w:rPr>
        <w:br w:type="page"/>
      </w:r>
    </w:p>
    <w:p w14:paraId="1AC6478E">
      <w:pPr>
        <w:spacing w:after="26" w:line="300" w:lineRule="auto"/>
        <w:ind w:firstLine="560" w:firstLineChars="200"/>
        <w:jc w:val="both"/>
        <w:rPr>
          <w:rFonts w:ascii="Arial" w:hAnsi="Arial" w:eastAsia="仿宋" w:cs="Arial"/>
          <w:color w:val="auto"/>
          <w:sz w:val="28"/>
        </w:rPr>
      </w:pPr>
    </w:p>
    <w:tbl>
      <w:tblPr>
        <w:tblStyle w:val="34"/>
        <w:tblW w:w="9299" w:type="dxa"/>
        <w:jc w:val="center"/>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Layout w:type="fixed"/>
        <w:tblCellMar>
          <w:top w:w="28" w:type="dxa"/>
          <w:left w:w="28" w:type="dxa"/>
          <w:bottom w:w="28" w:type="dxa"/>
          <w:right w:w="28" w:type="dxa"/>
        </w:tblCellMar>
      </w:tblPr>
      <w:tblGrid>
        <w:gridCol w:w="3099"/>
        <w:gridCol w:w="3100"/>
        <w:gridCol w:w="3100"/>
      </w:tblGrid>
      <w:tr w14:paraId="695C924A">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9299" w:type="dxa"/>
            <w:gridSpan w:val="3"/>
          </w:tcPr>
          <w:p w14:paraId="551438AE">
            <w:pPr>
              <w:widowControl/>
              <w:adjustRightInd/>
              <w:spacing w:line="240" w:lineRule="auto"/>
              <w:jc w:val="center"/>
              <w:textAlignment w:val="auto"/>
              <w:rPr>
                <w:rFonts w:ascii="华文细黑" w:hAnsi="华文细黑" w:eastAsia="华文细黑"/>
                <w:color w:val="auto"/>
              </w:rPr>
            </w:pPr>
            <w:r>
              <w:rPr>
                <w:rFonts w:hint="eastAsia" w:ascii="Arial" w:hAnsi="Arial" w:eastAsia="仿宋_GB2312" w:cs="Arial"/>
                <w:color w:val="auto"/>
                <w:szCs w:val="24"/>
              </w:rPr>
              <w:t>案例位置示意图及照片</w:t>
            </w:r>
          </w:p>
        </w:tc>
      </w:tr>
      <w:tr w14:paraId="5C4D1F23">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trHeight w:val="7655" w:hRule="exact"/>
          <w:jc w:val="center"/>
        </w:trPr>
        <w:tc>
          <w:tcPr>
            <w:tcW w:w="9299" w:type="dxa"/>
            <w:gridSpan w:val="3"/>
          </w:tcPr>
          <w:p w14:paraId="6462AFAA">
            <w:pPr>
              <w:jc w:val="center"/>
              <w:rPr>
                <w:color w:val="auto"/>
              </w:rPr>
            </w:pPr>
            <w:r>
              <w:rPr>
                <w:color w:val="auto"/>
              </w:rPr>
              <mc:AlternateContent>
                <mc:Choice Requires="wps">
                  <w:drawing>
                    <wp:anchor distT="0" distB="0" distL="114300" distR="114300" simplePos="0" relativeHeight="251678720" behindDoc="0" locked="0" layoutInCell="1" allowOverlap="1">
                      <wp:simplePos x="0" y="0"/>
                      <wp:positionH relativeFrom="column">
                        <wp:posOffset>596900</wp:posOffset>
                      </wp:positionH>
                      <wp:positionV relativeFrom="paragraph">
                        <wp:posOffset>2994660</wp:posOffset>
                      </wp:positionV>
                      <wp:extent cx="758825" cy="407670"/>
                      <wp:effectExtent l="12700" t="12700" r="386715" b="158750"/>
                      <wp:wrapNone/>
                      <wp:docPr id="42" name="线形标注 1 42"/>
                      <wp:cNvGraphicFramePr/>
                      <a:graphic xmlns:a="http://schemas.openxmlformats.org/drawingml/2006/main">
                        <a:graphicData uri="http://schemas.microsoft.com/office/word/2010/wordprocessingShape">
                          <wps:wsp>
                            <wps:cNvSpPr/>
                            <wps:spPr>
                              <a:xfrm>
                                <a:off x="0" y="0"/>
                                <a:ext cx="758825" cy="407670"/>
                              </a:xfrm>
                              <a:prstGeom prst="borderCallout1">
                                <a:avLst>
                                  <a:gd name="adj1" fmla="val 135358"/>
                                  <a:gd name="adj2" fmla="val 149623"/>
                                  <a:gd name="adj3" fmla="val 107009"/>
                                  <a:gd name="adj4" fmla="val 45857"/>
                                </a:avLst>
                              </a:prstGeom>
                              <a:solidFill>
                                <a:srgbClr val="558ED5"/>
                              </a:solidFill>
                              <a:ln w="25400" cap="flat" cmpd="sng">
                                <a:solidFill>
                                  <a:srgbClr val="385D8A"/>
                                </a:solidFill>
                                <a:prstDash val="solid"/>
                                <a:miter/>
                                <a:headEnd type="none" w="med" len="med"/>
                                <a:tailEnd type="none" w="med" len="med"/>
                              </a:ln>
                            </wps:spPr>
                            <wps:txbx>
                              <w:txbxContent>
                                <w:p w14:paraId="6D9A2ED2">
                                  <w:pPr>
                                    <w:jc w:val="center"/>
                                    <w:rPr>
                                      <w:b/>
                                      <w:color w:val="FFFFFF"/>
                                    </w:rPr>
                                  </w:pPr>
                                  <w:r>
                                    <w:rPr>
                                      <w:rFonts w:hint="eastAsia"/>
                                      <w:b/>
                                      <w:color w:val="FFFFFF"/>
                                    </w:rPr>
                                    <w:t>案例E</w:t>
                                  </w:r>
                                </w:p>
                              </w:txbxContent>
                            </wps:txbx>
                            <wps:bodyPr anchor="ctr" anchorCtr="0" upright="1"/>
                          </wps:wsp>
                        </a:graphicData>
                      </a:graphic>
                    </wp:anchor>
                  </w:drawing>
                </mc:Choice>
                <mc:Fallback>
                  <w:pict>
                    <v:shape id="_x0000_s1026" o:spid="_x0000_s1026" o:spt="47" type="#_x0000_t47" style="position:absolute;left:0pt;margin-left:47pt;margin-top:235.8pt;height:32.1pt;width:59.75pt;z-index:251678720;v-text-anchor:middle;mso-width-relative:page;mso-height-relative:page;" fillcolor="#558ED5" filled="t" stroked="t" coordsize="21600,21600" o:gfxdata="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h4Cfh2gAAAAoBAAAPAAAAAAAAAAEAIAAAACIAAABkcnMvZG93bnJldi54bWxQSwEC&#10;FAAUAAAACACHTuJAMeSybGQCAAD0BAAADgAAAAAAAAABACAAAAApAQAAZHJzL2Uyb0RvYy54bWxQ&#10;SwUGAAAAAAYABgBZAQAA/wUAAAAA&#10;" adj="9905,23114,32319,29237">
                      <v:fill on="t" focussize="0,0"/>
                      <v:stroke weight="2pt" color="#385D8A" joinstyle="miter"/>
                      <v:imagedata o:title=""/>
                      <o:lock v:ext="edit" aspectratio="f"/>
                      <v:textbox>
                        <w:txbxContent>
                          <w:p w14:paraId="6D9A2ED2">
                            <w:pPr>
                              <w:jc w:val="center"/>
                              <w:rPr>
                                <w:b/>
                                <w:color w:val="FFFFFF"/>
                              </w:rPr>
                            </w:pPr>
                            <w:r>
                              <w:rPr>
                                <w:rFonts w:hint="eastAsia"/>
                                <w:b/>
                                <w:color w:val="FFFFFF"/>
                              </w:rPr>
                              <w:t>案例E</w:t>
                            </w:r>
                          </w:p>
                        </w:txbxContent>
                      </v:textbox>
                    </v:shape>
                  </w:pict>
                </mc:Fallback>
              </mc:AlternateContent>
            </w:r>
            <w:r>
              <w:rPr>
                <w:color w:val="auto"/>
              </w:rPr>
              <mc:AlternateContent>
                <mc:Choice Requires="wps">
                  <w:drawing>
                    <wp:anchor distT="0" distB="0" distL="114300" distR="114300" simplePos="0" relativeHeight="251673600" behindDoc="0" locked="0" layoutInCell="1" allowOverlap="1">
                      <wp:simplePos x="0" y="0"/>
                      <wp:positionH relativeFrom="column">
                        <wp:posOffset>1610360</wp:posOffset>
                      </wp:positionH>
                      <wp:positionV relativeFrom="paragraph">
                        <wp:posOffset>1706880</wp:posOffset>
                      </wp:positionV>
                      <wp:extent cx="758825" cy="407670"/>
                      <wp:effectExtent l="12700" t="12700" r="20955" b="631190"/>
                      <wp:wrapNone/>
                      <wp:docPr id="89" name="线形标注 1 89"/>
                      <wp:cNvGraphicFramePr/>
                      <a:graphic xmlns:a="http://schemas.openxmlformats.org/drawingml/2006/main">
                        <a:graphicData uri="http://schemas.microsoft.com/office/word/2010/wordprocessingShape">
                          <wps:wsp>
                            <wps:cNvSpPr/>
                            <wps:spPr>
                              <a:xfrm>
                                <a:off x="0" y="0"/>
                                <a:ext cx="758825" cy="407670"/>
                              </a:xfrm>
                              <a:prstGeom prst="borderCallout1">
                                <a:avLst>
                                  <a:gd name="adj1" fmla="val 251246"/>
                                  <a:gd name="adj2" fmla="val 74309"/>
                                  <a:gd name="adj3" fmla="val 107009"/>
                                  <a:gd name="adj4" fmla="val 45857"/>
                                </a:avLst>
                              </a:prstGeom>
                              <a:solidFill>
                                <a:srgbClr val="558ED5"/>
                              </a:solidFill>
                              <a:ln w="25400" cap="flat" cmpd="sng">
                                <a:solidFill>
                                  <a:srgbClr val="385D8A"/>
                                </a:solidFill>
                                <a:prstDash val="solid"/>
                                <a:miter/>
                                <a:headEnd type="none" w="med" len="med"/>
                                <a:tailEnd type="none" w="med" len="med"/>
                              </a:ln>
                            </wps:spPr>
                            <wps:txbx>
                              <w:txbxContent>
                                <w:p w14:paraId="540223D2">
                                  <w:pPr>
                                    <w:jc w:val="center"/>
                                    <w:rPr>
                                      <w:b/>
                                      <w:color w:val="FFFFFF"/>
                                    </w:rPr>
                                  </w:pPr>
                                  <w:r>
                                    <w:rPr>
                                      <w:rFonts w:hint="eastAsia"/>
                                      <w:b/>
                                      <w:color w:val="FFFFFF"/>
                                    </w:rPr>
                                    <w:t>案例</w:t>
                                  </w:r>
                                  <w:r>
                                    <w:rPr>
                                      <w:rFonts w:hint="eastAsia" w:ascii="Arial" w:hAnsi="Arial" w:cs="Arial"/>
                                      <w:b/>
                                      <w:color w:val="FFFFFF"/>
                                    </w:rPr>
                                    <w:t>D</w:t>
                                  </w:r>
                                </w:p>
                              </w:txbxContent>
                            </wps:txbx>
                            <wps:bodyPr anchor="ctr" anchorCtr="0" upright="1"/>
                          </wps:wsp>
                        </a:graphicData>
                      </a:graphic>
                    </wp:anchor>
                  </w:drawing>
                </mc:Choice>
                <mc:Fallback>
                  <w:pict>
                    <v:shape id="_x0000_s1026" o:spid="_x0000_s1026" o:spt="47" type="#_x0000_t47" style="position:absolute;left:0pt;margin-left:126.8pt;margin-top:134.4pt;height:32.1pt;width:59.75pt;z-index:251673600;v-text-anchor:middle;mso-width-relative:page;mso-height-relative:page;" fillcolor="#558ED5" filled="t" stroked="t" coordsize="21600,21600" o:gfxdata="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KzZUOLWAAAACwEAAA8AAAAAAAAAAQAgAAAAIgAAAGRycy9kb3ducmV2LnhtbFBLAQIUABQA&#10;AAAIAIdO4kCKnloZZAIAAPMEAAAOAAAAAAAAAAEAIAAAACUBAABkcnMvZTJvRG9jLnhtbFBLBQYA&#10;AAAABgAGAFkBAAD7BQAAAAA=&#10;" adj="9905,23114,16051,54269">
                      <v:fill on="t" focussize="0,0"/>
                      <v:stroke weight="2pt" color="#385D8A" joinstyle="miter"/>
                      <v:imagedata o:title=""/>
                      <o:lock v:ext="edit" aspectratio="f"/>
                      <v:textbox>
                        <w:txbxContent>
                          <w:p w14:paraId="540223D2">
                            <w:pPr>
                              <w:jc w:val="center"/>
                              <w:rPr>
                                <w:b/>
                                <w:color w:val="FFFFFF"/>
                              </w:rPr>
                            </w:pPr>
                            <w:r>
                              <w:rPr>
                                <w:rFonts w:hint="eastAsia"/>
                                <w:b/>
                                <w:color w:val="FFFFFF"/>
                              </w:rPr>
                              <w:t>案例</w:t>
                            </w:r>
                            <w:r>
                              <w:rPr>
                                <w:rFonts w:hint="eastAsia" w:ascii="Arial" w:hAnsi="Arial" w:cs="Arial"/>
                                <w:b/>
                                <w:color w:val="FFFFFF"/>
                              </w:rPr>
                              <w:t>D</w:t>
                            </w:r>
                          </w:p>
                        </w:txbxContent>
                      </v:textbox>
                    </v:shape>
                  </w:pict>
                </mc:Fallback>
              </mc:AlternateContent>
            </w:r>
            <w:r>
              <w:rPr>
                <w:color w:val="auto"/>
              </w:rPr>
              <mc:AlternateContent>
                <mc:Choice Requires="wps">
                  <w:drawing>
                    <wp:anchor distT="0" distB="0" distL="114300" distR="114300" simplePos="0" relativeHeight="251672576" behindDoc="0" locked="0" layoutInCell="1" allowOverlap="1">
                      <wp:simplePos x="0" y="0"/>
                      <wp:positionH relativeFrom="column">
                        <wp:posOffset>4773295</wp:posOffset>
                      </wp:positionH>
                      <wp:positionV relativeFrom="paragraph">
                        <wp:posOffset>2679700</wp:posOffset>
                      </wp:positionV>
                      <wp:extent cx="739140" cy="414020"/>
                      <wp:effectExtent l="353695" t="492125" r="19685" b="23495"/>
                      <wp:wrapNone/>
                      <wp:docPr id="91" name="线形标注 1 91"/>
                      <wp:cNvGraphicFramePr/>
                      <a:graphic xmlns:a="http://schemas.openxmlformats.org/drawingml/2006/main">
                        <a:graphicData uri="http://schemas.microsoft.com/office/word/2010/wordprocessingShape">
                          <wps:wsp>
                            <wps:cNvSpPr/>
                            <wps:spPr>
                              <a:xfrm>
                                <a:off x="0" y="0"/>
                                <a:ext cx="739140" cy="414020"/>
                              </a:xfrm>
                              <a:prstGeom prst="borderCallout1">
                                <a:avLst>
                                  <a:gd name="adj1" fmla="val 1840"/>
                                  <a:gd name="adj2" fmla="val 33848"/>
                                  <a:gd name="adj3" fmla="val -116564"/>
                                  <a:gd name="adj4" fmla="val -46735"/>
                                </a:avLst>
                              </a:prstGeom>
                              <a:solidFill>
                                <a:srgbClr val="1F497D">
                                  <a:lumMod val="60000"/>
                                  <a:lumOff val="40000"/>
                                </a:srgbClr>
                              </a:solidFill>
                              <a:ln w="25400" cap="flat" cmpd="sng" algn="ctr">
                                <a:solidFill>
                                  <a:srgbClr val="4F81BD">
                                    <a:shade val="50000"/>
                                  </a:srgbClr>
                                </a:solidFill>
                                <a:prstDash val="solid"/>
                              </a:ln>
                              <a:effectLst/>
                            </wps:spPr>
                            <wps:txbx>
                              <w:txbxContent>
                                <w:p w14:paraId="1057933A">
                                  <w:pPr>
                                    <w:jc w:val="center"/>
                                    <w:rPr>
                                      <w:b/>
                                      <w:color w:val="FFFFFF"/>
                                    </w:rPr>
                                  </w:pPr>
                                  <w:r>
                                    <w:rPr>
                                      <w:rFonts w:hint="eastAsia"/>
                                      <w:b/>
                                      <w:color w:val="FFFFFF"/>
                                    </w:rPr>
                                    <w:t>案例</w:t>
                                  </w:r>
                                  <w:r>
                                    <w:rPr>
                                      <w:rFonts w:hint="eastAsia" w:ascii="Arial" w:hAnsi="Arial" w:cs="Arial"/>
                                      <w:b/>
                                      <w:color w:val="FFFFFF"/>
                                    </w:rPr>
                                    <w:t>F</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375.85pt;margin-top:211pt;height:32.6pt;width:58.2pt;z-index:251672576;v-text-anchor:middle;mso-width-relative:page;mso-height-relative:page;" fillcolor="#558ED5" filled="t" stroked="t" coordsize="21600,21600" o:gfxdata="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" adj="-10095,-25178,7311,397">
                      <v:fill on="t" focussize="0,0"/>
                      <v:stroke weight="2pt" color="#385D8A" joinstyle="round"/>
                      <v:imagedata o:title=""/>
                      <o:lock v:ext="edit" aspectratio="f"/>
                      <v:textbox>
                        <w:txbxContent>
                          <w:p w14:paraId="1057933A">
                            <w:pPr>
                              <w:jc w:val="center"/>
                              <w:rPr>
                                <w:b/>
                                <w:color w:val="FFFFFF"/>
                              </w:rPr>
                            </w:pPr>
                            <w:r>
                              <w:rPr>
                                <w:rFonts w:hint="eastAsia"/>
                                <w:b/>
                                <w:color w:val="FFFFFF"/>
                              </w:rPr>
                              <w:t>案例</w:t>
                            </w:r>
                            <w:r>
                              <w:rPr>
                                <w:rFonts w:hint="eastAsia" w:ascii="Arial" w:hAnsi="Arial" w:cs="Arial"/>
                                <w:b/>
                                <w:color w:val="FFFFFF"/>
                              </w:rPr>
                              <w:t>F</w:t>
                            </w:r>
                          </w:p>
                        </w:txbxContent>
                      </v:textbox>
                    </v:shape>
                  </w:pict>
                </mc:Fallback>
              </mc:AlternateContent>
            </w:r>
            <w:r>
              <w:rPr>
                <w:color w:val="auto"/>
              </w:rPr>
              <w:drawing>
                <wp:anchor distT="0" distB="0" distL="114300" distR="114300" simplePos="0" relativeHeight="251671552" behindDoc="0" locked="0" layoutInCell="1" allowOverlap="1">
                  <wp:simplePos x="0" y="0"/>
                  <wp:positionH relativeFrom="column">
                    <wp:posOffset>2032635</wp:posOffset>
                  </wp:positionH>
                  <wp:positionV relativeFrom="paragraph">
                    <wp:posOffset>729615</wp:posOffset>
                  </wp:positionV>
                  <wp:extent cx="996315" cy="556895"/>
                  <wp:effectExtent l="0" t="0" r="0" b="0"/>
                  <wp:wrapNone/>
                  <wp:docPr id="92" name="图片 4" descr="说明: 估价对象ta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 descr="说明: 估价对象tag-L"/>
                          <pic:cNvPicPr>
                            <a:picLocks noChangeAspect="1"/>
                          </pic:cNvPicPr>
                        </pic:nvPicPr>
                        <pic:blipFill>
                          <a:blip r:embed="rId66"/>
                          <a:stretch>
                            <a:fillRect/>
                          </a:stretch>
                        </pic:blipFill>
                        <pic:spPr>
                          <a:xfrm>
                            <a:off x="0" y="0"/>
                            <a:ext cx="996315" cy="556895"/>
                          </a:xfrm>
                          <a:prstGeom prst="rect">
                            <a:avLst/>
                          </a:prstGeom>
                          <a:noFill/>
                          <a:ln>
                            <a:noFill/>
                          </a:ln>
                        </pic:spPr>
                      </pic:pic>
                    </a:graphicData>
                  </a:graphic>
                </wp:anchor>
              </w:drawing>
            </w:r>
            <w:r>
              <w:rPr>
                <w:color w:val="auto"/>
              </w:rPr>
              <w:drawing>
                <wp:inline distT="0" distB="0" distL="114300" distR="114300">
                  <wp:extent cx="5787390" cy="4692650"/>
                  <wp:effectExtent l="0" t="0" r="3810" b="1270"/>
                  <wp:docPr id="4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
                          <pic:cNvPicPr>
                            <a:picLocks noChangeAspect="1"/>
                          </pic:cNvPicPr>
                        </pic:nvPicPr>
                        <pic:blipFill>
                          <a:blip r:embed="rId71"/>
                          <a:stretch>
                            <a:fillRect/>
                          </a:stretch>
                        </pic:blipFill>
                        <pic:spPr>
                          <a:xfrm>
                            <a:off x="0" y="0"/>
                            <a:ext cx="5787390" cy="4692650"/>
                          </a:xfrm>
                          <a:prstGeom prst="rect">
                            <a:avLst/>
                          </a:prstGeom>
                          <a:noFill/>
                          <a:ln w="9525">
                            <a:noFill/>
                          </a:ln>
                        </pic:spPr>
                      </pic:pic>
                    </a:graphicData>
                  </a:graphic>
                </wp:inline>
              </w:drawing>
            </w:r>
          </w:p>
        </w:tc>
      </w:tr>
      <w:tr w14:paraId="41AE8598">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9299" w:type="dxa"/>
            <w:gridSpan w:val="3"/>
          </w:tcPr>
          <w:p w14:paraId="235D8909">
            <w:pPr>
              <w:widowControl/>
              <w:adjustRightInd/>
              <w:spacing w:line="240" w:lineRule="auto"/>
              <w:jc w:val="center"/>
              <w:textAlignment w:val="auto"/>
              <w:rPr>
                <w:rFonts w:ascii="华文细黑" w:hAnsi="华文细黑" w:eastAsia="华文细黑"/>
                <w:color w:val="auto"/>
              </w:rPr>
            </w:pPr>
            <w:r>
              <w:rPr>
                <w:rFonts w:hint="eastAsia" w:ascii="Arial" w:hAnsi="Arial" w:eastAsia="仿宋_GB2312" w:cs="Arial"/>
                <w:color w:val="auto"/>
                <w:szCs w:val="24"/>
              </w:rPr>
              <w:t>案例照片</w:t>
            </w:r>
          </w:p>
        </w:tc>
      </w:tr>
      <w:tr w14:paraId="6DD68B4A">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3099" w:type="dxa"/>
            <w:tcBorders>
              <w:bottom w:val="dotted" w:color="404040" w:sz="2" w:space="0"/>
            </w:tcBorders>
          </w:tcPr>
          <w:p w14:paraId="42C5C509">
            <w:pPr>
              <w:widowControl/>
              <w:adjustRightInd/>
              <w:spacing w:line="24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案例D</w:t>
            </w:r>
          </w:p>
        </w:tc>
        <w:tc>
          <w:tcPr>
            <w:tcW w:w="3100" w:type="dxa"/>
            <w:tcBorders>
              <w:bottom w:val="dotted" w:color="404040" w:sz="2" w:space="0"/>
            </w:tcBorders>
          </w:tcPr>
          <w:p w14:paraId="75453272">
            <w:pPr>
              <w:widowControl/>
              <w:adjustRightInd/>
              <w:spacing w:line="24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案例E</w:t>
            </w:r>
          </w:p>
        </w:tc>
        <w:tc>
          <w:tcPr>
            <w:tcW w:w="3100" w:type="dxa"/>
            <w:tcBorders>
              <w:bottom w:val="dotted" w:color="404040" w:sz="2" w:space="0"/>
            </w:tcBorders>
          </w:tcPr>
          <w:p w14:paraId="6B36ADCE">
            <w:pPr>
              <w:widowControl/>
              <w:adjustRightInd/>
              <w:spacing w:line="24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案例F</w:t>
            </w:r>
          </w:p>
        </w:tc>
      </w:tr>
      <w:tr w14:paraId="0D13FAC2">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trHeight w:val="3670" w:hRule="atLeast"/>
          <w:jc w:val="center"/>
        </w:trPr>
        <w:tc>
          <w:tcPr>
            <w:tcW w:w="3099" w:type="dxa"/>
          </w:tcPr>
          <w:p w14:paraId="46224ECF">
            <w:pPr>
              <w:jc w:val="center"/>
              <w:rPr>
                <w:color w:val="auto"/>
              </w:rPr>
            </w:pPr>
            <w:r>
              <w:rPr>
                <w:color w:val="auto"/>
              </w:rPr>
              <w:drawing>
                <wp:inline distT="0" distB="0" distL="114300" distR="114300">
                  <wp:extent cx="1816100" cy="2196465"/>
                  <wp:effectExtent l="0" t="0" r="12700" b="13335"/>
                  <wp:docPr id="4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0"/>
                          <pic:cNvPicPr>
                            <a:picLocks noChangeAspect="1"/>
                          </pic:cNvPicPr>
                        </pic:nvPicPr>
                        <pic:blipFill>
                          <a:blip r:embed="rId72"/>
                          <a:stretch>
                            <a:fillRect/>
                          </a:stretch>
                        </pic:blipFill>
                        <pic:spPr>
                          <a:xfrm>
                            <a:off x="0" y="0"/>
                            <a:ext cx="1816100" cy="2196465"/>
                          </a:xfrm>
                          <a:prstGeom prst="rect">
                            <a:avLst/>
                          </a:prstGeom>
                          <a:noFill/>
                          <a:ln>
                            <a:noFill/>
                          </a:ln>
                        </pic:spPr>
                      </pic:pic>
                    </a:graphicData>
                  </a:graphic>
                </wp:inline>
              </w:drawing>
            </w:r>
          </w:p>
        </w:tc>
        <w:tc>
          <w:tcPr>
            <w:tcW w:w="3100" w:type="dxa"/>
          </w:tcPr>
          <w:p w14:paraId="00D9BCF8">
            <w:pPr>
              <w:jc w:val="center"/>
              <w:rPr>
                <w:color w:val="auto"/>
              </w:rPr>
            </w:pPr>
            <w:r>
              <w:rPr>
                <w:color w:val="auto"/>
              </w:rPr>
              <w:drawing>
                <wp:inline distT="0" distB="0" distL="114300" distR="114300">
                  <wp:extent cx="1849120" cy="2202815"/>
                  <wp:effectExtent l="0" t="0" r="10160" b="6985"/>
                  <wp:docPr id="6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2"/>
                          <pic:cNvPicPr>
                            <a:picLocks noChangeAspect="1"/>
                          </pic:cNvPicPr>
                        </pic:nvPicPr>
                        <pic:blipFill>
                          <a:blip r:embed="rId73"/>
                          <a:stretch>
                            <a:fillRect/>
                          </a:stretch>
                        </pic:blipFill>
                        <pic:spPr>
                          <a:xfrm>
                            <a:off x="0" y="0"/>
                            <a:ext cx="1849120" cy="2202815"/>
                          </a:xfrm>
                          <a:prstGeom prst="rect">
                            <a:avLst/>
                          </a:prstGeom>
                          <a:noFill/>
                          <a:ln>
                            <a:noFill/>
                          </a:ln>
                        </pic:spPr>
                      </pic:pic>
                    </a:graphicData>
                  </a:graphic>
                </wp:inline>
              </w:drawing>
            </w:r>
          </w:p>
        </w:tc>
        <w:tc>
          <w:tcPr>
            <w:tcW w:w="3100" w:type="dxa"/>
          </w:tcPr>
          <w:p w14:paraId="7FB57F08">
            <w:pPr>
              <w:jc w:val="center"/>
              <w:rPr>
                <w:color w:val="auto"/>
              </w:rPr>
            </w:pPr>
            <w:r>
              <w:rPr>
                <w:color w:val="auto"/>
              </w:rPr>
              <w:drawing>
                <wp:inline distT="0" distB="0" distL="0" distR="0">
                  <wp:extent cx="1746250" cy="2215515"/>
                  <wp:effectExtent l="0" t="0" r="6350" b="9525"/>
                  <wp:docPr id="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1746250" cy="2215515"/>
                          </a:xfrm>
                          <a:prstGeom prst="rect">
                            <a:avLst/>
                          </a:prstGeom>
                          <a:noFill/>
                          <a:ln>
                            <a:noFill/>
                          </a:ln>
                        </pic:spPr>
                      </pic:pic>
                    </a:graphicData>
                  </a:graphic>
                </wp:inline>
              </w:drawing>
            </w:r>
          </w:p>
        </w:tc>
      </w:tr>
    </w:tbl>
    <w:p w14:paraId="0DECA33A">
      <w:pPr>
        <w:tabs>
          <w:tab w:val="left" w:pos="3261"/>
        </w:tabs>
        <w:spacing w:before="50" w:after="50" w:line="300" w:lineRule="auto"/>
        <w:jc w:val="center"/>
        <w:rPr>
          <w:rFonts w:ascii="Arial" w:hAnsi="Arial" w:cs="Arial"/>
          <w:color w:val="auto"/>
        </w:rPr>
      </w:pPr>
    </w:p>
    <w:p w14:paraId="41BB013B">
      <w:pPr>
        <w:spacing w:after="26" w:line="36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br w:type="page"/>
      </w:r>
    </w:p>
    <w:p w14:paraId="464F00F2">
      <w:pPr>
        <w:spacing w:line="360" w:lineRule="auto"/>
        <w:jc w:val="center"/>
        <w:rPr>
          <w:rFonts w:ascii="Arial" w:hAnsi="Arial" w:eastAsia="仿宋" w:cs="Arial"/>
          <w:color w:val="auto"/>
          <w:sz w:val="28"/>
          <w:szCs w:val="28"/>
        </w:rPr>
      </w:pPr>
      <w:r>
        <w:rPr>
          <w:rFonts w:ascii="Arial" w:hAnsi="Arial" w:eastAsia="仿宋" w:cs="Arial"/>
          <w:b/>
          <w:bCs/>
          <w:color w:val="auto"/>
          <w:sz w:val="28"/>
          <w:szCs w:val="28"/>
        </w:rPr>
        <w:t>表3：比较因素条件说明及指数表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378"/>
        <w:gridCol w:w="789"/>
        <w:gridCol w:w="1457"/>
        <w:gridCol w:w="582"/>
        <w:gridCol w:w="1602"/>
        <w:gridCol w:w="583"/>
        <w:gridCol w:w="1445"/>
        <w:gridCol w:w="496"/>
        <w:gridCol w:w="1551"/>
        <w:gridCol w:w="585"/>
      </w:tblGrid>
      <w:tr w14:paraId="38000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280" w:hRule="atLeast"/>
          <w:tblHeader/>
          <w:jc w:val="center"/>
        </w:trPr>
        <w:tc>
          <w:tcPr>
            <w:tcW w:w="615" w:type="pct"/>
            <w:gridSpan w:val="2"/>
            <w:vMerge w:val="restart"/>
            <w:tcBorders>
              <w:tl2br w:val="single" w:color="auto" w:sz="4" w:space="0"/>
            </w:tcBorders>
            <w:vAlign w:val="center"/>
          </w:tcPr>
          <w:p w14:paraId="5DDF9457">
            <w:pPr>
              <w:widowControl/>
              <w:adjustRightInd/>
              <w:spacing w:line="240" w:lineRule="exact"/>
              <w:jc w:val="right"/>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估价对象及</w:t>
            </w:r>
          </w:p>
          <w:p w14:paraId="6D96EF3E">
            <w:pPr>
              <w:widowControl/>
              <w:adjustRightInd/>
              <w:spacing w:line="240" w:lineRule="exact"/>
              <w:jc w:val="right"/>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可比案例</w:t>
            </w:r>
          </w:p>
          <w:p w14:paraId="78D84ED8">
            <w:pPr>
              <w:widowControl/>
              <w:adjustRightInd/>
              <w:spacing w:line="240" w:lineRule="exact"/>
              <w:jc w:val="center"/>
              <w:textAlignment w:val="auto"/>
              <w:rPr>
                <w:rFonts w:ascii="Arial" w:hAnsi="Arial" w:eastAsia="仿宋" w:cs="Arial"/>
                <w:snapToGrid w:val="0"/>
                <w:color w:val="auto"/>
                <w:sz w:val="18"/>
                <w:szCs w:val="21"/>
              </w:rPr>
            </w:pPr>
          </w:p>
          <w:p w14:paraId="01B40C13">
            <w:pPr>
              <w:widowControl/>
              <w:adjustRightInd/>
              <w:spacing w:line="240" w:lineRule="exact"/>
              <w:jc w:val="center"/>
              <w:textAlignment w:val="auto"/>
              <w:rPr>
                <w:rFonts w:ascii="Arial" w:hAnsi="Arial" w:eastAsia="仿宋" w:cs="Arial"/>
                <w:snapToGrid w:val="0"/>
                <w:color w:val="auto"/>
                <w:sz w:val="18"/>
                <w:szCs w:val="21"/>
              </w:rPr>
            </w:pPr>
          </w:p>
          <w:p w14:paraId="5D34256B">
            <w:pPr>
              <w:widowControl/>
              <w:adjustRightInd/>
              <w:spacing w:line="240" w:lineRule="exact"/>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比较因素</w:t>
            </w:r>
          </w:p>
          <w:p w14:paraId="2FB6F133">
            <w:pPr>
              <w:widowControl/>
              <w:adjustRightInd/>
              <w:spacing w:line="240" w:lineRule="exact"/>
              <w:jc w:val="center"/>
              <w:textAlignment w:val="auto"/>
              <w:rPr>
                <w:rFonts w:ascii="Arial" w:hAnsi="Arial" w:eastAsia="仿宋" w:cs="Arial"/>
                <w:snapToGrid w:val="0"/>
                <w:color w:val="auto"/>
                <w:sz w:val="18"/>
                <w:szCs w:val="21"/>
              </w:rPr>
            </w:pPr>
          </w:p>
        </w:tc>
        <w:tc>
          <w:tcPr>
            <w:tcW w:w="1076" w:type="pct"/>
            <w:gridSpan w:val="2"/>
            <w:vAlign w:val="center"/>
          </w:tcPr>
          <w:p w14:paraId="758FE3D5">
            <w:pPr>
              <w:widowControl/>
              <w:adjustRightInd/>
              <w:spacing w:line="240" w:lineRule="exact"/>
              <w:jc w:val="both"/>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估价对象</w:t>
            </w:r>
          </w:p>
        </w:tc>
        <w:tc>
          <w:tcPr>
            <w:tcW w:w="1154" w:type="pct"/>
            <w:gridSpan w:val="2"/>
            <w:vAlign w:val="center"/>
          </w:tcPr>
          <w:p w14:paraId="72BA50FE">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案例D</w:t>
            </w:r>
          </w:p>
        </w:tc>
        <w:tc>
          <w:tcPr>
            <w:tcW w:w="1025" w:type="pct"/>
            <w:gridSpan w:val="2"/>
            <w:vAlign w:val="center"/>
          </w:tcPr>
          <w:p w14:paraId="4B1101A5">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案例E</w:t>
            </w:r>
          </w:p>
        </w:tc>
        <w:tc>
          <w:tcPr>
            <w:tcW w:w="1128" w:type="pct"/>
            <w:gridSpan w:val="2"/>
            <w:vAlign w:val="center"/>
          </w:tcPr>
          <w:p w14:paraId="6EE99DDD">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案例F</w:t>
            </w:r>
          </w:p>
        </w:tc>
      </w:tr>
      <w:tr w14:paraId="06DFC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280" w:hRule="atLeast"/>
          <w:tblHeader/>
          <w:jc w:val="center"/>
        </w:trPr>
        <w:tc>
          <w:tcPr>
            <w:tcW w:w="615" w:type="pct"/>
            <w:gridSpan w:val="2"/>
            <w:vMerge w:val="continue"/>
            <w:tcBorders>
              <w:tl2br w:val="single" w:color="auto" w:sz="4" w:space="0"/>
            </w:tcBorders>
            <w:vAlign w:val="center"/>
          </w:tcPr>
          <w:p w14:paraId="0A2EE9BC">
            <w:pPr>
              <w:widowControl/>
              <w:adjustRightInd/>
              <w:spacing w:line="240" w:lineRule="exact"/>
              <w:jc w:val="center"/>
              <w:textAlignment w:val="auto"/>
              <w:rPr>
                <w:rFonts w:ascii="Arial" w:hAnsi="Arial" w:eastAsia="仿宋" w:cs="Arial"/>
                <w:snapToGrid w:val="0"/>
                <w:color w:val="auto"/>
                <w:sz w:val="18"/>
                <w:szCs w:val="21"/>
              </w:rPr>
            </w:pPr>
          </w:p>
        </w:tc>
        <w:tc>
          <w:tcPr>
            <w:tcW w:w="769" w:type="pct"/>
            <w:vAlign w:val="center"/>
          </w:tcPr>
          <w:p w14:paraId="188724C4">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lang w:eastAsia="zh-Hans"/>
              </w:rPr>
              <w:t>北京市顺义区高丽营副中心区SY02</w:t>
            </w:r>
            <w:r>
              <w:rPr>
                <w:rFonts w:hint="eastAsia" w:ascii="Arial" w:hAnsi="Arial" w:eastAsia="仿宋" w:cs="Arial"/>
                <w:snapToGrid w:val="0"/>
                <w:color w:val="auto"/>
                <w:sz w:val="18"/>
                <w:szCs w:val="21"/>
              </w:rPr>
              <w:t>－</w:t>
            </w:r>
            <w:r>
              <w:rPr>
                <w:rFonts w:ascii="Arial" w:hAnsi="Arial" w:eastAsia="仿宋" w:cs="Arial"/>
                <w:snapToGrid w:val="0"/>
                <w:color w:val="auto"/>
                <w:sz w:val="18"/>
                <w:szCs w:val="21"/>
                <w:lang w:eastAsia="zh-Hans"/>
              </w:rPr>
              <w:t>0102</w:t>
            </w:r>
            <w:r>
              <w:rPr>
                <w:rFonts w:hint="eastAsia" w:ascii="Arial" w:hAnsi="Arial" w:eastAsia="仿宋" w:cs="Arial"/>
                <w:snapToGrid w:val="0"/>
                <w:color w:val="auto"/>
                <w:sz w:val="18"/>
                <w:szCs w:val="21"/>
              </w:rPr>
              <w:t>－</w:t>
            </w:r>
            <w:r>
              <w:rPr>
                <w:rFonts w:ascii="Arial" w:hAnsi="Arial" w:eastAsia="仿宋" w:cs="Arial"/>
                <w:snapToGrid w:val="0"/>
                <w:color w:val="auto"/>
                <w:sz w:val="18"/>
                <w:szCs w:val="21"/>
                <w:lang w:eastAsia="zh-Hans"/>
              </w:rPr>
              <w:t>6003号地块</w:t>
            </w:r>
          </w:p>
        </w:tc>
        <w:tc>
          <w:tcPr>
            <w:tcW w:w="307" w:type="pct"/>
            <w:vAlign w:val="center"/>
          </w:tcPr>
          <w:p w14:paraId="5D57EB21">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系数</w:t>
            </w:r>
          </w:p>
        </w:tc>
        <w:tc>
          <w:tcPr>
            <w:tcW w:w="846" w:type="pct"/>
            <w:vAlign w:val="center"/>
          </w:tcPr>
          <w:p w14:paraId="1F00F5A5">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顺义绿地启航国际商铺</w:t>
            </w:r>
          </w:p>
        </w:tc>
        <w:tc>
          <w:tcPr>
            <w:tcW w:w="308" w:type="pct"/>
            <w:vAlign w:val="center"/>
          </w:tcPr>
          <w:p w14:paraId="7E5B36BA">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系数</w:t>
            </w:r>
          </w:p>
        </w:tc>
        <w:tc>
          <w:tcPr>
            <w:tcW w:w="763" w:type="pct"/>
            <w:vAlign w:val="center"/>
          </w:tcPr>
          <w:p w14:paraId="5FA06428">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中粮祥云小镇商铺</w:t>
            </w:r>
          </w:p>
        </w:tc>
        <w:tc>
          <w:tcPr>
            <w:tcW w:w="261" w:type="pct"/>
            <w:vAlign w:val="center"/>
          </w:tcPr>
          <w:p w14:paraId="733FE5CC">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系数</w:t>
            </w:r>
          </w:p>
        </w:tc>
        <w:tc>
          <w:tcPr>
            <w:tcW w:w="819" w:type="pct"/>
            <w:vAlign w:val="center"/>
          </w:tcPr>
          <w:p w14:paraId="093A69A2">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府前西街商铺</w:t>
            </w:r>
          </w:p>
        </w:tc>
        <w:tc>
          <w:tcPr>
            <w:tcW w:w="308" w:type="pct"/>
            <w:vAlign w:val="center"/>
          </w:tcPr>
          <w:p w14:paraId="67451E86">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系数</w:t>
            </w:r>
          </w:p>
        </w:tc>
      </w:tr>
      <w:tr w14:paraId="6225E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290" w:hRule="atLeast"/>
          <w:jc w:val="center"/>
        </w:trPr>
        <w:tc>
          <w:tcPr>
            <w:tcW w:w="615" w:type="pct"/>
            <w:gridSpan w:val="2"/>
            <w:vAlign w:val="center"/>
          </w:tcPr>
          <w:p w14:paraId="707B7D03">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交易时间</w:t>
            </w:r>
          </w:p>
        </w:tc>
        <w:tc>
          <w:tcPr>
            <w:tcW w:w="769" w:type="pct"/>
            <w:vAlign w:val="center"/>
          </w:tcPr>
          <w:p w14:paraId="0A356A36">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2026.3.26</w:t>
            </w:r>
          </w:p>
        </w:tc>
        <w:tc>
          <w:tcPr>
            <w:tcW w:w="307" w:type="pct"/>
            <w:vAlign w:val="center"/>
          </w:tcPr>
          <w:p w14:paraId="7149F855">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7E0DC9E7">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202</w:t>
            </w:r>
            <w:r>
              <w:rPr>
                <w:rFonts w:hint="eastAsia" w:ascii="Arial" w:hAnsi="Arial" w:eastAsia="仿宋" w:cs="Arial"/>
                <w:snapToGrid w:val="0"/>
                <w:color w:val="auto"/>
                <w:sz w:val="18"/>
                <w:szCs w:val="21"/>
              </w:rPr>
              <w:t>6.3</w:t>
            </w:r>
          </w:p>
        </w:tc>
        <w:tc>
          <w:tcPr>
            <w:tcW w:w="308" w:type="pct"/>
            <w:vAlign w:val="center"/>
          </w:tcPr>
          <w:p w14:paraId="46949BBD">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763" w:type="pct"/>
            <w:vAlign w:val="center"/>
          </w:tcPr>
          <w:p w14:paraId="7DADA13F">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202</w:t>
            </w:r>
            <w:r>
              <w:rPr>
                <w:rFonts w:hint="eastAsia" w:ascii="Arial" w:hAnsi="Arial" w:eastAsia="仿宋" w:cs="Arial"/>
                <w:snapToGrid w:val="0"/>
                <w:color w:val="auto"/>
                <w:sz w:val="18"/>
                <w:szCs w:val="21"/>
              </w:rPr>
              <w:t>6.3</w:t>
            </w:r>
          </w:p>
        </w:tc>
        <w:tc>
          <w:tcPr>
            <w:tcW w:w="261" w:type="pct"/>
            <w:vAlign w:val="center"/>
          </w:tcPr>
          <w:p w14:paraId="2D711203">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19" w:type="pct"/>
            <w:vAlign w:val="center"/>
          </w:tcPr>
          <w:p w14:paraId="4A9028CE">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202</w:t>
            </w:r>
            <w:r>
              <w:rPr>
                <w:rFonts w:hint="eastAsia" w:ascii="Arial" w:hAnsi="Arial" w:eastAsia="仿宋" w:cs="Arial"/>
                <w:snapToGrid w:val="0"/>
                <w:color w:val="auto"/>
                <w:sz w:val="18"/>
                <w:szCs w:val="21"/>
              </w:rPr>
              <w:t>6.3</w:t>
            </w:r>
          </w:p>
        </w:tc>
        <w:tc>
          <w:tcPr>
            <w:tcW w:w="308" w:type="pct"/>
            <w:vAlign w:val="center"/>
          </w:tcPr>
          <w:p w14:paraId="557DCCD7">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r>
      <w:tr w14:paraId="46E2D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290" w:hRule="atLeast"/>
          <w:jc w:val="center"/>
        </w:trPr>
        <w:tc>
          <w:tcPr>
            <w:tcW w:w="615" w:type="pct"/>
            <w:gridSpan w:val="2"/>
            <w:vAlign w:val="center"/>
          </w:tcPr>
          <w:p w14:paraId="0D7E5394">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交易情况</w:t>
            </w:r>
          </w:p>
        </w:tc>
        <w:tc>
          <w:tcPr>
            <w:tcW w:w="769" w:type="pct"/>
            <w:vAlign w:val="center"/>
          </w:tcPr>
          <w:p w14:paraId="0806B7F1">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正常</w:t>
            </w:r>
          </w:p>
        </w:tc>
        <w:tc>
          <w:tcPr>
            <w:tcW w:w="307" w:type="pct"/>
            <w:vAlign w:val="center"/>
          </w:tcPr>
          <w:p w14:paraId="0146B450">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663EB1AC">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正常</w:t>
            </w:r>
          </w:p>
        </w:tc>
        <w:tc>
          <w:tcPr>
            <w:tcW w:w="308" w:type="pct"/>
            <w:vAlign w:val="center"/>
          </w:tcPr>
          <w:p w14:paraId="1793C8CD">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763" w:type="pct"/>
            <w:vAlign w:val="center"/>
          </w:tcPr>
          <w:p w14:paraId="680E59E2">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正常</w:t>
            </w:r>
          </w:p>
        </w:tc>
        <w:tc>
          <w:tcPr>
            <w:tcW w:w="261" w:type="pct"/>
            <w:vAlign w:val="center"/>
          </w:tcPr>
          <w:p w14:paraId="05E8FD7A">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19" w:type="pct"/>
            <w:vAlign w:val="center"/>
          </w:tcPr>
          <w:p w14:paraId="33E8A15C">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正常</w:t>
            </w:r>
          </w:p>
        </w:tc>
        <w:tc>
          <w:tcPr>
            <w:tcW w:w="308" w:type="pct"/>
            <w:vAlign w:val="center"/>
          </w:tcPr>
          <w:p w14:paraId="507997F5">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r>
      <w:tr w14:paraId="3AB64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280" w:hRule="atLeast"/>
          <w:jc w:val="center"/>
        </w:trPr>
        <w:tc>
          <w:tcPr>
            <w:tcW w:w="615" w:type="pct"/>
            <w:gridSpan w:val="2"/>
            <w:vAlign w:val="center"/>
          </w:tcPr>
          <w:p w14:paraId="4A04B2FB">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用途</w:t>
            </w:r>
          </w:p>
        </w:tc>
        <w:tc>
          <w:tcPr>
            <w:tcW w:w="769" w:type="pct"/>
            <w:vAlign w:val="center"/>
          </w:tcPr>
          <w:p w14:paraId="1D1B3507">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商业</w:t>
            </w:r>
          </w:p>
        </w:tc>
        <w:tc>
          <w:tcPr>
            <w:tcW w:w="307" w:type="pct"/>
            <w:vAlign w:val="center"/>
          </w:tcPr>
          <w:p w14:paraId="6E852AE3">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59C5BB67">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商业</w:t>
            </w:r>
          </w:p>
        </w:tc>
        <w:tc>
          <w:tcPr>
            <w:tcW w:w="308" w:type="pct"/>
            <w:vAlign w:val="center"/>
          </w:tcPr>
          <w:p w14:paraId="3EC5CBC9">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763" w:type="pct"/>
            <w:vAlign w:val="center"/>
          </w:tcPr>
          <w:p w14:paraId="2F2F3B4F">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商业</w:t>
            </w:r>
          </w:p>
        </w:tc>
        <w:tc>
          <w:tcPr>
            <w:tcW w:w="261" w:type="pct"/>
            <w:vAlign w:val="center"/>
          </w:tcPr>
          <w:p w14:paraId="5C8BAD24">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19" w:type="pct"/>
            <w:vAlign w:val="center"/>
          </w:tcPr>
          <w:p w14:paraId="35D5048D">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商业</w:t>
            </w:r>
          </w:p>
        </w:tc>
        <w:tc>
          <w:tcPr>
            <w:tcW w:w="308" w:type="pct"/>
            <w:vAlign w:val="center"/>
          </w:tcPr>
          <w:p w14:paraId="3BF75CB9">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r>
      <w:tr w14:paraId="69A6F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1375" w:hRule="atLeast"/>
          <w:jc w:val="center"/>
        </w:trPr>
        <w:tc>
          <w:tcPr>
            <w:tcW w:w="199" w:type="pct"/>
            <w:vMerge w:val="restart"/>
            <w:vAlign w:val="center"/>
          </w:tcPr>
          <w:p w14:paraId="68587014">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区域</w:t>
            </w:r>
          </w:p>
          <w:p w14:paraId="6078E3A5">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因素</w:t>
            </w:r>
          </w:p>
          <w:p w14:paraId="7512634C">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3A16FD71">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商业繁华度</w:t>
            </w:r>
          </w:p>
        </w:tc>
        <w:tc>
          <w:tcPr>
            <w:tcW w:w="769" w:type="pct"/>
            <w:vAlign w:val="center"/>
          </w:tcPr>
          <w:p w14:paraId="1B4AF63C">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估价对象位于北京市顺义区高丽营镇夏县营村，周边</w:t>
            </w:r>
            <w:r>
              <w:rPr>
                <w:rFonts w:ascii="Arial" w:hAnsi="Arial" w:eastAsia="仿宋" w:cs="Arial"/>
                <w:snapToGrid w:val="0"/>
                <w:color w:val="auto"/>
                <w:sz w:val="18"/>
                <w:szCs w:val="21"/>
              </w:rPr>
              <w:t>2</w:t>
            </w:r>
            <w:r>
              <w:rPr>
                <w:rFonts w:hint="eastAsia" w:ascii="Arial" w:hAnsi="Arial" w:eastAsia="仿宋" w:cs="Arial"/>
                <w:snapToGrid w:val="0"/>
                <w:color w:val="auto"/>
                <w:sz w:val="18"/>
                <w:szCs w:val="21"/>
              </w:rPr>
              <w:t>公里范围内有社区商业街，北京超天商贸中心、隆华购物中心以及零星临街商铺，无大型购物中心，商业繁华度较差。</w:t>
            </w:r>
          </w:p>
        </w:tc>
        <w:tc>
          <w:tcPr>
            <w:tcW w:w="307" w:type="pct"/>
            <w:vAlign w:val="center"/>
          </w:tcPr>
          <w:p w14:paraId="6754DA08">
            <w:pPr>
              <w:spacing w:line="240" w:lineRule="exact"/>
              <w:jc w:val="center"/>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1A16C991">
            <w:pPr>
              <w:spacing w:line="240" w:lineRule="exact"/>
              <w:jc w:val="center"/>
              <w:rPr>
                <w:rFonts w:ascii="Arial" w:hAnsi="Arial" w:eastAsia="仿宋" w:cs="Arial"/>
                <w:snapToGrid w:val="0"/>
                <w:color w:val="auto"/>
                <w:sz w:val="18"/>
                <w:szCs w:val="21"/>
              </w:rPr>
            </w:pPr>
            <w:r>
              <w:rPr>
                <w:rFonts w:hint="eastAsia" w:ascii="Arial" w:hAnsi="Arial" w:eastAsia="仿宋" w:cs="Arial"/>
                <w:snapToGrid w:val="0"/>
                <w:color w:val="auto"/>
                <w:sz w:val="18"/>
                <w:szCs w:val="21"/>
              </w:rPr>
              <w:t>案例D周边2公里范围内有山姆会员店、朗姿女装购物广场等购物广场，商业繁华度一般。</w:t>
            </w:r>
          </w:p>
        </w:tc>
        <w:tc>
          <w:tcPr>
            <w:tcW w:w="308" w:type="pct"/>
            <w:vAlign w:val="center"/>
          </w:tcPr>
          <w:p w14:paraId="3F596165">
            <w:pPr>
              <w:spacing w:line="240" w:lineRule="exact"/>
              <w:jc w:val="center"/>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2</w:t>
            </w:r>
          </w:p>
        </w:tc>
        <w:tc>
          <w:tcPr>
            <w:tcW w:w="763" w:type="pct"/>
            <w:vAlign w:val="center"/>
          </w:tcPr>
          <w:p w14:paraId="55911CBD">
            <w:pPr>
              <w:spacing w:line="240" w:lineRule="exact"/>
              <w:jc w:val="center"/>
              <w:rPr>
                <w:rFonts w:ascii="Arial" w:hAnsi="Arial" w:eastAsia="仿宋" w:cs="Arial"/>
                <w:snapToGrid w:val="0"/>
                <w:color w:val="auto"/>
                <w:sz w:val="18"/>
                <w:szCs w:val="21"/>
              </w:rPr>
            </w:pPr>
            <w:r>
              <w:rPr>
                <w:rFonts w:hint="eastAsia" w:ascii="Arial" w:hAnsi="Arial" w:eastAsia="仿宋" w:cs="Arial"/>
                <w:snapToGrid w:val="0"/>
                <w:color w:val="auto"/>
                <w:sz w:val="18"/>
                <w:szCs w:val="21"/>
              </w:rPr>
              <w:t>案例E周边2公里范围内有中粮祥云小镇商业街、艾迪城等购物广场及临街商业，商业繁华度一般。</w:t>
            </w:r>
          </w:p>
        </w:tc>
        <w:tc>
          <w:tcPr>
            <w:tcW w:w="261" w:type="pct"/>
            <w:vAlign w:val="center"/>
          </w:tcPr>
          <w:p w14:paraId="152095E4">
            <w:pPr>
              <w:spacing w:line="240" w:lineRule="exact"/>
              <w:jc w:val="center"/>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2</w:t>
            </w:r>
          </w:p>
        </w:tc>
        <w:tc>
          <w:tcPr>
            <w:tcW w:w="819" w:type="pct"/>
            <w:vAlign w:val="center"/>
          </w:tcPr>
          <w:p w14:paraId="4B95A543">
            <w:pPr>
              <w:spacing w:line="240" w:lineRule="exact"/>
              <w:jc w:val="center"/>
              <w:rPr>
                <w:rFonts w:ascii="Arial" w:hAnsi="Arial" w:eastAsia="仿宋" w:cs="Arial"/>
                <w:snapToGrid w:val="0"/>
                <w:color w:val="auto"/>
                <w:sz w:val="18"/>
                <w:szCs w:val="21"/>
              </w:rPr>
            </w:pPr>
            <w:r>
              <w:rPr>
                <w:rFonts w:hint="eastAsia" w:ascii="Arial" w:hAnsi="Arial" w:eastAsia="仿宋" w:cs="Arial"/>
                <w:snapToGrid w:val="0"/>
                <w:color w:val="auto"/>
                <w:sz w:val="18"/>
                <w:szCs w:val="21"/>
              </w:rPr>
              <w:t>案例F周边2公里范围内有北京华联顺义金街购物中心、新世界百货（新顺南大街千姿店）、国泰百货（新顺南大街店）等购物广场，商业繁华度较好。</w:t>
            </w:r>
          </w:p>
        </w:tc>
        <w:tc>
          <w:tcPr>
            <w:tcW w:w="308" w:type="pct"/>
            <w:vAlign w:val="center"/>
          </w:tcPr>
          <w:p w14:paraId="40A49E5B">
            <w:pPr>
              <w:spacing w:line="240" w:lineRule="exact"/>
              <w:jc w:val="center"/>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4</w:t>
            </w:r>
          </w:p>
        </w:tc>
      </w:tr>
      <w:tr w14:paraId="120EE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2520" w:hRule="atLeast"/>
          <w:jc w:val="center"/>
        </w:trPr>
        <w:tc>
          <w:tcPr>
            <w:tcW w:w="199" w:type="pct"/>
            <w:vMerge w:val="continue"/>
            <w:vAlign w:val="center"/>
          </w:tcPr>
          <w:p w14:paraId="37CF77A3">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0B5A6E02">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交通便捷度</w:t>
            </w:r>
          </w:p>
        </w:tc>
        <w:tc>
          <w:tcPr>
            <w:tcW w:w="769" w:type="pct"/>
            <w:vAlign w:val="center"/>
          </w:tcPr>
          <w:p w14:paraId="33DBB9CF">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估价对象属于北京市顺义区高丽营镇夏县营村，估价对象紧临城市主干道——火寺路、周边</w:t>
            </w:r>
            <w:r>
              <w:rPr>
                <w:rFonts w:ascii="Arial" w:hAnsi="Arial" w:eastAsia="仿宋" w:cs="Arial"/>
                <w:snapToGrid w:val="0"/>
                <w:color w:val="auto"/>
                <w:sz w:val="18"/>
                <w:szCs w:val="21"/>
              </w:rPr>
              <w:t>1</w:t>
            </w:r>
            <w:r>
              <w:rPr>
                <w:rFonts w:hint="eastAsia" w:ascii="Arial" w:hAnsi="Arial" w:eastAsia="仿宋" w:cs="Arial"/>
                <w:snapToGrid w:val="0"/>
                <w:color w:val="auto"/>
                <w:sz w:val="18"/>
                <w:szCs w:val="21"/>
              </w:rPr>
              <w:t>公里范围内有顺</w:t>
            </w:r>
            <w:r>
              <w:rPr>
                <w:rFonts w:ascii="Arial" w:hAnsi="Arial" w:eastAsia="仿宋" w:cs="Arial"/>
                <w:snapToGrid w:val="0"/>
                <w:color w:val="auto"/>
                <w:sz w:val="18"/>
                <w:szCs w:val="21"/>
              </w:rPr>
              <w:t>25</w:t>
            </w:r>
            <w:r>
              <w:rPr>
                <w:rFonts w:hint="eastAsia" w:ascii="Arial" w:hAnsi="Arial" w:eastAsia="仿宋" w:cs="Arial"/>
                <w:snapToGrid w:val="0"/>
                <w:color w:val="auto"/>
                <w:sz w:val="18"/>
                <w:szCs w:val="21"/>
              </w:rPr>
              <w:t>路、顺</w:t>
            </w:r>
            <w:r>
              <w:rPr>
                <w:rFonts w:ascii="Arial" w:hAnsi="Arial" w:eastAsia="仿宋" w:cs="Arial"/>
                <w:snapToGrid w:val="0"/>
                <w:color w:val="auto"/>
                <w:sz w:val="18"/>
                <w:szCs w:val="21"/>
              </w:rPr>
              <w:t>42</w:t>
            </w:r>
            <w:r>
              <w:rPr>
                <w:rFonts w:hint="eastAsia" w:ascii="Arial" w:hAnsi="Arial" w:eastAsia="仿宋" w:cs="Arial"/>
                <w:snapToGrid w:val="0"/>
                <w:color w:val="auto"/>
                <w:sz w:val="18"/>
                <w:szCs w:val="21"/>
              </w:rPr>
              <w:t>路、顺</w:t>
            </w:r>
            <w:r>
              <w:rPr>
                <w:rFonts w:ascii="Arial" w:hAnsi="Arial" w:eastAsia="仿宋" w:cs="Arial"/>
                <w:snapToGrid w:val="0"/>
                <w:color w:val="auto"/>
                <w:sz w:val="18"/>
                <w:szCs w:val="21"/>
              </w:rPr>
              <w:t>49</w:t>
            </w:r>
            <w:r>
              <w:rPr>
                <w:rFonts w:hint="eastAsia" w:ascii="Arial" w:hAnsi="Arial" w:eastAsia="仿宋" w:cs="Arial"/>
                <w:snapToGrid w:val="0"/>
                <w:color w:val="auto"/>
                <w:sz w:val="18"/>
                <w:szCs w:val="21"/>
              </w:rPr>
              <w:t>路、顺</w:t>
            </w:r>
            <w:r>
              <w:rPr>
                <w:rFonts w:ascii="Arial" w:hAnsi="Arial" w:eastAsia="仿宋" w:cs="Arial"/>
                <w:snapToGrid w:val="0"/>
                <w:color w:val="auto"/>
                <w:sz w:val="18"/>
                <w:szCs w:val="21"/>
              </w:rPr>
              <w:t>69</w:t>
            </w:r>
            <w:r>
              <w:rPr>
                <w:rFonts w:hint="eastAsia" w:ascii="Arial" w:hAnsi="Arial" w:eastAsia="仿宋" w:cs="Arial"/>
                <w:snapToGrid w:val="0"/>
                <w:color w:val="auto"/>
                <w:sz w:val="18"/>
                <w:szCs w:val="21"/>
              </w:rPr>
              <w:t>路等公交线路，区域内交通一般，区域间通达性较差，综合评价交通便捷度较差。</w:t>
            </w:r>
          </w:p>
        </w:tc>
        <w:tc>
          <w:tcPr>
            <w:tcW w:w="307" w:type="pct"/>
            <w:vAlign w:val="center"/>
          </w:tcPr>
          <w:p w14:paraId="37F77D13">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2A5286B3">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案例D周边1公里范围内有顺57路、顺58路、顺59路、顺69路、顺71路、顺72路等多条公交线路，距离地铁15号线后沙峪站700米左右，区域内交通较好，区域间通达性较好，综合评价交通便捷度较好。</w:t>
            </w:r>
          </w:p>
        </w:tc>
        <w:tc>
          <w:tcPr>
            <w:tcW w:w="308" w:type="pct"/>
            <w:vAlign w:val="center"/>
          </w:tcPr>
          <w:p w14:paraId="5439CF3B">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104</w:t>
            </w:r>
          </w:p>
        </w:tc>
        <w:tc>
          <w:tcPr>
            <w:tcW w:w="763" w:type="pct"/>
            <w:vAlign w:val="center"/>
          </w:tcPr>
          <w:p w14:paraId="2AC2B05C">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案例E周边1公里范围内有顺22路、顺28路、顺58路、顺62路、顺65路、顺71路等多条公交线路，距离地铁15号线花梨坎站2公里左右，区域内交通一般，区域间通达性一般，综合评价交通便捷度一般</w:t>
            </w:r>
          </w:p>
        </w:tc>
        <w:tc>
          <w:tcPr>
            <w:tcW w:w="261" w:type="pct"/>
            <w:vAlign w:val="center"/>
          </w:tcPr>
          <w:p w14:paraId="3FB47F61">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102</w:t>
            </w:r>
          </w:p>
        </w:tc>
        <w:tc>
          <w:tcPr>
            <w:tcW w:w="819" w:type="pct"/>
            <w:vAlign w:val="center"/>
          </w:tcPr>
          <w:p w14:paraId="5EC0C98A">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案例F周边1公里范围内有顺12路、顺14路、顺15路、顺16路、顺17路、顺18路、顺22路、顺39路等多条公交线路，距离地铁15号线顺义站500米左右，区域内交通较好，区域间通达性较好，综合评价交通便捷度较好。</w:t>
            </w:r>
          </w:p>
        </w:tc>
        <w:tc>
          <w:tcPr>
            <w:tcW w:w="308" w:type="pct"/>
            <w:vAlign w:val="center"/>
          </w:tcPr>
          <w:p w14:paraId="3C22A364">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104</w:t>
            </w:r>
          </w:p>
        </w:tc>
      </w:tr>
      <w:tr w14:paraId="712A6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1454" w:hRule="atLeast"/>
          <w:jc w:val="center"/>
        </w:trPr>
        <w:tc>
          <w:tcPr>
            <w:tcW w:w="199" w:type="pct"/>
            <w:vMerge w:val="continue"/>
            <w:vAlign w:val="center"/>
          </w:tcPr>
          <w:p w14:paraId="560B893D">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789080A7">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公共配套设施</w:t>
            </w:r>
          </w:p>
        </w:tc>
        <w:tc>
          <w:tcPr>
            <w:tcW w:w="769" w:type="pct"/>
            <w:vAlign w:val="center"/>
          </w:tcPr>
          <w:p w14:paraId="0CD25AA3">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估价对象周边</w:t>
            </w:r>
            <w:r>
              <w:rPr>
                <w:rFonts w:ascii="Arial" w:hAnsi="Arial" w:eastAsia="仿宋" w:cs="Arial"/>
                <w:snapToGrid w:val="0"/>
                <w:color w:val="auto"/>
                <w:sz w:val="18"/>
                <w:szCs w:val="21"/>
              </w:rPr>
              <w:t>2</w:t>
            </w:r>
            <w:r>
              <w:rPr>
                <w:rFonts w:hint="eastAsia" w:ascii="Arial" w:hAnsi="Arial" w:eastAsia="仿宋" w:cs="Arial"/>
                <w:snapToGrid w:val="0"/>
                <w:color w:val="auto"/>
                <w:sz w:val="18"/>
                <w:szCs w:val="21"/>
              </w:rPr>
              <w:t>公里范围内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公共配套设施齐备情况一般。</w:t>
            </w:r>
          </w:p>
        </w:tc>
        <w:tc>
          <w:tcPr>
            <w:tcW w:w="307" w:type="pct"/>
            <w:vAlign w:val="center"/>
          </w:tcPr>
          <w:p w14:paraId="270170D1">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678CCED4">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案例D周边2公里范围内有山姆会员店、朗姿女装购物广场等商业服务设施；华夏支行（北京自贸试验区后沙峪支行）、杭州银行（北京自贸试验区后沙峪支行）、上海银行（顺义支行）、中国光大银行（北京后沙峪支行）等金融机构；北京市鼎石学校、北京市第四中学、后沙峪中心小学等教育资源；北京杏园金方国医医院等医疗设施，公共配套设施齐备情况一般。</w:t>
            </w:r>
          </w:p>
        </w:tc>
        <w:tc>
          <w:tcPr>
            <w:tcW w:w="308" w:type="pct"/>
            <w:vAlign w:val="center"/>
          </w:tcPr>
          <w:p w14:paraId="378F8B56">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0</w:t>
            </w:r>
          </w:p>
        </w:tc>
        <w:tc>
          <w:tcPr>
            <w:tcW w:w="763" w:type="pct"/>
            <w:vAlign w:val="center"/>
          </w:tcPr>
          <w:p w14:paraId="2EE05A43">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案例E周边2公里范围内有中粮祥云小镇商业街、艾迪城、临街商业等商业服务设施；中国工商银行、中国建设银行（北京自贸试验区临空经济核心区支行）、招商银行24小时自助银行（北京自贸试验区祥云小镇支行）等金融机构；北京市顺义区空港小学、北京顺义国际学校等教育资源；北京市顺义区空港医院、北京瀚洁吉源医院等医疗设施，公共配套设施齐备情况一般。</w:t>
            </w:r>
          </w:p>
        </w:tc>
        <w:tc>
          <w:tcPr>
            <w:tcW w:w="261" w:type="pct"/>
            <w:vAlign w:val="center"/>
          </w:tcPr>
          <w:p w14:paraId="4F677EA4">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19" w:type="pct"/>
            <w:vAlign w:val="center"/>
          </w:tcPr>
          <w:p w14:paraId="7DAE4D81">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案例F周边2公里范围内有北京华联顺义金街购物中心、新世界百货（新顺南大街千姿店）、国泰百货（新顺南大街店）等商业服务设施；广发银行（北京顺义支行）、招商银行（北京顺义支行）、中国农业银行（北京顺义支行营业部）、中国银行（北京顺义支行）等金融机构；仁和中学、顺义区第三中学、东风小学、北京市顺义区第四中学等教育资源；北京市顺义中医医院、北京市顺义区医院、北京京顺医院、中国人民解放军六六0五五等医疗设施，公共配套设施齐备情况较好。</w:t>
            </w:r>
          </w:p>
        </w:tc>
        <w:tc>
          <w:tcPr>
            <w:tcW w:w="308" w:type="pct"/>
            <w:vAlign w:val="center"/>
          </w:tcPr>
          <w:p w14:paraId="26206228">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1</w:t>
            </w:r>
          </w:p>
        </w:tc>
      </w:tr>
      <w:tr w14:paraId="6221A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840" w:hRule="atLeast"/>
          <w:jc w:val="center"/>
        </w:trPr>
        <w:tc>
          <w:tcPr>
            <w:tcW w:w="199" w:type="pct"/>
            <w:vMerge w:val="continue"/>
            <w:vAlign w:val="center"/>
          </w:tcPr>
          <w:p w14:paraId="539806B1">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5A2353BB">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基础设施水平</w:t>
            </w:r>
          </w:p>
        </w:tc>
        <w:tc>
          <w:tcPr>
            <w:tcW w:w="769" w:type="pct"/>
            <w:vAlign w:val="center"/>
          </w:tcPr>
          <w:p w14:paraId="1839A050">
            <w:pPr>
              <w:widowControl/>
              <w:adjustRightInd/>
              <w:spacing w:line="240" w:lineRule="auto"/>
              <w:jc w:val="center"/>
              <w:textAlignment w:val="auto"/>
              <w:rPr>
                <w:rFonts w:ascii="仿宋" w:hAnsi="仿宋" w:eastAsia="仿宋"/>
                <w:color w:val="auto"/>
                <w:sz w:val="18"/>
                <w:szCs w:val="21"/>
              </w:rPr>
            </w:pPr>
            <w:r>
              <w:rPr>
                <w:rFonts w:hint="eastAsia" w:ascii="仿宋" w:hAnsi="仿宋" w:eastAsia="仿宋"/>
                <w:color w:val="auto"/>
                <w:sz w:val="18"/>
                <w:szCs w:val="21"/>
              </w:rPr>
              <w:t>估价对象所在区域基础设施水平达到七通。</w:t>
            </w:r>
          </w:p>
        </w:tc>
        <w:tc>
          <w:tcPr>
            <w:tcW w:w="307" w:type="pct"/>
            <w:vAlign w:val="center"/>
          </w:tcPr>
          <w:p w14:paraId="0748086D">
            <w:pPr>
              <w:jc w:val="center"/>
              <w:rPr>
                <w:rFonts w:ascii="Arial" w:hAnsi="Arial" w:cs="Arial"/>
                <w:color w:val="auto"/>
                <w:sz w:val="18"/>
                <w:szCs w:val="21"/>
              </w:rPr>
            </w:pPr>
            <w:r>
              <w:rPr>
                <w:rFonts w:ascii="Arial" w:hAnsi="Arial" w:cs="Arial"/>
                <w:color w:val="auto"/>
                <w:sz w:val="18"/>
                <w:szCs w:val="21"/>
              </w:rPr>
              <w:t>100</w:t>
            </w:r>
          </w:p>
        </w:tc>
        <w:tc>
          <w:tcPr>
            <w:tcW w:w="846" w:type="pct"/>
            <w:vAlign w:val="center"/>
          </w:tcPr>
          <w:p w14:paraId="58821423">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所在区域基础设施水平达到七通。</w:t>
            </w:r>
          </w:p>
        </w:tc>
        <w:tc>
          <w:tcPr>
            <w:tcW w:w="308" w:type="pct"/>
            <w:vAlign w:val="center"/>
          </w:tcPr>
          <w:p w14:paraId="350A838E">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100</w:t>
            </w:r>
          </w:p>
        </w:tc>
        <w:tc>
          <w:tcPr>
            <w:tcW w:w="763" w:type="pct"/>
            <w:vAlign w:val="center"/>
          </w:tcPr>
          <w:p w14:paraId="79B4CF10">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所在区域基础设施水平达到七通。</w:t>
            </w:r>
          </w:p>
        </w:tc>
        <w:tc>
          <w:tcPr>
            <w:tcW w:w="261" w:type="pct"/>
            <w:vAlign w:val="center"/>
          </w:tcPr>
          <w:p w14:paraId="2C359F61">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100</w:t>
            </w:r>
          </w:p>
        </w:tc>
        <w:tc>
          <w:tcPr>
            <w:tcW w:w="819" w:type="pct"/>
            <w:vAlign w:val="center"/>
          </w:tcPr>
          <w:p w14:paraId="747F0075">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所在区域基础设施水平达到七通。</w:t>
            </w:r>
          </w:p>
        </w:tc>
        <w:tc>
          <w:tcPr>
            <w:tcW w:w="308" w:type="pct"/>
            <w:vAlign w:val="center"/>
          </w:tcPr>
          <w:p w14:paraId="0F1D82BD">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100</w:t>
            </w:r>
          </w:p>
        </w:tc>
      </w:tr>
      <w:tr w14:paraId="5E41B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20" w:hRule="atLeast"/>
          <w:jc w:val="center"/>
        </w:trPr>
        <w:tc>
          <w:tcPr>
            <w:tcW w:w="199" w:type="pct"/>
            <w:vMerge w:val="continue"/>
            <w:vAlign w:val="center"/>
          </w:tcPr>
          <w:p w14:paraId="6294F733">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662A5555">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自然及人文环境</w:t>
            </w:r>
          </w:p>
        </w:tc>
        <w:tc>
          <w:tcPr>
            <w:tcW w:w="769" w:type="pct"/>
            <w:vAlign w:val="center"/>
          </w:tcPr>
          <w:p w14:paraId="2FF2E98A">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估价对位于北京市顺义区高丽营镇夏县营村，周边</w:t>
            </w:r>
            <w:r>
              <w:rPr>
                <w:rFonts w:ascii="Arial" w:hAnsi="Arial" w:eastAsia="仿宋" w:cs="Arial"/>
                <w:snapToGrid w:val="0"/>
                <w:color w:val="auto"/>
                <w:sz w:val="18"/>
                <w:szCs w:val="21"/>
              </w:rPr>
              <w:t>2</w:t>
            </w:r>
            <w:r>
              <w:rPr>
                <w:rFonts w:hint="eastAsia" w:ascii="Arial" w:hAnsi="Arial" w:eastAsia="仿宋" w:cs="Arial"/>
                <w:snapToGrid w:val="0"/>
                <w:color w:val="auto"/>
                <w:sz w:val="18"/>
                <w:szCs w:val="21"/>
              </w:rPr>
              <w:t>公里南郎中休闲公园、口袋公园、方氏渠等自然环境；无人文环境；综合评价环境状况一般。</w:t>
            </w:r>
          </w:p>
        </w:tc>
        <w:tc>
          <w:tcPr>
            <w:tcW w:w="307" w:type="pct"/>
            <w:vAlign w:val="center"/>
          </w:tcPr>
          <w:p w14:paraId="15722540">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1330DB9F">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周边2公里花博会主题公园、兴峪城市森林公园、湖公园、中国国际展览中心（顺义馆）龙腾世纪文化广场等自然环境及无人文环境；综合评价环境状况较好。</w:t>
            </w:r>
          </w:p>
        </w:tc>
        <w:tc>
          <w:tcPr>
            <w:tcW w:w="308" w:type="pct"/>
            <w:vAlign w:val="center"/>
          </w:tcPr>
          <w:p w14:paraId="6754E7AC">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5</w:t>
            </w:r>
          </w:p>
        </w:tc>
        <w:tc>
          <w:tcPr>
            <w:tcW w:w="763" w:type="pct"/>
            <w:vAlign w:val="center"/>
          </w:tcPr>
          <w:p w14:paraId="27031705">
            <w:pPr>
              <w:widowControl/>
              <w:adjustRightInd/>
              <w:spacing w:line="240" w:lineRule="exact"/>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周边2公里罗马湖公园、安宁大街公园、温榆河公园、温榆河、中国国际展览中心（顺义馆）龙腾世纪文化广场等自然环境及无人文环境；综合评价环境状况较好</w:t>
            </w:r>
          </w:p>
        </w:tc>
        <w:tc>
          <w:tcPr>
            <w:tcW w:w="261" w:type="pct"/>
            <w:vAlign w:val="center"/>
          </w:tcPr>
          <w:p w14:paraId="4B905D95">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5</w:t>
            </w:r>
          </w:p>
        </w:tc>
        <w:tc>
          <w:tcPr>
            <w:tcW w:w="819" w:type="pct"/>
            <w:vAlign w:val="center"/>
          </w:tcPr>
          <w:p w14:paraId="2FE7A819">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周边2公里顺义公园、潮白河森林公园、光明文化广场、顺义区工人文化宫、潮白河等自然环境及无人文环境；综合评价环境状况较好</w:t>
            </w:r>
          </w:p>
        </w:tc>
        <w:tc>
          <w:tcPr>
            <w:tcW w:w="308" w:type="pct"/>
            <w:vAlign w:val="center"/>
          </w:tcPr>
          <w:p w14:paraId="326C1EB8">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5</w:t>
            </w:r>
          </w:p>
        </w:tc>
      </w:tr>
      <w:tr w14:paraId="6EA2E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20" w:hRule="atLeast"/>
          <w:jc w:val="center"/>
        </w:trPr>
        <w:tc>
          <w:tcPr>
            <w:tcW w:w="199" w:type="pct"/>
            <w:vMerge w:val="continue"/>
            <w:vAlign w:val="center"/>
          </w:tcPr>
          <w:p w14:paraId="4EFF0FD2">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1DF4E147">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临街状况</w:t>
            </w:r>
          </w:p>
        </w:tc>
        <w:tc>
          <w:tcPr>
            <w:tcW w:w="769" w:type="pct"/>
            <w:vAlign w:val="center"/>
          </w:tcPr>
          <w:p w14:paraId="25916CD2">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单面临街</w:t>
            </w:r>
          </w:p>
        </w:tc>
        <w:tc>
          <w:tcPr>
            <w:tcW w:w="307" w:type="pct"/>
            <w:vAlign w:val="center"/>
          </w:tcPr>
          <w:p w14:paraId="2B4A8677">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55C75725">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单面临街</w:t>
            </w:r>
          </w:p>
        </w:tc>
        <w:tc>
          <w:tcPr>
            <w:tcW w:w="308" w:type="pct"/>
            <w:vAlign w:val="center"/>
          </w:tcPr>
          <w:p w14:paraId="0F81E4C4">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763" w:type="pct"/>
            <w:vAlign w:val="center"/>
          </w:tcPr>
          <w:p w14:paraId="44C7AE2B">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单面临街</w:t>
            </w:r>
          </w:p>
        </w:tc>
        <w:tc>
          <w:tcPr>
            <w:tcW w:w="261" w:type="pct"/>
            <w:vAlign w:val="center"/>
          </w:tcPr>
          <w:p w14:paraId="787D840C">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19" w:type="pct"/>
            <w:vAlign w:val="center"/>
          </w:tcPr>
          <w:p w14:paraId="4D35F626">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双面临街</w:t>
            </w:r>
          </w:p>
        </w:tc>
        <w:tc>
          <w:tcPr>
            <w:tcW w:w="308" w:type="pct"/>
            <w:vAlign w:val="center"/>
          </w:tcPr>
          <w:p w14:paraId="621CEE0E">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w:t>
            </w:r>
            <w:r>
              <w:rPr>
                <w:rFonts w:hint="eastAsia" w:ascii="Arial" w:hAnsi="Arial" w:eastAsia="仿宋" w:cs="Arial"/>
                <w:snapToGrid w:val="0"/>
                <w:color w:val="auto"/>
                <w:sz w:val="18"/>
                <w:szCs w:val="21"/>
              </w:rPr>
              <w:t>01</w:t>
            </w:r>
          </w:p>
        </w:tc>
      </w:tr>
      <w:tr w14:paraId="06BF8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20" w:hRule="atLeast"/>
          <w:jc w:val="center"/>
        </w:trPr>
        <w:tc>
          <w:tcPr>
            <w:tcW w:w="199" w:type="pct"/>
            <w:vMerge w:val="continue"/>
            <w:vAlign w:val="center"/>
          </w:tcPr>
          <w:p w14:paraId="55C34158">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5BFBF257">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人流量</w:t>
            </w:r>
          </w:p>
        </w:tc>
        <w:tc>
          <w:tcPr>
            <w:tcW w:w="769" w:type="pct"/>
            <w:vAlign w:val="center"/>
          </w:tcPr>
          <w:p w14:paraId="5EF6D502">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较差</w:t>
            </w:r>
          </w:p>
        </w:tc>
        <w:tc>
          <w:tcPr>
            <w:tcW w:w="307" w:type="pct"/>
            <w:vAlign w:val="center"/>
          </w:tcPr>
          <w:p w14:paraId="0ED72B19">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1554" w:type="dxa"/>
            <w:vAlign w:val="center"/>
          </w:tcPr>
          <w:p w14:paraId="0AF88D6F">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一般</w:t>
            </w:r>
          </w:p>
        </w:tc>
        <w:tc>
          <w:tcPr>
            <w:tcW w:w="566" w:type="dxa"/>
            <w:vAlign w:val="center"/>
          </w:tcPr>
          <w:p w14:paraId="00EA3B6B">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4</w:t>
            </w:r>
          </w:p>
        </w:tc>
        <w:tc>
          <w:tcPr>
            <w:tcW w:w="763" w:type="pct"/>
            <w:vAlign w:val="center"/>
          </w:tcPr>
          <w:p w14:paraId="635CB64E">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一般</w:t>
            </w:r>
          </w:p>
        </w:tc>
        <w:tc>
          <w:tcPr>
            <w:tcW w:w="261" w:type="pct"/>
            <w:vAlign w:val="center"/>
          </w:tcPr>
          <w:p w14:paraId="104C4838">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4</w:t>
            </w:r>
          </w:p>
        </w:tc>
        <w:tc>
          <w:tcPr>
            <w:tcW w:w="1553" w:type="dxa"/>
            <w:vAlign w:val="center"/>
          </w:tcPr>
          <w:p w14:paraId="477F881B">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一般</w:t>
            </w:r>
          </w:p>
        </w:tc>
        <w:tc>
          <w:tcPr>
            <w:tcW w:w="584" w:type="dxa"/>
            <w:vAlign w:val="center"/>
          </w:tcPr>
          <w:p w14:paraId="0DDD7766">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4</w:t>
            </w:r>
          </w:p>
        </w:tc>
      </w:tr>
      <w:tr w14:paraId="3934A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20" w:hRule="atLeast"/>
          <w:jc w:val="center"/>
        </w:trPr>
        <w:tc>
          <w:tcPr>
            <w:tcW w:w="199" w:type="pct"/>
            <w:vMerge w:val="continue"/>
            <w:vAlign w:val="center"/>
          </w:tcPr>
          <w:p w14:paraId="59822AD5">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0E1DD0D2">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楼层</w:t>
            </w:r>
          </w:p>
        </w:tc>
        <w:tc>
          <w:tcPr>
            <w:tcW w:w="769" w:type="pct"/>
            <w:vAlign w:val="center"/>
          </w:tcPr>
          <w:p w14:paraId="5F0E5669">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w:t>
            </w:r>
            <w:r>
              <w:rPr>
                <w:rFonts w:hint="eastAsia" w:ascii="Arial" w:hAnsi="Arial" w:eastAsia="仿宋" w:cs="Arial"/>
                <w:snapToGrid w:val="0"/>
                <w:color w:val="auto"/>
                <w:sz w:val="18"/>
                <w:szCs w:val="21"/>
              </w:rPr>
              <w:t>层</w:t>
            </w:r>
          </w:p>
        </w:tc>
        <w:tc>
          <w:tcPr>
            <w:tcW w:w="307" w:type="pct"/>
            <w:vAlign w:val="center"/>
          </w:tcPr>
          <w:p w14:paraId="3F7B2B53">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4758C7D4">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1层</w:t>
            </w:r>
          </w:p>
        </w:tc>
        <w:tc>
          <w:tcPr>
            <w:tcW w:w="308" w:type="pct"/>
            <w:vAlign w:val="center"/>
          </w:tcPr>
          <w:p w14:paraId="3CFAE9C8">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1403" w:type="dxa"/>
            <w:vAlign w:val="center"/>
          </w:tcPr>
          <w:p w14:paraId="6BF40CC7">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1层</w:t>
            </w:r>
          </w:p>
        </w:tc>
        <w:tc>
          <w:tcPr>
            <w:tcW w:w="481" w:type="dxa"/>
            <w:vAlign w:val="center"/>
          </w:tcPr>
          <w:p w14:paraId="3B872C4B">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19" w:type="pct"/>
            <w:vAlign w:val="center"/>
          </w:tcPr>
          <w:p w14:paraId="72294FFC">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1层</w:t>
            </w:r>
          </w:p>
        </w:tc>
        <w:tc>
          <w:tcPr>
            <w:tcW w:w="308" w:type="pct"/>
            <w:vAlign w:val="center"/>
          </w:tcPr>
          <w:p w14:paraId="563CB2FE">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r>
      <w:tr w14:paraId="4910A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0" w:hRule="atLeast"/>
          <w:jc w:val="center"/>
        </w:trPr>
        <w:tc>
          <w:tcPr>
            <w:tcW w:w="199" w:type="pct"/>
            <w:vMerge w:val="restart"/>
            <w:vAlign w:val="center"/>
          </w:tcPr>
          <w:p w14:paraId="17A7D12A">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个别</w:t>
            </w:r>
          </w:p>
          <w:p w14:paraId="5F7D3B9B">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因素</w:t>
            </w:r>
          </w:p>
        </w:tc>
        <w:tc>
          <w:tcPr>
            <w:tcW w:w="415" w:type="pct"/>
            <w:vAlign w:val="center"/>
          </w:tcPr>
          <w:p w14:paraId="235550A3">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商业类型</w:t>
            </w:r>
          </w:p>
        </w:tc>
        <w:tc>
          <w:tcPr>
            <w:tcW w:w="769" w:type="pct"/>
            <w:vAlign w:val="center"/>
          </w:tcPr>
          <w:p w14:paraId="028B4F58">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住宅配套商业</w:t>
            </w:r>
          </w:p>
        </w:tc>
        <w:tc>
          <w:tcPr>
            <w:tcW w:w="307" w:type="pct"/>
            <w:vAlign w:val="center"/>
          </w:tcPr>
          <w:p w14:paraId="21C0BD05">
            <w:pPr>
              <w:spacing w:line="240" w:lineRule="exact"/>
              <w:jc w:val="center"/>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09915BD6">
            <w:pPr>
              <w:spacing w:line="240" w:lineRule="exact"/>
              <w:jc w:val="center"/>
              <w:rPr>
                <w:rFonts w:ascii="Arial" w:hAnsi="Arial" w:eastAsia="仿宋" w:cs="Arial"/>
                <w:snapToGrid w:val="0"/>
                <w:color w:val="auto"/>
                <w:sz w:val="18"/>
                <w:szCs w:val="21"/>
              </w:rPr>
            </w:pPr>
            <w:r>
              <w:rPr>
                <w:rFonts w:hint="eastAsia" w:ascii="Arial" w:hAnsi="Arial" w:eastAsia="仿宋" w:cs="Arial"/>
                <w:snapToGrid w:val="0"/>
                <w:color w:val="auto"/>
                <w:sz w:val="18"/>
                <w:szCs w:val="21"/>
              </w:rPr>
              <w:t>临街商铺</w:t>
            </w:r>
          </w:p>
        </w:tc>
        <w:tc>
          <w:tcPr>
            <w:tcW w:w="308" w:type="pct"/>
            <w:vAlign w:val="center"/>
          </w:tcPr>
          <w:p w14:paraId="2E562CB0">
            <w:pPr>
              <w:spacing w:line="240" w:lineRule="exact"/>
              <w:jc w:val="center"/>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8</w:t>
            </w:r>
          </w:p>
        </w:tc>
        <w:tc>
          <w:tcPr>
            <w:tcW w:w="1403" w:type="dxa"/>
            <w:vAlign w:val="center"/>
          </w:tcPr>
          <w:p w14:paraId="7B12EE29">
            <w:pPr>
              <w:spacing w:line="240" w:lineRule="exact"/>
              <w:jc w:val="center"/>
              <w:rPr>
                <w:rFonts w:ascii="Arial" w:hAnsi="Arial" w:eastAsia="仿宋" w:cs="Arial"/>
                <w:snapToGrid w:val="0"/>
                <w:color w:val="auto"/>
                <w:sz w:val="18"/>
                <w:szCs w:val="21"/>
              </w:rPr>
            </w:pPr>
            <w:r>
              <w:rPr>
                <w:rFonts w:hint="eastAsia" w:ascii="Arial" w:hAnsi="Arial" w:eastAsia="仿宋" w:cs="Arial"/>
                <w:snapToGrid w:val="0"/>
                <w:color w:val="auto"/>
                <w:sz w:val="18"/>
                <w:szCs w:val="21"/>
              </w:rPr>
              <w:t>临街商铺</w:t>
            </w:r>
          </w:p>
        </w:tc>
        <w:tc>
          <w:tcPr>
            <w:tcW w:w="481" w:type="dxa"/>
            <w:vAlign w:val="center"/>
          </w:tcPr>
          <w:p w14:paraId="69A4CC1C">
            <w:pPr>
              <w:spacing w:line="240" w:lineRule="exact"/>
              <w:jc w:val="center"/>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8</w:t>
            </w:r>
          </w:p>
        </w:tc>
        <w:tc>
          <w:tcPr>
            <w:tcW w:w="1506" w:type="dxa"/>
            <w:vAlign w:val="center"/>
          </w:tcPr>
          <w:p w14:paraId="73134258">
            <w:pPr>
              <w:spacing w:line="240" w:lineRule="exact"/>
              <w:jc w:val="center"/>
              <w:rPr>
                <w:rFonts w:ascii="Arial" w:hAnsi="Arial" w:eastAsia="仿宋" w:cs="Arial"/>
                <w:snapToGrid w:val="0"/>
                <w:color w:val="auto"/>
                <w:sz w:val="18"/>
                <w:szCs w:val="21"/>
              </w:rPr>
            </w:pPr>
            <w:r>
              <w:rPr>
                <w:rFonts w:hint="eastAsia" w:ascii="Arial" w:hAnsi="Arial" w:eastAsia="仿宋" w:cs="Arial"/>
                <w:snapToGrid w:val="0"/>
                <w:color w:val="auto"/>
                <w:sz w:val="18"/>
                <w:szCs w:val="21"/>
              </w:rPr>
              <w:t>临街商铺</w:t>
            </w:r>
          </w:p>
        </w:tc>
        <w:tc>
          <w:tcPr>
            <w:tcW w:w="566" w:type="dxa"/>
            <w:vAlign w:val="center"/>
          </w:tcPr>
          <w:p w14:paraId="70EF4963">
            <w:pPr>
              <w:spacing w:line="240" w:lineRule="exact"/>
              <w:jc w:val="center"/>
              <w:rPr>
                <w:rFonts w:ascii="Arial" w:hAnsi="Arial" w:eastAsia="仿宋" w:cs="Arial"/>
                <w:snapToGrid w:val="0"/>
                <w:color w:val="auto"/>
                <w:sz w:val="18"/>
                <w:szCs w:val="21"/>
              </w:rPr>
            </w:pPr>
            <w:r>
              <w:rPr>
                <w:rFonts w:ascii="Arial" w:hAnsi="Arial" w:eastAsia="仿宋" w:cs="Arial"/>
                <w:snapToGrid w:val="0"/>
                <w:color w:val="auto"/>
                <w:sz w:val="18"/>
                <w:szCs w:val="21"/>
              </w:rPr>
              <w:t>10</w:t>
            </w:r>
            <w:r>
              <w:rPr>
                <w:rFonts w:hint="eastAsia" w:ascii="Arial" w:hAnsi="Arial" w:eastAsia="仿宋" w:cs="Arial"/>
                <w:snapToGrid w:val="0"/>
                <w:color w:val="auto"/>
                <w:sz w:val="18"/>
                <w:szCs w:val="21"/>
              </w:rPr>
              <w:t>8</w:t>
            </w:r>
          </w:p>
        </w:tc>
      </w:tr>
      <w:tr w14:paraId="0A647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0" w:hRule="atLeast"/>
          <w:jc w:val="center"/>
        </w:trPr>
        <w:tc>
          <w:tcPr>
            <w:tcW w:w="199" w:type="pct"/>
            <w:vMerge w:val="continue"/>
            <w:textDirection w:val="tbRlV"/>
            <w:vAlign w:val="center"/>
          </w:tcPr>
          <w:p w14:paraId="5893C234">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42B23C92">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建筑规模</w:t>
            </w:r>
          </w:p>
          <w:p w14:paraId="0953F866">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w:t>
            </w:r>
            <w:r>
              <w:rPr>
                <w:rFonts w:ascii="Arial" w:hAnsi="Arial" w:eastAsia="仿宋" w:cs="Arial"/>
                <w:snapToGrid w:val="0"/>
                <w:color w:val="auto"/>
                <w:sz w:val="18"/>
                <w:szCs w:val="21"/>
              </w:rPr>
              <w:t>平方米</w:t>
            </w:r>
            <w:r>
              <w:rPr>
                <w:rFonts w:hint="eastAsia" w:ascii="Arial" w:hAnsi="Arial" w:eastAsia="仿宋" w:cs="Arial"/>
                <w:snapToGrid w:val="0"/>
                <w:color w:val="auto"/>
                <w:sz w:val="18"/>
                <w:szCs w:val="21"/>
              </w:rPr>
              <w:t>）</w:t>
            </w:r>
          </w:p>
        </w:tc>
        <w:tc>
          <w:tcPr>
            <w:tcW w:w="769" w:type="pct"/>
            <w:vAlign w:val="center"/>
          </w:tcPr>
          <w:p w14:paraId="0ACED52D">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176</w:t>
            </w:r>
          </w:p>
        </w:tc>
        <w:tc>
          <w:tcPr>
            <w:tcW w:w="307" w:type="pct"/>
            <w:vAlign w:val="center"/>
          </w:tcPr>
          <w:p w14:paraId="161BAB5D">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64F61F8E">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380</w:t>
            </w:r>
          </w:p>
        </w:tc>
        <w:tc>
          <w:tcPr>
            <w:tcW w:w="308" w:type="pct"/>
            <w:vAlign w:val="center"/>
          </w:tcPr>
          <w:p w14:paraId="7BB73162">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763" w:type="pct"/>
            <w:vAlign w:val="center"/>
          </w:tcPr>
          <w:p w14:paraId="0710890F">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300</w:t>
            </w:r>
          </w:p>
        </w:tc>
        <w:tc>
          <w:tcPr>
            <w:tcW w:w="261" w:type="pct"/>
            <w:vAlign w:val="center"/>
          </w:tcPr>
          <w:p w14:paraId="41992426">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19" w:type="pct"/>
            <w:vAlign w:val="center"/>
          </w:tcPr>
          <w:p w14:paraId="01D475CD">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220</w:t>
            </w:r>
          </w:p>
        </w:tc>
        <w:tc>
          <w:tcPr>
            <w:tcW w:w="308" w:type="pct"/>
            <w:vAlign w:val="center"/>
          </w:tcPr>
          <w:p w14:paraId="2D2376C1">
            <w:pPr>
              <w:widowControl/>
              <w:adjustRightInd/>
              <w:spacing w:line="240" w:lineRule="exact"/>
              <w:jc w:val="center"/>
              <w:textAlignment w:val="auto"/>
              <w:rPr>
                <w:rFonts w:ascii="Arial" w:hAnsi="Arial" w:eastAsia="仿宋" w:cs="Arial"/>
                <w:snapToGrid w:val="0"/>
                <w:color w:val="auto"/>
                <w:sz w:val="18"/>
                <w:szCs w:val="21"/>
              </w:rPr>
            </w:pPr>
            <w:r>
              <w:rPr>
                <w:rFonts w:hint="eastAsia" w:ascii="Arial" w:hAnsi="Arial" w:eastAsia="仿宋" w:cs="Arial"/>
                <w:snapToGrid w:val="0"/>
                <w:color w:val="auto"/>
                <w:sz w:val="18"/>
                <w:szCs w:val="21"/>
              </w:rPr>
              <w:t>100</w:t>
            </w:r>
          </w:p>
        </w:tc>
      </w:tr>
      <w:tr w14:paraId="3977D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0" w:hRule="atLeast"/>
          <w:jc w:val="center"/>
        </w:trPr>
        <w:tc>
          <w:tcPr>
            <w:tcW w:w="199" w:type="pct"/>
            <w:vMerge w:val="continue"/>
            <w:textDirection w:val="tbRlV"/>
            <w:vAlign w:val="center"/>
          </w:tcPr>
          <w:p w14:paraId="6433365A">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32F2C292">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建筑结构</w:t>
            </w:r>
          </w:p>
        </w:tc>
        <w:tc>
          <w:tcPr>
            <w:tcW w:w="769" w:type="pct"/>
            <w:vAlign w:val="center"/>
          </w:tcPr>
          <w:p w14:paraId="13C0FED7">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钢混</w:t>
            </w:r>
          </w:p>
        </w:tc>
        <w:tc>
          <w:tcPr>
            <w:tcW w:w="307" w:type="pct"/>
            <w:vAlign w:val="center"/>
          </w:tcPr>
          <w:p w14:paraId="41EEB5F1">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70BAA741">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钢混</w:t>
            </w:r>
          </w:p>
        </w:tc>
        <w:tc>
          <w:tcPr>
            <w:tcW w:w="308" w:type="pct"/>
            <w:vAlign w:val="center"/>
          </w:tcPr>
          <w:p w14:paraId="460F0F8D">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763" w:type="pct"/>
            <w:vAlign w:val="center"/>
          </w:tcPr>
          <w:p w14:paraId="5FC1E48E">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钢混</w:t>
            </w:r>
          </w:p>
        </w:tc>
        <w:tc>
          <w:tcPr>
            <w:tcW w:w="261" w:type="pct"/>
            <w:vAlign w:val="center"/>
          </w:tcPr>
          <w:p w14:paraId="25F1B49A">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19" w:type="pct"/>
            <w:vAlign w:val="center"/>
          </w:tcPr>
          <w:p w14:paraId="1F15A138">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钢混</w:t>
            </w:r>
          </w:p>
        </w:tc>
        <w:tc>
          <w:tcPr>
            <w:tcW w:w="308" w:type="pct"/>
            <w:vAlign w:val="center"/>
          </w:tcPr>
          <w:p w14:paraId="4AEDBDCA">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r>
      <w:tr w14:paraId="0AC1F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20" w:hRule="atLeast"/>
          <w:jc w:val="center"/>
        </w:trPr>
        <w:tc>
          <w:tcPr>
            <w:tcW w:w="199" w:type="pct"/>
            <w:vMerge w:val="continue"/>
            <w:textDirection w:val="tbRlV"/>
            <w:vAlign w:val="center"/>
          </w:tcPr>
          <w:p w14:paraId="44FFB3BB">
            <w:pPr>
              <w:widowControl/>
              <w:adjustRightInd/>
              <w:spacing w:line="240" w:lineRule="exact"/>
              <w:jc w:val="center"/>
              <w:textAlignment w:val="auto"/>
              <w:rPr>
                <w:rFonts w:ascii="Arial" w:hAnsi="Arial" w:eastAsia="仿宋" w:cs="Arial"/>
                <w:snapToGrid w:val="0"/>
                <w:color w:val="auto"/>
                <w:sz w:val="18"/>
                <w:szCs w:val="21"/>
              </w:rPr>
            </w:pPr>
          </w:p>
        </w:tc>
        <w:tc>
          <w:tcPr>
            <w:tcW w:w="415" w:type="pct"/>
            <w:vAlign w:val="center"/>
          </w:tcPr>
          <w:p w14:paraId="0EF30CF1">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成新度</w:t>
            </w:r>
          </w:p>
        </w:tc>
        <w:tc>
          <w:tcPr>
            <w:tcW w:w="769" w:type="pct"/>
            <w:vAlign w:val="center"/>
          </w:tcPr>
          <w:p w14:paraId="20116B4E">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90%—100%</w:t>
            </w:r>
            <w:r>
              <w:rPr>
                <w:rFonts w:hint="eastAsia" w:ascii="Arial" w:hAnsi="Arial" w:eastAsia="仿宋" w:cs="Arial"/>
                <w:snapToGrid w:val="0"/>
                <w:color w:val="auto"/>
                <w:sz w:val="18"/>
                <w:szCs w:val="21"/>
              </w:rPr>
              <w:t>（含）</w:t>
            </w:r>
          </w:p>
        </w:tc>
        <w:tc>
          <w:tcPr>
            <w:tcW w:w="307" w:type="pct"/>
            <w:vAlign w:val="center"/>
          </w:tcPr>
          <w:p w14:paraId="04B6F6B2">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100</w:t>
            </w:r>
          </w:p>
        </w:tc>
        <w:tc>
          <w:tcPr>
            <w:tcW w:w="846" w:type="pct"/>
            <w:vAlign w:val="center"/>
          </w:tcPr>
          <w:p w14:paraId="2042F0F0">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80%—90%</w:t>
            </w:r>
            <w:r>
              <w:rPr>
                <w:rFonts w:hint="eastAsia" w:ascii="Arial" w:hAnsi="Arial" w:eastAsia="仿宋" w:cs="Arial"/>
                <w:snapToGrid w:val="0"/>
                <w:color w:val="auto"/>
                <w:sz w:val="18"/>
                <w:szCs w:val="21"/>
              </w:rPr>
              <w:t>（含）</w:t>
            </w:r>
          </w:p>
        </w:tc>
        <w:tc>
          <w:tcPr>
            <w:tcW w:w="308" w:type="pct"/>
            <w:vAlign w:val="center"/>
          </w:tcPr>
          <w:p w14:paraId="6E579BF9">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99</w:t>
            </w:r>
          </w:p>
        </w:tc>
        <w:tc>
          <w:tcPr>
            <w:tcW w:w="763" w:type="pct"/>
            <w:vAlign w:val="center"/>
          </w:tcPr>
          <w:p w14:paraId="15978A1E">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80%—90%</w:t>
            </w:r>
            <w:r>
              <w:rPr>
                <w:rFonts w:hint="eastAsia" w:ascii="Arial" w:hAnsi="Arial" w:eastAsia="仿宋" w:cs="Arial"/>
                <w:snapToGrid w:val="0"/>
                <w:color w:val="auto"/>
                <w:sz w:val="18"/>
                <w:szCs w:val="21"/>
              </w:rPr>
              <w:t>（含）</w:t>
            </w:r>
          </w:p>
        </w:tc>
        <w:tc>
          <w:tcPr>
            <w:tcW w:w="261" w:type="pct"/>
            <w:vAlign w:val="center"/>
          </w:tcPr>
          <w:p w14:paraId="7CFB4380">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99</w:t>
            </w:r>
          </w:p>
        </w:tc>
        <w:tc>
          <w:tcPr>
            <w:tcW w:w="819" w:type="pct"/>
            <w:vAlign w:val="center"/>
          </w:tcPr>
          <w:p w14:paraId="00A7618D">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80%—90%</w:t>
            </w:r>
            <w:r>
              <w:rPr>
                <w:rFonts w:hint="eastAsia" w:ascii="Arial" w:hAnsi="Arial" w:eastAsia="仿宋" w:cs="Arial"/>
                <w:snapToGrid w:val="0"/>
                <w:color w:val="auto"/>
                <w:sz w:val="18"/>
                <w:szCs w:val="21"/>
              </w:rPr>
              <w:t>（含）</w:t>
            </w:r>
          </w:p>
        </w:tc>
        <w:tc>
          <w:tcPr>
            <w:tcW w:w="308" w:type="pct"/>
            <w:vAlign w:val="center"/>
          </w:tcPr>
          <w:p w14:paraId="683D9CCC">
            <w:pPr>
              <w:widowControl/>
              <w:adjustRightInd/>
              <w:spacing w:line="240" w:lineRule="exact"/>
              <w:jc w:val="center"/>
              <w:textAlignment w:val="auto"/>
              <w:rPr>
                <w:rFonts w:ascii="Arial" w:hAnsi="Arial" w:eastAsia="仿宋" w:cs="Arial"/>
                <w:snapToGrid w:val="0"/>
                <w:color w:val="auto"/>
                <w:sz w:val="18"/>
                <w:szCs w:val="21"/>
              </w:rPr>
            </w:pPr>
            <w:r>
              <w:rPr>
                <w:rFonts w:ascii="Arial" w:hAnsi="Arial" w:eastAsia="仿宋" w:cs="Arial"/>
                <w:snapToGrid w:val="0"/>
                <w:color w:val="auto"/>
                <w:sz w:val="18"/>
                <w:szCs w:val="21"/>
              </w:rPr>
              <w:t>99</w:t>
            </w:r>
          </w:p>
        </w:tc>
      </w:tr>
    </w:tbl>
    <w:p w14:paraId="1362535A">
      <w:pPr>
        <w:rPr>
          <w:rFonts w:ascii="Arial" w:hAnsi="Arial" w:eastAsia="仿宋_GB2312" w:cs="Arial"/>
          <w:color w:val="auto"/>
          <w:sz w:val="28"/>
        </w:rPr>
      </w:pPr>
      <w:r>
        <w:rPr>
          <w:rFonts w:hint="eastAsia" w:ascii="Arial" w:hAnsi="Arial" w:eastAsia="仿宋_GB2312" w:cs="Arial"/>
          <w:color w:val="auto"/>
          <w:sz w:val="28"/>
        </w:rPr>
        <w:br w:type="page"/>
      </w:r>
    </w:p>
    <w:p w14:paraId="31CA529C">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根据估价对象与比较实例各种因素具体情况，编制比较因素条件指数表。比较因素指数确定如下:</w:t>
      </w:r>
    </w:p>
    <w:p w14:paraId="4011BBE2">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a交易时间：估价对象估价期日为2026年3月26日与三个比较实例交易时间接近，故不作修正；</w:t>
      </w:r>
    </w:p>
    <w:p w14:paraId="147BADEF">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b交易情况：估价对象与三个比较实例交易情况均为正常，故不作修正；</w:t>
      </w:r>
    </w:p>
    <w:p w14:paraId="5BD18582">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c房屋用途：估价对象与三个比较实例用途相同，故不作修正；</w:t>
      </w:r>
    </w:p>
    <w:p w14:paraId="61731B75">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d区域及个别因素修正:</w:t>
      </w:r>
    </w:p>
    <w:p w14:paraId="02D36D6D">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①区域因素：</w:t>
      </w:r>
    </w:p>
    <w:p w14:paraId="0EDA39C9">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a）商业繁华程度：分为市级商业中心，有大型综合性商服设施为好；区级商业中心，有中型综合性商服设施为较好；小区级商业中心，有中型商服设施为一般为较差；有零售业零星分布为差，共五个等级。以估价对象的等级指数为100，每相差一个等级，指数相应修正2；</w:t>
      </w:r>
    </w:p>
    <w:p w14:paraId="63149A22">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b）交通便捷度：根据交通和路网状况划分，分为区域内路网密集、交通便捷为好；区域内路网较密、交通较便捷为较好；区域内路网一般、交通为一般；区域内路网较稀、交通较不便捷为较差；区域内路网稀少、交通不便捷为差，共五个等级。以估价对象为100，每相差一个等级，指数相应修正2；</w:t>
      </w:r>
    </w:p>
    <w:p w14:paraId="1BAFE057">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c）公共服务设施状况：区域内有大型、齐全公用服务设施为好；区域内有齐全的公用服务设施为较好；区域内有较少的公用服务设施为一般；区域内有小型、少量的公用服务设施为较差；区域内缺乏公用服务设施为差，五个等级。以估价对象为100，每相差一个等级，指数相应修正1；</w:t>
      </w:r>
    </w:p>
    <w:p w14:paraId="078639FB">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d）红线外基础设施水平：基础设施配套完善为好；基础设施配套较完善为较好；基础设施配套一般为一般；基础设施配套较不完善为较差；基础设施配套不完善为差；五个等级。以估价对象为100，每相差一通，指数相应修正 1；</w:t>
      </w:r>
    </w:p>
    <w:p w14:paraId="65E6AC33">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e）自然和人文环境状况：区域内有众多高等院校、大型公园和公共绿地、基本无噪声和大气污染为好；区域内有公园和公共绿地，临近高等院校，噪声和大气污染较小为较好；区域内有小型公共绿地和专科院校，噪声和大气污染较小为一般；区域内有基本绿地，噪声和大气污染较严重为较差；区域内有基本绿地，靠近污染源，噪声和大气污染严重为差；五个等级。以估价对象为100，每相差一个等级，指数相应修正5。</w:t>
      </w:r>
    </w:p>
    <w:p w14:paraId="0F255E8F">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f）临街状况：分为多面临街、双面临街、单面临街、不临街四个等级。以估价对象为100，每相差一个等级，指数相应修正1；</w:t>
      </w:r>
    </w:p>
    <w:p w14:paraId="5BCD93C8">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g）人流量：根据周边人口情况及人流情况进行适当修正；</w:t>
      </w:r>
    </w:p>
    <w:p w14:paraId="2A45B798">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h）楼层：根据实际情况进行适当修正；</w:t>
      </w:r>
    </w:p>
    <w:p w14:paraId="25467634">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②个别因素:</w:t>
      </w:r>
    </w:p>
    <w:p w14:paraId="3A8A5C26">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a）商业类型：分为商业综合体、临街商铺、住宅底商三个等级。以估价对象为100，每相差一个等级，指数相应修正8；</w:t>
      </w:r>
    </w:p>
    <w:p w14:paraId="4B9C60F8">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b）建筑规模：根据实际情况进行适当修正；</w:t>
      </w:r>
    </w:p>
    <w:p w14:paraId="22780E59">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c）建筑结构：分为简易、砖木、砖混、钢混、钢结构五个等级，以估价对象为100，每增加或降低一个等级，指数相应增加或减少2；</w:t>
      </w:r>
    </w:p>
    <w:p w14:paraId="6B8A3872">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c）成新度：根据实际情况进行适当修正；</w:t>
      </w:r>
    </w:p>
    <w:p w14:paraId="7E768F1B">
      <w:pPr>
        <w:spacing w:line="360" w:lineRule="auto"/>
        <w:rPr>
          <w:rFonts w:ascii="Arial" w:hAnsi="Arial" w:eastAsia="仿宋_GB2312" w:cs="Arial"/>
          <w:bCs/>
          <w:color w:val="auto"/>
        </w:rPr>
      </w:pPr>
    </w:p>
    <w:p w14:paraId="5B731874">
      <w:pPr>
        <w:rPr>
          <w:rFonts w:ascii="Arial" w:hAnsi="Arial" w:eastAsia="仿宋" w:cs="Arial"/>
          <w:b/>
          <w:bCs/>
          <w:color w:val="auto"/>
          <w:sz w:val="28"/>
          <w:szCs w:val="28"/>
        </w:rPr>
      </w:pPr>
      <w:r>
        <w:rPr>
          <w:rFonts w:ascii="Arial" w:hAnsi="Arial" w:eastAsia="仿宋" w:cs="Arial"/>
          <w:b/>
          <w:bCs/>
          <w:color w:val="auto"/>
          <w:sz w:val="28"/>
          <w:szCs w:val="28"/>
        </w:rPr>
        <w:br w:type="page"/>
      </w:r>
    </w:p>
    <w:p w14:paraId="22F27AB3">
      <w:pPr>
        <w:spacing w:line="360" w:lineRule="auto"/>
        <w:jc w:val="center"/>
        <w:rPr>
          <w:rFonts w:ascii="Arial" w:hAnsi="Arial" w:eastAsia="仿宋" w:cs="Arial"/>
          <w:b/>
          <w:bCs/>
          <w:color w:val="auto"/>
          <w:sz w:val="28"/>
          <w:szCs w:val="28"/>
        </w:rPr>
      </w:pPr>
      <w:r>
        <w:rPr>
          <w:rFonts w:ascii="Arial" w:hAnsi="Arial" w:eastAsia="仿宋" w:cs="Arial"/>
          <w:b/>
          <w:bCs/>
          <w:color w:val="auto"/>
          <w:sz w:val="28"/>
          <w:szCs w:val="28"/>
        </w:rPr>
        <w:t>表4：因素修正和调整系数表</w:t>
      </w:r>
    </w:p>
    <w:tbl>
      <w:tblPr>
        <w:tblStyle w:val="34"/>
        <w:tblW w:w="4937" w:type="pct"/>
        <w:jc w:val="center"/>
        <w:tblLayout w:type="fixed"/>
        <w:tblCellMar>
          <w:top w:w="57" w:type="dxa"/>
          <w:left w:w="57" w:type="dxa"/>
          <w:bottom w:w="57" w:type="dxa"/>
          <w:right w:w="57" w:type="dxa"/>
        </w:tblCellMar>
      </w:tblPr>
      <w:tblGrid>
        <w:gridCol w:w="1171"/>
        <w:gridCol w:w="1833"/>
        <w:gridCol w:w="2115"/>
        <w:gridCol w:w="2115"/>
        <w:gridCol w:w="2115"/>
      </w:tblGrid>
      <w:tr w14:paraId="644CE226">
        <w:tblPrEx>
          <w:tblCellMar>
            <w:top w:w="57" w:type="dxa"/>
            <w:left w:w="57" w:type="dxa"/>
            <w:bottom w:w="57" w:type="dxa"/>
            <w:right w:w="57" w:type="dxa"/>
          </w:tblCellMar>
        </w:tblPrEx>
        <w:trPr>
          <w:trHeight w:val="280" w:hRule="atLeast"/>
          <w:tblHeader/>
          <w:jc w:val="center"/>
        </w:trPr>
        <w:tc>
          <w:tcPr>
            <w:tcW w:w="1606" w:type="pct"/>
            <w:gridSpan w:val="2"/>
            <w:vMerge w:val="restart"/>
            <w:tcBorders>
              <w:top w:val="single" w:color="auto" w:sz="4" w:space="0"/>
              <w:left w:val="single" w:color="auto" w:sz="4" w:space="0"/>
              <w:bottom w:val="single" w:color="auto" w:sz="4" w:space="0"/>
              <w:right w:val="single" w:color="auto" w:sz="4" w:space="0"/>
              <w:tl2br w:val="single" w:color="auto" w:sz="4" w:space="0"/>
            </w:tcBorders>
            <w:noWrap/>
            <w:vAlign w:val="center"/>
          </w:tcPr>
          <w:p w14:paraId="4A27C3FF">
            <w:pPr>
              <w:widowControl/>
              <w:adjustRightInd/>
              <w:spacing w:line="240" w:lineRule="exact"/>
              <w:jc w:val="right"/>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可比案例</w:t>
            </w:r>
          </w:p>
          <w:p w14:paraId="24ABEE27">
            <w:pPr>
              <w:widowControl/>
              <w:adjustRightInd/>
              <w:spacing w:line="240" w:lineRule="exact"/>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比较因素</w:t>
            </w:r>
          </w:p>
        </w:tc>
        <w:tc>
          <w:tcPr>
            <w:tcW w:w="1131" w:type="pct"/>
            <w:tcBorders>
              <w:top w:val="single" w:color="auto" w:sz="4" w:space="0"/>
              <w:left w:val="nil"/>
              <w:bottom w:val="single" w:color="auto" w:sz="4" w:space="0"/>
              <w:right w:val="single" w:color="auto" w:sz="4" w:space="0"/>
            </w:tcBorders>
            <w:noWrap/>
            <w:vAlign w:val="center"/>
          </w:tcPr>
          <w:p w14:paraId="51E0027B">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案例D</w:t>
            </w:r>
          </w:p>
        </w:tc>
        <w:tc>
          <w:tcPr>
            <w:tcW w:w="1131" w:type="pct"/>
            <w:tcBorders>
              <w:top w:val="single" w:color="auto" w:sz="4" w:space="0"/>
              <w:left w:val="nil"/>
              <w:bottom w:val="single" w:color="auto" w:sz="4" w:space="0"/>
              <w:right w:val="single" w:color="auto" w:sz="4" w:space="0"/>
            </w:tcBorders>
            <w:noWrap/>
            <w:vAlign w:val="center"/>
          </w:tcPr>
          <w:p w14:paraId="3634CE2C">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案例E</w:t>
            </w:r>
          </w:p>
        </w:tc>
        <w:tc>
          <w:tcPr>
            <w:tcW w:w="1131" w:type="pct"/>
            <w:tcBorders>
              <w:top w:val="single" w:color="auto" w:sz="4" w:space="0"/>
              <w:left w:val="nil"/>
              <w:bottom w:val="single" w:color="auto" w:sz="4" w:space="0"/>
              <w:right w:val="single" w:color="auto" w:sz="4" w:space="0"/>
            </w:tcBorders>
            <w:noWrap/>
            <w:vAlign w:val="center"/>
          </w:tcPr>
          <w:p w14:paraId="1123A5C1">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案例F</w:t>
            </w:r>
          </w:p>
        </w:tc>
      </w:tr>
      <w:tr w14:paraId="02DDF808">
        <w:tblPrEx>
          <w:tblCellMar>
            <w:top w:w="57" w:type="dxa"/>
            <w:left w:w="57" w:type="dxa"/>
            <w:bottom w:w="57" w:type="dxa"/>
            <w:right w:w="57" w:type="dxa"/>
          </w:tblCellMar>
        </w:tblPrEx>
        <w:trPr>
          <w:trHeight w:val="280" w:hRule="atLeast"/>
          <w:tblHeader/>
          <w:jc w:val="center"/>
        </w:trPr>
        <w:tc>
          <w:tcPr>
            <w:tcW w:w="1606" w:type="pct"/>
            <w:gridSpan w:val="2"/>
            <w:vMerge w:val="continue"/>
            <w:tcBorders>
              <w:top w:val="single" w:color="auto" w:sz="4" w:space="0"/>
              <w:left w:val="single" w:color="auto" w:sz="4" w:space="0"/>
              <w:bottom w:val="single" w:color="auto" w:sz="4" w:space="0"/>
              <w:right w:val="single" w:color="auto" w:sz="4" w:space="0"/>
              <w:tl2br w:val="single" w:color="auto" w:sz="4" w:space="0"/>
            </w:tcBorders>
            <w:vAlign w:val="center"/>
          </w:tcPr>
          <w:p w14:paraId="69FBE23B">
            <w:pPr>
              <w:widowControl/>
              <w:adjustRightInd/>
              <w:spacing w:line="240" w:lineRule="exact"/>
              <w:textAlignment w:val="auto"/>
              <w:rPr>
                <w:rFonts w:ascii="Arial" w:hAnsi="Arial" w:eastAsia="仿宋" w:cs="Arial"/>
                <w:snapToGrid w:val="0"/>
                <w:color w:val="auto"/>
                <w:sz w:val="18"/>
                <w:szCs w:val="18"/>
              </w:rPr>
            </w:pPr>
          </w:p>
        </w:tc>
        <w:tc>
          <w:tcPr>
            <w:tcW w:w="1131" w:type="pct"/>
            <w:tcBorders>
              <w:top w:val="nil"/>
              <w:left w:val="nil"/>
              <w:bottom w:val="single" w:color="auto" w:sz="4" w:space="0"/>
              <w:right w:val="single" w:color="auto" w:sz="4" w:space="0"/>
            </w:tcBorders>
            <w:noWrap/>
            <w:vAlign w:val="bottom"/>
          </w:tcPr>
          <w:p w14:paraId="4AC5C41B">
            <w:pPr>
              <w:widowControl/>
              <w:adjustRightInd/>
              <w:spacing w:line="240" w:lineRule="exact"/>
              <w:jc w:val="center"/>
              <w:textAlignment w:val="auto"/>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rPr>
              <w:t>顺义绿地启航国际商铺</w:t>
            </w:r>
          </w:p>
        </w:tc>
        <w:tc>
          <w:tcPr>
            <w:tcW w:w="1131" w:type="pct"/>
            <w:tcBorders>
              <w:top w:val="nil"/>
              <w:left w:val="nil"/>
              <w:bottom w:val="single" w:color="auto" w:sz="4" w:space="0"/>
              <w:right w:val="single" w:color="auto" w:sz="4" w:space="0"/>
            </w:tcBorders>
            <w:noWrap/>
            <w:vAlign w:val="center"/>
          </w:tcPr>
          <w:p w14:paraId="00211F26">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中粮祥云小镇商铺</w:t>
            </w:r>
          </w:p>
        </w:tc>
        <w:tc>
          <w:tcPr>
            <w:tcW w:w="1131" w:type="pct"/>
            <w:tcBorders>
              <w:top w:val="nil"/>
              <w:left w:val="nil"/>
              <w:bottom w:val="single" w:color="auto" w:sz="4" w:space="0"/>
              <w:right w:val="single" w:color="auto" w:sz="4" w:space="0"/>
            </w:tcBorders>
            <w:noWrap/>
            <w:vAlign w:val="center"/>
          </w:tcPr>
          <w:p w14:paraId="3DA365B5">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府前西街商铺</w:t>
            </w:r>
          </w:p>
        </w:tc>
      </w:tr>
      <w:tr w14:paraId="7575D18A">
        <w:tblPrEx>
          <w:tblCellMar>
            <w:top w:w="57" w:type="dxa"/>
            <w:left w:w="57" w:type="dxa"/>
            <w:bottom w:w="57" w:type="dxa"/>
            <w:right w:w="57" w:type="dxa"/>
          </w:tblCellMar>
        </w:tblPrEx>
        <w:trPr>
          <w:trHeight w:val="280" w:hRule="atLeast"/>
          <w:jc w:val="center"/>
        </w:trPr>
        <w:tc>
          <w:tcPr>
            <w:tcW w:w="1606" w:type="pct"/>
            <w:gridSpan w:val="2"/>
            <w:tcBorders>
              <w:top w:val="single" w:color="auto" w:sz="4" w:space="0"/>
              <w:left w:val="single" w:color="auto" w:sz="4" w:space="0"/>
              <w:bottom w:val="single" w:color="auto" w:sz="4" w:space="0"/>
              <w:right w:val="single" w:color="000000" w:sz="4" w:space="0"/>
            </w:tcBorders>
            <w:noWrap/>
            <w:vAlign w:val="bottom"/>
          </w:tcPr>
          <w:p w14:paraId="685EDAFB">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交易时间</w:t>
            </w:r>
          </w:p>
        </w:tc>
        <w:tc>
          <w:tcPr>
            <w:tcW w:w="1131" w:type="pct"/>
            <w:tcBorders>
              <w:top w:val="nil"/>
              <w:left w:val="nil"/>
              <w:bottom w:val="single" w:color="auto" w:sz="4" w:space="0"/>
              <w:right w:val="single" w:color="auto" w:sz="4" w:space="0"/>
            </w:tcBorders>
            <w:noWrap/>
            <w:vAlign w:val="center"/>
          </w:tcPr>
          <w:p w14:paraId="7B0CD4C4">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68133EE1">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6D681045">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r>
      <w:tr w14:paraId="670EBE11">
        <w:tblPrEx>
          <w:tblCellMar>
            <w:top w:w="57" w:type="dxa"/>
            <w:left w:w="57" w:type="dxa"/>
            <w:bottom w:w="57" w:type="dxa"/>
            <w:right w:w="57" w:type="dxa"/>
          </w:tblCellMar>
        </w:tblPrEx>
        <w:trPr>
          <w:trHeight w:val="280" w:hRule="atLeast"/>
          <w:jc w:val="center"/>
        </w:trPr>
        <w:tc>
          <w:tcPr>
            <w:tcW w:w="1606" w:type="pct"/>
            <w:gridSpan w:val="2"/>
            <w:tcBorders>
              <w:top w:val="single" w:color="auto" w:sz="4" w:space="0"/>
              <w:left w:val="single" w:color="auto" w:sz="4" w:space="0"/>
              <w:bottom w:val="single" w:color="auto" w:sz="4" w:space="0"/>
              <w:right w:val="single" w:color="000000" w:sz="4" w:space="0"/>
            </w:tcBorders>
            <w:noWrap/>
            <w:vAlign w:val="bottom"/>
          </w:tcPr>
          <w:p w14:paraId="1486D963">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交易情况</w:t>
            </w:r>
          </w:p>
        </w:tc>
        <w:tc>
          <w:tcPr>
            <w:tcW w:w="1131" w:type="pct"/>
            <w:tcBorders>
              <w:top w:val="nil"/>
              <w:left w:val="nil"/>
              <w:bottom w:val="single" w:color="auto" w:sz="4" w:space="0"/>
              <w:right w:val="single" w:color="auto" w:sz="4" w:space="0"/>
            </w:tcBorders>
            <w:noWrap/>
            <w:vAlign w:val="center"/>
          </w:tcPr>
          <w:p w14:paraId="0EAD2611">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568A3C9C">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0EA2E791">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r>
      <w:tr w14:paraId="79733215">
        <w:tblPrEx>
          <w:tblCellMar>
            <w:top w:w="57" w:type="dxa"/>
            <w:left w:w="57" w:type="dxa"/>
            <w:bottom w:w="57" w:type="dxa"/>
            <w:right w:w="57" w:type="dxa"/>
          </w:tblCellMar>
        </w:tblPrEx>
        <w:trPr>
          <w:trHeight w:val="296" w:hRule="atLeast"/>
          <w:jc w:val="center"/>
        </w:trPr>
        <w:tc>
          <w:tcPr>
            <w:tcW w:w="1606" w:type="pct"/>
            <w:gridSpan w:val="2"/>
            <w:tcBorders>
              <w:top w:val="single" w:color="auto" w:sz="4" w:space="0"/>
              <w:left w:val="single" w:color="auto" w:sz="4" w:space="0"/>
              <w:bottom w:val="single" w:color="auto" w:sz="4" w:space="0"/>
              <w:right w:val="single" w:color="auto" w:sz="4" w:space="0"/>
            </w:tcBorders>
            <w:noWrap/>
            <w:vAlign w:val="center"/>
          </w:tcPr>
          <w:p w14:paraId="35DC9941">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用途</w:t>
            </w:r>
          </w:p>
        </w:tc>
        <w:tc>
          <w:tcPr>
            <w:tcW w:w="1131" w:type="pct"/>
            <w:tcBorders>
              <w:top w:val="nil"/>
              <w:left w:val="nil"/>
              <w:bottom w:val="single" w:color="auto" w:sz="4" w:space="0"/>
              <w:right w:val="single" w:color="auto" w:sz="4" w:space="0"/>
            </w:tcBorders>
            <w:noWrap/>
            <w:vAlign w:val="center"/>
          </w:tcPr>
          <w:p w14:paraId="5F93D74B">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70662266">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3EF17AB1">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r>
      <w:tr w14:paraId="26D96EBE">
        <w:tblPrEx>
          <w:tblCellMar>
            <w:top w:w="57" w:type="dxa"/>
            <w:left w:w="57" w:type="dxa"/>
            <w:bottom w:w="57" w:type="dxa"/>
            <w:right w:w="57" w:type="dxa"/>
          </w:tblCellMar>
        </w:tblPrEx>
        <w:trPr>
          <w:trHeight w:val="280" w:hRule="atLeast"/>
          <w:jc w:val="center"/>
        </w:trPr>
        <w:tc>
          <w:tcPr>
            <w:tcW w:w="626" w:type="pct"/>
            <w:vMerge w:val="restart"/>
            <w:tcBorders>
              <w:top w:val="single" w:color="auto" w:sz="4" w:space="0"/>
              <w:left w:val="single" w:color="auto" w:sz="4" w:space="0"/>
              <w:bottom w:val="single" w:color="000000" w:sz="4" w:space="0"/>
              <w:right w:val="single" w:color="auto" w:sz="4" w:space="0"/>
            </w:tcBorders>
            <w:noWrap/>
            <w:vAlign w:val="center"/>
          </w:tcPr>
          <w:p w14:paraId="599DF44C">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区域因素</w:t>
            </w:r>
          </w:p>
        </w:tc>
        <w:tc>
          <w:tcPr>
            <w:tcW w:w="980" w:type="pct"/>
            <w:tcBorders>
              <w:top w:val="single" w:color="auto" w:sz="4" w:space="0"/>
              <w:left w:val="nil"/>
              <w:bottom w:val="single" w:color="auto" w:sz="4" w:space="0"/>
              <w:right w:val="single" w:color="auto" w:sz="4" w:space="0"/>
            </w:tcBorders>
            <w:noWrap/>
            <w:vAlign w:val="center"/>
          </w:tcPr>
          <w:p w14:paraId="4D282AE6">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商业繁华度</w:t>
            </w:r>
          </w:p>
        </w:tc>
        <w:tc>
          <w:tcPr>
            <w:tcW w:w="1131" w:type="pct"/>
            <w:tcBorders>
              <w:top w:val="nil"/>
              <w:left w:val="nil"/>
              <w:bottom w:val="single" w:color="auto" w:sz="4" w:space="0"/>
              <w:right w:val="single" w:color="auto" w:sz="4" w:space="0"/>
            </w:tcBorders>
            <w:noWrap/>
            <w:vAlign w:val="center"/>
          </w:tcPr>
          <w:p w14:paraId="7EF37641">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100/102</w:t>
            </w:r>
          </w:p>
        </w:tc>
        <w:tc>
          <w:tcPr>
            <w:tcW w:w="1131" w:type="pct"/>
            <w:tcBorders>
              <w:top w:val="nil"/>
              <w:left w:val="nil"/>
              <w:bottom w:val="single" w:color="auto" w:sz="4" w:space="0"/>
              <w:right w:val="single" w:color="auto" w:sz="4" w:space="0"/>
            </w:tcBorders>
            <w:noWrap/>
            <w:vAlign w:val="center"/>
          </w:tcPr>
          <w:p w14:paraId="1CFD854B">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100/102</w:t>
            </w:r>
          </w:p>
        </w:tc>
        <w:tc>
          <w:tcPr>
            <w:tcW w:w="1131" w:type="pct"/>
            <w:tcBorders>
              <w:top w:val="nil"/>
              <w:left w:val="nil"/>
              <w:bottom w:val="single" w:color="auto" w:sz="4" w:space="0"/>
              <w:right w:val="single" w:color="auto" w:sz="4" w:space="0"/>
            </w:tcBorders>
            <w:noWrap/>
            <w:vAlign w:val="center"/>
          </w:tcPr>
          <w:p w14:paraId="7B4C8A90">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100/104</w:t>
            </w:r>
          </w:p>
        </w:tc>
      </w:tr>
      <w:tr w14:paraId="656E6F1F">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17D4E05E">
            <w:pPr>
              <w:widowControl/>
              <w:adjustRightInd/>
              <w:spacing w:line="240" w:lineRule="exact"/>
              <w:textAlignment w:val="auto"/>
              <w:rPr>
                <w:rFonts w:ascii="Arial" w:hAnsi="Arial" w:eastAsia="仿宋" w:cs="Arial"/>
                <w:snapToGrid w:val="0"/>
                <w:color w:val="auto"/>
                <w:sz w:val="18"/>
                <w:szCs w:val="18"/>
              </w:rPr>
            </w:pPr>
          </w:p>
        </w:tc>
        <w:tc>
          <w:tcPr>
            <w:tcW w:w="980" w:type="pct"/>
            <w:tcBorders>
              <w:top w:val="nil"/>
              <w:left w:val="nil"/>
              <w:bottom w:val="single" w:color="auto" w:sz="4" w:space="0"/>
              <w:right w:val="single" w:color="auto" w:sz="4" w:space="0"/>
            </w:tcBorders>
            <w:noWrap/>
            <w:vAlign w:val="center"/>
          </w:tcPr>
          <w:p w14:paraId="35911789">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交通便捷度</w:t>
            </w:r>
          </w:p>
        </w:tc>
        <w:tc>
          <w:tcPr>
            <w:tcW w:w="1131" w:type="pct"/>
            <w:tcBorders>
              <w:top w:val="nil"/>
              <w:left w:val="nil"/>
              <w:bottom w:val="single" w:color="auto" w:sz="4" w:space="0"/>
              <w:right w:val="single" w:color="auto" w:sz="4" w:space="0"/>
            </w:tcBorders>
            <w:noWrap/>
            <w:vAlign w:val="center"/>
          </w:tcPr>
          <w:p w14:paraId="0674FB51">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100/104</w:t>
            </w:r>
          </w:p>
        </w:tc>
        <w:tc>
          <w:tcPr>
            <w:tcW w:w="1131" w:type="pct"/>
            <w:tcBorders>
              <w:top w:val="nil"/>
              <w:left w:val="nil"/>
              <w:bottom w:val="single" w:color="auto" w:sz="4" w:space="0"/>
              <w:right w:val="single" w:color="auto" w:sz="4" w:space="0"/>
            </w:tcBorders>
            <w:noWrap/>
            <w:vAlign w:val="center"/>
          </w:tcPr>
          <w:p w14:paraId="6C6619A7">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100/102</w:t>
            </w:r>
          </w:p>
        </w:tc>
        <w:tc>
          <w:tcPr>
            <w:tcW w:w="1131" w:type="pct"/>
            <w:tcBorders>
              <w:top w:val="nil"/>
              <w:left w:val="nil"/>
              <w:bottom w:val="single" w:color="auto" w:sz="4" w:space="0"/>
              <w:right w:val="single" w:color="auto" w:sz="4" w:space="0"/>
            </w:tcBorders>
            <w:noWrap/>
            <w:vAlign w:val="center"/>
          </w:tcPr>
          <w:p w14:paraId="4F54CFE1">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100/104</w:t>
            </w:r>
          </w:p>
        </w:tc>
      </w:tr>
      <w:tr w14:paraId="5A6A2635">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2CAD0A64">
            <w:pPr>
              <w:widowControl/>
              <w:adjustRightInd/>
              <w:spacing w:line="240" w:lineRule="exact"/>
              <w:textAlignment w:val="auto"/>
              <w:rPr>
                <w:rFonts w:ascii="Arial" w:hAnsi="Arial" w:eastAsia="仿宋" w:cs="Arial"/>
                <w:snapToGrid w:val="0"/>
                <w:color w:val="auto"/>
                <w:sz w:val="18"/>
                <w:szCs w:val="18"/>
              </w:rPr>
            </w:pPr>
          </w:p>
        </w:tc>
        <w:tc>
          <w:tcPr>
            <w:tcW w:w="980" w:type="pct"/>
            <w:tcBorders>
              <w:top w:val="nil"/>
              <w:left w:val="nil"/>
              <w:bottom w:val="single" w:color="auto" w:sz="4" w:space="0"/>
              <w:right w:val="single" w:color="auto" w:sz="4" w:space="0"/>
            </w:tcBorders>
            <w:noWrap/>
            <w:vAlign w:val="center"/>
          </w:tcPr>
          <w:p w14:paraId="33AA3498">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公共配套设施</w:t>
            </w:r>
          </w:p>
        </w:tc>
        <w:tc>
          <w:tcPr>
            <w:tcW w:w="1131" w:type="pct"/>
            <w:tcBorders>
              <w:top w:val="nil"/>
              <w:left w:val="nil"/>
              <w:bottom w:val="single" w:color="auto" w:sz="4" w:space="0"/>
              <w:right w:val="single" w:color="auto" w:sz="4" w:space="0"/>
            </w:tcBorders>
            <w:noWrap/>
            <w:vAlign w:val="center"/>
          </w:tcPr>
          <w:p w14:paraId="72A1D20F">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575EE69B">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094AA1A8">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100/101</w:t>
            </w:r>
          </w:p>
        </w:tc>
      </w:tr>
      <w:tr w14:paraId="73730953">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7906E426">
            <w:pPr>
              <w:widowControl/>
              <w:adjustRightInd/>
              <w:spacing w:line="240" w:lineRule="exact"/>
              <w:textAlignment w:val="auto"/>
              <w:rPr>
                <w:rFonts w:ascii="Arial" w:hAnsi="Arial" w:eastAsia="仿宋" w:cs="Arial"/>
                <w:snapToGrid w:val="0"/>
                <w:color w:val="auto"/>
                <w:sz w:val="18"/>
                <w:szCs w:val="18"/>
              </w:rPr>
            </w:pPr>
          </w:p>
        </w:tc>
        <w:tc>
          <w:tcPr>
            <w:tcW w:w="980" w:type="pct"/>
            <w:tcBorders>
              <w:top w:val="nil"/>
              <w:left w:val="nil"/>
              <w:bottom w:val="single" w:color="auto" w:sz="4" w:space="0"/>
              <w:right w:val="single" w:color="auto" w:sz="4" w:space="0"/>
            </w:tcBorders>
            <w:noWrap/>
            <w:vAlign w:val="center"/>
          </w:tcPr>
          <w:p w14:paraId="23B99E63">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基础设施水平</w:t>
            </w:r>
          </w:p>
        </w:tc>
        <w:tc>
          <w:tcPr>
            <w:tcW w:w="1131" w:type="pct"/>
            <w:tcBorders>
              <w:top w:val="nil"/>
              <w:left w:val="nil"/>
              <w:bottom w:val="single" w:color="auto" w:sz="4" w:space="0"/>
              <w:right w:val="single" w:color="auto" w:sz="4" w:space="0"/>
            </w:tcBorders>
            <w:noWrap/>
            <w:vAlign w:val="center"/>
          </w:tcPr>
          <w:p w14:paraId="1D329F52">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3F74131C">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3CF03B8C">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r>
      <w:tr w14:paraId="5E51D059">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5A674C59">
            <w:pPr>
              <w:widowControl/>
              <w:adjustRightInd/>
              <w:spacing w:line="240" w:lineRule="exact"/>
              <w:textAlignment w:val="auto"/>
              <w:rPr>
                <w:rFonts w:ascii="Arial" w:hAnsi="Arial" w:eastAsia="仿宋" w:cs="Arial"/>
                <w:snapToGrid w:val="0"/>
                <w:color w:val="auto"/>
                <w:sz w:val="18"/>
                <w:szCs w:val="18"/>
              </w:rPr>
            </w:pPr>
          </w:p>
        </w:tc>
        <w:tc>
          <w:tcPr>
            <w:tcW w:w="980" w:type="pct"/>
            <w:tcBorders>
              <w:top w:val="nil"/>
              <w:left w:val="nil"/>
              <w:bottom w:val="single" w:color="auto" w:sz="4" w:space="0"/>
              <w:right w:val="single" w:color="auto" w:sz="4" w:space="0"/>
            </w:tcBorders>
            <w:noWrap/>
            <w:vAlign w:val="center"/>
          </w:tcPr>
          <w:p w14:paraId="3B86DF75">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自然及人文环境</w:t>
            </w:r>
          </w:p>
        </w:tc>
        <w:tc>
          <w:tcPr>
            <w:tcW w:w="1131" w:type="pct"/>
            <w:tcBorders>
              <w:top w:val="nil"/>
              <w:left w:val="nil"/>
              <w:bottom w:val="single" w:color="auto" w:sz="4" w:space="0"/>
              <w:right w:val="single" w:color="auto" w:sz="4" w:space="0"/>
            </w:tcBorders>
            <w:noWrap/>
            <w:vAlign w:val="center"/>
          </w:tcPr>
          <w:p w14:paraId="0AD349FF">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100/105</w:t>
            </w:r>
          </w:p>
        </w:tc>
        <w:tc>
          <w:tcPr>
            <w:tcW w:w="1131" w:type="pct"/>
            <w:tcBorders>
              <w:top w:val="nil"/>
              <w:left w:val="nil"/>
              <w:bottom w:val="single" w:color="auto" w:sz="4" w:space="0"/>
              <w:right w:val="single" w:color="auto" w:sz="4" w:space="0"/>
            </w:tcBorders>
            <w:noWrap/>
            <w:vAlign w:val="center"/>
          </w:tcPr>
          <w:p w14:paraId="612D2D3B">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100/105</w:t>
            </w:r>
          </w:p>
        </w:tc>
        <w:tc>
          <w:tcPr>
            <w:tcW w:w="1131" w:type="pct"/>
            <w:tcBorders>
              <w:top w:val="nil"/>
              <w:left w:val="nil"/>
              <w:bottom w:val="single" w:color="auto" w:sz="4" w:space="0"/>
              <w:right w:val="single" w:color="auto" w:sz="4" w:space="0"/>
            </w:tcBorders>
            <w:noWrap/>
            <w:vAlign w:val="center"/>
          </w:tcPr>
          <w:p w14:paraId="0CBAEBC3">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100/105</w:t>
            </w:r>
          </w:p>
        </w:tc>
      </w:tr>
      <w:tr w14:paraId="65AD7F2F">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0759377F">
            <w:pPr>
              <w:widowControl/>
              <w:adjustRightInd/>
              <w:spacing w:line="240" w:lineRule="exact"/>
              <w:textAlignment w:val="auto"/>
              <w:rPr>
                <w:rFonts w:ascii="Arial" w:hAnsi="Arial" w:eastAsia="仿宋" w:cs="Arial"/>
                <w:snapToGrid w:val="0"/>
                <w:color w:val="auto"/>
                <w:sz w:val="18"/>
                <w:szCs w:val="18"/>
              </w:rPr>
            </w:pPr>
          </w:p>
        </w:tc>
        <w:tc>
          <w:tcPr>
            <w:tcW w:w="980" w:type="pct"/>
            <w:tcBorders>
              <w:top w:val="nil"/>
              <w:left w:val="nil"/>
              <w:bottom w:val="single" w:color="auto" w:sz="4" w:space="0"/>
              <w:right w:val="single" w:color="auto" w:sz="4" w:space="0"/>
            </w:tcBorders>
            <w:noWrap/>
            <w:vAlign w:val="center"/>
          </w:tcPr>
          <w:p w14:paraId="11A72E59">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临街状况</w:t>
            </w:r>
          </w:p>
        </w:tc>
        <w:tc>
          <w:tcPr>
            <w:tcW w:w="1131" w:type="pct"/>
            <w:tcBorders>
              <w:top w:val="nil"/>
              <w:left w:val="nil"/>
              <w:bottom w:val="single" w:color="auto" w:sz="4" w:space="0"/>
              <w:right w:val="single" w:color="auto" w:sz="4" w:space="0"/>
            </w:tcBorders>
            <w:noWrap/>
            <w:vAlign w:val="center"/>
          </w:tcPr>
          <w:p w14:paraId="3670489E">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5D9DD4CC">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5BEC54E4">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100/101</w:t>
            </w:r>
          </w:p>
        </w:tc>
      </w:tr>
      <w:tr w14:paraId="1DD10C1F">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7DAA967A">
            <w:pPr>
              <w:widowControl/>
              <w:adjustRightInd/>
              <w:spacing w:line="240" w:lineRule="exact"/>
              <w:textAlignment w:val="auto"/>
              <w:rPr>
                <w:rFonts w:ascii="Arial" w:hAnsi="Arial" w:eastAsia="仿宋" w:cs="Arial"/>
                <w:snapToGrid w:val="0"/>
                <w:color w:val="auto"/>
                <w:sz w:val="18"/>
                <w:szCs w:val="18"/>
              </w:rPr>
            </w:pPr>
          </w:p>
        </w:tc>
        <w:tc>
          <w:tcPr>
            <w:tcW w:w="980" w:type="pct"/>
            <w:tcBorders>
              <w:top w:val="nil"/>
              <w:left w:val="nil"/>
              <w:bottom w:val="single" w:color="auto" w:sz="4" w:space="0"/>
              <w:right w:val="single" w:color="auto" w:sz="4" w:space="0"/>
            </w:tcBorders>
            <w:noWrap/>
            <w:vAlign w:val="center"/>
          </w:tcPr>
          <w:p w14:paraId="551B4652">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人流量</w:t>
            </w:r>
          </w:p>
        </w:tc>
        <w:tc>
          <w:tcPr>
            <w:tcW w:w="1131" w:type="pct"/>
            <w:tcBorders>
              <w:top w:val="nil"/>
              <w:left w:val="nil"/>
              <w:bottom w:val="single" w:color="auto" w:sz="4" w:space="0"/>
              <w:right w:val="single" w:color="auto" w:sz="4" w:space="0"/>
            </w:tcBorders>
            <w:noWrap/>
            <w:vAlign w:val="center"/>
          </w:tcPr>
          <w:p w14:paraId="228B623E">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100/104</w:t>
            </w:r>
          </w:p>
        </w:tc>
        <w:tc>
          <w:tcPr>
            <w:tcW w:w="1131" w:type="pct"/>
            <w:tcBorders>
              <w:top w:val="nil"/>
              <w:left w:val="nil"/>
              <w:bottom w:val="single" w:color="auto" w:sz="4" w:space="0"/>
              <w:right w:val="single" w:color="auto" w:sz="4" w:space="0"/>
            </w:tcBorders>
            <w:noWrap/>
            <w:vAlign w:val="center"/>
          </w:tcPr>
          <w:p w14:paraId="4E068848">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100/104</w:t>
            </w:r>
          </w:p>
        </w:tc>
        <w:tc>
          <w:tcPr>
            <w:tcW w:w="1131" w:type="pct"/>
            <w:tcBorders>
              <w:top w:val="nil"/>
              <w:left w:val="nil"/>
              <w:bottom w:val="single" w:color="auto" w:sz="4" w:space="0"/>
              <w:right w:val="single" w:color="auto" w:sz="4" w:space="0"/>
            </w:tcBorders>
            <w:noWrap/>
            <w:vAlign w:val="center"/>
          </w:tcPr>
          <w:p w14:paraId="0FD0AF18">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100/104</w:t>
            </w:r>
          </w:p>
        </w:tc>
      </w:tr>
      <w:tr w14:paraId="068DC09C">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0C291A11">
            <w:pPr>
              <w:widowControl/>
              <w:adjustRightInd/>
              <w:spacing w:line="240" w:lineRule="exact"/>
              <w:textAlignment w:val="auto"/>
              <w:rPr>
                <w:rFonts w:ascii="Arial" w:hAnsi="Arial" w:eastAsia="仿宋" w:cs="Arial"/>
                <w:snapToGrid w:val="0"/>
                <w:color w:val="auto"/>
                <w:sz w:val="18"/>
                <w:szCs w:val="18"/>
              </w:rPr>
            </w:pPr>
          </w:p>
        </w:tc>
        <w:tc>
          <w:tcPr>
            <w:tcW w:w="980" w:type="pct"/>
            <w:tcBorders>
              <w:top w:val="nil"/>
              <w:left w:val="nil"/>
              <w:bottom w:val="single" w:color="auto" w:sz="4" w:space="0"/>
              <w:right w:val="single" w:color="auto" w:sz="4" w:space="0"/>
            </w:tcBorders>
            <w:noWrap/>
            <w:vAlign w:val="center"/>
          </w:tcPr>
          <w:p w14:paraId="5D496567">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楼层</w:t>
            </w:r>
          </w:p>
        </w:tc>
        <w:tc>
          <w:tcPr>
            <w:tcW w:w="1131" w:type="pct"/>
            <w:tcBorders>
              <w:top w:val="nil"/>
              <w:left w:val="nil"/>
              <w:bottom w:val="single" w:color="auto" w:sz="4" w:space="0"/>
              <w:right w:val="single" w:color="auto" w:sz="4" w:space="0"/>
            </w:tcBorders>
            <w:noWrap/>
            <w:vAlign w:val="center"/>
          </w:tcPr>
          <w:p w14:paraId="1D33D79B">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20BB3812">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7FA05E1E">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r>
      <w:tr w14:paraId="58C8080E">
        <w:tblPrEx>
          <w:tblCellMar>
            <w:top w:w="57" w:type="dxa"/>
            <w:left w:w="57" w:type="dxa"/>
            <w:bottom w:w="57" w:type="dxa"/>
            <w:right w:w="57" w:type="dxa"/>
          </w:tblCellMar>
        </w:tblPrEx>
        <w:trPr>
          <w:trHeight w:val="280" w:hRule="atLeast"/>
          <w:jc w:val="center"/>
        </w:trPr>
        <w:tc>
          <w:tcPr>
            <w:tcW w:w="626" w:type="pct"/>
            <w:vMerge w:val="restart"/>
            <w:tcBorders>
              <w:top w:val="nil"/>
              <w:left w:val="single" w:color="auto" w:sz="4" w:space="0"/>
              <w:bottom w:val="single" w:color="000000" w:sz="4" w:space="0"/>
              <w:right w:val="single" w:color="auto" w:sz="4" w:space="0"/>
            </w:tcBorders>
            <w:noWrap/>
            <w:vAlign w:val="center"/>
          </w:tcPr>
          <w:p w14:paraId="3EC349DA">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个别因素</w:t>
            </w:r>
          </w:p>
        </w:tc>
        <w:tc>
          <w:tcPr>
            <w:tcW w:w="980" w:type="pct"/>
            <w:tcBorders>
              <w:top w:val="nil"/>
              <w:left w:val="nil"/>
              <w:bottom w:val="single" w:color="auto" w:sz="4" w:space="0"/>
              <w:right w:val="single" w:color="auto" w:sz="4" w:space="0"/>
            </w:tcBorders>
            <w:noWrap/>
            <w:vAlign w:val="center"/>
          </w:tcPr>
          <w:p w14:paraId="75E418BA">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商业类型</w:t>
            </w:r>
          </w:p>
        </w:tc>
        <w:tc>
          <w:tcPr>
            <w:tcW w:w="1131" w:type="pct"/>
            <w:tcBorders>
              <w:top w:val="nil"/>
              <w:left w:val="nil"/>
              <w:bottom w:val="single" w:color="auto" w:sz="4" w:space="0"/>
              <w:right w:val="single" w:color="auto" w:sz="4" w:space="0"/>
            </w:tcBorders>
            <w:noWrap/>
            <w:vAlign w:val="center"/>
          </w:tcPr>
          <w:p w14:paraId="2AA295E7">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100/108</w:t>
            </w:r>
          </w:p>
        </w:tc>
        <w:tc>
          <w:tcPr>
            <w:tcW w:w="1131" w:type="pct"/>
            <w:tcBorders>
              <w:top w:val="nil"/>
              <w:left w:val="nil"/>
              <w:bottom w:val="single" w:color="auto" w:sz="4" w:space="0"/>
              <w:right w:val="single" w:color="auto" w:sz="4" w:space="0"/>
            </w:tcBorders>
            <w:noWrap/>
            <w:vAlign w:val="center"/>
          </w:tcPr>
          <w:p w14:paraId="4C7DC60B">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100/108</w:t>
            </w:r>
          </w:p>
        </w:tc>
        <w:tc>
          <w:tcPr>
            <w:tcW w:w="1131" w:type="pct"/>
            <w:tcBorders>
              <w:top w:val="nil"/>
              <w:left w:val="nil"/>
              <w:bottom w:val="single" w:color="auto" w:sz="4" w:space="0"/>
              <w:right w:val="single" w:color="auto" w:sz="4" w:space="0"/>
            </w:tcBorders>
            <w:noWrap/>
            <w:vAlign w:val="center"/>
          </w:tcPr>
          <w:p w14:paraId="370BA080">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100/108</w:t>
            </w:r>
          </w:p>
        </w:tc>
      </w:tr>
      <w:tr w14:paraId="6346C303">
        <w:tblPrEx>
          <w:tblCellMar>
            <w:top w:w="57" w:type="dxa"/>
            <w:left w:w="57" w:type="dxa"/>
            <w:bottom w:w="57" w:type="dxa"/>
            <w:right w:w="57" w:type="dxa"/>
          </w:tblCellMar>
        </w:tblPrEx>
        <w:trPr>
          <w:trHeight w:val="280" w:hRule="atLeast"/>
          <w:jc w:val="center"/>
        </w:trPr>
        <w:tc>
          <w:tcPr>
            <w:tcW w:w="626" w:type="pct"/>
            <w:vMerge w:val="continue"/>
            <w:tcBorders>
              <w:top w:val="nil"/>
              <w:left w:val="single" w:color="auto" w:sz="4" w:space="0"/>
              <w:bottom w:val="single" w:color="000000" w:sz="4" w:space="0"/>
              <w:right w:val="single" w:color="auto" w:sz="4" w:space="0"/>
            </w:tcBorders>
            <w:vAlign w:val="center"/>
          </w:tcPr>
          <w:p w14:paraId="7810C5CB">
            <w:pPr>
              <w:widowControl/>
              <w:adjustRightInd/>
              <w:spacing w:line="240" w:lineRule="exact"/>
              <w:textAlignment w:val="auto"/>
              <w:rPr>
                <w:rFonts w:ascii="Arial" w:hAnsi="Arial" w:eastAsia="仿宋" w:cs="Arial"/>
                <w:snapToGrid w:val="0"/>
                <w:color w:val="auto"/>
                <w:sz w:val="18"/>
                <w:szCs w:val="18"/>
              </w:rPr>
            </w:pPr>
          </w:p>
        </w:tc>
        <w:tc>
          <w:tcPr>
            <w:tcW w:w="980" w:type="pct"/>
            <w:tcBorders>
              <w:top w:val="nil"/>
              <w:left w:val="nil"/>
              <w:bottom w:val="single" w:color="auto" w:sz="4" w:space="0"/>
              <w:right w:val="single" w:color="auto" w:sz="4" w:space="0"/>
            </w:tcBorders>
            <w:noWrap/>
            <w:vAlign w:val="center"/>
          </w:tcPr>
          <w:p w14:paraId="3542B539">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项目建筑规模</w:t>
            </w:r>
          </w:p>
        </w:tc>
        <w:tc>
          <w:tcPr>
            <w:tcW w:w="1131" w:type="pct"/>
            <w:tcBorders>
              <w:top w:val="nil"/>
              <w:left w:val="nil"/>
              <w:bottom w:val="single" w:color="auto" w:sz="4" w:space="0"/>
              <w:right w:val="single" w:color="auto" w:sz="4" w:space="0"/>
            </w:tcBorders>
            <w:noWrap/>
            <w:vAlign w:val="center"/>
          </w:tcPr>
          <w:p w14:paraId="6D003ADE">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1F882C44">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2067EE87">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r>
      <w:tr w14:paraId="16677A70">
        <w:tblPrEx>
          <w:tblCellMar>
            <w:top w:w="57" w:type="dxa"/>
            <w:left w:w="57" w:type="dxa"/>
            <w:bottom w:w="57" w:type="dxa"/>
            <w:right w:w="57" w:type="dxa"/>
          </w:tblCellMar>
        </w:tblPrEx>
        <w:trPr>
          <w:trHeight w:val="280" w:hRule="atLeast"/>
          <w:jc w:val="center"/>
        </w:trPr>
        <w:tc>
          <w:tcPr>
            <w:tcW w:w="626" w:type="pct"/>
            <w:vMerge w:val="continue"/>
            <w:tcBorders>
              <w:top w:val="nil"/>
              <w:left w:val="single" w:color="auto" w:sz="4" w:space="0"/>
              <w:bottom w:val="single" w:color="000000" w:sz="4" w:space="0"/>
              <w:right w:val="single" w:color="auto" w:sz="4" w:space="0"/>
            </w:tcBorders>
            <w:vAlign w:val="center"/>
          </w:tcPr>
          <w:p w14:paraId="62DF3FAA">
            <w:pPr>
              <w:widowControl/>
              <w:adjustRightInd/>
              <w:spacing w:line="240" w:lineRule="exact"/>
              <w:textAlignment w:val="auto"/>
              <w:rPr>
                <w:rFonts w:ascii="Arial" w:hAnsi="Arial" w:eastAsia="仿宋" w:cs="Arial"/>
                <w:snapToGrid w:val="0"/>
                <w:color w:val="auto"/>
                <w:sz w:val="18"/>
                <w:szCs w:val="18"/>
              </w:rPr>
            </w:pPr>
          </w:p>
        </w:tc>
        <w:tc>
          <w:tcPr>
            <w:tcW w:w="980" w:type="pct"/>
            <w:tcBorders>
              <w:top w:val="nil"/>
              <w:left w:val="nil"/>
              <w:bottom w:val="single" w:color="auto" w:sz="4" w:space="0"/>
              <w:right w:val="single" w:color="auto" w:sz="4" w:space="0"/>
            </w:tcBorders>
            <w:noWrap/>
            <w:vAlign w:val="center"/>
          </w:tcPr>
          <w:p w14:paraId="7F6D1419">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建筑结构</w:t>
            </w:r>
          </w:p>
        </w:tc>
        <w:tc>
          <w:tcPr>
            <w:tcW w:w="1131" w:type="pct"/>
            <w:tcBorders>
              <w:top w:val="nil"/>
              <w:left w:val="nil"/>
              <w:bottom w:val="single" w:color="auto" w:sz="4" w:space="0"/>
              <w:right w:val="single" w:color="auto" w:sz="4" w:space="0"/>
            </w:tcBorders>
            <w:noWrap/>
            <w:vAlign w:val="center"/>
          </w:tcPr>
          <w:p w14:paraId="6AA139D9">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36F2618A">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c>
          <w:tcPr>
            <w:tcW w:w="1131" w:type="pct"/>
            <w:tcBorders>
              <w:top w:val="nil"/>
              <w:left w:val="nil"/>
              <w:bottom w:val="single" w:color="auto" w:sz="4" w:space="0"/>
              <w:right w:val="single" w:color="auto" w:sz="4" w:space="0"/>
            </w:tcBorders>
            <w:noWrap/>
            <w:vAlign w:val="center"/>
          </w:tcPr>
          <w:p w14:paraId="1D6D77D3">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100/100</w:t>
            </w:r>
          </w:p>
        </w:tc>
      </w:tr>
      <w:tr w14:paraId="61807622">
        <w:tblPrEx>
          <w:tblCellMar>
            <w:top w:w="57" w:type="dxa"/>
            <w:left w:w="57" w:type="dxa"/>
            <w:bottom w:w="57" w:type="dxa"/>
            <w:right w:w="57" w:type="dxa"/>
          </w:tblCellMar>
        </w:tblPrEx>
        <w:trPr>
          <w:trHeight w:val="280" w:hRule="atLeast"/>
          <w:jc w:val="center"/>
        </w:trPr>
        <w:tc>
          <w:tcPr>
            <w:tcW w:w="626" w:type="pct"/>
            <w:vMerge w:val="continue"/>
            <w:tcBorders>
              <w:top w:val="nil"/>
              <w:left w:val="single" w:color="auto" w:sz="4" w:space="0"/>
              <w:bottom w:val="single" w:color="000000" w:sz="4" w:space="0"/>
              <w:right w:val="single" w:color="auto" w:sz="4" w:space="0"/>
            </w:tcBorders>
            <w:vAlign w:val="center"/>
          </w:tcPr>
          <w:p w14:paraId="2B9CBF65">
            <w:pPr>
              <w:widowControl/>
              <w:adjustRightInd/>
              <w:spacing w:line="240" w:lineRule="exact"/>
              <w:textAlignment w:val="auto"/>
              <w:rPr>
                <w:rFonts w:ascii="Arial" w:hAnsi="Arial" w:eastAsia="仿宋" w:cs="Arial"/>
                <w:snapToGrid w:val="0"/>
                <w:color w:val="auto"/>
                <w:sz w:val="18"/>
                <w:szCs w:val="18"/>
              </w:rPr>
            </w:pPr>
          </w:p>
        </w:tc>
        <w:tc>
          <w:tcPr>
            <w:tcW w:w="980" w:type="pct"/>
            <w:tcBorders>
              <w:top w:val="nil"/>
              <w:left w:val="nil"/>
              <w:bottom w:val="single" w:color="auto" w:sz="4" w:space="0"/>
              <w:right w:val="single" w:color="auto" w:sz="4" w:space="0"/>
            </w:tcBorders>
            <w:noWrap/>
            <w:vAlign w:val="center"/>
          </w:tcPr>
          <w:p w14:paraId="565DE3E5">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成新度</w:t>
            </w:r>
          </w:p>
        </w:tc>
        <w:tc>
          <w:tcPr>
            <w:tcW w:w="1131" w:type="pct"/>
            <w:tcBorders>
              <w:top w:val="nil"/>
              <w:left w:val="nil"/>
              <w:bottom w:val="single" w:color="auto" w:sz="4" w:space="0"/>
              <w:right w:val="single" w:color="auto" w:sz="4" w:space="0"/>
            </w:tcBorders>
            <w:noWrap/>
            <w:vAlign w:val="center"/>
          </w:tcPr>
          <w:p w14:paraId="59C6DE69">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100/99</w:t>
            </w:r>
          </w:p>
        </w:tc>
        <w:tc>
          <w:tcPr>
            <w:tcW w:w="1131" w:type="pct"/>
            <w:tcBorders>
              <w:top w:val="nil"/>
              <w:left w:val="nil"/>
              <w:bottom w:val="single" w:color="auto" w:sz="4" w:space="0"/>
              <w:right w:val="single" w:color="auto" w:sz="4" w:space="0"/>
            </w:tcBorders>
            <w:noWrap/>
            <w:vAlign w:val="center"/>
          </w:tcPr>
          <w:p w14:paraId="63E7741A">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100/99</w:t>
            </w:r>
          </w:p>
        </w:tc>
        <w:tc>
          <w:tcPr>
            <w:tcW w:w="1131" w:type="pct"/>
            <w:tcBorders>
              <w:top w:val="nil"/>
              <w:left w:val="nil"/>
              <w:bottom w:val="single" w:color="auto" w:sz="4" w:space="0"/>
              <w:right w:val="single" w:color="auto" w:sz="4" w:space="0"/>
            </w:tcBorders>
            <w:noWrap/>
            <w:vAlign w:val="center"/>
          </w:tcPr>
          <w:p w14:paraId="1131FFE2">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100/99</w:t>
            </w:r>
          </w:p>
        </w:tc>
      </w:tr>
      <w:tr w14:paraId="51BAAC02">
        <w:tblPrEx>
          <w:tblCellMar>
            <w:top w:w="57" w:type="dxa"/>
            <w:left w:w="57" w:type="dxa"/>
            <w:bottom w:w="57" w:type="dxa"/>
            <w:right w:w="57" w:type="dxa"/>
          </w:tblCellMar>
        </w:tblPrEx>
        <w:trPr>
          <w:trHeight w:val="280" w:hRule="atLeast"/>
          <w:jc w:val="center"/>
        </w:trPr>
        <w:tc>
          <w:tcPr>
            <w:tcW w:w="1606" w:type="pct"/>
            <w:gridSpan w:val="2"/>
            <w:tcBorders>
              <w:top w:val="nil"/>
              <w:left w:val="single" w:color="auto" w:sz="4" w:space="0"/>
              <w:bottom w:val="single" w:color="auto" w:sz="4" w:space="0"/>
              <w:right w:val="single" w:color="auto" w:sz="4" w:space="0"/>
            </w:tcBorders>
            <w:noWrap/>
            <w:vAlign w:val="bottom"/>
          </w:tcPr>
          <w:p w14:paraId="5DCEC05B">
            <w:pPr>
              <w:widowControl/>
              <w:adjustRightInd/>
              <w:spacing w:line="240" w:lineRule="exact"/>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成交单价（元/平方米）</w:t>
            </w:r>
          </w:p>
        </w:tc>
        <w:tc>
          <w:tcPr>
            <w:tcW w:w="1131" w:type="pct"/>
            <w:tcBorders>
              <w:top w:val="nil"/>
              <w:left w:val="nil"/>
              <w:bottom w:val="single" w:color="auto" w:sz="4" w:space="0"/>
              <w:right w:val="single" w:color="auto" w:sz="4" w:space="0"/>
            </w:tcBorders>
            <w:noWrap/>
            <w:vAlign w:val="center"/>
          </w:tcPr>
          <w:p w14:paraId="10A7293E">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20000</w:t>
            </w:r>
          </w:p>
        </w:tc>
        <w:tc>
          <w:tcPr>
            <w:tcW w:w="1131" w:type="pct"/>
            <w:tcBorders>
              <w:top w:val="nil"/>
              <w:left w:val="nil"/>
              <w:bottom w:val="single" w:color="auto" w:sz="4" w:space="0"/>
              <w:right w:val="single" w:color="auto" w:sz="4" w:space="0"/>
            </w:tcBorders>
            <w:noWrap/>
            <w:vAlign w:val="center"/>
          </w:tcPr>
          <w:p w14:paraId="7C540B29">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20000</w:t>
            </w:r>
          </w:p>
        </w:tc>
        <w:tc>
          <w:tcPr>
            <w:tcW w:w="1131" w:type="pct"/>
            <w:tcBorders>
              <w:top w:val="nil"/>
              <w:left w:val="nil"/>
              <w:bottom w:val="single" w:color="auto" w:sz="4" w:space="0"/>
              <w:right w:val="single" w:color="auto" w:sz="4" w:space="0"/>
            </w:tcBorders>
            <w:noWrap/>
            <w:vAlign w:val="center"/>
          </w:tcPr>
          <w:p w14:paraId="2C583CC9">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21000</w:t>
            </w:r>
          </w:p>
        </w:tc>
      </w:tr>
      <w:tr w14:paraId="59A58DB7">
        <w:tblPrEx>
          <w:tblCellMar>
            <w:top w:w="57" w:type="dxa"/>
            <w:left w:w="57" w:type="dxa"/>
            <w:bottom w:w="57" w:type="dxa"/>
            <w:right w:w="57" w:type="dxa"/>
          </w:tblCellMar>
        </w:tblPrEx>
        <w:trPr>
          <w:trHeight w:val="280" w:hRule="atLeast"/>
          <w:jc w:val="center"/>
        </w:trPr>
        <w:tc>
          <w:tcPr>
            <w:tcW w:w="1606" w:type="pct"/>
            <w:gridSpan w:val="2"/>
            <w:tcBorders>
              <w:top w:val="nil"/>
              <w:left w:val="single" w:color="auto" w:sz="4" w:space="0"/>
              <w:bottom w:val="single" w:color="auto" w:sz="4" w:space="0"/>
              <w:right w:val="single" w:color="auto" w:sz="4" w:space="0"/>
            </w:tcBorders>
            <w:noWrap/>
            <w:vAlign w:val="bottom"/>
          </w:tcPr>
          <w:p w14:paraId="4A89F15A">
            <w:pPr>
              <w:widowControl/>
              <w:adjustRightInd/>
              <w:spacing w:line="240" w:lineRule="exact"/>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比较价格（元/平方米）</w:t>
            </w:r>
          </w:p>
        </w:tc>
        <w:tc>
          <w:tcPr>
            <w:tcW w:w="1131" w:type="pct"/>
            <w:tcBorders>
              <w:top w:val="nil"/>
              <w:left w:val="nil"/>
              <w:bottom w:val="single" w:color="auto" w:sz="4" w:space="0"/>
              <w:right w:val="single" w:color="auto" w:sz="4" w:space="0"/>
            </w:tcBorders>
            <w:noWrap/>
            <w:vAlign w:val="center"/>
          </w:tcPr>
          <w:p w14:paraId="7B60E2F0">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16148</w:t>
            </w:r>
          </w:p>
        </w:tc>
        <w:tc>
          <w:tcPr>
            <w:tcW w:w="1131" w:type="pct"/>
            <w:tcBorders>
              <w:top w:val="nil"/>
              <w:left w:val="nil"/>
              <w:bottom w:val="single" w:color="auto" w:sz="4" w:space="0"/>
              <w:right w:val="single" w:color="auto" w:sz="4" w:space="0"/>
            </w:tcBorders>
            <w:noWrap/>
            <w:vAlign w:val="center"/>
          </w:tcPr>
          <w:p w14:paraId="4E0BDC30">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16464</w:t>
            </w:r>
          </w:p>
        </w:tc>
        <w:tc>
          <w:tcPr>
            <w:tcW w:w="1131" w:type="pct"/>
            <w:tcBorders>
              <w:top w:val="nil"/>
              <w:left w:val="nil"/>
              <w:bottom w:val="single" w:color="auto" w:sz="4" w:space="0"/>
              <w:right w:val="single" w:color="auto" w:sz="4" w:space="0"/>
            </w:tcBorders>
            <w:noWrap/>
            <w:vAlign w:val="center"/>
          </w:tcPr>
          <w:p w14:paraId="00C53DBF">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16302</w:t>
            </w:r>
          </w:p>
        </w:tc>
      </w:tr>
    </w:tbl>
    <w:p w14:paraId="0F9DA5EB">
      <w:pPr>
        <w:spacing w:before="17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北京市国有建设用地使用权出让地价评估技术导则》（2026年2月10日实施）（6.3.3（9）比准价格确定）：所选取的若干个比较实例价格经过各项比较修正后，可选用简单算术平均法或加权算术平均法计算综合结果作为比准价格；</w:t>
      </w:r>
    </w:p>
    <w:p w14:paraId="28EF5BA1">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1）一般采用算术平均法。对于比准价格差异≤10%的可采用简单算术平均法，比准价格差异&gt;10%而&lt;40%的采用加权算术平均法，比准价格差异&gt;40%的应重新选择比较实例；</w:t>
      </w:r>
    </w:p>
    <w:p w14:paraId="3307B9F2">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2）采用加权算术平均法时，应充分合理说明权重取值的理由，通常与估价对象条件越接近的成交案例比准价格可取较高权重值。</w:t>
      </w:r>
    </w:p>
    <w:p w14:paraId="1909EC3C">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经计算，比准价格差异为1.96%（（16464－16148）÷16148＝1.96%）比准价格差异&lt;10%，故本次采用简单算术平均法确定比准价格作为估价对象房地产市场比较法评估测算结果，即：</w:t>
      </w:r>
    </w:p>
    <w:p w14:paraId="685E94D7">
      <w:pPr>
        <w:spacing w:before="50" w:line="300" w:lineRule="auto"/>
        <w:ind w:firstLine="560" w:firstLineChars="200"/>
        <w:rPr>
          <w:rFonts w:ascii="Arial" w:hAnsi="Arial" w:eastAsia="仿宋_GB2312" w:cs="Arial"/>
          <w:color w:val="auto"/>
          <w:sz w:val="28"/>
        </w:rPr>
      </w:pPr>
      <w:r>
        <w:rPr>
          <w:rFonts w:ascii="Arial" w:hAnsi="Arial" w:eastAsia="仿宋_GB2312" w:cs="Arial"/>
          <w:color w:val="auto"/>
          <w:sz w:val="28"/>
        </w:rPr>
        <w:t>比准价格</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s="Arial"/>
          <w:color w:val="auto"/>
          <w:sz w:val="28"/>
        </w:rPr>
        <w:t>16148＋16464＋16302</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3</w:t>
      </w:r>
    </w:p>
    <w:p w14:paraId="3DBAD835">
      <w:pPr>
        <w:spacing w:before="50" w:line="300" w:lineRule="auto"/>
        <w:ind w:firstLine="560" w:firstLineChars="200"/>
        <w:rPr>
          <w:rFonts w:ascii="Arial" w:hAnsi="Arial" w:eastAsia="仿宋_GB2312" w:cs="Arial"/>
          <w:color w:val="auto"/>
          <w:sz w:val="28"/>
        </w:rPr>
      </w:pPr>
      <w:r>
        <w:rPr>
          <w:rFonts w:ascii="Arial" w:hAnsi="Arial" w:eastAsia="仿宋_GB2312" w:cs="Arial"/>
          <w:color w:val="auto"/>
          <w:sz w:val="28"/>
        </w:rPr>
        <w:t xml:space="preserve">        </w:t>
      </w:r>
      <w:r>
        <w:rPr>
          <w:rFonts w:hint="eastAsia" w:ascii="Arial" w:hAnsi="Arial" w:eastAsia="仿宋_GB2312" w:cs="Arial"/>
          <w:color w:val="auto"/>
          <w:sz w:val="28"/>
        </w:rPr>
        <w:t>＝16305</w:t>
      </w:r>
      <w:r>
        <w:rPr>
          <w:rFonts w:ascii="Arial" w:hAnsi="Arial" w:eastAsia="仿宋_GB2312" w:cs="Arial"/>
          <w:color w:val="auto"/>
          <w:sz w:val="28"/>
        </w:rPr>
        <w:t>（元/平方米）</w:t>
      </w:r>
    </w:p>
    <w:p w14:paraId="388255FE">
      <w:pPr>
        <w:spacing w:before="50" w:line="300" w:lineRule="auto"/>
        <w:ind w:firstLine="560" w:firstLineChars="200"/>
        <w:rPr>
          <w:rFonts w:ascii="Arial" w:hAnsi="Arial" w:eastAsia="仿宋_GB2312" w:cs="Arial"/>
          <w:color w:val="auto"/>
          <w:sz w:val="28"/>
        </w:rPr>
      </w:pPr>
      <w:r>
        <w:rPr>
          <w:rFonts w:ascii="Arial" w:hAnsi="Arial" w:eastAsia="仿宋_GB2312" w:cs="Arial"/>
          <w:color w:val="auto"/>
          <w:sz w:val="28"/>
        </w:rPr>
        <w:t>未来开发价值总价</w:t>
      </w:r>
      <w:r>
        <w:rPr>
          <w:rFonts w:hint="eastAsia" w:ascii="Arial" w:hAnsi="Arial" w:eastAsia="仿宋_GB2312" w:cs="Arial"/>
          <w:color w:val="auto"/>
          <w:sz w:val="28"/>
        </w:rPr>
        <w:t>＝16305×176÷</w:t>
      </w:r>
      <w:r>
        <w:rPr>
          <w:rFonts w:ascii="Arial" w:hAnsi="Arial" w:eastAsia="仿宋_GB2312" w:cs="Arial"/>
          <w:color w:val="auto"/>
          <w:sz w:val="28"/>
        </w:rPr>
        <w:t>10000</w:t>
      </w:r>
    </w:p>
    <w:p w14:paraId="4712D73E">
      <w:pPr>
        <w:spacing w:before="50" w:line="300" w:lineRule="auto"/>
        <w:ind w:firstLine="2800" w:firstLineChars="1000"/>
        <w:rPr>
          <w:rFonts w:ascii="Arial" w:hAnsi="Arial" w:eastAsia="仿宋_GB2312" w:cs="Arial"/>
          <w:color w:val="auto"/>
          <w:sz w:val="28"/>
        </w:rPr>
      </w:pPr>
      <w:r>
        <w:rPr>
          <w:rFonts w:hint="eastAsia" w:ascii="Arial" w:hAnsi="Arial" w:eastAsia="仿宋_GB2312" w:cs="Arial"/>
          <w:color w:val="auto"/>
          <w:sz w:val="28"/>
        </w:rPr>
        <w:t>＝286.9680</w:t>
      </w:r>
      <w:r>
        <w:rPr>
          <w:rFonts w:ascii="Arial" w:hAnsi="Arial" w:eastAsia="仿宋_GB2312" w:cs="Arial"/>
          <w:color w:val="auto"/>
          <w:sz w:val="28"/>
        </w:rPr>
        <w:t>（万元）</w:t>
      </w:r>
    </w:p>
    <w:p w14:paraId="43873B9C">
      <w:pPr>
        <w:spacing w:before="120" w:beforeLines="50" w:after="120" w:after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C.开发成本</w:t>
      </w:r>
    </w:p>
    <w:p w14:paraId="77979EAC">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根据《北京市国有建设用地使用权出让地价评估技术导则》（2026年2月10日实施）6.2.1开发成本确定:</w:t>
      </w:r>
    </w:p>
    <w:p w14:paraId="7540894B">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开发成本是项目开发建设期间所发生的客观费用的总和。</w:t>
      </w:r>
    </w:p>
    <w:p w14:paraId="78AE5F71">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开发成本计算公式为：</w:t>
      </w:r>
    </w:p>
    <w:p w14:paraId="2BFECA81">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开发成本＝购地税费＋房屋建设成本＋管理费用＋销售费用＋投资利息＋销售税费</w:t>
      </w:r>
    </w:p>
    <w:p w14:paraId="0E1E847F">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房屋建设成本＝前期费用＋建筑安装工程费＋基础设施建设费＋公共配套设施建设费＋开发期间税费＋其他工程费</w:t>
      </w:r>
    </w:p>
    <w:p w14:paraId="31A956D8">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a.购地税费</w:t>
      </w:r>
    </w:p>
    <w:p w14:paraId="41D1FDE5">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设定估价对</w:t>
      </w:r>
      <w:r>
        <w:rPr>
          <w:rFonts w:hint="eastAsia" w:ascii="Arial" w:hAnsi="Arial" w:eastAsia="仿宋_GB2312"/>
          <w:color w:val="auto"/>
          <w:sz w:val="28"/>
        </w:rPr>
        <w:t>象于“七通”条件下的城镇住宅用地熟地总价为</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万元。取得土地的税费指契税、印花税及交易手续费等，按照《中华人民共和国印花税法》（2021年6月10日第十三届全国人民代表大会常务委员会第二十九次会议通过），土地使用权出让合同按产权转移书据征收印花税，印花税及交易手续费以土地价值的0.05%计算，按照《中华人民共和国契税法》（2020年8月11日第十三届全国人民代表大会常务委员会第二十一次会议通过）</w:t>
      </w:r>
      <w:r>
        <w:rPr>
          <w:rFonts w:hint="eastAsia" w:ascii="Arial" w:hAnsi="Arial" w:eastAsia="仿宋_GB2312"/>
          <w:color w:val="auto"/>
          <w:sz w:val="28"/>
          <w:lang w:eastAsia="zh-CN"/>
        </w:rPr>
        <w:t>、《</w:t>
      </w:r>
      <w:r>
        <w:rPr>
          <w:rFonts w:hint="eastAsia" w:ascii="Arial" w:hAnsi="Arial" w:eastAsia="仿宋_GB2312"/>
          <w:color w:val="auto"/>
          <w:sz w:val="28"/>
        </w:rPr>
        <w:t>北京市人民代表大会常务委员会关于北京市契税具体适用税率等事项的决定</w:t>
      </w:r>
      <w:r>
        <w:rPr>
          <w:rFonts w:hint="eastAsia" w:ascii="Arial" w:hAnsi="Arial" w:eastAsia="仿宋_GB2312"/>
          <w:color w:val="auto"/>
          <w:sz w:val="28"/>
          <w:lang w:eastAsia="zh-CN"/>
        </w:rPr>
        <w:t>》（</w:t>
      </w:r>
      <w:r>
        <w:rPr>
          <w:rFonts w:hint="eastAsia" w:ascii="Arial" w:hAnsi="Arial" w:eastAsia="仿宋_GB2312"/>
          <w:color w:val="auto"/>
          <w:sz w:val="28"/>
        </w:rPr>
        <w:t>本决定自2021年9月1日起施行</w:t>
      </w:r>
      <w:r>
        <w:rPr>
          <w:rFonts w:hint="eastAsia" w:ascii="Arial" w:hAnsi="Arial" w:eastAsia="仿宋_GB2312"/>
          <w:color w:val="auto"/>
          <w:sz w:val="28"/>
          <w:lang w:eastAsia="zh-CN"/>
        </w:rPr>
        <w:t>），</w:t>
      </w:r>
      <w:r>
        <w:rPr>
          <w:rFonts w:hint="eastAsia" w:ascii="Arial" w:hAnsi="Arial" w:eastAsia="仿宋_GB2312"/>
          <w:color w:val="auto"/>
          <w:sz w:val="28"/>
        </w:rPr>
        <w:t>契税以土地成交价的3%缴纳，则两者合计为3.05%。即购地税费为3.05%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万元。</w:t>
      </w:r>
    </w:p>
    <w:p w14:paraId="3F566C95">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b.</w:t>
      </w:r>
      <w:r>
        <w:rPr>
          <w:rFonts w:hint="eastAsia" w:ascii="仿宋_GB2312" w:eastAsia="仿宋_GB2312"/>
          <w:color w:val="auto"/>
          <w:sz w:val="28"/>
        </w:rPr>
        <w:t>房屋建设成本</w:t>
      </w:r>
    </w:p>
    <w:p w14:paraId="11E38C73">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a）建筑安装工程费</w:t>
      </w:r>
    </w:p>
    <w:p w14:paraId="6600D721">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指建造商品房及附属工程所发生的土建工程费用、安装工程费用、装饰装修工程费用等。参照住房和城乡建设部标准定额研究所发布的北京建安成本，同时参考评估人员掌握的目前同类地区、相同档次项目的建筑结构及装修情况，综合确定估价对象的建筑安装工程费用为4500元/平方米</w:t>
      </w:r>
      <w:r>
        <w:rPr>
          <w:rFonts w:hint="eastAsia" w:ascii="Arial" w:hAnsi="Arial" w:eastAsia="仿宋" w:cs="Arial"/>
          <w:color w:val="auto"/>
          <w:sz w:val="28"/>
        </w:rPr>
        <w:t>则有：</w:t>
      </w:r>
    </w:p>
    <w:p w14:paraId="47809435">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建筑安装工程费＝45</w:t>
      </w:r>
      <w:r>
        <w:rPr>
          <w:rFonts w:ascii="Arial" w:hAnsi="Arial" w:eastAsia="仿宋_GB2312"/>
          <w:color w:val="auto"/>
          <w:sz w:val="28"/>
        </w:rPr>
        <w:t>00</w:t>
      </w:r>
      <w:r>
        <w:rPr>
          <w:rFonts w:hint="eastAsia" w:ascii="仿宋_GB2312" w:eastAsia="仿宋_GB2312"/>
          <w:color w:val="auto"/>
          <w:sz w:val="28"/>
        </w:rPr>
        <w:t>×</w:t>
      </w:r>
      <w:r>
        <w:rPr>
          <w:rFonts w:hint="eastAsia" w:ascii="Arial" w:hAnsi="Arial" w:eastAsia="仿宋_GB2312" w:cs="Arial"/>
          <w:color w:val="auto"/>
          <w:sz w:val="28"/>
        </w:rPr>
        <w:t>176÷</w:t>
      </w:r>
      <w:r>
        <w:rPr>
          <w:rFonts w:ascii="Arial" w:hAnsi="Arial" w:eastAsia="仿宋_GB2312" w:cs="Arial"/>
          <w:color w:val="auto"/>
          <w:sz w:val="28"/>
        </w:rPr>
        <w:t>10000</w:t>
      </w:r>
      <w:r>
        <w:rPr>
          <w:rFonts w:hint="eastAsia" w:ascii="仿宋_GB2312" w:eastAsia="仿宋_GB2312"/>
          <w:color w:val="auto"/>
          <w:sz w:val="28"/>
        </w:rPr>
        <w:t>＝</w:t>
      </w:r>
      <w:r>
        <w:rPr>
          <w:rFonts w:hint="eastAsia" w:ascii="Arial" w:hAnsi="Arial" w:eastAsia="仿宋_GB2312"/>
          <w:color w:val="auto"/>
          <w:sz w:val="28"/>
        </w:rPr>
        <w:t>79.2000（万元）</w:t>
      </w:r>
    </w:p>
    <w:p w14:paraId="314AE6F1">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b）前期费用</w:t>
      </w:r>
    </w:p>
    <w:p w14:paraId="2E97DAFA">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勘察设计和前期工程费指建造商品房及附属工程过程中勘察、测量设计、市场调研等费用。目前北京市房地产开发中该类建筑物的勘察设计和前期工程费用一般为建造成本的5－10%之间，根据估价对象自身状况，本次评估确定勘察设计和前期工程费以建筑安装工程费为计费基础取8%，则有：</w:t>
      </w:r>
    </w:p>
    <w:p w14:paraId="29ECFF21">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勘查设计和前期工程费＝建安费用×取费标准</w:t>
      </w:r>
    </w:p>
    <w:p w14:paraId="40A49F0C">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＝79.2000×8</w:t>
      </w:r>
      <w:r>
        <w:rPr>
          <w:rFonts w:ascii="Arial" w:hAnsi="Arial" w:eastAsia="仿宋_GB2312"/>
          <w:color w:val="auto"/>
          <w:sz w:val="28"/>
        </w:rPr>
        <w:t>%</w:t>
      </w:r>
    </w:p>
    <w:p w14:paraId="60E41075">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＝6.3360（万元）</w:t>
      </w:r>
    </w:p>
    <w:p w14:paraId="4710083D">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c）基础设施建设费</w:t>
      </w:r>
    </w:p>
    <w:p w14:paraId="4FA91470">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基础设施建设费是指建筑物外墙外边线2m以外和项目红线范围内的道路、供水、供电、</w:t>
      </w:r>
      <w:r>
        <w:rPr>
          <w:rFonts w:hint="eastAsia" w:ascii="Arial" w:hAnsi="Arial" w:eastAsia="仿宋_GB2312"/>
          <w:color w:val="auto"/>
          <w:sz w:val="28"/>
        </w:rPr>
        <w:t>供气、通信、绿化、环卫、排水、室外照明等设施的建设费用，以及各项设施与市政千道、千管、干线等的接口费用，北京市房地产开发项目宗地内基础设施建设费一般为建安工程费的5%－15%。根据估价人员现场调查，通过区域电力、燃气、暖气、上下水标准及室外绿化、道路等配套情况，同时结合估价对象所处位置、建设规模等情况，基础设施建设费取建筑安装工程费的10%,则有：</w:t>
      </w:r>
    </w:p>
    <w:p w14:paraId="356B6116">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基础设施建设费＝建安费用×取费标准</w:t>
      </w:r>
    </w:p>
    <w:p w14:paraId="70D42F3D">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＝79.2000×10</w:t>
      </w:r>
      <w:r>
        <w:rPr>
          <w:rFonts w:ascii="Arial" w:hAnsi="Arial" w:eastAsia="仿宋_GB2312"/>
          <w:color w:val="auto"/>
          <w:sz w:val="28"/>
        </w:rPr>
        <w:t>%</w:t>
      </w:r>
    </w:p>
    <w:p w14:paraId="07D3A39D">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＝7.9200（万元）</w:t>
      </w:r>
    </w:p>
    <w:p w14:paraId="3A4FCD58">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d）</w:t>
      </w:r>
      <w:r>
        <w:rPr>
          <w:rFonts w:hint="eastAsia" w:ascii="仿宋_GB2312" w:eastAsia="仿宋_GB2312"/>
          <w:color w:val="auto"/>
          <w:sz w:val="28"/>
        </w:rPr>
        <w:t>公共配套设施费用</w:t>
      </w:r>
    </w:p>
    <w:p w14:paraId="2D4E478E">
      <w:pPr>
        <w:spacing w:line="300" w:lineRule="auto"/>
        <w:ind w:firstLine="560" w:firstLineChars="200"/>
        <w:jc w:val="both"/>
        <w:rPr>
          <w:rFonts w:ascii="仿宋_GB2312" w:eastAsia="仿宋_GB2312"/>
          <w:color w:val="auto"/>
          <w:sz w:val="28"/>
        </w:rPr>
      </w:pPr>
      <w:r>
        <w:rPr>
          <w:rFonts w:hint="eastAsia" w:ascii="Arial" w:hAnsi="Arial" w:eastAsia="仿宋" w:cs="Arial"/>
          <w:color w:val="auto"/>
          <w:sz w:val="28"/>
          <w:szCs w:val="28"/>
        </w:rPr>
        <w:t>公共配套设施建设费按照城市规划要求小区内配套的教育、医疗卫生、文化体育、社区服务等非营业性设施的建设费用。小区配套费用仅限于住宅小区开发时计取，非住宅不计取。</w:t>
      </w:r>
    </w:p>
    <w:p w14:paraId="373F280A">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e）</w:t>
      </w:r>
      <w:r>
        <w:rPr>
          <w:rFonts w:hint="eastAsia" w:ascii="仿宋_GB2312" w:eastAsia="仿宋_GB2312"/>
          <w:color w:val="auto"/>
          <w:sz w:val="28"/>
        </w:rPr>
        <w:t>开发期间税费</w:t>
      </w:r>
    </w:p>
    <w:p w14:paraId="5DAA5160">
      <w:pPr>
        <w:spacing w:before="50" w:after="50" w:line="300" w:lineRule="auto"/>
        <w:ind w:firstLine="560" w:firstLineChars="200"/>
        <w:jc w:val="both"/>
        <w:rPr>
          <w:rFonts w:ascii="Arial" w:hAnsi="Arial" w:eastAsia="仿宋" w:cs="Arial"/>
          <w:color w:val="auto"/>
          <w:sz w:val="28"/>
          <w:szCs w:val="28"/>
        </w:rPr>
      </w:pPr>
      <w:r>
        <w:rPr>
          <w:rFonts w:hint="eastAsia" w:ascii="仿宋_GB2312" w:eastAsia="仿宋_GB2312"/>
          <w:color w:val="auto"/>
          <w:sz w:val="28"/>
        </w:rPr>
        <w:t>主要</w:t>
      </w:r>
      <w:r>
        <w:rPr>
          <w:rFonts w:hint="eastAsia" w:ascii="Arial" w:hAnsi="Arial" w:eastAsia="仿宋" w:cs="Arial"/>
          <w:color w:val="auto"/>
          <w:sz w:val="28"/>
          <w:szCs w:val="28"/>
        </w:rPr>
        <w:t>包括有关部门税收和地方政府或其他有关部门收取的费用，如工程监理费、竣工验收费、绿化建设费、人防工程费等。</w:t>
      </w:r>
      <w:r>
        <w:rPr>
          <w:rFonts w:hint="eastAsia" w:ascii="仿宋_GB2312" w:eastAsia="仿宋_GB2312"/>
          <w:color w:val="auto"/>
          <w:sz w:val="28"/>
        </w:rPr>
        <w:t>开发期间税费</w:t>
      </w:r>
      <w:r>
        <w:rPr>
          <w:rFonts w:hint="eastAsia" w:ascii="Arial" w:hAnsi="Arial" w:eastAsia="仿宋_GB2312"/>
          <w:color w:val="auto"/>
          <w:sz w:val="28"/>
        </w:rPr>
        <w:t>一般为建筑安装工程费用的2%－5%，</w:t>
      </w:r>
      <w:r>
        <w:rPr>
          <w:rFonts w:hint="eastAsia" w:ascii="Arial" w:hAnsi="Arial" w:eastAsia="仿宋" w:cs="Arial"/>
          <w:color w:val="auto"/>
          <w:sz w:val="28"/>
          <w:szCs w:val="28"/>
        </w:rPr>
        <w:t>根据估价对象所处区域的一般情况，并结合估价对象的实际情况，按建筑安装工程费的2%测算，</w:t>
      </w:r>
      <w:r>
        <w:rPr>
          <w:rFonts w:ascii="Arial" w:hAnsi="Arial" w:eastAsia="仿宋" w:cs="Arial"/>
          <w:color w:val="auto"/>
          <w:sz w:val="28"/>
          <w:szCs w:val="28"/>
        </w:rPr>
        <w:t>则有：</w:t>
      </w:r>
    </w:p>
    <w:p w14:paraId="711FA8ED">
      <w:pPr>
        <w:spacing w:line="300" w:lineRule="auto"/>
        <w:ind w:firstLine="560" w:firstLineChars="200"/>
        <w:jc w:val="both"/>
        <w:rPr>
          <w:rFonts w:ascii="Arial" w:hAnsi="Arial" w:eastAsia="仿宋_GB2312"/>
          <w:color w:val="auto"/>
          <w:sz w:val="28"/>
        </w:rPr>
      </w:pPr>
      <w:r>
        <w:rPr>
          <w:rFonts w:hint="eastAsia" w:ascii="Arial" w:hAnsi="Arial" w:eastAsia="仿宋" w:cs="Arial"/>
          <w:color w:val="auto"/>
          <w:sz w:val="28"/>
          <w:szCs w:val="28"/>
        </w:rPr>
        <w:t>开发期间税费</w:t>
      </w:r>
      <w:r>
        <w:rPr>
          <w:rFonts w:hint="eastAsia" w:ascii="Arial" w:hAnsi="Arial" w:eastAsia="仿宋_GB2312"/>
          <w:color w:val="auto"/>
          <w:sz w:val="28"/>
        </w:rPr>
        <w:t>＝建安费用×取费标准</w:t>
      </w:r>
    </w:p>
    <w:p w14:paraId="18737D9F">
      <w:pPr>
        <w:spacing w:line="300" w:lineRule="auto"/>
        <w:ind w:firstLine="2240" w:firstLineChars="800"/>
        <w:jc w:val="both"/>
        <w:rPr>
          <w:rFonts w:ascii="Arial" w:hAnsi="Arial" w:eastAsia="仿宋_GB2312"/>
          <w:color w:val="auto"/>
          <w:sz w:val="28"/>
        </w:rPr>
      </w:pPr>
      <w:r>
        <w:rPr>
          <w:rFonts w:hint="eastAsia" w:ascii="Arial" w:hAnsi="Arial" w:eastAsia="仿宋_GB2312"/>
          <w:color w:val="auto"/>
          <w:sz w:val="28"/>
        </w:rPr>
        <w:t>＝79.2000×2</w:t>
      </w:r>
      <w:r>
        <w:rPr>
          <w:rFonts w:ascii="Arial" w:hAnsi="Arial" w:eastAsia="仿宋_GB2312"/>
          <w:color w:val="auto"/>
          <w:sz w:val="28"/>
        </w:rPr>
        <w:t>%</w:t>
      </w:r>
    </w:p>
    <w:p w14:paraId="205610B6">
      <w:pPr>
        <w:spacing w:before="50" w:after="50" w:line="300" w:lineRule="auto"/>
        <w:ind w:firstLine="2240" w:firstLineChars="800"/>
        <w:jc w:val="both"/>
        <w:rPr>
          <w:rFonts w:ascii="Arial" w:hAnsi="Arial" w:eastAsia="仿宋_GB2312"/>
          <w:color w:val="auto"/>
          <w:sz w:val="28"/>
        </w:rPr>
      </w:pPr>
      <w:r>
        <w:rPr>
          <w:rFonts w:hint="eastAsia" w:ascii="Arial" w:hAnsi="Arial" w:eastAsia="仿宋_GB2312"/>
          <w:color w:val="auto"/>
          <w:sz w:val="28"/>
        </w:rPr>
        <w:t>＝1.5840（万元）</w:t>
      </w:r>
    </w:p>
    <w:p w14:paraId="3F0F1403">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f）其他工程费</w:t>
      </w:r>
    </w:p>
    <w:p w14:paraId="6669AC6D">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其他工程费是指在工程建设中，除建筑安装工程费和设备、工具、器具购置费以外的费用。根据目前北京市房地产开发的情况。其他工程费一般为建筑安装工程费用的2%－5%，确定以建筑安装工程费用为计费基础取5%</w:t>
      </w:r>
      <w:r>
        <w:rPr>
          <w:rFonts w:hint="eastAsia" w:ascii="Arial" w:hAnsi="Arial" w:eastAsia="仿宋" w:cs="Arial"/>
          <w:color w:val="auto"/>
          <w:sz w:val="28"/>
          <w:szCs w:val="28"/>
        </w:rPr>
        <w:t>，</w:t>
      </w:r>
      <w:r>
        <w:rPr>
          <w:rFonts w:ascii="Arial" w:hAnsi="Arial" w:eastAsia="仿宋" w:cs="Arial"/>
          <w:color w:val="auto"/>
          <w:sz w:val="28"/>
          <w:szCs w:val="28"/>
        </w:rPr>
        <w:t>则有：</w:t>
      </w:r>
    </w:p>
    <w:p w14:paraId="260BB350">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其他工程费＝建安费用×取费标准</w:t>
      </w:r>
    </w:p>
    <w:p w14:paraId="6FA0D254">
      <w:pPr>
        <w:spacing w:line="300" w:lineRule="auto"/>
        <w:ind w:firstLine="1960" w:firstLineChars="700"/>
        <w:jc w:val="both"/>
        <w:rPr>
          <w:rFonts w:ascii="Arial" w:hAnsi="Arial" w:eastAsia="仿宋_GB2312"/>
          <w:color w:val="auto"/>
          <w:sz w:val="28"/>
        </w:rPr>
      </w:pPr>
      <w:r>
        <w:rPr>
          <w:rFonts w:hint="eastAsia" w:ascii="Arial" w:hAnsi="Arial" w:eastAsia="仿宋_GB2312"/>
          <w:color w:val="auto"/>
          <w:sz w:val="28"/>
        </w:rPr>
        <w:t>＝79.2000×5</w:t>
      </w:r>
      <w:r>
        <w:rPr>
          <w:rFonts w:ascii="Arial" w:hAnsi="Arial" w:eastAsia="仿宋_GB2312"/>
          <w:color w:val="auto"/>
          <w:sz w:val="28"/>
        </w:rPr>
        <w:t>%</w:t>
      </w:r>
    </w:p>
    <w:p w14:paraId="5D2EC73F">
      <w:pPr>
        <w:spacing w:line="300" w:lineRule="auto"/>
        <w:ind w:firstLine="1960" w:firstLineChars="700"/>
        <w:jc w:val="both"/>
        <w:rPr>
          <w:rFonts w:ascii="Arial" w:hAnsi="Arial" w:eastAsia="仿宋_GB2312"/>
          <w:color w:val="auto"/>
          <w:sz w:val="28"/>
        </w:rPr>
      </w:pPr>
      <w:r>
        <w:rPr>
          <w:rFonts w:hint="eastAsia" w:ascii="Arial" w:hAnsi="Arial" w:eastAsia="仿宋_GB2312"/>
          <w:color w:val="auto"/>
          <w:sz w:val="28"/>
        </w:rPr>
        <w:t>＝3.9600（万元）</w:t>
      </w:r>
    </w:p>
    <w:p w14:paraId="7908D341">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g）房屋建设成本</w:t>
      </w:r>
    </w:p>
    <w:p w14:paraId="6D518374">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房屋建设成本</w:t>
      </w:r>
      <w:r>
        <w:rPr>
          <w:rFonts w:hint="eastAsia" w:ascii="仿宋_GB2312" w:eastAsia="仿宋_GB2312"/>
          <w:color w:val="auto"/>
          <w:sz w:val="28"/>
        </w:rPr>
        <w:t>为上述6项之和，则有：</w:t>
      </w:r>
    </w:p>
    <w:p w14:paraId="41C0A520">
      <w:pPr>
        <w:spacing w:line="300" w:lineRule="auto"/>
        <w:ind w:firstLine="562" w:firstLineChars="201"/>
        <w:rPr>
          <w:rFonts w:ascii="Arial" w:hAnsi="Arial" w:eastAsia="仿宋_GB2312"/>
          <w:color w:val="auto"/>
          <w:sz w:val="28"/>
        </w:rPr>
      </w:pPr>
      <w:r>
        <w:rPr>
          <w:rFonts w:hint="eastAsia" w:ascii="Arial" w:hAnsi="Arial" w:eastAsia="仿宋_GB2312"/>
          <w:color w:val="auto"/>
          <w:sz w:val="28"/>
        </w:rPr>
        <w:t>房屋建设成本</w:t>
      </w:r>
    </w:p>
    <w:p w14:paraId="60731315">
      <w:pPr>
        <w:spacing w:line="300" w:lineRule="auto"/>
        <w:ind w:firstLine="562" w:firstLineChars="201"/>
        <w:rPr>
          <w:rFonts w:ascii="Arial" w:hAnsi="Arial" w:eastAsia="仿宋_GB2312"/>
          <w:color w:val="auto"/>
          <w:sz w:val="28"/>
        </w:rPr>
      </w:pPr>
      <w:r>
        <w:rPr>
          <w:rFonts w:hint="eastAsia" w:ascii="Arial" w:hAnsi="Arial" w:eastAsia="仿宋_GB2312"/>
          <w:color w:val="auto"/>
          <w:sz w:val="28"/>
        </w:rPr>
        <w:t xml:space="preserve">＝前期费用＋建筑安装工程费＋基础设施建设费＋公共配套设施建设费＋开发期间税费＋其他工程费  </w:t>
      </w:r>
    </w:p>
    <w:p w14:paraId="76988104">
      <w:pPr>
        <w:spacing w:line="300" w:lineRule="auto"/>
        <w:ind w:firstLine="562" w:firstLineChars="201"/>
        <w:jc w:val="both"/>
        <w:rPr>
          <w:rFonts w:ascii="Arial" w:hAnsi="Arial" w:eastAsia="仿宋_GB2312"/>
          <w:color w:val="auto"/>
          <w:sz w:val="28"/>
        </w:rPr>
      </w:pPr>
      <w:r>
        <w:rPr>
          <w:rFonts w:hint="eastAsia" w:ascii="Arial" w:hAnsi="Arial" w:eastAsia="仿宋_GB2312"/>
          <w:color w:val="auto"/>
          <w:sz w:val="28"/>
        </w:rPr>
        <w:t>＝6.3360＋79.2000＋7.9200＋0＋1.5840＋3.9600</w:t>
      </w:r>
    </w:p>
    <w:p w14:paraId="0A4D1992">
      <w:pPr>
        <w:spacing w:line="300" w:lineRule="auto"/>
        <w:ind w:firstLine="562" w:firstLineChars="201"/>
        <w:jc w:val="both"/>
        <w:rPr>
          <w:rFonts w:ascii="Arial" w:hAnsi="Arial" w:eastAsia="仿宋_GB2312"/>
          <w:color w:val="auto"/>
          <w:sz w:val="28"/>
        </w:rPr>
      </w:pPr>
      <w:r>
        <w:rPr>
          <w:rFonts w:hint="eastAsia" w:ascii="Arial" w:hAnsi="Arial" w:eastAsia="仿宋_GB2312"/>
          <w:color w:val="auto"/>
          <w:sz w:val="28"/>
        </w:rPr>
        <w:t>＝99.0000（万元）</w:t>
      </w:r>
    </w:p>
    <w:p w14:paraId="21481987">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c.</w:t>
      </w:r>
      <w:r>
        <w:rPr>
          <w:rFonts w:hint="eastAsia" w:ascii="仿宋_GB2312" w:eastAsia="仿宋_GB2312"/>
          <w:color w:val="auto"/>
          <w:sz w:val="28"/>
        </w:rPr>
        <w:t>管理费用</w:t>
      </w:r>
    </w:p>
    <w:p w14:paraId="0AB47A61">
      <w:pPr>
        <w:spacing w:line="300" w:lineRule="auto"/>
        <w:ind w:firstLine="560" w:firstLineChars="200"/>
        <w:jc w:val="both"/>
        <w:rPr>
          <w:rFonts w:ascii="仿宋_GB2312" w:eastAsia="仿宋_GB2312"/>
          <w:color w:val="auto"/>
          <w:sz w:val="28"/>
        </w:rPr>
      </w:pPr>
      <w:r>
        <w:rPr>
          <w:rFonts w:hint="eastAsia" w:ascii="仿宋_GB2312" w:hAnsi="Arial" w:eastAsia="仿宋_GB2312"/>
          <w:color w:val="auto"/>
          <w:sz w:val="28"/>
        </w:rPr>
        <w:t>管</w:t>
      </w:r>
      <w:r>
        <w:rPr>
          <w:rFonts w:hint="eastAsia" w:ascii="Arial" w:hAnsi="Arial" w:eastAsia="仿宋_GB2312"/>
          <w:color w:val="auto"/>
          <w:sz w:val="28"/>
        </w:rPr>
        <w:t>理费用是房地产开发商为组织和管理房地产开发经营活动的必要支出，主要包括人员工资、办公费、差旅费等.管理费用按照房地产开发企业财务会计制度核算，根据目前北京市房地产开发中管理费用的平均水平，该类房地产开发项目的管理费用一般为房屋建设成本的1－3%之间。根据项目实际情况，确定管理费用以房屋建设成本为计费基础取 3%，</w:t>
      </w:r>
      <w:r>
        <w:rPr>
          <w:rFonts w:hint="eastAsia" w:ascii="仿宋_GB2312" w:eastAsia="仿宋_GB2312"/>
          <w:color w:val="auto"/>
          <w:sz w:val="28"/>
        </w:rPr>
        <w:t>则有：</w:t>
      </w:r>
    </w:p>
    <w:p w14:paraId="18B0EC1D">
      <w:pPr>
        <w:spacing w:line="300" w:lineRule="auto"/>
        <w:ind w:firstLine="560" w:firstLineChars="200"/>
        <w:jc w:val="both"/>
        <w:rPr>
          <w:rFonts w:ascii="仿宋_GB2312" w:eastAsia="仿宋_GB2312"/>
          <w:color w:val="auto"/>
          <w:sz w:val="28"/>
        </w:rPr>
      </w:pPr>
      <w:r>
        <w:rPr>
          <w:rFonts w:hint="eastAsia" w:ascii="仿宋_GB2312" w:eastAsia="仿宋_GB2312"/>
          <w:color w:val="auto"/>
          <w:sz w:val="28"/>
        </w:rPr>
        <w:t>管理费用＝</w:t>
      </w:r>
      <w:r>
        <w:rPr>
          <w:rFonts w:hint="eastAsia" w:ascii="Arial" w:hAnsi="Arial" w:eastAsia="仿宋_GB2312"/>
          <w:color w:val="auto"/>
          <w:sz w:val="28"/>
        </w:rPr>
        <w:t>房屋建设成本</w:t>
      </w:r>
      <w:r>
        <w:rPr>
          <w:rFonts w:hint="eastAsia" w:ascii="仿宋_GB2312" w:eastAsia="仿宋_GB2312"/>
          <w:color w:val="auto"/>
          <w:sz w:val="28"/>
        </w:rPr>
        <w:t>×管理费率</w:t>
      </w:r>
    </w:p>
    <w:p w14:paraId="0CBC4567">
      <w:pPr>
        <w:spacing w:line="300" w:lineRule="auto"/>
        <w:ind w:firstLine="1680" w:firstLineChars="600"/>
        <w:jc w:val="both"/>
        <w:rPr>
          <w:rFonts w:ascii="Arial" w:hAnsi="Arial"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99.0000×3%</w:t>
      </w:r>
    </w:p>
    <w:p w14:paraId="749B5DF7">
      <w:pPr>
        <w:spacing w:line="300" w:lineRule="auto"/>
        <w:ind w:firstLine="1680" w:firstLineChars="600"/>
        <w:jc w:val="both"/>
        <w:rPr>
          <w:rFonts w:ascii="仿宋_GB2312"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2.9700（</w:t>
      </w:r>
      <w:r>
        <w:rPr>
          <w:rFonts w:hint="eastAsia" w:ascii="仿宋_GB2312" w:eastAsia="仿宋_GB2312"/>
          <w:color w:val="auto"/>
          <w:sz w:val="28"/>
        </w:rPr>
        <w:t>万元）</w:t>
      </w:r>
    </w:p>
    <w:p w14:paraId="276AA0BE">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d.销售费用</w:t>
      </w:r>
    </w:p>
    <w:p w14:paraId="2F926AB4">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销售费用指预售未来开发完成的房地产或者销售已经开发完成的房地产所必要的费用，包括广告费、销售资料制作费、样板房或样板间建设费售楼处建设费、销售人员费用或者销售代理费等。根据目前北京市居住用途房地产开发中销售费用的平均费用情况，该类建筑物的销售费用一般为房地产销售价格的2%－4%之间，本次评估确定销售费用以房地产销售价格为计费基础，费率取3%，</w:t>
      </w:r>
      <w:r>
        <w:rPr>
          <w:rFonts w:hint="eastAsia" w:ascii="仿宋_GB2312" w:eastAsia="仿宋_GB2312"/>
          <w:color w:val="auto"/>
          <w:sz w:val="28"/>
        </w:rPr>
        <w:t>则有：</w:t>
      </w:r>
    </w:p>
    <w:p w14:paraId="772B77D0">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销售费用</w:t>
      </w:r>
      <w:r>
        <w:rPr>
          <w:rFonts w:hint="eastAsia" w:ascii="仿宋_GB2312" w:eastAsia="仿宋_GB2312"/>
          <w:color w:val="auto"/>
          <w:sz w:val="28"/>
        </w:rPr>
        <w:t>＝项目开发完成后不动产总价×销售费率</w:t>
      </w:r>
    </w:p>
    <w:p w14:paraId="133ABD15">
      <w:pPr>
        <w:spacing w:line="300" w:lineRule="auto"/>
        <w:ind w:firstLine="1680" w:firstLineChars="600"/>
        <w:jc w:val="both"/>
        <w:rPr>
          <w:rFonts w:ascii="Arial" w:hAnsi="Arial"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286.9680×3%</w:t>
      </w:r>
    </w:p>
    <w:p w14:paraId="752572B8">
      <w:pPr>
        <w:spacing w:line="300" w:lineRule="auto"/>
        <w:ind w:firstLine="1680" w:firstLineChars="600"/>
        <w:jc w:val="both"/>
        <w:rPr>
          <w:rFonts w:ascii="仿宋_GB2312" w:hAnsi="Arial"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8.6090（</w:t>
      </w:r>
      <w:r>
        <w:rPr>
          <w:rFonts w:hint="eastAsia" w:ascii="仿宋_GB2312" w:eastAsia="仿宋_GB2312"/>
          <w:color w:val="auto"/>
          <w:sz w:val="28"/>
        </w:rPr>
        <w:t>万元）</w:t>
      </w:r>
    </w:p>
    <w:p w14:paraId="4D86BEE0">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e.投资利息</w:t>
      </w:r>
    </w:p>
    <w:p w14:paraId="6E1C530F">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投资利息指在房地产开发完成或实现销售之前发生的所有必要费用应计算的利息。</w:t>
      </w:r>
    </w:p>
    <w:p w14:paraId="6265D2E9">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本次评估综合考虑项目拟建设规模、主体结构高度以及装修状况，参考同类物业的开发周期，设定估价对象建设周期为3年。根据中国人民银行2026年3月20日公布的贷款市场报价利率（LPR）为，1年期LPR为3.0%，5 年期以上 LPR为 3.5%，由于未公布的 1－5 年期之间的具体 LPR 数据，本次评估采用插值法计算开发周期对应利率，得出3年期LPR为3.25%（3.0%＋（3－1）÷（5－1）×（3.5%－3.0%））。本次评估贷款利率取3.25%。地价款和购地税费全周期计息，房屋建设成本、管理费用、销售费用等预付资本应根据开发周期均匀投入计息，则有：</w:t>
      </w:r>
    </w:p>
    <w:p w14:paraId="11D67595">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投资利息＝（估价对象土地价格＋购地税费）×〔（1＋年利率）</w:t>
      </w:r>
      <w:r>
        <w:rPr>
          <w:rFonts w:hint="eastAsia" w:ascii="Arial" w:hAnsi="Arial" w:eastAsia="仿宋_GB2312"/>
          <w:color w:val="auto"/>
          <w:sz w:val="28"/>
          <w:vertAlign w:val="superscript"/>
        </w:rPr>
        <w:t>项目开发周期</w:t>
      </w:r>
      <w:r>
        <w:rPr>
          <w:rFonts w:hint="eastAsia" w:ascii="Arial" w:hAnsi="Arial" w:eastAsia="仿宋_GB2312"/>
          <w:color w:val="auto"/>
          <w:sz w:val="28"/>
        </w:rPr>
        <w:t>－1〕＋（房屋建设成本＋管理费用＋销售费用）×〔（1＋年利率）</w:t>
      </w:r>
      <w:r>
        <w:rPr>
          <w:rFonts w:hint="eastAsia" w:ascii="Arial" w:hAnsi="Arial" w:eastAsia="仿宋_GB2312"/>
          <w:color w:val="auto"/>
          <w:sz w:val="28"/>
          <w:vertAlign w:val="superscript"/>
        </w:rPr>
        <w:t>（项目开发周期÷2）</w:t>
      </w:r>
      <w:r>
        <w:rPr>
          <w:rFonts w:hint="eastAsia" w:ascii="Arial" w:hAnsi="Arial" w:eastAsia="仿宋_GB2312"/>
          <w:color w:val="auto"/>
          <w:sz w:val="28"/>
        </w:rPr>
        <w:t>－1〕</w:t>
      </w:r>
    </w:p>
    <w:p w14:paraId="5E64DD28">
      <w:pPr>
        <w:spacing w:line="300" w:lineRule="auto"/>
        <w:ind w:firstLine="1680" w:firstLineChars="600"/>
        <w:jc w:val="both"/>
        <w:rPr>
          <w:rFonts w:ascii="Arial" w:hAnsi="Arial" w:eastAsia="仿宋_GB2312"/>
          <w:color w:val="auto"/>
          <w:sz w:val="28"/>
        </w:rPr>
      </w:pPr>
      <w:r>
        <w:rPr>
          <w:rFonts w:hint="eastAsia" w:ascii="Arial" w:hAnsi="Arial" w:eastAsia="仿宋_GB2312"/>
          <w:color w:val="auto"/>
          <w:sz w:val="28"/>
        </w:rPr>
        <w:t>＝（</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）×〔（1＋3.25%）</w:t>
      </w:r>
      <w:r>
        <w:rPr>
          <w:rFonts w:hint="eastAsia" w:ascii="Arial" w:hAnsi="Arial" w:eastAsia="仿宋_GB2312"/>
          <w:color w:val="auto"/>
          <w:sz w:val="28"/>
          <w:vertAlign w:val="superscript"/>
        </w:rPr>
        <w:t>3</w:t>
      </w:r>
      <w:r>
        <w:rPr>
          <w:rFonts w:hint="eastAsia" w:ascii="Arial" w:hAnsi="Arial" w:eastAsia="仿宋_GB2312"/>
          <w:color w:val="auto"/>
          <w:sz w:val="28"/>
        </w:rPr>
        <w:t>－1〕＋（99.0000＋2.9700＋8.6090）×〔（1＋3.25%）</w:t>
      </w:r>
      <w:r>
        <w:rPr>
          <w:rFonts w:hint="eastAsia" w:ascii="Arial" w:hAnsi="Arial" w:eastAsia="仿宋_GB2312"/>
          <w:color w:val="auto"/>
          <w:sz w:val="28"/>
          <w:vertAlign w:val="superscript"/>
        </w:rPr>
        <w:t>（3÷2）</w:t>
      </w:r>
      <w:r>
        <w:rPr>
          <w:rFonts w:hint="eastAsia" w:ascii="Arial" w:hAnsi="Arial" w:eastAsia="仿宋_GB2312"/>
          <w:color w:val="auto"/>
          <w:sz w:val="28"/>
        </w:rPr>
        <w:t>－1〕</w:t>
      </w:r>
    </w:p>
    <w:p w14:paraId="02E54448">
      <w:pPr>
        <w:spacing w:line="300" w:lineRule="auto"/>
        <w:ind w:firstLine="1680" w:firstLineChars="600"/>
        <w:jc w:val="both"/>
        <w:rPr>
          <w:rFonts w:ascii="仿宋_GB2312" w:eastAsia="仿宋_GB2312"/>
          <w:color w:val="auto"/>
          <w:sz w:val="28"/>
        </w:rPr>
      </w:pPr>
      <w:r>
        <w:rPr>
          <w:rFonts w:hint="eastAsia" w:ascii="Arial" w:hAnsi="Arial" w:eastAsia="仿宋_GB2312"/>
          <w:color w:val="auto"/>
          <w:sz w:val="28"/>
        </w:rPr>
        <w:t>＝5.4343＋0.1038</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w:t>
      </w:r>
      <w:r>
        <w:rPr>
          <w:rFonts w:hint="eastAsia" w:ascii="仿宋_GB2312" w:eastAsia="仿宋_GB2312"/>
          <w:color w:val="auto"/>
          <w:sz w:val="28"/>
        </w:rPr>
        <w:t>万元）</w:t>
      </w:r>
    </w:p>
    <w:p w14:paraId="074A9242">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f.销售税费</w:t>
      </w:r>
      <w:r>
        <w:rPr>
          <w:rFonts w:hint="eastAsia" w:ascii="Arial" w:hAnsi="Arial" w:eastAsia="仿宋_GB2312"/>
          <w:color w:val="auto"/>
          <w:sz w:val="28"/>
        </w:rPr>
        <w:tab/>
      </w:r>
    </w:p>
    <w:p w14:paraId="73E449E9">
      <w:pPr>
        <w:spacing w:line="300" w:lineRule="auto"/>
        <w:ind w:firstLine="560" w:firstLineChars="200"/>
        <w:jc w:val="both"/>
        <w:rPr>
          <w:rFonts w:ascii="Arial" w:hAnsi="Arial" w:eastAsia="仿宋_GB2312" w:cs="Arial"/>
          <w:color w:val="auto"/>
          <w:sz w:val="28"/>
        </w:rPr>
      </w:pPr>
      <w:r>
        <w:rPr>
          <w:rFonts w:hint="eastAsia" w:ascii="仿宋_GB2312" w:hAnsi="Arial" w:eastAsia="仿宋_GB2312"/>
          <w:color w:val="auto"/>
          <w:sz w:val="28"/>
        </w:rPr>
        <w:t>本</w:t>
      </w:r>
      <w:r>
        <w:rPr>
          <w:rFonts w:hint="eastAsia" w:ascii="Arial" w:hAnsi="Arial" w:eastAsia="仿宋_GB2312" w:cs="Arial"/>
          <w:color w:val="auto"/>
          <w:sz w:val="28"/>
        </w:rPr>
        <w:t>处所指销售税费是指国家规定的相关销售税费。销售税费包括增值税及城市维护建设税、教育费附加和地方教育附加。</w:t>
      </w:r>
    </w:p>
    <w:p w14:paraId="5565A8A5">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w:t>
      </w:r>
      <w:r>
        <w:rPr>
          <w:rFonts w:hint="eastAsia" w:ascii="Arial" w:hAnsi="Arial" w:eastAsia="仿宋" w:cs="Arial"/>
          <w:color w:val="auto"/>
          <w:sz w:val="28"/>
          <w:szCs w:val="28"/>
        </w:rPr>
        <w:t>《中华人民共和国增值税法》及《中华人民共和国增值税法实施条例》</w:t>
      </w:r>
      <w:r>
        <w:rPr>
          <w:rFonts w:hint="eastAsia" w:ascii="Arial" w:hAnsi="Arial" w:eastAsia="仿宋_GB2312" w:cs="Arial"/>
          <w:color w:val="auto"/>
          <w:sz w:val="28"/>
        </w:rPr>
        <w:t>相关规定，对于一般纳税人自行开发销售的新建项目，适宜采用一般计税方式测算增值税。</w:t>
      </w:r>
      <w:r>
        <w:rPr>
          <w:rFonts w:ascii="Arial" w:hAnsi="Arial" w:eastAsia="仿宋_GB2312" w:cs="Arial"/>
          <w:color w:val="auto"/>
          <w:sz w:val="28"/>
        </w:rPr>
        <w:t>销售不动产税率为9%</w:t>
      </w:r>
      <w:r>
        <w:rPr>
          <w:rFonts w:hint="eastAsia" w:ascii="Arial" w:hAnsi="Arial" w:eastAsia="仿宋_GB2312" w:cs="Arial"/>
          <w:color w:val="auto"/>
          <w:sz w:val="28"/>
        </w:rPr>
        <w:t>，</w:t>
      </w:r>
      <w:r>
        <w:rPr>
          <w:rFonts w:ascii="Arial" w:hAnsi="Arial" w:eastAsia="仿宋_GB2312" w:cs="Arial"/>
          <w:color w:val="auto"/>
          <w:sz w:val="28"/>
        </w:rPr>
        <w:t>进项税额中建筑安装工程费、</w:t>
      </w:r>
      <w:r>
        <w:rPr>
          <w:rFonts w:hint="eastAsia" w:ascii="Arial" w:hAnsi="Arial" w:eastAsia="仿宋_GB2312" w:cs="Arial"/>
          <w:color w:val="auto"/>
          <w:sz w:val="28"/>
        </w:rPr>
        <w:t>基础设施建设费</w:t>
      </w:r>
      <w:r>
        <w:rPr>
          <w:rFonts w:ascii="Arial" w:hAnsi="Arial" w:eastAsia="仿宋_GB2312" w:cs="Arial"/>
          <w:color w:val="auto"/>
          <w:sz w:val="28"/>
        </w:rPr>
        <w:t>、</w:t>
      </w:r>
      <w:r>
        <w:rPr>
          <w:rFonts w:hint="eastAsia" w:ascii="Arial" w:hAnsi="Arial" w:eastAsia="仿宋_GB2312" w:cs="Arial"/>
          <w:color w:val="auto"/>
          <w:sz w:val="28"/>
        </w:rPr>
        <w:t>公共配套设施建设费</w:t>
      </w:r>
      <w:r>
        <w:rPr>
          <w:rFonts w:ascii="Arial" w:hAnsi="Arial" w:eastAsia="仿宋_GB2312" w:cs="Arial"/>
          <w:color w:val="auto"/>
          <w:sz w:val="28"/>
        </w:rPr>
        <w:t>属于建筑行业，税率为9%；</w:t>
      </w:r>
      <w:r>
        <w:rPr>
          <w:rFonts w:hint="eastAsia" w:ascii="Arial" w:hAnsi="Arial" w:eastAsia="仿宋_GB2312" w:cs="Arial"/>
          <w:color w:val="auto"/>
          <w:sz w:val="28"/>
        </w:rPr>
        <w:t>前期费用</w:t>
      </w:r>
      <w:r>
        <w:rPr>
          <w:rFonts w:ascii="Arial" w:hAnsi="Arial" w:eastAsia="仿宋_GB2312" w:cs="Arial"/>
          <w:color w:val="auto"/>
          <w:sz w:val="28"/>
        </w:rPr>
        <w:t>、</w:t>
      </w:r>
      <w:r>
        <w:rPr>
          <w:rFonts w:hint="eastAsia" w:ascii="Arial" w:hAnsi="Arial" w:eastAsia="仿宋_GB2312" w:cs="Arial"/>
          <w:color w:val="auto"/>
          <w:sz w:val="28"/>
        </w:rPr>
        <w:t>其他工程费、</w:t>
      </w:r>
      <w:r>
        <w:rPr>
          <w:rFonts w:ascii="Arial" w:hAnsi="Arial" w:eastAsia="仿宋_GB2312" w:cs="Arial"/>
          <w:color w:val="auto"/>
          <w:sz w:val="28"/>
        </w:rPr>
        <w:t>销售费用税率为6%</w:t>
      </w:r>
      <w:r>
        <w:rPr>
          <w:rFonts w:hint="eastAsia" w:ascii="Arial" w:hAnsi="Arial" w:eastAsia="仿宋_GB2312" w:cs="Arial"/>
          <w:color w:val="auto"/>
          <w:sz w:val="28"/>
        </w:rPr>
        <w:t>。根据《北京市财政局国家税务总局北京市税务局北京市民政局关于明确北京市城市维护建设税纳税人所在地具体地点的通知》（京财税〔2021〕1770号），估价对象位于顺义区，城市维护建设税为增值税的5%；根据《国务院关于修改&lt;征收教育费附加的暂行规定&gt;的决定》，教育费附加为增值税的3%；根据《北京市地方教育附加征收使用管理办法》，地方教育附加费为增值税的2%，则有：</w:t>
      </w:r>
    </w:p>
    <w:p w14:paraId="1159887A">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增值税基本公式：增值税＝销项税额－进项税额</w:t>
      </w:r>
    </w:p>
    <w:p w14:paraId="0E2623D5">
      <w:pPr>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销项税额</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s="Arial"/>
          <w:color w:val="auto"/>
          <w:sz w:val="28"/>
        </w:rPr>
        <w:t>开发完成后</w:t>
      </w:r>
      <w:r>
        <w:rPr>
          <w:rFonts w:ascii="Arial" w:hAnsi="Arial" w:eastAsia="仿宋_GB2312" w:cs="Arial"/>
          <w:color w:val="auto"/>
          <w:sz w:val="28"/>
        </w:rPr>
        <w:t>不动产总价</w:t>
      </w:r>
      <w:r>
        <w:rPr>
          <w:rFonts w:hint="eastAsia" w:ascii="Arial" w:hAnsi="Arial" w:eastAsia="仿宋_GB2312" w:cs="Arial"/>
          <w:color w:val="auto"/>
          <w:sz w:val="28"/>
        </w:rPr>
        <w:t>－</w:t>
      </w:r>
      <w:r>
        <w:rPr>
          <w:rFonts w:ascii="Arial" w:hAnsi="Arial" w:eastAsia="仿宋_GB2312" w:cs="Arial"/>
          <w:color w:val="auto"/>
          <w:sz w:val="28"/>
        </w:rPr>
        <w:t>土地使用权</w:t>
      </w:r>
      <w:r>
        <w:rPr>
          <w:rFonts w:hint="eastAsia" w:ascii="Arial" w:hAnsi="Arial" w:eastAsia="仿宋_GB2312"/>
          <w:color w:val="auto"/>
          <w:sz w:val="28"/>
        </w:rPr>
        <w:t>总价</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p>
    <w:p w14:paraId="08FA04C0">
      <w:pPr>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进项税额</w:t>
      </w:r>
      <w:r>
        <w:rPr>
          <w:rFonts w:hint="eastAsia" w:ascii="Arial" w:hAnsi="Arial" w:eastAsia="仿宋_GB2312" w:cs="Arial"/>
          <w:color w:val="auto"/>
          <w:sz w:val="28"/>
        </w:rPr>
        <w:t>＝（</w:t>
      </w:r>
      <w:r>
        <w:rPr>
          <w:rFonts w:hint="eastAsia" w:ascii="Arial" w:hAnsi="Arial" w:eastAsia="仿宋_GB2312"/>
          <w:color w:val="auto"/>
          <w:sz w:val="28"/>
        </w:rPr>
        <w:t>建筑安装工程费＋基础设施建设费＋公共配套设施建设费</w:t>
      </w:r>
      <w:r>
        <w:rPr>
          <w:rFonts w:hint="eastAsia" w:ascii="Arial" w:hAnsi="Arial" w:eastAsia="仿宋_GB2312" w:cs="Arial"/>
          <w:color w:val="auto"/>
          <w:sz w:val="28"/>
        </w:rPr>
        <w:t>＋开发期间税费）÷</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hint="eastAsia" w:ascii="Arial" w:hAnsi="Arial" w:eastAsia="仿宋_GB2312"/>
          <w:color w:val="auto"/>
          <w:sz w:val="28"/>
        </w:rPr>
        <w:t>前期费用</w:t>
      </w:r>
      <w:r>
        <w:rPr>
          <w:rFonts w:hint="eastAsia" w:ascii="Arial" w:hAnsi="Arial" w:eastAsia="仿宋_GB2312" w:cs="Arial"/>
          <w:color w:val="auto"/>
          <w:sz w:val="28"/>
        </w:rPr>
        <w:t>＋</w:t>
      </w:r>
      <w:r>
        <w:rPr>
          <w:rFonts w:hint="eastAsia" w:ascii="Arial" w:hAnsi="Arial" w:eastAsia="仿宋_GB2312"/>
          <w:color w:val="auto"/>
          <w:sz w:val="28"/>
        </w:rPr>
        <w:t>其他工程费＋</w:t>
      </w:r>
      <w:r>
        <w:rPr>
          <w:rFonts w:ascii="Arial" w:hAnsi="Arial" w:eastAsia="仿宋_GB2312" w:cs="Arial"/>
          <w:color w:val="auto"/>
          <w:sz w:val="28"/>
        </w:rPr>
        <w:t>销售费用</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w:t>
      </w:r>
      <w:r>
        <w:rPr>
          <w:rFonts w:ascii="Arial" w:hAnsi="Arial" w:eastAsia="仿宋_GB2312" w:cs="Arial"/>
          <w:color w:val="auto"/>
          <w:sz w:val="28"/>
        </w:rPr>
        <w:t xml:space="preserve">6%。 </w:t>
      </w:r>
    </w:p>
    <w:p w14:paraId="3068DA13">
      <w:pPr>
        <w:spacing w:line="300" w:lineRule="auto"/>
        <w:ind w:firstLine="560" w:firstLineChars="200"/>
        <w:rPr>
          <w:rFonts w:ascii="Arial" w:hAnsi="Arial" w:eastAsia="仿宋_GB2312" w:cs="Arial"/>
          <w:color w:val="auto"/>
          <w:sz w:val="28"/>
        </w:rPr>
      </w:pPr>
      <w:r>
        <w:rPr>
          <w:rFonts w:hint="eastAsia" w:ascii="Arial" w:hAnsi="Arial" w:eastAsia="仿宋_GB2312"/>
          <w:color w:val="auto"/>
          <w:sz w:val="28"/>
        </w:rPr>
        <w:t>销售税费</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s="Arial"/>
          <w:color w:val="auto"/>
          <w:sz w:val="28"/>
        </w:rPr>
        <w:t>286.9680－</w:t>
      </w:r>
      <w:r>
        <w:rPr>
          <w:rFonts w:ascii="Arial" w:hAnsi="Arial" w:eastAsia="仿宋_GB2312"/>
          <w:color w:val="auto"/>
          <w:sz w:val="28"/>
        </w:rPr>
        <w:t>P</w:t>
      </w:r>
      <w:r>
        <w:rPr>
          <w:rFonts w:hint="eastAsia" w:ascii="Arial" w:hAnsi="Arial" w:eastAsia="仿宋_GB2312"/>
          <w:color w:val="auto"/>
          <w:sz w:val="28"/>
          <w:vertAlign w:val="subscript"/>
        </w:rPr>
        <w:t>土</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olor w:val="auto"/>
          <w:sz w:val="28"/>
        </w:rPr>
        <w:t>79.2000</w:t>
      </w:r>
      <w:r>
        <w:rPr>
          <w:rFonts w:hint="eastAsia" w:ascii="Arial" w:hAnsi="Arial" w:eastAsia="仿宋_GB2312" w:cs="Arial"/>
          <w:color w:val="auto"/>
          <w:sz w:val="28"/>
        </w:rPr>
        <w:t>＋</w:t>
      </w:r>
      <w:r>
        <w:rPr>
          <w:rFonts w:hint="eastAsia" w:ascii="Arial" w:hAnsi="Arial" w:eastAsia="仿宋_GB2312"/>
          <w:color w:val="auto"/>
          <w:sz w:val="28"/>
        </w:rPr>
        <w:t>7.9200＋0＋1.5840</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olor w:val="auto"/>
          <w:sz w:val="28"/>
        </w:rPr>
        <w:t>6.3360</w:t>
      </w:r>
      <w:r>
        <w:rPr>
          <w:rFonts w:hint="eastAsia" w:ascii="Arial" w:hAnsi="Arial" w:eastAsia="仿宋_GB2312" w:cs="Arial"/>
          <w:color w:val="auto"/>
          <w:sz w:val="28"/>
        </w:rPr>
        <w:t>＋</w:t>
      </w:r>
      <w:r>
        <w:rPr>
          <w:rFonts w:hint="eastAsia" w:ascii="Arial" w:hAnsi="Arial" w:eastAsia="仿宋_GB2312"/>
          <w:color w:val="auto"/>
          <w:sz w:val="28"/>
        </w:rPr>
        <w:t>3.9600＋8.6090</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}×（1＋5%＋3%＋2%）132.8435</w:t>
      </w:r>
    </w:p>
    <w:p w14:paraId="431B25C3">
      <w:pPr>
        <w:spacing w:line="300" w:lineRule="auto"/>
        <w:ind w:firstLine="1680" w:firstLineChars="600"/>
        <w:rPr>
          <w:rFonts w:ascii="Arial" w:hAnsi="Arial" w:eastAsia="仿宋_GB2312" w:cs="Arial"/>
          <w:color w:val="auto"/>
          <w:sz w:val="28"/>
        </w:rPr>
      </w:pPr>
      <w:r>
        <w:rPr>
          <w:rFonts w:hint="eastAsia" w:ascii="Arial" w:hAnsi="Arial" w:eastAsia="仿宋_GB2312" w:cs="Arial"/>
          <w:color w:val="auto"/>
          <w:sz w:val="28"/>
        </w:rPr>
        <w:t>＝16.8303－</w:t>
      </w:r>
      <w:r>
        <w:rPr>
          <w:rFonts w:ascii="Arial" w:hAnsi="Arial" w:eastAsia="仿宋_GB2312" w:cs="Arial"/>
          <w:color w:val="auto"/>
          <w:sz w:val="28"/>
        </w:rPr>
        <w:t>0.0</w:t>
      </w:r>
      <w:r>
        <w:rPr>
          <w:rFonts w:hint="eastAsia" w:ascii="Arial" w:hAnsi="Arial" w:eastAsia="仿宋_GB2312" w:cs="Arial"/>
          <w:color w:val="auto"/>
          <w:sz w:val="28"/>
        </w:rPr>
        <w:t>909</w:t>
      </w:r>
      <w:r>
        <w:rPr>
          <w:rFonts w:ascii="Arial" w:hAnsi="Arial" w:eastAsia="仿宋_GB2312" w:cs="Arial"/>
          <w:color w:val="auto"/>
          <w:sz w:val="28"/>
        </w:rPr>
        <w:t>P</w:t>
      </w:r>
      <w:r>
        <w:rPr>
          <w:rFonts w:hint="eastAsia" w:ascii="Arial" w:hAnsi="Arial" w:eastAsia="仿宋" w:cs="Arial"/>
          <w:bCs/>
          <w:color w:val="auto"/>
          <w:sz w:val="21"/>
          <w:szCs w:val="21"/>
          <w:vertAlign w:val="subscript"/>
        </w:rPr>
        <w:t>土</w:t>
      </w:r>
      <w:r>
        <w:rPr>
          <w:rFonts w:ascii="Arial" w:hAnsi="Arial" w:eastAsia="仿宋_GB2312" w:cs="Arial"/>
          <w:color w:val="auto"/>
          <w:sz w:val="28"/>
        </w:rPr>
        <w:t>（万元）</w:t>
      </w:r>
    </w:p>
    <w:p w14:paraId="4D924059">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g</w:t>
      </w:r>
      <w:r>
        <w:rPr>
          <w:rFonts w:ascii="Arial" w:hAnsi="Arial" w:eastAsia="仿宋_GB2312"/>
          <w:color w:val="auto"/>
          <w:sz w:val="28"/>
        </w:rPr>
        <w:t>.</w:t>
      </w:r>
      <w:r>
        <w:rPr>
          <w:rFonts w:hint="eastAsia" w:ascii="仿宋_GB2312" w:eastAsia="仿宋_GB2312"/>
          <w:color w:val="auto"/>
          <w:sz w:val="28"/>
        </w:rPr>
        <w:t>开发成本</w:t>
      </w:r>
    </w:p>
    <w:p w14:paraId="215A4B66">
      <w:pPr>
        <w:spacing w:line="300" w:lineRule="auto"/>
        <w:ind w:firstLine="560" w:firstLineChars="200"/>
        <w:jc w:val="both"/>
        <w:rPr>
          <w:rFonts w:ascii="仿宋_GB2312" w:eastAsia="仿宋_GB2312"/>
          <w:color w:val="auto"/>
          <w:sz w:val="28"/>
        </w:rPr>
      </w:pPr>
      <w:r>
        <w:rPr>
          <w:rFonts w:hint="eastAsia" w:ascii="仿宋_GB2312" w:eastAsia="仿宋_GB2312"/>
          <w:color w:val="auto"/>
          <w:sz w:val="28"/>
        </w:rPr>
        <w:t>开发成本为上述</w:t>
      </w:r>
      <w:r>
        <w:rPr>
          <w:rFonts w:hint="eastAsia" w:ascii="Arial" w:hAnsi="Arial" w:eastAsia="仿宋_GB2312"/>
          <w:color w:val="auto"/>
          <w:sz w:val="28"/>
        </w:rPr>
        <w:t>6</w:t>
      </w:r>
      <w:r>
        <w:rPr>
          <w:rFonts w:hint="eastAsia" w:ascii="仿宋_GB2312" w:eastAsia="仿宋_GB2312"/>
          <w:color w:val="auto"/>
          <w:sz w:val="28"/>
        </w:rPr>
        <w:t>项合计，则有：</w:t>
      </w:r>
    </w:p>
    <w:p w14:paraId="7360268C">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w:t>
      </w:r>
    </w:p>
    <w:p w14:paraId="27B1521A">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＝购地税费＋房屋建设成本＋管理费用＋销售费用＋投资利息＋销售税费</w:t>
      </w:r>
    </w:p>
    <w:p w14:paraId="2AD7906D">
      <w:pPr>
        <w:spacing w:line="300" w:lineRule="auto"/>
        <w:ind w:firstLine="560" w:firstLineChars="200"/>
        <w:jc w:val="both"/>
        <w:rPr>
          <w:rFonts w:ascii="Arial" w:hAnsi="Arial" w:eastAsia="仿宋" w:cs="Arial"/>
          <w:bCs/>
          <w:color w:val="auto"/>
          <w:sz w:val="21"/>
          <w:szCs w:val="21"/>
          <w:vertAlign w:val="subscript"/>
        </w:rPr>
      </w:pPr>
      <w:r>
        <w:rPr>
          <w:rFonts w:hint="eastAsia" w:ascii="Arial" w:hAnsi="Arial" w:eastAsia="仿宋_GB2312" w:cs="Arial"/>
          <w:color w:val="auto"/>
          <w:sz w:val="28"/>
        </w:rPr>
        <w:t>＝</w:t>
      </w:r>
      <w:r>
        <w:rPr>
          <w:rFonts w:hint="eastAsia" w:ascii="Arial" w:hAnsi="Arial" w:eastAsia="仿宋_GB2312"/>
          <w:color w:val="auto"/>
          <w:sz w:val="28"/>
        </w:rPr>
        <w:t>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＋99.0000＋2.9700</w:t>
      </w:r>
      <w:r>
        <w:rPr>
          <w:rFonts w:hint="eastAsia" w:ascii="Arial" w:hAnsi="Arial" w:eastAsia="仿宋" w:cs="Arial"/>
          <w:color w:val="auto"/>
          <w:sz w:val="28"/>
        </w:rPr>
        <w:t>＋</w:t>
      </w:r>
      <w:r>
        <w:rPr>
          <w:rFonts w:hint="eastAsia" w:ascii="Arial" w:hAnsi="Arial" w:eastAsia="仿宋_GB2312"/>
          <w:color w:val="auto"/>
          <w:sz w:val="28"/>
        </w:rPr>
        <w:t>8.6090＋5.4343＋0.1038</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w:t>
      </w:r>
      <w:r>
        <w:rPr>
          <w:rFonts w:hint="eastAsia" w:ascii="Arial" w:hAnsi="Arial" w:eastAsia="仿宋_GB2312" w:cs="Arial"/>
          <w:color w:val="auto"/>
          <w:sz w:val="28"/>
        </w:rPr>
        <w:t>16.8303－</w:t>
      </w:r>
      <w:r>
        <w:rPr>
          <w:rFonts w:ascii="Arial" w:hAnsi="Arial" w:eastAsia="仿宋_GB2312" w:cs="Arial"/>
          <w:color w:val="auto"/>
          <w:sz w:val="28"/>
        </w:rPr>
        <w:t>0.0</w:t>
      </w:r>
      <w:r>
        <w:rPr>
          <w:rFonts w:hint="eastAsia" w:ascii="Arial" w:hAnsi="Arial" w:eastAsia="仿宋_GB2312" w:cs="Arial"/>
          <w:color w:val="auto"/>
          <w:sz w:val="28"/>
        </w:rPr>
        <w:t>909</w:t>
      </w:r>
      <w:r>
        <w:rPr>
          <w:rFonts w:ascii="Arial" w:hAnsi="Arial" w:eastAsia="仿宋_GB2312" w:cs="Arial"/>
          <w:color w:val="auto"/>
          <w:sz w:val="28"/>
        </w:rPr>
        <w:t>P</w:t>
      </w:r>
      <w:r>
        <w:rPr>
          <w:rFonts w:hint="eastAsia" w:ascii="Arial" w:hAnsi="Arial" w:eastAsia="仿宋" w:cs="Arial"/>
          <w:bCs/>
          <w:color w:val="auto"/>
          <w:sz w:val="21"/>
          <w:szCs w:val="21"/>
          <w:vertAlign w:val="subscript"/>
        </w:rPr>
        <w:t>土</w:t>
      </w:r>
    </w:p>
    <w:p w14:paraId="7E38FB0F">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＝132.8436</w:t>
      </w:r>
      <w:r>
        <w:rPr>
          <w:rFonts w:hint="eastAsia" w:ascii="Arial" w:hAnsi="Arial" w:eastAsia="仿宋_GB2312"/>
          <w:color w:val="auto"/>
          <w:sz w:val="28"/>
        </w:rPr>
        <w:t>＋0.0434</w:t>
      </w:r>
      <w:r>
        <w:rPr>
          <w:rFonts w:ascii="Arial" w:hAnsi="Arial" w:eastAsia="仿宋_GB2312"/>
          <w:color w:val="auto"/>
          <w:sz w:val="28"/>
        </w:rPr>
        <w:t xml:space="preserve"> P</w:t>
      </w:r>
      <w:r>
        <w:rPr>
          <w:rFonts w:hint="eastAsia" w:ascii="仿宋_GB2312" w:eastAsia="仿宋_GB2312"/>
          <w:color w:val="auto"/>
          <w:sz w:val="28"/>
          <w:vertAlign w:val="subscript"/>
        </w:rPr>
        <w:t>土</w:t>
      </w:r>
      <w:r>
        <w:rPr>
          <w:rFonts w:hint="eastAsia" w:ascii="Arial" w:hAnsi="Arial" w:eastAsia="仿宋_GB2312"/>
          <w:color w:val="auto"/>
          <w:sz w:val="28"/>
        </w:rPr>
        <w:t>（</w:t>
      </w:r>
      <w:r>
        <w:rPr>
          <w:rFonts w:hint="eastAsia" w:ascii="仿宋_GB2312" w:eastAsia="仿宋_GB2312"/>
          <w:color w:val="auto"/>
          <w:sz w:val="28"/>
        </w:rPr>
        <w:t>万元）</w:t>
      </w:r>
    </w:p>
    <w:p w14:paraId="309CCAC9">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D</w:t>
      </w:r>
      <w:r>
        <w:rPr>
          <w:rFonts w:ascii="Arial" w:hAnsi="Arial" w:eastAsia="仿宋_GB2312"/>
          <w:color w:val="auto"/>
          <w:sz w:val="28"/>
        </w:rPr>
        <w:t>.</w:t>
      </w:r>
      <w:r>
        <w:rPr>
          <w:rFonts w:hint="eastAsia" w:ascii="仿宋_GB2312" w:eastAsia="仿宋_GB2312"/>
          <w:color w:val="auto"/>
          <w:sz w:val="28"/>
        </w:rPr>
        <w:t>开发利润（投资利润）</w:t>
      </w:r>
    </w:p>
    <w:p w14:paraId="1E02F461">
      <w:pPr>
        <w:spacing w:line="300" w:lineRule="auto"/>
        <w:ind w:firstLine="560" w:firstLineChars="200"/>
        <w:jc w:val="both"/>
        <w:rPr>
          <w:rFonts w:ascii="Arial" w:hAnsi="Arial" w:eastAsia="仿宋_GB2312" w:cs="Arial"/>
          <w:color w:val="auto"/>
          <w:sz w:val="28"/>
        </w:rPr>
      </w:pPr>
      <w:r>
        <w:rPr>
          <w:rFonts w:hint="eastAsia" w:ascii="仿宋_GB2312" w:hAnsi="Arial" w:eastAsia="仿宋_GB2312"/>
          <w:color w:val="auto"/>
          <w:sz w:val="28"/>
        </w:rPr>
        <w:t>开发利润是指房地产开发商投资房地产开发项目应取得的资金报酬及承担</w:t>
      </w:r>
      <w:r>
        <w:rPr>
          <w:rFonts w:hint="eastAsia" w:ascii="Arial" w:hAnsi="Arial" w:eastAsia="仿宋_GB2312" w:cs="Arial"/>
          <w:color w:val="auto"/>
          <w:sz w:val="28"/>
        </w:rPr>
        <w:t xml:space="preserve">风险补偿。一般以土地或不动产总价值或全部预付资本的一定比例计算，利润率宜采用同一市场上类似土地或不动产开发项目的平均利润率。本次评估采用投资利润率，以全部预付资本的一定比例计算。 </w:t>
      </w:r>
    </w:p>
    <w:p w14:paraId="554E42C7">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北京市国有建设用地使用权出让地价评估技术导则》（2026年2月10日实施），剩余法房地产开发投资利润率，参考区间值商业用途为20%－30%。估价对象位于北京市顺义区，结合估价对象容积率等自身条件，本次取其他商业服务用地开发商投资利润率为25%。</w:t>
      </w:r>
      <w:r>
        <w:rPr>
          <w:rFonts w:hint="eastAsia" w:ascii="仿宋_GB2312" w:eastAsia="仿宋_GB2312"/>
          <w:color w:val="auto"/>
          <w:sz w:val="28"/>
        </w:rPr>
        <w:t>则有：</w:t>
      </w:r>
    </w:p>
    <w:p w14:paraId="7A926BCD">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投资利润</w:t>
      </w:r>
    </w:p>
    <w:p w14:paraId="22590373">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＝（估价对象土地价格＋购地税费＋房屋建设成本＋管理费用＋销售费用）×投资利润率</w:t>
      </w:r>
    </w:p>
    <w:p w14:paraId="328E0559">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w:t>
      </w:r>
      <w:r>
        <w:rPr>
          <w:rFonts w:hint="eastAsia" w:ascii="仿宋_GB2312" w:eastAsia="仿宋_GB2312"/>
          <w:color w:val="auto"/>
          <w:sz w:val="28"/>
        </w:rPr>
        <w:t xml:space="preserve"> </w:t>
      </w:r>
      <w:r>
        <w:rPr>
          <w:rFonts w:ascii="Arial" w:hAnsi="Arial" w:eastAsia="仿宋_GB2312"/>
          <w:color w:val="auto"/>
          <w:sz w:val="28"/>
        </w:rPr>
        <w:t>P</w:t>
      </w:r>
      <w:r>
        <w:rPr>
          <w:rFonts w:hint="eastAsia" w:ascii="仿宋_GB2312" w:eastAsia="仿宋_GB2312"/>
          <w:color w:val="auto"/>
          <w:sz w:val="28"/>
          <w:vertAlign w:val="subscript"/>
        </w:rPr>
        <w:t>土</w:t>
      </w:r>
      <w:r>
        <w:rPr>
          <w:rFonts w:hint="eastAsia" w:ascii="Arial" w:hAnsi="Arial" w:eastAsia="仿宋_GB2312" w:cs="Arial"/>
          <w:color w:val="auto"/>
          <w:sz w:val="28"/>
        </w:rPr>
        <w:t>＋3.05%</w:t>
      </w:r>
      <w:r>
        <w:rPr>
          <w:rFonts w:hint="eastAsia" w:ascii="仿宋_GB2312" w:eastAsia="仿宋_GB2312"/>
          <w:color w:val="auto"/>
          <w:sz w:val="28"/>
        </w:rPr>
        <w:t xml:space="preserve"> </w:t>
      </w:r>
      <w:r>
        <w:rPr>
          <w:rFonts w:hint="eastAsia" w:ascii="Arial" w:hAnsi="Arial" w:eastAsia="仿宋" w:cs="Arial"/>
          <w:color w:val="auto"/>
          <w:sz w:val="28"/>
        </w:rPr>
        <w:t>P</w:t>
      </w:r>
      <w:r>
        <w:rPr>
          <w:rFonts w:hint="eastAsia" w:ascii="Arial" w:hAnsi="Arial" w:eastAsia="仿宋" w:cs="Arial"/>
          <w:color w:val="auto"/>
          <w:sz w:val="28"/>
          <w:vertAlign w:val="subscript"/>
        </w:rPr>
        <w:t>土</w:t>
      </w:r>
      <w:r>
        <w:rPr>
          <w:rFonts w:hint="eastAsia" w:ascii="Arial" w:hAnsi="Arial" w:eastAsia="仿宋_GB2312" w:cs="Arial"/>
          <w:color w:val="auto"/>
          <w:sz w:val="28"/>
        </w:rPr>
        <w:t>＋</w:t>
      </w:r>
      <w:r>
        <w:rPr>
          <w:rFonts w:hint="eastAsia" w:ascii="Arial" w:hAnsi="Arial" w:eastAsia="仿宋_GB2312"/>
          <w:color w:val="auto"/>
          <w:sz w:val="28"/>
        </w:rPr>
        <w:t>99.0000</w:t>
      </w:r>
      <w:r>
        <w:rPr>
          <w:rFonts w:hint="eastAsia" w:ascii="Arial" w:hAnsi="Arial" w:eastAsia="仿宋_GB2312" w:cs="Arial"/>
          <w:color w:val="auto"/>
          <w:sz w:val="28"/>
        </w:rPr>
        <w:t>＋</w:t>
      </w:r>
      <w:r>
        <w:rPr>
          <w:rFonts w:hint="eastAsia" w:ascii="Arial" w:hAnsi="Arial" w:eastAsia="仿宋_GB2312"/>
          <w:color w:val="auto"/>
          <w:sz w:val="28"/>
        </w:rPr>
        <w:t>2.9700</w:t>
      </w:r>
      <w:r>
        <w:rPr>
          <w:rFonts w:hint="eastAsia" w:ascii="Arial" w:hAnsi="Arial" w:eastAsia="仿宋_GB2312" w:cs="Arial"/>
          <w:color w:val="auto"/>
          <w:sz w:val="28"/>
        </w:rPr>
        <w:t>＋</w:t>
      </w:r>
      <w:r>
        <w:rPr>
          <w:rFonts w:hint="eastAsia" w:ascii="Arial" w:hAnsi="Arial" w:eastAsia="仿宋_GB2312"/>
          <w:color w:val="auto"/>
          <w:sz w:val="28"/>
        </w:rPr>
        <w:t>8.6090</w:t>
      </w:r>
      <w:r>
        <w:rPr>
          <w:rFonts w:hint="eastAsia" w:ascii="Arial" w:hAnsi="Arial" w:eastAsia="仿宋_GB2312" w:cs="Arial"/>
          <w:color w:val="auto"/>
          <w:sz w:val="28"/>
        </w:rPr>
        <w:t>）×25%</w:t>
      </w:r>
    </w:p>
    <w:p w14:paraId="034A74C8">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w:t>
      </w:r>
      <w:r>
        <w:rPr>
          <w:rFonts w:hint="eastAsia" w:ascii="Arial" w:hAnsi="Arial" w:eastAsia="仿宋_GB2312"/>
          <w:color w:val="auto"/>
          <w:sz w:val="28"/>
        </w:rPr>
        <w:t>27.6448</w:t>
      </w:r>
      <w:r>
        <w:rPr>
          <w:rFonts w:hint="eastAsia" w:ascii="Arial" w:hAnsi="Arial" w:eastAsia="仿宋" w:cs="Arial"/>
          <w:color w:val="auto"/>
          <w:sz w:val="28"/>
        </w:rPr>
        <w:t>＋</w:t>
      </w:r>
      <w:r>
        <w:rPr>
          <w:rFonts w:ascii="Arial" w:hAnsi="Arial" w:eastAsia="仿宋" w:cs="Arial"/>
          <w:color w:val="auto"/>
          <w:sz w:val="28"/>
        </w:rPr>
        <w:t>0.</w:t>
      </w:r>
      <w:r>
        <w:rPr>
          <w:rFonts w:hint="eastAsia" w:ascii="Arial" w:hAnsi="Arial" w:eastAsia="仿宋" w:cs="Arial"/>
          <w:color w:val="auto"/>
          <w:sz w:val="28"/>
        </w:rPr>
        <w:t>2576P</w:t>
      </w:r>
      <w:r>
        <w:rPr>
          <w:rFonts w:hint="eastAsia" w:ascii="Arial" w:hAnsi="Arial" w:eastAsia="仿宋" w:cs="Arial"/>
          <w:color w:val="auto"/>
          <w:sz w:val="28"/>
          <w:vertAlign w:val="subscript"/>
        </w:rPr>
        <w:t>土</w:t>
      </w:r>
      <w:r>
        <w:rPr>
          <w:rFonts w:hint="eastAsia" w:ascii="仿宋_GB2312" w:eastAsia="仿宋_GB2312"/>
          <w:color w:val="auto"/>
          <w:sz w:val="28"/>
        </w:rPr>
        <w:t>（万元）</w:t>
      </w:r>
    </w:p>
    <w:p w14:paraId="2108CC5E">
      <w:pPr>
        <w:spacing w:before="120" w:beforeLines="50" w:after="120" w:afterLines="50" w:line="300" w:lineRule="auto"/>
        <w:ind w:firstLine="560" w:firstLineChars="200"/>
        <w:rPr>
          <w:rFonts w:ascii="Arial" w:hAnsi="Arial" w:eastAsia="仿宋_GB2312"/>
          <w:color w:val="auto"/>
          <w:sz w:val="28"/>
        </w:rPr>
      </w:pPr>
      <w:r>
        <w:rPr>
          <w:rFonts w:hint="eastAsia" w:ascii="Arial" w:hAnsi="Arial" w:eastAsia="仿宋_GB2312"/>
          <w:color w:val="auto"/>
          <w:sz w:val="28"/>
        </w:rPr>
        <w:t>E.求取估价对象其他商业服务用地土地价格</w:t>
      </w:r>
    </w:p>
    <w:p w14:paraId="094B0D1B">
      <w:pPr>
        <w:spacing w:before="120" w:beforeLines="50" w:after="120" w:afterLines="50" w:line="300" w:lineRule="auto"/>
        <w:ind w:firstLine="560" w:firstLineChars="200"/>
        <w:rPr>
          <w:rFonts w:ascii="Arial" w:hAnsi="Arial" w:eastAsia="仿宋_GB2312"/>
          <w:color w:val="auto"/>
          <w:sz w:val="28"/>
        </w:rPr>
      </w:pPr>
      <w:r>
        <w:rPr>
          <w:rFonts w:hint="eastAsia" w:ascii="Arial" w:hAnsi="Arial" w:eastAsia="仿宋_GB2312"/>
          <w:color w:val="auto"/>
          <w:sz w:val="28"/>
        </w:rPr>
        <w:t>土地价格（P土）</w:t>
      </w:r>
    </w:p>
    <w:p w14:paraId="14FEEB2E">
      <w:pPr>
        <w:spacing w:before="120" w:beforeLines="50" w:after="120" w:afterLines="50" w:line="300" w:lineRule="auto"/>
        <w:ind w:firstLine="560" w:firstLineChars="200"/>
        <w:rPr>
          <w:rFonts w:ascii="Arial" w:hAnsi="Arial" w:eastAsia="仿宋_GB2312"/>
          <w:color w:val="auto"/>
          <w:sz w:val="28"/>
        </w:rPr>
      </w:pPr>
      <w:r>
        <w:rPr>
          <w:rFonts w:hint="eastAsia" w:ascii="Arial" w:hAnsi="Arial" w:eastAsia="仿宋_GB2312"/>
          <w:color w:val="auto"/>
          <w:sz w:val="28"/>
        </w:rPr>
        <w:t>＝开发完成后的不动产总价－开发成本－开发利润</w:t>
      </w:r>
    </w:p>
    <w:p w14:paraId="7B029EF9">
      <w:pPr>
        <w:spacing w:before="120" w:beforeLines="50" w:after="120" w:afterLines="50" w:line="300" w:lineRule="auto"/>
        <w:ind w:left="557" w:leftChars="232"/>
        <w:rPr>
          <w:rFonts w:ascii="Arial" w:hAnsi="Arial" w:eastAsia="仿宋" w:cs="Arial"/>
          <w:color w:val="auto"/>
          <w:sz w:val="28"/>
          <w:vertAlign w:val="subscript"/>
        </w:rPr>
      </w:pPr>
      <w:r>
        <w:rPr>
          <w:rFonts w:hint="eastAsia" w:ascii="Arial" w:hAnsi="Arial" w:eastAsia="仿宋_GB2312"/>
          <w:color w:val="auto"/>
          <w:sz w:val="28"/>
        </w:rPr>
        <w:t>＝286.9680－（132.8436＋0.0434</w:t>
      </w:r>
      <w:r>
        <w:rPr>
          <w:rFonts w:hint="eastAsia" w:ascii="Arial" w:hAnsi="Arial" w:eastAsia="仿宋" w:cs="Arial"/>
          <w:color w:val="auto"/>
          <w:sz w:val="28"/>
        </w:rPr>
        <w:t>P</w:t>
      </w:r>
      <w:r>
        <w:rPr>
          <w:rFonts w:hint="eastAsia" w:ascii="Arial" w:hAnsi="Arial" w:eastAsia="仿宋" w:cs="Arial"/>
          <w:color w:val="auto"/>
          <w:sz w:val="28"/>
          <w:vertAlign w:val="subscript"/>
        </w:rPr>
        <w:t>土</w:t>
      </w:r>
      <w:r>
        <w:rPr>
          <w:rFonts w:hint="eastAsia" w:ascii="Arial" w:hAnsi="Arial" w:eastAsia="仿宋_GB2312"/>
          <w:color w:val="auto"/>
          <w:sz w:val="28"/>
        </w:rPr>
        <w:t>）－（27.6448＋0.2576</w:t>
      </w:r>
      <w:r>
        <w:rPr>
          <w:rFonts w:hint="eastAsia" w:ascii="Arial" w:hAnsi="Arial" w:eastAsia="仿宋" w:cs="Arial"/>
          <w:color w:val="auto"/>
          <w:sz w:val="28"/>
        </w:rPr>
        <w:t>P</w:t>
      </w:r>
      <w:r>
        <w:rPr>
          <w:rFonts w:hint="eastAsia" w:ascii="Arial" w:hAnsi="Arial" w:eastAsia="仿宋" w:cs="Arial"/>
          <w:color w:val="auto"/>
          <w:sz w:val="28"/>
          <w:vertAlign w:val="subscript"/>
        </w:rPr>
        <w:t>土</w:t>
      </w:r>
    </w:p>
    <w:p w14:paraId="68546AA2">
      <w:pPr>
        <w:spacing w:before="120" w:beforeLines="50" w:after="120" w:afterLines="50" w:line="300" w:lineRule="auto"/>
        <w:ind w:left="557" w:leftChars="232"/>
        <w:rPr>
          <w:rFonts w:ascii="Arial" w:hAnsi="Arial" w:eastAsia="仿宋_GB2312"/>
          <w:color w:val="auto"/>
          <w:sz w:val="28"/>
        </w:rPr>
      </w:pPr>
      <w:r>
        <w:rPr>
          <w:rFonts w:hint="eastAsia" w:ascii="Arial" w:hAnsi="Arial" w:eastAsia="仿宋_GB2312"/>
          <w:color w:val="auto"/>
          <w:sz w:val="28"/>
        </w:rPr>
        <w:t>＝97.2172（万元）</w:t>
      </w:r>
    </w:p>
    <w:p w14:paraId="62D2ED7F">
      <w:pPr>
        <w:spacing w:before="50" w:after="50" w:line="300" w:lineRule="auto"/>
        <w:ind w:firstLine="560" w:firstLineChars="200"/>
        <w:rPr>
          <w:rFonts w:ascii="Arial" w:hAnsi="Arial" w:eastAsia="仿宋" w:cs="Arial"/>
          <w:color w:val="auto"/>
          <w:spacing w:val="10"/>
          <w:sz w:val="28"/>
          <w:szCs w:val="28"/>
        </w:rPr>
      </w:pPr>
      <w:r>
        <w:rPr>
          <w:rFonts w:ascii="Arial" w:hAnsi="Arial" w:eastAsia="仿宋" w:cs="Arial"/>
          <w:color w:val="auto"/>
          <w:sz w:val="28"/>
          <w:szCs w:val="28"/>
        </w:rPr>
        <w:t>商业用房</w:t>
      </w:r>
      <w:r>
        <w:rPr>
          <w:rFonts w:hint="eastAsia" w:ascii="Arial" w:hAnsi="Arial" w:eastAsia="仿宋" w:cs="Arial"/>
          <w:color w:val="auto"/>
          <w:sz w:val="28"/>
          <w:szCs w:val="28"/>
        </w:rPr>
        <w:t>楼面地价＝</w:t>
      </w:r>
      <w:r>
        <w:rPr>
          <w:rFonts w:ascii="Arial" w:hAnsi="Arial" w:eastAsia="仿宋" w:cs="Arial"/>
          <w:color w:val="auto"/>
          <w:spacing w:val="10"/>
          <w:sz w:val="28"/>
          <w:szCs w:val="28"/>
        </w:rPr>
        <w:t>土地价格</w:t>
      </w:r>
      <w:r>
        <w:rPr>
          <w:rFonts w:hint="eastAsia" w:ascii="Arial" w:hAnsi="Arial" w:eastAsia="仿宋" w:cs="Arial"/>
          <w:color w:val="auto"/>
          <w:spacing w:val="10"/>
          <w:sz w:val="28"/>
          <w:szCs w:val="28"/>
        </w:rPr>
        <w:t>÷</w:t>
      </w:r>
      <w:r>
        <w:rPr>
          <w:rFonts w:ascii="Arial" w:hAnsi="Arial" w:eastAsia="仿宋" w:cs="Arial"/>
          <w:color w:val="auto"/>
          <w:spacing w:val="10"/>
          <w:sz w:val="28"/>
          <w:szCs w:val="28"/>
        </w:rPr>
        <w:t>建筑规模</w:t>
      </w:r>
      <w:r>
        <w:rPr>
          <w:rFonts w:hint="eastAsia" w:ascii="Arial" w:hAnsi="Arial" w:eastAsia="仿宋" w:cs="Arial"/>
          <w:color w:val="auto"/>
          <w:spacing w:val="10"/>
          <w:sz w:val="28"/>
          <w:szCs w:val="28"/>
        </w:rPr>
        <w:t>×</w:t>
      </w:r>
      <w:r>
        <w:rPr>
          <w:rFonts w:ascii="Arial" w:hAnsi="Arial" w:eastAsia="仿宋" w:cs="Arial"/>
          <w:color w:val="auto"/>
          <w:spacing w:val="10"/>
          <w:sz w:val="28"/>
          <w:szCs w:val="28"/>
        </w:rPr>
        <w:t>10000</w:t>
      </w:r>
    </w:p>
    <w:p w14:paraId="3C0EE4EC">
      <w:pPr>
        <w:spacing w:line="300" w:lineRule="auto"/>
        <w:ind w:firstLine="2800" w:firstLineChars="1000"/>
        <w:jc w:val="both"/>
        <w:rPr>
          <w:rFonts w:ascii="Arial" w:hAnsi="Arial" w:eastAsia="仿宋" w:cs="Arial"/>
          <w:color w:val="auto"/>
          <w:sz w:val="28"/>
        </w:rPr>
      </w:pPr>
      <w:r>
        <w:rPr>
          <w:rFonts w:hint="eastAsia" w:ascii="Arial" w:hAnsi="Arial" w:eastAsia="仿宋" w:cs="Arial"/>
          <w:color w:val="auto"/>
          <w:sz w:val="28"/>
        </w:rPr>
        <w:t>＝</w:t>
      </w:r>
      <w:r>
        <w:rPr>
          <w:rFonts w:hint="eastAsia" w:ascii="Arial" w:hAnsi="Arial" w:eastAsia="仿宋_GB2312"/>
          <w:color w:val="auto"/>
          <w:sz w:val="28"/>
        </w:rPr>
        <w:t>97.2172</w:t>
      </w:r>
      <w:r>
        <w:rPr>
          <w:rFonts w:hint="eastAsia" w:ascii="Arial" w:hAnsi="Arial" w:eastAsia="仿宋" w:cs="Arial"/>
          <w:color w:val="auto"/>
          <w:sz w:val="28"/>
        </w:rPr>
        <w:t>÷176×</w:t>
      </w:r>
      <w:r>
        <w:rPr>
          <w:rFonts w:ascii="Arial" w:hAnsi="Arial" w:eastAsia="仿宋" w:cs="Arial"/>
          <w:color w:val="auto"/>
          <w:sz w:val="28"/>
        </w:rPr>
        <w:t>10000</w:t>
      </w:r>
    </w:p>
    <w:p w14:paraId="49DE2C49">
      <w:pPr>
        <w:spacing w:before="50" w:after="50" w:line="300" w:lineRule="auto"/>
        <w:ind w:firstLine="2800" w:firstLineChars="1000"/>
        <w:rPr>
          <w:rFonts w:ascii="Arial" w:hAnsi="Arial" w:eastAsia="仿宋" w:cs="Arial"/>
          <w:color w:val="auto"/>
          <w:sz w:val="28"/>
        </w:rPr>
      </w:pPr>
      <w:r>
        <w:rPr>
          <w:rFonts w:hint="eastAsia" w:ascii="Arial" w:hAnsi="Arial" w:eastAsia="仿宋" w:cs="Arial"/>
          <w:color w:val="auto"/>
          <w:sz w:val="28"/>
        </w:rPr>
        <w:t>＝5524</w:t>
      </w:r>
      <w:r>
        <w:rPr>
          <w:rFonts w:ascii="Arial" w:hAnsi="Arial" w:eastAsia="仿宋" w:cs="Arial"/>
          <w:color w:val="auto"/>
          <w:sz w:val="28"/>
        </w:rPr>
        <w:t>（元/平方米）</w:t>
      </w:r>
    </w:p>
    <w:p w14:paraId="3EE8A1F3">
      <w:pPr>
        <w:spacing w:before="50" w:after="50" w:line="300" w:lineRule="auto"/>
        <w:jc w:val="center"/>
        <w:rPr>
          <w:rFonts w:ascii="Arial" w:hAnsi="Arial" w:eastAsia="仿宋" w:cs="Arial"/>
          <w:color w:val="auto"/>
          <w:sz w:val="28"/>
        </w:rPr>
      </w:pPr>
      <w:r>
        <w:rPr>
          <w:rFonts w:ascii="Arial" w:hAnsi="Arial" w:eastAsia="仿宋_GB2312" w:cs="Arial"/>
          <w:color w:val="auto"/>
          <w:sz w:val="28"/>
        </w:rPr>
        <w:br w:type="page"/>
      </w:r>
      <w:r>
        <w:rPr>
          <w:rFonts w:ascii="Arial" w:hAnsi="Arial" w:eastAsia="仿宋" w:cs="Arial"/>
          <w:color w:val="auto"/>
          <w:sz w:val="28"/>
        </w:rPr>
        <w:t>剩余法测算表（</w:t>
      </w:r>
      <w:r>
        <w:rPr>
          <w:rFonts w:hint="eastAsia" w:ascii="Arial" w:hAnsi="Arial" w:eastAsia="仿宋" w:cs="Arial"/>
          <w:color w:val="auto"/>
          <w:sz w:val="28"/>
        </w:rPr>
        <w:t>其他商业服务业用地</w:t>
      </w:r>
      <w:r>
        <w:rPr>
          <w:rFonts w:ascii="Arial" w:hAnsi="Arial" w:eastAsia="仿宋" w:cs="Arial"/>
          <w:color w:val="auto"/>
          <w:sz w:val="28"/>
        </w:rPr>
        <w:t>）</w:t>
      </w:r>
    </w:p>
    <w:tbl>
      <w:tblPr>
        <w:tblStyle w:val="34"/>
        <w:tblW w:w="4997"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612"/>
        <w:gridCol w:w="2498"/>
        <w:gridCol w:w="1888"/>
        <w:gridCol w:w="1461"/>
        <w:gridCol w:w="2945"/>
      </w:tblGrid>
      <w:tr w14:paraId="28C8642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blHeader/>
          <w:jc w:val="center"/>
        </w:trPr>
        <w:tc>
          <w:tcPr>
            <w:tcW w:w="325" w:type="pct"/>
            <w:shd w:val="clear" w:color="auto" w:fill="auto"/>
            <w:noWrap/>
            <w:vAlign w:val="center"/>
          </w:tcPr>
          <w:p w14:paraId="651395F2">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序号</w:t>
            </w:r>
          </w:p>
        </w:tc>
        <w:tc>
          <w:tcPr>
            <w:tcW w:w="1327" w:type="pct"/>
            <w:shd w:val="clear" w:color="auto" w:fill="auto"/>
            <w:noWrap/>
            <w:vAlign w:val="center"/>
          </w:tcPr>
          <w:p w14:paraId="0903CBD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项目名称</w:t>
            </w:r>
          </w:p>
        </w:tc>
        <w:tc>
          <w:tcPr>
            <w:tcW w:w="1004" w:type="pct"/>
            <w:shd w:val="clear" w:color="auto" w:fill="auto"/>
            <w:noWrap/>
            <w:vAlign w:val="center"/>
          </w:tcPr>
          <w:p w14:paraId="713EC47F">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总额</w:t>
            </w:r>
            <w:r>
              <w:rPr>
                <w:rFonts w:hint="eastAsia" w:ascii="Arial" w:hAnsi="Arial" w:eastAsia="仿宋" w:cs="Arial"/>
                <w:bCs/>
                <w:color w:val="auto"/>
                <w:sz w:val="21"/>
                <w:szCs w:val="21"/>
              </w:rPr>
              <w:t>（万元）</w:t>
            </w:r>
          </w:p>
        </w:tc>
        <w:tc>
          <w:tcPr>
            <w:tcW w:w="777" w:type="pct"/>
            <w:shd w:val="clear" w:color="auto" w:fill="auto"/>
            <w:noWrap/>
            <w:vAlign w:val="center"/>
          </w:tcPr>
          <w:p w14:paraId="3F7A259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单价</w:t>
            </w:r>
            <w:r>
              <w:rPr>
                <w:rFonts w:hint="eastAsia" w:ascii="Arial" w:hAnsi="Arial" w:eastAsia="仿宋" w:cs="Arial"/>
                <w:bCs/>
                <w:color w:val="auto"/>
                <w:sz w:val="21"/>
                <w:szCs w:val="21"/>
              </w:rPr>
              <w:t>（元/㎡）</w:t>
            </w:r>
          </w:p>
        </w:tc>
        <w:tc>
          <w:tcPr>
            <w:tcW w:w="1565" w:type="pct"/>
          </w:tcPr>
          <w:p w14:paraId="5D2BABA7">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备注</w:t>
            </w:r>
          </w:p>
        </w:tc>
      </w:tr>
      <w:tr w14:paraId="3BAE22F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013F257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p>
        </w:tc>
        <w:tc>
          <w:tcPr>
            <w:tcW w:w="1327" w:type="pct"/>
            <w:shd w:val="clear" w:color="auto" w:fill="auto"/>
            <w:noWrap/>
            <w:vAlign w:val="center"/>
          </w:tcPr>
          <w:p w14:paraId="10E0571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开发完成后不动产总价</w:t>
            </w:r>
          </w:p>
        </w:tc>
        <w:tc>
          <w:tcPr>
            <w:tcW w:w="1833" w:type="dxa"/>
            <w:shd w:val="clear" w:color="auto" w:fill="auto"/>
            <w:noWrap/>
            <w:vAlign w:val="center"/>
          </w:tcPr>
          <w:p w14:paraId="302B155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286.9680 </w:t>
            </w:r>
          </w:p>
        </w:tc>
        <w:tc>
          <w:tcPr>
            <w:tcW w:w="1418" w:type="dxa"/>
            <w:shd w:val="clear" w:color="auto" w:fill="auto"/>
            <w:noWrap/>
            <w:vAlign w:val="center"/>
          </w:tcPr>
          <w:p w14:paraId="574633F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16305 </w:t>
            </w:r>
          </w:p>
        </w:tc>
        <w:tc>
          <w:tcPr>
            <w:tcW w:w="1565" w:type="pct"/>
          </w:tcPr>
          <w:p w14:paraId="1A0F527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销售价格</w:t>
            </w:r>
            <w:r>
              <w:rPr>
                <w:rFonts w:hint="eastAsia" w:ascii="Arial" w:hAnsi="Arial" w:eastAsia="仿宋" w:cs="Arial"/>
                <w:bCs/>
                <w:color w:val="auto"/>
                <w:sz w:val="21"/>
                <w:szCs w:val="21"/>
              </w:rPr>
              <w:t>×</w:t>
            </w:r>
            <w:r>
              <w:rPr>
                <w:rFonts w:ascii="Arial" w:hAnsi="Arial" w:eastAsia="仿宋" w:cs="Arial"/>
                <w:bCs/>
                <w:color w:val="auto"/>
                <w:sz w:val="21"/>
                <w:szCs w:val="21"/>
              </w:rPr>
              <w:t>可收益建筑面积</w:t>
            </w:r>
          </w:p>
        </w:tc>
      </w:tr>
      <w:tr w14:paraId="51B5DF2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vAlign w:val="center"/>
          </w:tcPr>
          <w:p w14:paraId="4237AC9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2</w:t>
            </w:r>
          </w:p>
        </w:tc>
        <w:tc>
          <w:tcPr>
            <w:tcW w:w="1327" w:type="pct"/>
            <w:shd w:val="clear" w:color="auto" w:fill="auto"/>
            <w:noWrap/>
            <w:vAlign w:val="center"/>
          </w:tcPr>
          <w:p w14:paraId="3982BF2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开发成本</w:t>
            </w:r>
          </w:p>
        </w:tc>
        <w:tc>
          <w:tcPr>
            <w:tcW w:w="1833" w:type="dxa"/>
            <w:shd w:val="clear" w:color="auto" w:fill="auto"/>
            <w:noWrap/>
            <w:vAlign w:val="center"/>
          </w:tcPr>
          <w:p w14:paraId="65B64A7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137.0628 </w:t>
            </w:r>
          </w:p>
        </w:tc>
        <w:tc>
          <w:tcPr>
            <w:tcW w:w="1418" w:type="dxa"/>
            <w:shd w:val="clear" w:color="auto" w:fill="auto"/>
            <w:noWrap/>
            <w:vAlign w:val="center"/>
          </w:tcPr>
          <w:p w14:paraId="35A221E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7788 </w:t>
            </w:r>
          </w:p>
        </w:tc>
        <w:tc>
          <w:tcPr>
            <w:tcW w:w="1565" w:type="pct"/>
          </w:tcPr>
          <w:p w14:paraId="46B8C642">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r>
              <w:rPr>
                <w:rFonts w:hint="eastAsia" w:ascii="Arial" w:hAnsi="Arial" w:eastAsia="仿宋" w:cs="Arial"/>
                <w:bCs/>
                <w:color w:val="auto"/>
                <w:sz w:val="21"/>
                <w:szCs w:val="21"/>
              </w:rPr>
              <w:t>－</w:t>
            </w:r>
            <w:r>
              <w:rPr>
                <w:rFonts w:ascii="Arial" w:hAnsi="Arial" w:eastAsia="仿宋" w:cs="Arial"/>
                <w:bCs/>
                <w:color w:val="auto"/>
                <w:sz w:val="21"/>
                <w:szCs w:val="21"/>
              </w:rPr>
              <w:t>（</w:t>
            </w:r>
            <w:r>
              <w:rPr>
                <w:rFonts w:hint="eastAsia" w:ascii="Arial" w:hAnsi="Arial" w:eastAsia="仿宋" w:cs="Arial"/>
                <w:bCs/>
                <w:color w:val="auto"/>
                <w:sz w:val="21"/>
                <w:szCs w:val="21"/>
              </w:rPr>
              <w:t>6</w:t>
            </w:r>
            <w:r>
              <w:rPr>
                <w:rFonts w:ascii="Arial" w:hAnsi="Arial" w:eastAsia="仿宋" w:cs="Arial"/>
                <w:bCs/>
                <w:color w:val="auto"/>
                <w:sz w:val="21"/>
                <w:szCs w:val="21"/>
              </w:rPr>
              <w:t>）之和</w:t>
            </w:r>
          </w:p>
        </w:tc>
      </w:tr>
      <w:tr w14:paraId="443955E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29F5779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p>
        </w:tc>
        <w:tc>
          <w:tcPr>
            <w:tcW w:w="1327" w:type="pct"/>
            <w:shd w:val="clear" w:color="auto" w:fill="auto"/>
            <w:noWrap/>
            <w:vAlign w:val="center"/>
          </w:tcPr>
          <w:p w14:paraId="7D914256">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购地税费</w:t>
            </w:r>
          </w:p>
        </w:tc>
        <w:tc>
          <w:tcPr>
            <w:tcW w:w="1833" w:type="dxa"/>
            <w:shd w:val="clear" w:color="auto" w:fill="auto"/>
            <w:noWrap/>
            <w:vAlign w:val="center"/>
          </w:tcPr>
          <w:p w14:paraId="3A35DC9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2.4156 </w:t>
            </w:r>
          </w:p>
        </w:tc>
        <w:tc>
          <w:tcPr>
            <w:tcW w:w="1418" w:type="dxa"/>
            <w:shd w:val="clear" w:color="auto" w:fill="auto"/>
            <w:noWrap/>
            <w:vAlign w:val="center"/>
          </w:tcPr>
          <w:p w14:paraId="163BBEEF">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137 </w:t>
            </w:r>
          </w:p>
        </w:tc>
        <w:tc>
          <w:tcPr>
            <w:tcW w:w="1565" w:type="pct"/>
          </w:tcPr>
          <w:p w14:paraId="728A2C2A">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w:t>
            </w:r>
          </w:p>
        </w:tc>
      </w:tr>
      <w:tr w14:paraId="2ADF33A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44F12CA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2</w:t>
            </w:r>
            <w:r>
              <w:rPr>
                <w:rFonts w:ascii="Arial" w:hAnsi="Arial" w:eastAsia="仿宋" w:cs="Arial"/>
                <w:bCs/>
                <w:color w:val="auto"/>
                <w:sz w:val="21"/>
                <w:szCs w:val="21"/>
              </w:rPr>
              <w:t>）</w:t>
            </w:r>
          </w:p>
        </w:tc>
        <w:tc>
          <w:tcPr>
            <w:tcW w:w="1327" w:type="pct"/>
            <w:shd w:val="clear" w:color="auto" w:fill="auto"/>
            <w:noWrap/>
            <w:vAlign w:val="center"/>
          </w:tcPr>
          <w:p w14:paraId="44F1FF9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房屋建设成本</w:t>
            </w:r>
          </w:p>
        </w:tc>
        <w:tc>
          <w:tcPr>
            <w:tcW w:w="1833" w:type="dxa"/>
            <w:shd w:val="clear" w:color="auto" w:fill="auto"/>
            <w:noWrap/>
            <w:vAlign w:val="center"/>
          </w:tcPr>
          <w:p w14:paraId="5F9A450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99.0000 </w:t>
            </w:r>
          </w:p>
        </w:tc>
        <w:tc>
          <w:tcPr>
            <w:tcW w:w="1418" w:type="dxa"/>
            <w:shd w:val="clear" w:color="auto" w:fill="auto"/>
            <w:noWrap/>
            <w:vAlign w:val="center"/>
          </w:tcPr>
          <w:p w14:paraId="2C0FCD9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5625 </w:t>
            </w:r>
          </w:p>
        </w:tc>
        <w:tc>
          <w:tcPr>
            <w:tcW w:w="1565" w:type="pct"/>
          </w:tcPr>
          <w:p w14:paraId="76996FF6">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下述</w:t>
            </w:r>
            <w:r>
              <w:rPr>
                <w:rFonts w:hint="eastAsia" w:ascii="Arial" w:hAnsi="Arial" w:eastAsia="仿宋" w:cs="Arial"/>
                <w:color w:val="auto"/>
                <w:sz w:val="21"/>
                <w:szCs w:val="21"/>
              </w:rPr>
              <w:t>6</w:t>
            </w:r>
            <w:r>
              <w:rPr>
                <w:rFonts w:ascii="Arial" w:hAnsi="Arial" w:eastAsia="仿宋" w:cs="Arial"/>
                <w:color w:val="auto"/>
                <w:sz w:val="21"/>
                <w:szCs w:val="21"/>
              </w:rPr>
              <w:t>项之和</w:t>
            </w:r>
          </w:p>
        </w:tc>
      </w:tr>
      <w:tr w14:paraId="25A74B4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45FEC60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w:t>
            </w:r>
          </w:p>
        </w:tc>
        <w:tc>
          <w:tcPr>
            <w:tcW w:w="1327" w:type="pct"/>
            <w:shd w:val="clear" w:color="auto" w:fill="auto"/>
            <w:noWrap/>
            <w:vAlign w:val="center"/>
          </w:tcPr>
          <w:p w14:paraId="008F0509">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建筑安装工程费</w:t>
            </w:r>
          </w:p>
        </w:tc>
        <w:tc>
          <w:tcPr>
            <w:tcW w:w="1833" w:type="dxa"/>
            <w:shd w:val="clear" w:color="auto" w:fill="auto"/>
            <w:noWrap/>
            <w:vAlign w:val="center"/>
          </w:tcPr>
          <w:p w14:paraId="78820E5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79.2000 </w:t>
            </w:r>
          </w:p>
        </w:tc>
        <w:tc>
          <w:tcPr>
            <w:tcW w:w="1418" w:type="dxa"/>
            <w:shd w:val="clear" w:color="auto" w:fill="auto"/>
            <w:noWrap/>
            <w:vAlign w:val="center"/>
          </w:tcPr>
          <w:p w14:paraId="3AC37E8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4500 </w:t>
            </w:r>
          </w:p>
        </w:tc>
        <w:tc>
          <w:tcPr>
            <w:tcW w:w="1565" w:type="pct"/>
          </w:tcPr>
          <w:p w14:paraId="11DD7F0B">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考虑托幼用地建设成本</w:t>
            </w:r>
          </w:p>
        </w:tc>
      </w:tr>
      <w:tr w14:paraId="1DBDCD3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7AE23E0">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w:t>
            </w:r>
          </w:p>
        </w:tc>
        <w:tc>
          <w:tcPr>
            <w:tcW w:w="1327" w:type="pct"/>
            <w:shd w:val="clear" w:color="auto" w:fill="auto"/>
            <w:noWrap/>
            <w:vAlign w:val="center"/>
          </w:tcPr>
          <w:p w14:paraId="5839EBAE">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前期费用</w:t>
            </w:r>
          </w:p>
        </w:tc>
        <w:tc>
          <w:tcPr>
            <w:tcW w:w="1833" w:type="dxa"/>
            <w:shd w:val="clear" w:color="auto" w:fill="auto"/>
            <w:noWrap/>
            <w:vAlign w:val="center"/>
          </w:tcPr>
          <w:p w14:paraId="6C73D7A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6.3360 </w:t>
            </w:r>
          </w:p>
        </w:tc>
        <w:tc>
          <w:tcPr>
            <w:tcW w:w="1418" w:type="dxa"/>
            <w:shd w:val="clear" w:color="auto" w:fill="auto"/>
            <w:noWrap/>
            <w:vAlign w:val="center"/>
          </w:tcPr>
          <w:p w14:paraId="59BA88DF">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360 </w:t>
            </w:r>
          </w:p>
        </w:tc>
        <w:tc>
          <w:tcPr>
            <w:tcW w:w="1565" w:type="pct"/>
          </w:tcPr>
          <w:p w14:paraId="1A955B3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建筑安装工程费×8%</w:t>
            </w:r>
          </w:p>
        </w:tc>
      </w:tr>
      <w:tr w14:paraId="090AC08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49660B9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w:t>
            </w:r>
          </w:p>
        </w:tc>
        <w:tc>
          <w:tcPr>
            <w:tcW w:w="1327" w:type="pct"/>
            <w:shd w:val="clear" w:color="auto" w:fill="auto"/>
            <w:noWrap/>
            <w:vAlign w:val="center"/>
          </w:tcPr>
          <w:p w14:paraId="061210FD">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基础设施建设费</w:t>
            </w:r>
          </w:p>
        </w:tc>
        <w:tc>
          <w:tcPr>
            <w:tcW w:w="1833" w:type="dxa"/>
            <w:shd w:val="clear" w:color="auto" w:fill="auto"/>
            <w:noWrap/>
            <w:vAlign w:val="center"/>
          </w:tcPr>
          <w:p w14:paraId="42C261AF">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7.9200 </w:t>
            </w:r>
          </w:p>
        </w:tc>
        <w:tc>
          <w:tcPr>
            <w:tcW w:w="1418" w:type="dxa"/>
            <w:shd w:val="clear" w:color="auto" w:fill="auto"/>
            <w:noWrap/>
            <w:vAlign w:val="center"/>
          </w:tcPr>
          <w:p w14:paraId="36531FE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450 </w:t>
            </w:r>
          </w:p>
        </w:tc>
        <w:tc>
          <w:tcPr>
            <w:tcW w:w="1565" w:type="pct"/>
          </w:tcPr>
          <w:p w14:paraId="4711F4B7">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建筑安装工程费×8%</w:t>
            </w:r>
          </w:p>
        </w:tc>
      </w:tr>
      <w:tr w14:paraId="15698F9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443C779E">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w:t>
            </w:r>
          </w:p>
        </w:tc>
        <w:tc>
          <w:tcPr>
            <w:tcW w:w="1327" w:type="pct"/>
            <w:shd w:val="clear" w:color="auto" w:fill="auto"/>
            <w:noWrap/>
            <w:vAlign w:val="center"/>
          </w:tcPr>
          <w:p w14:paraId="28122EF7">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公共配套设施费用</w:t>
            </w:r>
          </w:p>
        </w:tc>
        <w:tc>
          <w:tcPr>
            <w:tcW w:w="1833" w:type="dxa"/>
            <w:shd w:val="clear" w:color="auto" w:fill="auto"/>
            <w:noWrap/>
            <w:vAlign w:val="center"/>
          </w:tcPr>
          <w:p w14:paraId="3475A5F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0.0000 </w:t>
            </w:r>
          </w:p>
        </w:tc>
        <w:tc>
          <w:tcPr>
            <w:tcW w:w="1418" w:type="dxa"/>
            <w:shd w:val="clear" w:color="auto" w:fill="auto"/>
            <w:noWrap/>
            <w:vAlign w:val="center"/>
          </w:tcPr>
          <w:p w14:paraId="3448CD45">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0 </w:t>
            </w:r>
          </w:p>
        </w:tc>
        <w:tc>
          <w:tcPr>
            <w:tcW w:w="1565" w:type="pct"/>
          </w:tcPr>
          <w:p w14:paraId="712BEE45">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建筑安装工程费×10%</w:t>
            </w:r>
          </w:p>
        </w:tc>
      </w:tr>
      <w:tr w14:paraId="1D48F83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0E9B80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327" w:type="pct"/>
            <w:shd w:val="clear" w:color="auto" w:fill="auto"/>
            <w:noWrap/>
            <w:vAlign w:val="center"/>
          </w:tcPr>
          <w:p w14:paraId="4585C6A2">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开发期间税费</w:t>
            </w:r>
          </w:p>
        </w:tc>
        <w:tc>
          <w:tcPr>
            <w:tcW w:w="1833" w:type="dxa"/>
            <w:shd w:val="clear" w:color="auto" w:fill="auto"/>
            <w:noWrap/>
            <w:vAlign w:val="center"/>
          </w:tcPr>
          <w:p w14:paraId="66919CB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1.5840 </w:t>
            </w:r>
          </w:p>
        </w:tc>
        <w:tc>
          <w:tcPr>
            <w:tcW w:w="1418" w:type="dxa"/>
            <w:shd w:val="clear" w:color="auto" w:fill="auto"/>
            <w:noWrap/>
            <w:vAlign w:val="center"/>
          </w:tcPr>
          <w:p w14:paraId="18B9FA4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90 </w:t>
            </w:r>
          </w:p>
        </w:tc>
        <w:tc>
          <w:tcPr>
            <w:tcW w:w="1565" w:type="pct"/>
            <w:vAlign w:val="center"/>
          </w:tcPr>
          <w:p w14:paraId="6AEAE564">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bCs/>
                <w:color w:val="auto"/>
                <w:sz w:val="21"/>
                <w:szCs w:val="21"/>
              </w:rPr>
              <w:t>建筑安装工程费×2%</w:t>
            </w:r>
          </w:p>
        </w:tc>
      </w:tr>
      <w:tr w14:paraId="7CCF696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C53D563">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6）</w:t>
            </w:r>
          </w:p>
        </w:tc>
        <w:tc>
          <w:tcPr>
            <w:tcW w:w="1327" w:type="pct"/>
            <w:shd w:val="clear" w:color="auto" w:fill="auto"/>
            <w:noWrap/>
            <w:vAlign w:val="center"/>
          </w:tcPr>
          <w:p w14:paraId="69EB9FCC">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其他工程费</w:t>
            </w:r>
          </w:p>
        </w:tc>
        <w:tc>
          <w:tcPr>
            <w:tcW w:w="1833" w:type="dxa"/>
            <w:shd w:val="clear" w:color="auto" w:fill="auto"/>
            <w:noWrap/>
            <w:vAlign w:val="center"/>
          </w:tcPr>
          <w:p w14:paraId="65CB9425">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3.9600 </w:t>
            </w:r>
          </w:p>
        </w:tc>
        <w:tc>
          <w:tcPr>
            <w:tcW w:w="1418" w:type="dxa"/>
            <w:shd w:val="clear" w:color="auto" w:fill="auto"/>
            <w:noWrap/>
            <w:vAlign w:val="center"/>
          </w:tcPr>
          <w:p w14:paraId="3AF381C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225 </w:t>
            </w:r>
          </w:p>
        </w:tc>
        <w:tc>
          <w:tcPr>
            <w:tcW w:w="1565" w:type="pct"/>
            <w:vAlign w:val="center"/>
          </w:tcPr>
          <w:p w14:paraId="75EFAA90">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bCs/>
                <w:color w:val="auto"/>
                <w:sz w:val="21"/>
                <w:szCs w:val="21"/>
              </w:rPr>
              <w:t>建筑安装工程费×5%</w:t>
            </w:r>
          </w:p>
        </w:tc>
      </w:tr>
      <w:tr w14:paraId="06277B6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792B88E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3</w:t>
            </w:r>
            <w:r>
              <w:rPr>
                <w:rFonts w:ascii="Arial" w:hAnsi="Arial" w:eastAsia="仿宋" w:cs="Arial"/>
                <w:bCs/>
                <w:color w:val="auto"/>
                <w:sz w:val="21"/>
                <w:szCs w:val="21"/>
              </w:rPr>
              <w:t>）</w:t>
            </w:r>
          </w:p>
        </w:tc>
        <w:tc>
          <w:tcPr>
            <w:tcW w:w="1327" w:type="pct"/>
            <w:shd w:val="clear" w:color="auto" w:fill="auto"/>
            <w:noWrap/>
            <w:vAlign w:val="center"/>
          </w:tcPr>
          <w:p w14:paraId="7DB34E6F">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管理费用</w:t>
            </w:r>
          </w:p>
        </w:tc>
        <w:tc>
          <w:tcPr>
            <w:tcW w:w="1833" w:type="dxa"/>
            <w:shd w:val="clear" w:color="auto" w:fill="auto"/>
            <w:noWrap/>
            <w:vAlign w:val="center"/>
          </w:tcPr>
          <w:p w14:paraId="69EBFEB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2.9700 </w:t>
            </w:r>
          </w:p>
        </w:tc>
        <w:tc>
          <w:tcPr>
            <w:tcW w:w="1418" w:type="dxa"/>
            <w:shd w:val="clear" w:color="auto" w:fill="auto"/>
            <w:noWrap/>
            <w:vAlign w:val="center"/>
          </w:tcPr>
          <w:p w14:paraId="38C280D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169 </w:t>
            </w:r>
          </w:p>
        </w:tc>
        <w:tc>
          <w:tcPr>
            <w:tcW w:w="1565" w:type="pct"/>
          </w:tcPr>
          <w:p w14:paraId="7BD73CF2">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房屋建设成本×3%</w:t>
            </w:r>
          </w:p>
        </w:tc>
      </w:tr>
      <w:tr w14:paraId="5EC0715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0551166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4</w:t>
            </w:r>
            <w:r>
              <w:rPr>
                <w:rFonts w:ascii="Arial" w:hAnsi="Arial" w:eastAsia="仿宋" w:cs="Arial"/>
                <w:bCs/>
                <w:color w:val="auto"/>
                <w:sz w:val="21"/>
                <w:szCs w:val="21"/>
              </w:rPr>
              <w:t>）</w:t>
            </w:r>
          </w:p>
        </w:tc>
        <w:tc>
          <w:tcPr>
            <w:tcW w:w="1327" w:type="pct"/>
            <w:shd w:val="clear" w:color="auto" w:fill="auto"/>
            <w:noWrap/>
            <w:vAlign w:val="center"/>
          </w:tcPr>
          <w:p w14:paraId="222AB3A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销售费用</w:t>
            </w:r>
          </w:p>
        </w:tc>
        <w:tc>
          <w:tcPr>
            <w:tcW w:w="1833" w:type="dxa"/>
            <w:shd w:val="clear" w:color="auto" w:fill="auto"/>
            <w:noWrap/>
            <w:vAlign w:val="center"/>
          </w:tcPr>
          <w:p w14:paraId="64C3E4F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8.6090 </w:t>
            </w:r>
          </w:p>
        </w:tc>
        <w:tc>
          <w:tcPr>
            <w:tcW w:w="1418" w:type="dxa"/>
            <w:shd w:val="clear" w:color="auto" w:fill="auto"/>
            <w:noWrap/>
            <w:vAlign w:val="center"/>
          </w:tcPr>
          <w:p w14:paraId="163F8B15">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489 </w:t>
            </w:r>
          </w:p>
        </w:tc>
        <w:tc>
          <w:tcPr>
            <w:tcW w:w="1565" w:type="pct"/>
          </w:tcPr>
          <w:p w14:paraId="76CF54D3">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开发完成后不动产总价</w:t>
            </w:r>
            <w:r>
              <w:rPr>
                <w:rFonts w:hint="eastAsia" w:ascii="Arial" w:hAnsi="Arial" w:eastAsia="仿宋" w:cs="Arial"/>
                <w:bCs/>
                <w:color w:val="auto"/>
                <w:sz w:val="21"/>
                <w:szCs w:val="21"/>
              </w:rPr>
              <w:t>×3%</w:t>
            </w:r>
          </w:p>
        </w:tc>
      </w:tr>
      <w:tr w14:paraId="47CBF62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A7420D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5</w:t>
            </w:r>
            <w:r>
              <w:rPr>
                <w:rFonts w:ascii="Arial" w:hAnsi="Arial" w:eastAsia="仿宋" w:cs="Arial"/>
                <w:bCs/>
                <w:color w:val="auto"/>
                <w:sz w:val="21"/>
                <w:szCs w:val="21"/>
              </w:rPr>
              <w:t>）</w:t>
            </w:r>
          </w:p>
        </w:tc>
        <w:tc>
          <w:tcPr>
            <w:tcW w:w="1327" w:type="pct"/>
            <w:shd w:val="clear" w:color="auto" w:fill="auto"/>
            <w:noWrap/>
            <w:vAlign w:val="center"/>
          </w:tcPr>
          <w:p w14:paraId="390BED0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投资利息</w:t>
            </w:r>
          </w:p>
        </w:tc>
        <w:tc>
          <w:tcPr>
            <w:tcW w:w="1833" w:type="dxa"/>
            <w:shd w:val="clear" w:color="auto" w:fill="auto"/>
            <w:noWrap/>
            <w:vAlign w:val="center"/>
          </w:tcPr>
          <w:p w14:paraId="191339E5">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15.5254 </w:t>
            </w:r>
          </w:p>
        </w:tc>
        <w:tc>
          <w:tcPr>
            <w:tcW w:w="1418" w:type="dxa"/>
            <w:shd w:val="clear" w:color="auto" w:fill="auto"/>
            <w:noWrap/>
            <w:vAlign w:val="center"/>
          </w:tcPr>
          <w:p w14:paraId="20B02E2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882 </w:t>
            </w:r>
          </w:p>
        </w:tc>
        <w:tc>
          <w:tcPr>
            <w:tcW w:w="1565" w:type="pct"/>
          </w:tcPr>
          <w:p w14:paraId="1C3248E5">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地价款和购地税费全周期计息，房屋建设成本、管理费用、销售费用等预付资本应根据开发周期均匀投入计息，贷款利率取3.25%</w:t>
            </w:r>
          </w:p>
        </w:tc>
      </w:tr>
      <w:tr w14:paraId="5DC2036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19CB636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6</w:t>
            </w:r>
            <w:r>
              <w:rPr>
                <w:rFonts w:ascii="Arial" w:hAnsi="Arial" w:eastAsia="仿宋" w:cs="Arial"/>
                <w:bCs/>
                <w:color w:val="auto"/>
                <w:sz w:val="21"/>
                <w:szCs w:val="21"/>
              </w:rPr>
              <w:t>）</w:t>
            </w:r>
          </w:p>
        </w:tc>
        <w:tc>
          <w:tcPr>
            <w:tcW w:w="1327" w:type="pct"/>
            <w:shd w:val="clear" w:color="auto" w:fill="auto"/>
            <w:noWrap/>
            <w:vAlign w:val="center"/>
          </w:tcPr>
          <w:p w14:paraId="549B9C26">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销售税费</w:t>
            </w:r>
          </w:p>
        </w:tc>
        <w:tc>
          <w:tcPr>
            <w:tcW w:w="1833" w:type="dxa"/>
            <w:shd w:val="clear" w:color="auto" w:fill="auto"/>
            <w:noWrap/>
            <w:vAlign w:val="center"/>
          </w:tcPr>
          <w:p w14:paraId="7123E55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25.6673 </w:t>
            </w:r>
          </w:p>
        </w:tc>
        <w:tc>
          <w:tcPr>
            <w:tcW w:w="1418" w:type="dxa"/>
            <w:shd w:val="clear" w:color="auto" w:fill="auto"/>
            <w:noWrap/>
            <w:vAlign w:val="center"/>
          </w:tcPr>
          <w:p w14:paraId="33D1AFD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1458 </w:t>
            </w:r>
          </w:p>
        </w:tc>
        <w:tc>
          <w:tcPr>
            <w:tcW w:w="1565" w:type="pct"/>
          </w:tcPr>
          <w:p w14:paraId="677AE67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以</w:t>
            </w:r>
            <w:r>
              <w:rPr>
                <w:rFonts w:hint="eastAsia" w:ascii="Arial" w:hAnsi="Arial" w:eastAsia="仿宋" w:cs="Arial"/>
                <w:color w:val="auto"/>
                <w:sz w:val="21"/>
                <w:szCs w:val="21"/>
              </w:rPr>
              <w:t>“</w:t>
            </w:r>
            <w:r>
              <w:rPr>
                <w:rFonts w:ascii="Arial" w:hAnsi="Arial" w:eastAsia="仿宋" w:cs="Arial"/>
                <w:color w:val="auto"/>
                <w:sz w:val="21"/>
                <w:szCs w:val="21"/>
              </w:rPr>
              <w:t>开发完成后不动产总价/（1</w:t>
            </w:r>
            <w:r>
              <w:rPr>
                <w:rFonts w:hint="eastAsia" w:ascii="Arial" w:hAnsi="Arial" w:eastAsia="仿宋" w:cs="Arial"/>
                <w:color w:val="auto"/>
                <w:sz w:val="21"/>
                <w:szCs w:val="21"/>
              </w:rPr>
              <w:t>＋</w:t>
            </w:r>
            <w:r>
              <w:rPr>
                <w:rFonts w:ascii="Arial" w:hAnsi="Arial" w:eastAsia="仿宋" w:cs="Arial"/>
                <w:color w:val="auto"/>
                <w:sz w:val="21"/>
                <w:szCs w:val="21"/>
              </w:rPr>
              <w:t>5%）</w:t>
            </w:r>
            <w:r>
              <w:rPr>
                <w:rFonts w:hint="eastAsia" w:ascii="Arial" w:hAnsi="Arial" w:eastAsia="仿宋" w:cs="Arial"/>
                <w:color w:val="auto"/>
                <w:sz w:val="21"/>
                <w:szCs w:val="21"/>
              </w:rPr>
              <w:t>”</w:t>
            </w:r>
            <w:r>
              <w:rPr>
                <w:rFonts w:ascii="Arial" w:hAnsi="Arial" w:eastAsia="仿宋" w:cs="Arial"/>
                <w:color w:val="auto"/>
                <w:sz w:val="21"/>
                <w:szCs w:val="21"/>
              </w:rPr>
              <w:t>为基数计取</w:t>
            </w:r>
          </w:p>
        </w:tc>
      </w:tr>
      <w:tr w14:paraId="41AD938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vAlign w:val="center"/>
          </w:tcPr>
          <w:p w14:paraId="7ED55F3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3</w:t>
            </w:r>
          </w:p>
        </w:tc>
        <w:tc>
          <w:tcPr>
            <w:tcW w:w="1327" w:type="pct"/>
            <w:shd w:val="clear" w:color="auto" w:fill="auto"/>
            <w:vAlign w:val="center"/>
          </w:tcPr>
          <w:p w14:paraId="4C281EEC">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投资利润</w:t>
            </w:r>
          </w:p>
        </w:tc>
        <w:tc>
          <w:tcPr>
            <w:tcW w:w="1833" w:type="dxa"/>
            <w:shd w:val="clear" w:color="auto" w:fill="auto"/>
            <w:vAlign w:val="center"/>
          </w:tcPr>
          <w:p w14:paraId="4FF2A67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52.6880 </w:t>
            </w:r>
          </w:p>
        </w:tc>
        <w:tc>
          <w:tcPr>
            <w:tcW w:w="1418" w:type="dxa"/>
            <w:shd w:val="clear" w:color="auto" w:fill="auto"/>
            <w:noWrap/>
            <w:vAlign w:val="center"/>
          </w:tcPr>
          <w:p w14:paraId="1CDE9FB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2994 </w:t>
            </w:r>
          </w:p>
        </w:tc>
        <w:tc>
          <w:tcPr>
            <w:tcW w:w="1565" w:type="pct"/>
          </w:tcPr>
          <w:p w14:paraId="5591407A">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 xml:space="preserve">以全部预付资本的一定比例计算，利润率取25% </w:t>
            </w:r>
          </w:p>
        </w:tc>
      </w:tr>
      <w:tr w14:paraId="70E459C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652" w:type="pct"/>
            <w:gridSpan w:val="2"/>
            <w:shd w:val="clear" w:color="auto" w:fill="auto"/>
            <w:noWrap/>
            <w:vAlign w:val="center"/>
          </w:tcPr>
          <w:p w14:paraId="231D349F">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4 .土地价格</w:t>
            </w:r>
          </w:p>
        </w:tc>
        <w:tc>
          <w:tcPr>
            <w:tcW w:w="1833" w:type="dxa"/>
            <w:shd w:val="clear" w:color="auto" w:fill="auto"/>
            <w:noWrap/>
            <w:vAlign w:val="center"/>
          </w:tcPr>
          <w:p w14:paraId="0933326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97.2172 </w:t>
            </w:r>
          </w:p>
        </w:tc>
        <w:tc>
          <w:tcPr>
            <w:tcW w:w="1418" w:type="dxa"/>
            <w:shd w:val="clear" w:color="auto" w:fill="auto"/>
            <w:noWrap/>
            <w:vAlign w:val="center"/>
          </w:tcPr>
          <w:p w14:paraId="17970DF3">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5524 </w:t>
            </w:r>
          </w:p>
        </w:tc>
        <w:tc>
          <w:tcPr>
            <w:tcW w:w="1565" w:type="pct"/>
          </w:tcPr>
          <w:p w14:paraId="49F7C7E5">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r>
              <w:rPr>
                <w:rFonts w:hint="eastAsia" w:ascii="Arial" w:hAnsi="Arial" w:eastAsia="仿宋" w:cs="Arial"/>
                <w:bCs/>
                <w:color w:val="auto"/>
                <w:sz w:val="21"/>
                <w:szCs w:val="21"/>
              </w:rPr>
              <w:t>－</w:t>
            </w:r>
            <w:r>
              <w:rPr>
                <w:rFonts w:ascii="Arial" w:hAnsi="Arial" w:eastAsia="仿宋" w:cs="Arial"/>
                <w:bCs/>
                <w:color w:val="auto"/>
                <w:sz w:val="21"/>
                <w:szCs w:val="21"/>
              </w:rPr>
              <w:t>2</w:t>
            </w:r>
            <w:r>
              <w:rPr>
                <w:rFonts w:hint="eastAsia" w:ascii="Arial" w:hAnsi="Arial" w:eastAsia="仿宋" w:cs="Arial"/>
                <w:bCs/>
                <w:color w:val="auto"/>
                <w:sz w:val="21"/>
                <w:szCs w:val="21"/>
              </w:rPr>
              <w:t>－</w:t>
            </w:r>
            <w:r>
              <w:rPr>
                <w:rFonts w:ascii="Arial" w:hAnsi="Arial" w:eastAsia="仿宋" w:cs="Arial"/>
                <w:bCs/>
                <w:color w:val="auto"/>
                <w:sz w:val="21"/>
                <w:szCs w:val="21"/>
              </w:rPr>
              <w:t>3</w:t>
            </w:r>
          </w:p>
        </w:tc>
      </w:tr>
    </w:tbl>
    <w:p w14:paraId="09E3B2E7">
      <w:pPr>
        <w:spacing w:before="50" w:after="50" w:line="300" w:lineRule="auto"/>
        <w:rPr>
          <w:rFonts w:ascii="Arial" w:hAnsi="Arial" w:eastAsia="仿宋_GB2312" w:cs="Arial"/>
          <w:color w:val="auto"/>
          <w:sz w:val="28"/>
        </w:rPr>
      </w:pPr>
      <w:r>
        <w:rPr>
          <w:rFonts w:ascii="Arial" w:hAnsi="Arial" w:eastAsia="仿宋" w:cs="Arial"/>
          <w:color w:val="auto"/>
          <w:sz w:val="21"/>
          <w:szCs w:val="21"/>
        </w:rPr>
        <w:t>单位：万元、元/平方米</w:t>
      </w:r>
    </w:p>
    <w:p w14:paraId="2DF6375C">
      <w:pPr>
        <w:spacing w:line="300" w:lineRule="auto"/>
        <w:ind w:right="14"/>
        <w:rPr>
          <w:rFonts w:ascii="Arial" w:hAnsi="Arial" w:eastAsia="仿宋" w:cs="Arial"/>
          <w:color w:val="auto"/>
          <w:sz w:val="21"/>
          <w:szCs w:val="21"/>
        </w:rPr>
      </w:pPr>
    </w:p>
    <w:p w14:paraId="2828E1BD">
      <w:pPr>
        <w:spacing w:before="50" w:after="50" w:line="300" w:lineRule="auto"/>
        <w:ind w:firstLine="562" w:firstLineChars="200"/>
        <w:rPr>
          <w:rFonts w:ascii="Arial" w:hAnsi="Arial" w:eastAsia="仿宋" w:cs="Arial"/>
          <w:b/>
          <w:color w:val="auto"/>
          <w:sz w:val="28"/>
        </w:rPr>
      </w:pPr>
      <w:r>
        <w:rPr>
          <w:rFonts w:ascii="Arial" w:hAnsi="Arial" w:eastAsia="仿宋" w:cs="Arial"/>
          <w:b/>
          <w:color w:val="auto"/>
          <w:sz w:val="28"/>
          <w:szCs w:val="28"/>
        </w:rPr>
        <w:br w:type="page"/>
      </w:r>
      <w:r>
        <w:rPr>
          <w:rFonts w:ascii="Arial" w:hAnsi="Arial" w:eastAsia="仿宋" w:cs="Arial"/>
          <w:bCs/>
          <w:color w:val="auto"/>
          <w:sz w:val="28"/>
        </w:rPr>
        <w:t>3.</w:t>
      </w:r>
      <w:r>
        <w:rPr>
          <w:rFonts w:hint="eastAsia" w:ascii="Arial" w:hAnsi="Arial" w:eastAsia="仿宋" w:cs="Arial"/>
          <w:b/>
          <w:bCs/>
          <w:color w:val="auto"/>
          <w:sz w:val="28"/>
          <w:szCs w:val="28"/>
        </w:rPr>
        <w:t>公共管理与</w:t>
      </w:r>
      <w:r>
        <w:rPr>
          <w:rFonts w:ascii="Arial" w:hAnsi="Arial" w:eastAsia="仿宋" w:cs="Arial"/>
          <w:b/>
          <w:bCs/>
          <w:color w:val="auto"/>
          <w:sz w:val="28"/>
          <w:szCs w:val="28"/>
        </w:rPr>
        <w:t>公共服务用地</w:t>
      </w:r>
      <w:r>
        <w:rPr>
          <w:rFonts w:hint="eastAsia" w:ascii="Arial" w:hAnsi="Arial" w:eastAsia="仿宋" w:cs="Arial"/>
          <w:b/>
          <w:bCs/>
          <w:color w:val="auto"/>
          <w:sz w:val="28"/>
          <w:szCs w:val="28"/>
        </w:rPr>
        <w:t>剩余法</w:t>
      </w:r>
      <w:r>
        <w:rPr>
          <w:rFonts w:ascii="Arial" w:hAnsi="Arial" w:eastAsia="仿宋" w:cs="Arial"/>
          <w:b/>
          <w:bCs/>
          <w:color w:val="auto"/>
          <w:sz w:val="28"/>
          <w:szCs w:val="28"/>
        </w:rPr>
        <w:t>测算过程</w:t>
      </w:r>
    </w:p>
    <w:p w14:paraId="2ACF8771">
      <w:pPr>
        <w:spacing w:line="300" w:lineRule="auto"/>
        <w:ind w:firstLine="560" w:firstLineChars="200"/>
        <w:rPr>
          <w:rFonts w:ascii="Arial" w:hAnsi="Arial" w:eastAsia="仿宋" w:cs="Arial"/>
          <w:bCs/>
          <w:color w:val="auto"/>
          <w:sz w:val="28"/>
        </w:rPr>
      </w:pPr>
      <w:r>
        <w:rPr>
          <w:rFonts w:ascii="Arial" w:hAnsi="Arial" w:eastAsia="仿宋" w:cs="Arial"/>
          <w:bCs/>
          <w:color w:val="auto"/>
          <w:sz w:val="28"/>
        </w:rPr>
        <w:t>（1）土地最有效利用方式</w:t>
      </w:r>
    </w:p>
    <w:p w14:paraId="07919B12">
      <w:pPr>
        <w:snapToGrid w:val="0"/>
        <w:spacing w:line="300" w:lineRule="auto"/>
        <w:ind w:firstLine="560" w:firstLineChars="200"/>
        <w:jc w:val="both"/>
        <w:rPr>
          <w:rFonts w:ascii="Arial" w:hAnsi="Arial" w:eastAsia="仿宋" w:cs="Arial"/>
          <w:color w:val="auto"/>
          <w:sz w:val="28"/>
          <w:szCs w:val="28"/>
        </w:rPr>
      </w:pPr>
      <w:r>
        <w:rPr>
          <w:rFonts w:ascii="Arial" w:hAnsi="Arial" w:eastAsia="仿宋" w:cs="Arial"/>
          <w:color w:val="auto"/>
          <w:sz w:val="28"/>
          <w:szCs w:val="28"/>
        </w:rPr>
        <w:t>根据</w:t>
      </w:r>
      <w:r>
        <w:rPr>
          <w:rFonts w:hint="eastAsia" w:ascii="Arial" w:hAnsi="Arial" w:eastAsia="仿宋" w:cs="Arial"/>
          <w:color w:val="auto"/>
          <w:sz w:val="28"/>
        </w:rPr>
        <w:t>北京市规划和自然资源委员会顺义分局</w:t>
      </w:r>
      <w:r>
        <w:rPr>
          <w:rFonts w:ascii="Arial" w:hAnsi="Arial" w:eastAsia="仿宋" w:cs="Arial"/>
          <w:color w:val="auto"/>
          <w:sz w:val="28"/>
          <w:szCs w:val="28"/>
        </w:rPr>
        <w:t>出具的</w:t>
      </w:r>
      <w:r>
        <w:rPr>
          <w:rFonts w:hint="eastAsia" w:ascii="Arial" w:hAnsi="Arial" w:eastAsia="仿宋"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rPr>
        <w:t>复印件及本次评估目的</w:t>
      </w:r>
      <w:r>
        <w:rPr>
          <w:rFonts w:ascii="Arial" w:hAnsi="Arial" w:eastAsia="仿宋" w:cs="Arial"/>
          <w:color w:val="auto"/>
          <w:sz w:val="28"/>
          <w:szCs w:val="28"/>
        </w:rPr>
        <w:t>，本次评估设定如下：</w:t>
      </w:r>
    </w:p>
    <w:p w14:paraId="3F08AFA0">
      <w:pPr>
        <w:spacing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A设定估价对象能够顺利完成预期的开发建设目标；</w:t>
      </w:r>
    </w:p>
    <w:p w14:paraId="146823F6">
      <w:pPr>
        <w:spacing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B本项目建筑物建设周期为</w:t>
      </w:r>
      <w:r>
        <w:rPr>
          <w:rFonts w:hint="eastAsia" w:ascii="Arial" w:hAnsi="Arial" w:eastAsia="仿宋" w:cs="Arial"/>
          <w:snapToGrid w:val="0"/>
          <w:color w:val="auto"/>
          <w:sz w:val="28"/>
        </w:rPr>
        <w:t>3</w:t>
      </w:r>
      <w:r>
        <w:rPr>
          <w:rFonts w:ascii="Arial" w:hAnsi="Arial" w:eastAsia="仿宋" w:cs="Arial"/>
          <w:snapToGrid w:val="0"/>
          <w:color w:val="auto"/>
          <w:sz w:val="28"/>
        </w:rPr>
        <w:t>年；</w:t>
      </w:r>
    </w:p>
    <w:p w14:paraId="28A060F7">
      <w:pPr>
        <w:spacing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C建安费用在项目周期内均匀投入，利息按复利计算；</w:t>
      </w:r>
    </w:p>
    <w:p w14:paraId="515BB5FF">
      <w:pPr>
        <w:spacing w:line="300" w:lineRule="auto"/>
        <w:ind w:right="14" w:firstLine="560" w:firstLineChars="200"/>
        <w:rPr>
          <w:rFonts w:ascii="Arial" w:hAnsi="Arial" w:eastAsia="仿宋" w:cs="Arial"/>
          <w:snapToGrid w:val="0"/>
          <w:color w:val="auto"/>
          <w:sz w:val="28"/>
        </w:rPr>
      </w:pPr>
      <w:r>
        <w:rPr>
          <w:rFonts w:ascii="Arial" w:hAnsi="Arial" w:eastAsia="仿宋" w:cs="Arial"/>
          <w:snapToGrid w:val="0"/>
          <w:color w:val="auto"/>
          <w:sz w:val="28"/>
        </w:rPr>
        <w:t>D在开发建设期间，房地产市场不会发生大的变化；</w:t>
      </w:r>
    </w:p>
    <w:p w14:paraId="128DADC9">
      <w:pPr>
        <w:spacing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E本项目最佳用途为公共服务；</w:t>
      </w:r>
    </w:p>
    <w:p w14:paraId="44CE1DCD">
      <w:pPr>
        <w:spacing w:line="300" w:lineRule="auto"/>
        <w:ind w:left="560" w:right="14"/>
        <w:rPr>
          <w:rFonts w:ascii="Arial" w:hAnsi="Arial" w:eastAsia="仿宋" w:cs="Arial"/>
          <w:snapToGrid w:val="0"/>
          <w:color w:val="auto"/>
          <w:sz w:val="28"/>
        </w:rPr>
      </w:pPr>
      <w:r>
        <w:rPr>
          <w:rFonts w:ascii="Arial" w:hAnsi="Arial" w:eastAsia="仿宋" w:cs="Arial"/>
          <w:snapToGrid w:val="0"/>
          <w:color w:val="auto"/>
          <w:sz w:val="28"/>
        </w:rPr>
        <w:t>F该项目在建成后即销售完毕；</w:t>
      </w:r>
    </w:p>
    <w:p w14:paraId="538CFA1F">
      <w:pPr>
        <w:spacing w:line="300" w:lineRule="auto"/>
        <w:ind w:left="560" w:right="14"/>
        <w:rPr>
          <w:rFonts w:ascii="Arial" w:hAnsi="Arial" w:eastAsia="仿宋" w:cs="Arial"/>
          <w:snapToGrid w:val="0"/>
          <w:color w:val="auto"/>
          <w:sz w:val="28"/>
        </w:rPr>
      </w:pPr>
      <w:r>
        <w:rPr>
          <w:rFonts w:ascii="Arial" w:hAnsi="Arial" w:eastAsia="仿宋" w:cs="Arial"/>
          <w:snapToGrid w:val="0"/>
          <w:color w:val="auto"/>
          <w:sz w:val="28"/>
        </w:rPr>
        <w:t>G在开发过程中或有调整规划用途情况建议参照本估价结果价值水平。</w:t>
      </w:r>
    </w:p>
    <w:p w14:paraId="66DE34B3">
      <w:pPr>
        <w:spacing w:after="26"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剩余法是在预计开发完成后不动产正常交易价格的基础上，扣除预计的正常开发成本及有关专业费用、利息、利润和税收等，以价格余额来估算估价对象价格的一种方法。</w:t>
      </w:r>
    </w:p>
    <w:p w14:paraId="6F501DE0">
      <w:pPr>
        <w:spacing w:after="51"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剩余法基本公式如下：</w:t>
      </w:r>
    </w:p>
    <w:p w14:paraId="3093810F">
      <w:pPr>
        <w:spacing w:before="50" w:after="50" w:line="300" w:lineRule="auto"/>
        <w:ind w:firstLine="560" w:firstLineChars="200"/>
        <w:rPr>
          <w:rFonts w:ascii="Arial" w:hAnsi="Arial" w:eastAsia="仿宋" w:cs="Arial"/>
          <w:b/>
          <w:color w:val="auto"/>
          <w:sz w:val="28"/>
        </w:rPr>
      </w:pPr>
      <w:r>
        <w:rPr>
          <w:rFonts w:ascii="Arial" w:hAnsi="Arial" w:eastAsia="仿宋" w:cs="Arial"/>
          <w:snapToGrid w:val="0"/>
          <w:color w:val="auto"/>
          <w:sz w:val="28"/>
        </w:rPr>
        <w:t>熟地价值：</w:t>
      </w:r>
      <w:r>
        <w:rPr>
          <w:rFonts w:ascii="Arial" w:hAnsi="Arial" w:eastAsia="仿宋" w:cs="Arial"/>
          <w:color w:val="auto"/>
          <w:sz w:val="28"/>
        </w:rPr>
        <w:t>待估宗地价格</w:t>
      </w:r>
      <w:r>
        <w:rPr>
          <w:rFonts w:hint="eastAsia" w:ascii="Arial" w:hAnsi="Arial" w:eastAsia="仿宋" w:cs="Arial"/>
          <w:color w:val="auto"/>
          <w:sz w:val="28"/>
        </w:rPr>
        <w:t>＝</w:t>
      </w:r>
      <w:r>
        <w:rPr>
          <w:rFonts w:ascii="Arial" w:hAnsi="Arial" w:eastAsia="仿宋" w:cs="Arial"/>
          <w:color w:val="auto"/>
          <w:sz w:val="28"/>
        </w:rPr>
        <w:t>不动产总价</w:t>
      </w:r>
      <w:r>
        <w:rPr>
          <w:rFonts w:hint="eastAsia" w:ascii="Arial" w:hAnsi="Arial" w:eastAsia="仿宋" w:cs="Arial"/>
          <w:color w:val="auto"/>
          <w:sz w:val="28"/>
        </w:rPr>
        <w:t>－</w:t>
      </w:r>
      <w:r>
        <w:rPr>
          <w:rFonts w:ascii="Arial" w:hAnsi="Arial" w:eastAsia="仿宋" w:cs="Arial"/>
          <w:color w:val="auto"/>
          <w:sz w:val="28"/>
        </w:rPr>
        <w:t>开发项目整体的开发成本</w:t>
      </w:r>
      <w:r>
        <w:rPr>
          <w:rFonts w:hint="eastAsia" w:ascii="Arial" w:hAnsi="Arial" w:eastAsia="仿宋" w:cs="Arial"/>
          <w:color w:val="auto"/>
          <w:sz w:val="28"/>
        </w:rPr>
        <w:t>－</w:t>
      </w:r>
      <w:r>
        <w:rPr>
          <w:rFonts w:ascii="Arial" w:hAnsi="Arial" w:eastAsia="仿宋" w:cs="Arial"/>
          <w:color w:val="auto"/>
          <w:sz w:val="28"/>
        </w:rPr>
        <w:t>客观开发利润</w:t>
      </w:r>
    </w:p>
    <w:p w14:paraId="7014C5B3">
      <w:pPr>
        <w:widowControl/>
        <w:adjustRightInd/>
        <w:spacing w:after="5" w:line="300" w:lineRule="auto"/>
        <w:ind w:right="14" w:firstLine="560" w:firstLineChars="200"/>
        <w:jc w:val="both"/>
        <w:textAlignment w:val="auto"/>
        <w:rPr>
          <w:rFonts w:ascii="Arial" w:hAnsi="Arial" w:eastAsia="仿宋" w:cs="Arial"/>
          <w:snapToGrid w:val="0"/>
          <w:color w:val="auto"/>
          <w:sz w:val="28"/>
        </w:rPr>
      </w:pPr>
      <w:r>
        <w:rPr>
          <w:rFonts w:ascii="Arial" w:hAnsi="Arial" w:eastAsia="仿宋" w:cs="Arial"/>
          <w:bCs/>
          <w:color w:val="auto"/>
          <w:sz w:val="28"/>
        </w:rPr>
        <w:t>（2）</w:t>
      </w:r>
      <w:r>
        <w:rPr>
          <w:rFonts w:ascii="Arial" w:hAnsi="Arial" w:eastAsia="仿宋" w:cs="Arial"/>
          <w:snapToGrid w:val="0"/>
          <w:color w:val="auto"/>
          <w:sz w:val="28"/>
        </w:rPr>
        <w:t>开发完成后的房地产价值的确定</w:t>
      </w:r>
    </w:p>
    <w:p w14:paraId="64449980">
      <w:pPr>
        <w:spacing w:after="26" w:line="300" w:lineRule="auto"/>
        <w:ind w:firstLine="560" w:firstLineChars="200"/>
        <w:jc w:val="both"/>
        <w:rPr>
          <w:rFonts w:ascii="Arial" w:hAnsi="Arial" w:eastAsia="仿宋" w:cs="Arial"/>
          <w:snapToGrid w:val="0"/>
          <w:color w:val="auto"/>
          <w:sz w:val="28"/>
        </w:rPr>
      </w:pPr>
      <w:r>
        <w:rPr>
          <w:rFonts w:ascii="Arial" w:hAnsi="Arial" w:eastAsia="仿宋" w:cs="Arial"/>
          <w:snapToGrid w:val="0"/>
          <w:color w:val="auto"/>
          <w:sz w:val="28"/>
        </w:rPr>
        <w:t>假设建造</w:t>
      </w:r>
      <w:r>
        <w:rPr>
          <w:rFonts w:ascii="Arial" w:hAnsi="Arial" w:eastAsia="仿宋" w:cs="Arial"/>
          <w:snapToGrid w:val="0"/>
          <w:color w:val="auto"/>
          <w:sz w:val="28"/>
          <w:lang w:eastAsia="zh-Hans"/>
        </w:rPr>
        <w:t>公共服务</w:t>
      </w:r>
      <w:r>
        <w:rPr>
          <w:rFonts w:ascii="Arial" w:hAnsi="Arial" w:eastAsia="仿宋" w:cs="Arial"/>
          <w:snapToGrid w:val="0"/>
          <w:color w:val="auto"/>
          <w:sz w:val="28"/>
        </w:rPr>
        <w:t>用房，预计施工进度、施工计划及预计装修标准、设备设施情况等事项以周边类似房地产项目为参考。</w:t>
      </w:r>
    </w:p>
    <w:p w14:paraId="0BE39646">
      <w:pPr>
        <w:spacing w:after="26"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综合分析估价对象的规划利用和管理限制条件，结合估价对象周边的业态、基础设施及公共配套设施状况，确定</w:t>
      </w:r>
      <w:r>
        <w:rPr>
          <w:rFonts w:ascii="Arial" w:hAnsi="Arial" w:eastAsia="仿宋" w:cs="Arial"/>
          <w:snapToGrid w:val="0"/>
          <w:color w:val="auto"/>
          <w:sz w:val="28"/>
          <w:lang w:eastAsia="zh-Hans"/>
        </w:rPr>
        <w:t>公共服务</w:t>
      </w:r>
      <w:r>
        <w:rPr>
          <w:rFonts w:ascii="Arial" w:hAnsi="Arial" w:eastAsia="仿宋" w:cs="Arial"/>
          <w:snapToGrid w:val="0"/>
          <w:color w:val="auto"/>
          <w:sz w:val="28"/>
        </w:rPr>
        <w:t>为最佳利用方式。</w:t>
      </w:r>
    </w:p>
    <w:p w14:paraId="438E101B">
      <w:pPr>
        <w:spacing w:after="26"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根据项目的整体建筑规模和预期设备、装修标准，预计本项目建筑物建设周期为</w:t>
      </w:r>
      <w:r>
        <w:rPr>
          <w:rFonts w:hint="eastAsia" w:ascii="Arial" w:hAnsi="Arial" w:eastAsia="仿宋" w:cs="Arial"/>
          <w:snapToGrid w:val="0"/>
          <w:color w:val="auto"/>
          <w:sz w:val="28"/>
        </w:rPr>
        <w:t>3</w:t>
      </w:r>
      <w:r>
        <w:rPr>
          <w:rFonts w:ascii="Arial" w:hAnsi="Arial" w:eastAsia="仿宋" w:cs="Arial"/>
          <w:snapToGrid w:val="0"/>
          <w:color w:val="auto"/>
          <w:sz w:val="28"/>
        </w:rPr>
        <w:t>年。</w:t>
      </w:r>
    </w:p>
    <w:p w14:paraId="66261FA5">
      <w:pPr>
        <w:spacing w:after="26" w:line="300" w:lineRule="auto"/>
        <w:ind w:firstLine="560" w:firstLineChars="200"/>
        <w:rPr>
          <w:rFonts w:ascii="Arial" w:hAnsi="Arial" w:eastAsia="仿宋" w:cs="Arial"/>
          <w:snapToGrid w:val="0"/>
          <w:color w:val="auto"/>
          <w:sz w:val="28"/>
        </w:rPr>
      </w:pPr>
      <w:r>
        <w:rPr>
          <w:rFonts w:ascii="Arial" w:hAnsi="Arial" w:eastAsia="仿宋" w:cs="Arial"/>
          <w:snapToGrid w:val="0"/>
          <w:color w:val="auto"/>
          <w:sz w:val="28"/>
        </w:rPr>
        <w:t>A.市场比较法求取估价对象</w:t>
      </w:r>
      <w:r>
        <w:rPr>
          <w:rFonts w:ascii="Arial" w:hAnsi="Arial" w:eastAsia="仿宋" w:cs="Arial"/>
          <w:snapToGrid w:val="0"/>
          <w:color w:val="auto"/>
          <w:sz w:val="28"/>
          <w:lang w:eastAsia="zh-Hans"/>
        </w:rPr>
        <w:t>公共服务</w:t>
      </w:r>
      <w:r>
        <w:rPr>
          <w:rFonts w:ascii="Arial" w:hAnsi="Arial" w:eastAsia="仿宋" w:cs="Arial"/>
          <w:snapToGrid w:val="0"/>
          <w:color w:val="auto"/>
          <w:sz w:val="28"/>
        </w:rPr>
        <w:t>用房市场租金价格</w:t>
      </w:r>
    </w:p>
    <w:p w14:paraId="7621DA76">
      <w:pPr>
        <w:spacing w:after="26" w:line="300" w:lineRule="auto"/>
        <w:ind w:firstLine="560" w:firstLineChars="200"/>
        <w:jc w:val="both"/>
        <w:rPr>
          <w:rFonts w:ascii="Arial" w:hAnsi="Arial" w:eastAsia="仿宋" w:cs="Arial"/>
          <w:color w:val="auto"/>
          <w:sz w:val="28"/>
        </w:rPr>
      </w:pPr>
      <w:r>
        <w:rPr>
          <w:rFonts w:ascii="Arial" w:hAnsi="Arial" w:eastAsia="仿宋" w:cs="Arial"/>
          <w:snapToGrid w:val="0"/>
          <w:color w:val="auto"/>
          <w:sz w:val="28"/>
        </w:rPr>
        <w:t>估价对象</w:t>
      </w:r>
      <w:r>
        <w:rPr>
          <w:rFonts w:ascii="Arial" w:hAnsi="Arial" w:eastAsia="仿宋" w:cs="Arial"/>
          <w:snapToGrid w:val="0"/>
          <w:color w:val="auto"/>
          <w:sz w:val="28"/>
          <w:lang w:eastAsia="zh-Hans"/>
        </w:rPr>
        <w:t>公共服务</w:t>
      </w:r>
      <w:r>
        <w:rPr>
          <w:rFonts w:ascii="Arial" w:hAnsi="Arial" w:eastAsia="仿宋" w:cs="Arial"/>
          <w:snapToGrid w:val="0"/>
          <w:color w:val="auto"/>
          <w:sz w:val="28"/>
        </w:rPr>
        <w:t>用房市场租金价格的确定根据评估专业人员的市场调查及租金数据库</w:t>
      </w:r>
      <w:r>
        <w:rPr>
          <w:rFonts w:ascii="Arial" w:hAnsi="Arial" w:eastAsia="仿宋" w:cs="Arial"/>
          <w:color w:val="auto"/>
          <w:sz w:val="28"/>
          <w:szCs w:val="28"/>
        </w:rPr>
        <w:t>等信息，</w:t>
      </w:r>
      <w:r>
        <w:rPr>
          <w:rFonts w:ascii="Arial" w:hAnsi="Arial" w:eastAsia="仿宋" w:cs="Arial"/>
          <w:color w:val="auto"/>
          <w:sz w:val="28"/>
        </w:rPr>
        <w:t>采用房地产交易中的替代原则，选取与估价对象类似用途的出租案例，并分别进行交易情况、交易时间、用途、区域因素、个别因素的修正。详见下表。</w:t>
      </w:r>
    </w:p>
    <w:tbl>
      <w:tblPr>
        <w:tblStyle w:val="34"/>
        <w:tblW w:w="92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2325"/>
        <w:gridCol w:w="2324"/>
        <w:gridCol w:w="2325"/>
        <w:gridCol w:w="2325"/>
      </w:tblGrid>
      <w:tr w14:paraId="38A55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90" w:hRule="atLeast"/>
        </w:trPr>
        <w:tc>
          <w:tcPr>
            <w:tcW w:w="2325" w:type="dxa"/>
            <w:shd w:val="clear" w:color="auto" w:fill="auto"/>
          </w:tcPr>
          <w:p w14:paraId="7D8A819F">
            <w:pPr>
              <w:widowControl/>
              <w:adjustRightInd/>
              <w:spacing w:line="240" w:lineRule="auto"/>
              <w:jc w:val="center"/>
              <w:textAlignment w:val="auto"/>
              <w:rPr>
                <w:rFonts w:ascii="Arial" w:hAnsi="Arial" w:eastAsia="仿宋_GB2312" w:cs="Arial"/>
                <w:color w:val="auto"/>
                <w:sz w:val="18"/>
                <w:szCs w:val="18"/>
              </w:rPr>
            </w:pPr>
          </w:p>
        </w:tc>
        <w:tc>
          <w:tcPr>
            <w:tcW w:w="2324" w:type="dxa"/>
            <w:shd w:val="clear" w:color="auto" w:fill="auto"/>
          </w:tcPr>
          <w:p w14:paraId="26432D66">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案例G</w:t>
            </w:r>
          </w:p>
        </w:tc>
        <w:tc>
          <w:tcPr>
            <w:tcW w:w="2325" w:type="dxa"/>
            <w:shd w:val="clear" w:color="auto" w:fill="auto"/>
          </w:tcPr>
          <w:p w14:paraId="61430683">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案例H</w:t>
            </w:r>
          </w:p>
        </w:tc>
        <w:tc>
          <w:tcPr>
            <w:tcW w:w="2325" w:type="dxa"/>
            <w:shd w:val="clear" w:color="auto" w:fill="auto"/>
          </w:tcPr>
          <w:p w14:paraId="62C9342F">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案例I</w:t>
            </w:r>
          </w:p>
        </w:tc>
      </w:tr>
      <w:tr w14:paraId="536CE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90" w:hRule="atLeast"/>
        </w:trPr>
        <w:tc>
          <w:tcPr>
            <w:tcW w:w="2325" w:type="dxa"/>
            <w:shd w:val="clear" w:color="auto" w:fill="auto"/>
          </w:tcPr>
          <w:p w14:paraId="3BBC5C4A">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项目名称</w:t>
            </w:r>
          </w:p>
        </w:tc>
        <w:tc>
          <w:tcPr>
            <w:tcW w:w="2324" w:type="dxa"/>
            <w:shd w:val="clear" w:color="auto" w:fill="auto"/>
          </w:tcPr>
          <w:p w14:paraId="4BBEE585">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 w:cs="Arial"/>
                <w:snapToGrid w:val="0"/>
                <w:color w:val="auto"/>
                <w:sz w:val="18"/>
                <w:szCs w:val="21"/>
              </w:rPr>
              <w:t>数码视讯产业园</w:t>
            </w:r>
          </w:p>
        </w:tc>
        <w:tc>
          <w:tcPr>
            <w:tcW w:w="2325" w:type="dxa"/>
            <w:shd w:val="clear" w:color="auto" w:fill="auto"/>
          </w:tcPr>
          <w:p w14:paraId="3EDD0165">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 w:cs="Arial"/>
                <w:snapToGrid w:val="0"/>
                <w:color w:val="auto"/>
                <w:sz w:val="18"/>
                <w:szCs w:val="21"/>
              </w:rPr>
              <w:t>博润中心</w:t>
            </w:r>
          </w:p>
        </w:tc>
        <w:tc>
          <w:tcPr>
            <w:tcW w:w="2325" w:type="dxa"/>
            <w:shd w:val="clear" w:color="auto" w:fill="auto"/>
          </w:tcPr>
          <w:p w14:paraId="28A08B3A">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 w:cs="Arial"/>
                <w:snapToGrid w:val="0"/>
                <w:color w:val="auto"/>
                <w:sz w:val="18"/>
                <w:szCs w:val="21"/>
              </w:rPr>
              <w:t>城建道桥大厦</w:t>
            </w:r>
          </w:p>
        </w:tc>
      </w:tr>
      <w:tr w14:paraId="1129F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3F259AC5">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数据来源</w:t>
            </w:r>
          </w:p>
        </w:tc>
        <w:tc>
          <w:tcPr>
            <w:tcW w:w="2324" w:type="dxa"/>
            <w:shd w:val="clear" w:color="auto" w:fill="auto"/>
          </w:tcPr>
          <w:p w14:paraId="1562F9E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网络调查、电话及现场核实</w:t>
            </w:r>
          </w:p>
        </w:tc>
        <w:tc>
          <w:tcPr>
            <w:tcW w:w="2325" w:type="dxa"/>
            <w:shd w:val="clear" w:color="auto" w:fill="auto"/>
          </w:tcPr>
          <w:p w14:paraId="5967852B">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网络调查、电话及现场核实</w:t>
            </w:r>
          </w:p>
        </w:tc>
        <w:tc>
          <w:tcPr>
            <w:tcW w:w="2325" w:type="dxa"/>
            <w:shd w:val="clear" w:color="auto" w:fill="auto"/>
          </w:tcPr>
          <w:p w14:paraId="189E2B1D">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网络调查、电话及现场核实</w:t>
            </w:r>
          </w:p>
        </w:tc>
      </w:tr>
      <w:tr w14:paraId="27F4D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2B1E926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租赁价格（元/㎡/天）</w:t>
            </w:r>
          </w:p>
        </w:tc>
        <w:tc>
          <w:tcPr>
            <w:tcW w:w="2324" w:type="dxa"/>
            <w:shd w:val="clear" w:color="auto" w:fill="auto"/>
          </w:tcPr>
          <w:p w14:paraId="693A5AA7">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2.2</w:t>
            </w:r>
          </w:p>
        </w:tc>
        <w:tc>
          <w:tcPr>
            <w:tcW w:w="2325" w:type="dxa"/>
            <w:shd w:val="clear" w:color="auto" w:fill="auto"/>
          </w:tcPr>
          <w:p w14:paraId="1E73712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2.8</w:t>
            </w:r>
          </w:p>
        </w:tc>
        <w:tc>
          <w:tcPr>
            <w:tcW w:w="2325" w:type="dxa"/>
            <w:shd w:val="clear" w:color="auto" w:fill="auto"/>
          </w:tcPr>
          <w:p w14:paraId="19A681F0">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2.3</w:t>
            </w:r>
          </w:p>
        </w:tc>
      </w:tr>
      <w:tr w14:paraId="31923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349" w:hRule="atLeast"/>
        </w:trPr>
        <w:tc>
          <w:tcPr>
            <w:tcW w:w="2325" w:type="dxa"/>
            <w:shd w:val="clear" w:color="auto" w:fill="auto"/>
          </w:tcPr>
          <w:p w14:paraId="33578675">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成交日期</w:t>
            </w:r>
          </w:p>
        </w:tc>
        <w:tc>
          <w:tcPr>
            <w:tcW w:w="2324" w:type="dxa"/>
            <w:shd w:val="clear" w:color="auto" w:fill="auto"/>
          </w:tcPr>
          <w:p w14:paraId="1C060814">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2026年3月</w:t>
            </w:r>
          </w:p>
        </w:tc>
        <w:tc>
          <w:tcPr>
            <w:tcW w:w="2325" w:type="dxa"/>
            <w:shd w:val="clear" w:color="auto" w:fill="auto"/>
          </w:tcPr>
          <w:p w14:paraId="2A851FE3">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2026年3月</w:t>
            </w:r>
          </w:p>
        </w:tc>
        <w:tc>
          <w:tcPr>
            <w:tcW w:w="2325" w:type="dxa"/>
            <w:shd w:val="clear" w:color="auto" w:fill="auto"/>
          </w:tcPr>
          <w:p w14:paraId="4FD19EE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2026年3月</w:t>
            </w:r>
          </w:p>
        </w:tc>
      </w:tr>
      <w:tr w14:paraId="5EBA2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0E25BC6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用途</w:t>
            </w:r>
          </w:p>
        </w:tc>
        <w:tc>
          <w:tcPr>
            <w:tcW w:w="2324" w:type="dxa"/>
            <w:shd w:val="clear" w:color="auto" w:fill="auto"/>
          </w:tcPr>
          <w:p w14:paraId="324BD93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办公</w:t>
            </w:r>
          </w:p>
        </w:tc>
        <w:tc>
          <w:tcPr>
            <w:tcW w:w="2325" w:type="dxa"/>
            <w:shd w:val="clear" w:color="auto" w:fill="auto"/>
          </w:tcPr>
          <w:p w14:paraId="19BFB692">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办公</w:t>
            </w:r>
          </w:p>
        </w:tc>
        <w:tc>
          <w:tcPr>
            <w:tcW w:w="2325" w:type="dxa"/>
            <w:shd w:val="clear" w:color="auto" w:fill="auto"/>
          </w:tcPr>
          <w:p w14:paraId="45DECBF3">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办公</w:t>
            </w:r>
          </w:p>
        </w:tc>
      </w:tr>
      <w:tr w14:paraId="4A4AD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19140EF7">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交易情况</w:t>
            </w:r>
          </w:p>
        </w:tc>
        <w:tc>
          <w:tcPr>
            <w:tcW w:w="2324" w:type="dxa"/>
            <w:shd w:val="clear" w:color="auto" w:fill="auto"/>
          </w:tcPr>
          <w:p w14:paraId="31FDA49C">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正常</w:t>
            </w:r>
          </w:p>
        </w:tc>
        <w:tc>
          <w:tcPr>
            <w:tcW w:w="2325" w:type="dxa"/>
            <w:shd w:val="clear" w:color="auto" w:fill="auto"/>
          </w:tcPr>
          <w:p w14:paraId="2F48AB1B">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正常</w:t>
            </w:r>
          </w:p>
        </w:tc>
        <w:tc>
          <w:tcPr>
            <w:tcW w:w="2325" w:type="dxa"/>
            <w:shd w:val="clear" w:color="auto" w:fill="auto"/>
          </w:tcPr>
          <w:p w14:paraId="2D1C204A">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正常</w:t>
            </w:r>
          </w:p>
        </w:tc>
      </w:tr>
      <w:tr w14:paraId="24C7C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tcPr>
          <w:p w14:paraId="10AC4A5F">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建筑结构</w:t>
            </w:r>
          </w:p>
        </w:tc>
        <w:tc>
          <w:tcPr>
            <w:tcW w:w="2324" w:type="dxa"/>
            <w:shd w:val="clear" w:color="auto" w:fill="auto"/>
          </w:tcPr>
          <w:p w14:paraId="36BECB6D">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钢混</w:t>
            </w:r>
          </w:p>
        </w:tc>
        <w:tc>
          <w:tcPr>
            <w:tcW w:w="2325" w:type="dxa"/>
            <w:shd w:val="clear" w:color="auto" w:fill="auto"/>
          </w:tcPr>
          <w:p w14:paraId="2CFED747">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钢混</w:t>
            </w:r>
          </w:p>
        </w:tc>
        <w:tc>
          <w:tcPr>
            <w:tcW w:w="2325" w:type="dxa"/>
            <w:shd w:val="clear" w:color="auto" w:fill="auto"/>
          </w:tcPr>
          <w:p w14:paraId="0832E5D9">
            <w:pPr>
              <w:widowControl/>
              <w:adjustRightInd/>
              <w:spacing w:line="240" w:lineRule="auto"/>
              <w:jc w:val="center"/>
              <w:textAlignment w:val="auto"/>
              <w:rPr>
                <w:rFonts w:ascii="Arial" w:hAnsi="Arial" w:eastAsia="仿宋_GB2312" w:cs="Arial"/>
                <w:color w:val="auto"/>
                <w:sz w:val="18"/>
                <w:szCs w:val="18"/>
              </w:rPr>
            </w:pPr>
            <w:r>
              <w:rPr>
                <w:rFonts w:hint="eastAsia" w:ascii="Arial" w:hAnsi="Arial" w:eastAsia="仿宋_GB2312" w:cs="Arial"/>
                <w:color w:val="auto"/>
                <w:sz w:val="18"/>
                <w:szCs w:val="18"/>
              </w:rPr>
              <w:t>钢混</w:t>
            </w:r>
          </w:p>
        </w:tc>
      </w:tr>
    </w:tbl>
    <w:p w14:paraId="0A1AD9D2">
      <w:pPr>
        <w:rPr>
          <w:rFonts w:ascii="Arial" w:hAnsi="Arial" w:eastAsia="仿宋" w:cs="Arial"/>
          <w:color w:val="auto"/>
          <w:sz w:val="28"/>
        </w:rPr>
      </w:pPr>
      <w:r>
        <w:rPr>
          <w:rFonts w:ascii="Arial" w:hAnsi="Arial" w:eastAsia="仿宋" w:cs="Arial"/>
          <w:color w:val="auto"/>
          <w:sz w:val="28"/>
        </w:rPr>
        <w:br w:type="page"/>
      </w:r>
    </w:p>
    <w:p w14:paraId="79076B8D">
      <w:pPr>
        <w:spacing w:after="26" w:line="300" w:lineRule="auto"/>
        <w:ind w:firstLine="560" w:firstLineChars="200"/>
        <w:jc w:val="both"/>
        <w:rPr>
          <w:rFonts w:ascii="Arial" w:hAnsi="Arial" w:eastAsia="仿宋" w:cs="Arial"/>
          <w:color w:val="auto"/>
          <w:sz w:val="28"/>
        </w:rPr>
      </w:pPr>
    </w:p>
    <w:tbl>
      <w:tblPr>
        <w:tblStyle w:val="34"/>
        <w:tblW w:w="9299" w:type="dxa"/>
        <w:jc w:val="center"/>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Layout w:type="fixed"/>
        <w:tblCellMar>
          <w:top w:w="28" w:type="dxa"/>
          <w:left w:w="28" w:type="dxa"/>
          <w:bottom w:w="28" w:type="dxa"/>
          <w:right w:w="28" w:type="dxa"/>
        </w:tblCellMar>
      </w:tblPr>
      <w:tblGrid>
        <w:gridCol w:w="3099"/>
        <w:gridCol w:w="3100"/>
        <w:gridCol w:w="3100"/>
      </w:tblGrid>
      <w:tr w14:paraId="72F5BFD3">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9299" w:type="dxa"/>
            <w:gridSpan w:val="3"/>
          </w:tcPr>
          <w:p w14:paraId="28BDD2CF">
            <w:pPr>
              <w:widowControl/>
              <w:adjustRightInd/>
              <w:spacing w:line="240" w:lineRule="auto"/>
              <w:jc w:val="center"/>
              <w:textAlignment w:val="auto"/>
              <w:rPr>
                <w:rFonts w:ascii="华文细黑" w:hAnsi="华文细黑" w:eastAsia="华文细黑"/>
                <w:color w:val="auto"/>
              </w:rPr>
            </w:pPr>
            <w:r>
              <w:rPr>
                <w:rFonts w:hint="eastAsia" w:ascii="Arial" w:hAnsi="Arial" w:eastAsia="仿宋_GB2312" w:cs="Arial"/>
                <w:color w:val="auto"/>
                <w:szCs w:val="24"/>
              </w:rPr>
              <w:t>案例位置示意图及照片</w:t>
            </w:r>
          </w:p>
        </w:tc>
      </w:tr>
      <w:tr w14:paraId="614107F6">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trHeight w:val="7655" w:hRule="exact"/>
          <w:jc w:val="center"/>
        </w:trPr>
        <w:tc>
          <w:tcPr>
            <w:tcW w:w="9299" w:type="dxa"/>
            <w:gridSpan w:val="3"/>
          </w:tcPr>
          <w:p w14:paraId="5B9F646F">
            <w:pPr>
              <w:jc w:val="center"/>
              <w:rPr>
                <w:color w:val="auto"/>
              </w:rPr>
            </w:pPr>
            <w:r>
              <w:rPr>
                <w:color w:val="auto"/>
              </w:rPr>
              <mc:AlternateContent>
                <mc:Choice Requires="wps">
                  <w:drawing>
                    <wp:anchor distT="0" distB="0" distL="114300" distR="114300" simplePos="0" relativeHeight="251675648" behindDoc="0" locked="0" layoutInCell="1" allowOverlap="1">
                      <wp:simplePos x="0" y="0"/>
                      <wp:positionH relativeFrom="column">
                        <wp:posOffset>3843655</wp:posOffset>
                      </wp:positionH>
                      <wp:positionV relativeFrom="paragraph">
                        <wp:posOffset>3571240</wp:posOffset>
                      </wp:positionV>
                      <wp:extent cx="739140" cy="414020"/>
                      <wp:effectExtent l="12700" t="281305" r="238760" b="20955"/>
                      <wp:wrapNone/>
                      <wp:docPr id="102" name="线形标注 1 102"/>
                      <wp:cNvGraphicFramePr/>
                      <a:graphic xmlns:a="http://schemas.openxmlformats.org/drawingml/2006/main">
                        <a:graphicData uri="http://schemas.microsoft.com/office/word/2010/wordprocessingShape">
                          <wps:wsp>
                            <wps:cNvSpPr/>
                            <wps:spPr>
                              <a:xfrm>
                                <a:off x="0" y="0"/>
                                <a:ext cx="739140" cy="414020"/>
                              </a:xfrm>
                              <a:prstGeom prst="borderCallout1">
                                <a:avLst>
                                  <a:gd name="adj1" fmla="val 1840"/>
                                  <a:gd name="adj2" fmla="val 33848"/>
                                  <a:gd name="adj3" fmla="val -65030"/>
                                  <a:gd name="adj4" fmla="val 130584"/>
                                </a:avLst>
                              </a:prstGeom>
                              <a:solidFill>
                                <a:srgbClr val="1F497D">
                                  <a:lumMod val="60000"/>
                                  <a:lumOff val="40000"/>
                                </a:srgbClr>
                              </a:solidFill>
                              <a:ln w="25400" cap="flat" cmpd="sng" algn="ctr">
                                <a:solidFill>
                                  <a:srgbClr val="4F81BD">
                                    <a:shade val="50000"/>
                                  </a:srgbClr>
                                </a:solidFill>
                                <a:prstDash val="solid"/>
                              </a:ln>
                              <a:effectLst/>
                            </wps:spPr>
                            <wps:txbx>
                              <w:txbxContent>
                                <w:p w14:paraId="313D3E9C">
                                  <w:pPr>
                                    <w:jc w:val="center"/>
                                    <w:rPr>
                                      <w:b/>
                                      <w:color w:val="FFFFFF"/>
                                    </w:rPr>
                                  </w:pPr>
                                  <w:r>
                                    <w:rPr>
                                      <w:rFonts w:hint="eastAsia"/>
                                      <w:b/>
                                      <w:color w:val="FFFFFF"/>
                                    </w:rPr>
                                    <w:t>案例</w:t>
                                  </w:r>
                                  <w:r>
                                    <w:rPr>
                                      <w:rFonts w:hint="eastAsia" w:ascii="Arial" w:hAnsi="Arial" w:cs="Arial"/>
                                      <w:b/>
                                      <w:color w:val="FFFFFF"/>
                                    </w:rPr>
                                    <w:t>I</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302.65pt;margin-top:281.2pt;height:32.6pt;width:58.2pt;z-index:251675648;v-text-anchor:middle;mso-width-relative:page;mso-height-relative:page;" fillcolor="#558ED5" filled="t" stroked="t" coordsize="21600,21600" o:gfxdata="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" adj="28206,-14046,7311,397">
                      <v:fill on="t" focussize="0,0"/>
                      <v:stroke weight="2pt" color="#385D8A" joinstyle="round"/>
                      <v:imagedata o:title=""/>
                      <o:lock v:ext="edit" aspectratio="f"/>
                      <v:textbox>
                        <w:txbxContent>
                          <w:p w14:paraId="313D3E9C">
                            <w:pPr>
                              <w:jc w:val="center"/>
                              <w:rPr>
                                <w:b/>
                                <w:color w:val="FFFFFF"/>
                              </w:rPr>
                            </w:pPr>
                            <w:r>
                              <w:rPr>
                                <w:rFonts w:hint="eastAsia"/>
                                <w:b/>
                                <w:color w:val="FFFFFF"/>
                              </w:rPr>
                              <w:t>案例</w:t>
                            </w:r>
                            <w:r>
                              <w:rPr>
                                <w:rFonts w:hint="eastAsia" w:ascii="Arial" w:hAnsi="Arial" w:cs="Arial"/>
                                <w:b/>
                                <w:color w:val="FFFFFF"/>
                              </w:rPr>
                              <w:t>I</w:t>
                            </w:r>
                          </w:p>
                        </w:txbxContent>
                      </v:textbox>
                    </v:shape>
                  </w:pict>
                </mc:Fallback>
              </mc:AlternateContent>
            </w:r>
            <w:r>
              <w:rPr>
                <w:color w:val="auto"/>
              </w:rPr>
              <mc:AlternateContent>
                <mc:Choice Requires="wps">
                  <w:drawing>
                    <wp:anchor distT="0" distB="0" distL="114300" distR="114300" simplePos="0" relativeHeight="251676672" behindDoc="0" locked="0" layoutInCell="1" allowOverlap="1">
                      <wp:simplePos x="0" y="0"/>
                      <wp:positionH relativeFrom="column">
                        <wp:posOffset>1809750</wp:posOffset>
                      </wp:positionH>
                      <wp:positionV relativeFrom="paragraph">
                        <wp:posOffset>3449320</wp:posOffset>
                      </wp:positionV>
                      <wp:extent cx="773430" cy="462915"/>
                      <wp:effectExtent l="92075" t="12700" r="18415" b="560705"/>
                      <wp:wrapNone/>
                      <wp:docPr id="101" name="线形标注 1 101"/>
                      <wp:cNvGraphicFramePr/>
                      <a:graphic xmlns:a="http://schemas.openxmlformats.org/drawingml/2006/main">
                        <a:graphicData uri="http://schemas.microsoft.com/office/word/2010/wordprocessingShape">
                          <wps:wsp>
                            <wps:cNvSpPr/>
                            <wps:spPr>
                              <a:xfrm>
                                <a:off x="0" y="0"/>
                                <a:ext cx="773430" cy="462915"/>
                              </a:xfrm>
                              <a:prstGeom prst="borderCallout1">
                                <a:avLst>
                                  <a:gd name="adj1" fmla="val 96159"/>
                                  <a:gd name="adj2" fmla="val 23563"/>
                                  <a:gd name="adj3" fmla="val 216872"/>
                                  <a:gd name="adj4" fmla="val -10426"/>
                                </a:avLst>
                              </a:prstGeom>
                              <a:solidFill>
                                <a:srgbClr val="1F497D">
                                  <a:lumMod val="60000"/>
                                  <a:lumOff val="40000"/>
                                </a:srgbClr>
                              </a:solidFill>
                              <a:ln w="25400" cap="flat" cmpd="sng" algn="ctr">
                                <a:solidFill>
                                  <a:srgbClr val="4F81BD">
                                    <a:shade val="50000"/>
                                  </a:srgbClr>
                                </a:solidFill>
                                <a:prstDash val="solid"/>
                              </a:ln>
                              <a:effectLst/>
                            </wps:spPr>
                            <wps:txbx>
                              <w:txbxContent>
                                <w:p w14:paraId="45720276">
                                  <w:pPr>
                                    <w:jc w:val="center"/>
                                    <w:rPr>
                                      <w:b/>
                                      <w:color w:val="FFFFFF"/>
                                    </w:rPr>
                                  </w:pPr>
                                  <w:r>
                                    <w:rPr>
                                      <w:rFonts w:hint="eastAsia"/>
                                      <w:b/>
                                      <w:color w:val="FFFFFF"/>
                                    </w:rPr>
                                    <w:t>案例</w:t>
                                  </w:r>
                                  <w:r>
                                    <w:rPr>
                                      <w:rFonts w:hint="eastAsia" w:ascii="Arial" w:hAnsi="Arial" w:cs="Arial"/>
                                      <w:b/>
                                      <w:color w:val="FFFFFF"/>
                                    </w:rPr>
                                    <w:t>H</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142.5pt;margin-top:271.6pt;height:36.45pt;width:60.9pt;z-index:251676672;v-text-anchor:middle;mso-width-relative:page;mso-height-relative:page;" fillcolor="#558ED5" filled="t" stroked="t" coordsize="21600,21600" o:gfxdata="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" adj="-2252,46844,5090,20770">
                      <v:fill on="t" focussize="0,0"/>
                      <v:stroke weight="2pt" color="#385D8A" joinstyle="round"/>
                      <v:imagedata o:title=""/>
                      <o:lock v:ext="edit" aspectratio="f"/>
                      <v:textbox>
                        <w:txbxContent>
                          <w:p w14:paraId="45720276">
                            <w:pPr>
                              <w:jc w:val="center"/>
                              <w:rPr>
                                <w:b/>
                                <w:color w:val="FFFFFF"/>
                              </w:rPr>
                            </w:pPr>
                            <w:r>
                              <w:rPr>
                                <w:rFonts w:hint="eastAsia"/>
                                <w:b/>
                                <w:color w:val="FFFFFF"/>
                              </w:rPr>
                              <w:t>案例</w:t>
                            </w:r>
                            <w:r>
                              <w:rPr>
                                <w:rFonts w:hint="eastAsia" w:ascii="Arial" w:hAnsi="Arial" w:cs="Arial"/>
                                <w:b/>
                                <w:color w:val="FFFFFF"/>
                              </w:rPr>
                              <w:t>H</w:t>
                            </w:r>
                          </w:p>
                        </w:txbxContent>
                      </v:textbox>
                    </v:shape>
                  </w:pict>
                </mc:Fallback>
              </mc:AlternateContent>
            </w:r>
            <w:r>
              <w:rPr>
                <w:color w:val="auto"/>
              </w:rPr>
              <mc:AlternateContent>
                <mc:Choice Requires="wps">
                  <w:drawing>
                    <wp:anchor distT="0" distB="0" distL="114300" distR="114300" simplePos="0" relativeHeight="251677696" behindDoc="0" locked="0" layoutInCell="1" allowOverlap="1">
                      <wp:simplePos x="0" y="0"/>
                      <wp:positionH relativeFrom="column">
                        <wp:posOffset>2311400</wp:posOffset>
                      </wp:positionH>
                      <wp:positionV relativeFrom="paragraph">
                        <wp:posOffset>952500</wp:posOffset>
                      </wp:positionV>
                      <wp:extent cx="758825" cy="393065"/>
                      <wp:effectExtent l="12700" t="644525" r="20955" b="13970"/>
                      <wp:wrapNone/>
                      <wp:docPr id="103" name="线形标注 1 103"/>
                      <wp:cNvGraphicFramePr/>
                      <a:graphic xmlns:a="http://schemas.openxmlformats.org/drawingml/2006/main">
                        <a:graphicData uri="http://schemas.microsoft.com/office/word/2010/wordprocessingShape">
                          <wps:wsp>
                            <wps:cNvSpPr/>
                            <wps:spPr>
                              <a:xfrm>
                                <a:off x="0" y="0"/>
                                <a:ext cx="758825" cy="393065"/>
                              </a:xfrm>
                              <a:prstGeom prst="borderCallout1">
                                <a:avLst>
                                  <a:gd name="adj1" fmla="val -163707"/>
                                  <a:gd name="adj2" fmla="val 54225"/>
                                  <a:gd name="adj3" fmla="val -9369"/>
                                  <a:gd name="adj4" fmla="val 47866"/>
                                </a:avLst>
                              </a:prstGeom>
                              <a:solidFill>
                                <a:srgbClr val="558ED5"/>
                              </a:solidFill>
                              <a:ln w="25400" cap="flat" cmpd="sng">
                                <a:solidFill>
                                  <a:srgbClr val="385D8A"/>
                                </a:solidFill>
                                <a:prstDash val="solid"/>
                                <a:miter/>
                                <a:headEnd type="none" w="med" len="med"/>
                                <a:tailEnd type="none" w="med" len="med"/>
                              </a:ln>
                            </wps:spPr>
                            <wps:txbx>
                              <w:txbxContent>
                                <w:p w14:paraId="60728B32">
                                  <w:pPr>
                                    <w:jc w:val="center"/>
                                    <w:rPr>
                                      <w:b/>
                                      <w:color w:val="FFFFFF"/>
                                    </w:rPr>
                                  </w:pPr>
                                  <w:r>
                                    <w:rPr>
                                      <w:rFonts w:hint="eastAsia"/>
                                      <w:b/>
                                      <w:color w:val="FFFFFF"/>
                                    </w:rPr>
                                    <w:t>案例</w:t>
                                  </w:r>
                                  <w:r>
                                    <w:rPr>
                                      <w:rFonts w:hint="eastAsia" w:ascii="Arial" w:hAnsi="Arial" w:cs="Arial"/>
                                      <w:b/>
                                      <w:color w:val="FFFFFF"/>
                                    </w:rPr>
                                    <w:t>G</w:t>
                                  </w:r>
                                </w:p>
                              </w:txbxContent>
                            </wps:txbx>
                            <wps:bodyPr anchor="ctr" anchorCtr="0" upright="1"/>
                          </wps:wsp>
                        </a:graphicData>
                      </a:graphic>
                    </wp:anchor>
                  </w:drawing>
                </mc:Choice>
                <mc:Fallback>
                  <w:pict>
                    <v:shape id="_x0000_s1026" o:spid="_x0000_s1026" o:spt="47" type="#_x0000_t47" style="position:absolute;left:0pt;margin-left:182pt;margin-top:75pt;height:30.95pt;width:59.75pt;z-index:251677696;v-text-anchor:middle;mso-width-relative:page;mso-height-relative:page;" fillcolor="#558ED5" filled="t" stroked="t" coordsize="21600,21600" o:gfxdata="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hEJQn2wAAAAsBAAAPAAAAAAAAAAEAIAAAACIAAABkcnMvZG93bnJldi54&#10;bWxQSwECFAAUAAAACACHTuJAbYewsWkCAAD1BAAADgAAAAAAAAABACAAAAAqAQAAZHJzL2Uyb0Rv&#10;Yy54bWxQSwUGAAAAAAYABgBZAQAABQYAAAAA&#10;" adj="10339,-2024,11713,-35361">
                      <v:fill on="t" focussize="0,0"/>
                      <v:stroke weight="2pt" color="#385D8A" joinstyle="miter"/>
                      <v:imagedata o:title=""/>
                      <o:lock v:ext="edit" aspectratio="f"/>
                      <v:textbox>
                        <w:txbxContent>
                          <w:p w14:paraId="60728B32">
                            <w:pPr>
                              <w:jc w:val="center"/>
                              <w:rPr>
                                <w:b/>
                                <w:color w:val="FFFFFF"/>
                              </w:rPr>
                            </w:pPr>
                            <w:r>
                              <w:rPr>
                                <w:rFonts w:hint="eastAsia"/>
                                <w:b/>
                                <w:color w:val="FFFFFF"/>
                              </w:rPr>
                              <w:t>案例</w:t>
                            </w:r>
                            <w:r>
                              <w:rPr>
                                <w:rFonts w:hint="eastAsia" w:ascii="Arial" w:hAnsi="Arial" w:cs="Arial"/>
                                <w:b/>
                                <w:color w:val="FFFFFF"/>
                              </w:rPr>
                              <w:t>G</w:t>
                            </w:r>
                          </w:p>
                        </w:txbxContent>
                      </v:textbox>
                    </v:shape>
                  </w:pict>
                </mc:Fallback>
              </mc:AlternateContent>
            </w:r>
            <w:r>
              <w:rPr>
                <w:color w:val="auto"/>
              </w:rPr>
              <w:drawing>
                <wp:anchor distT="0" distB="0" distL="114300" distR="114300" simplePos="0" relativeHeight="251674624" behindDoc="0" locked="0" layoutInCell="1" allowOverlap="1">
                  <wp:simplePos x="0" y="0"/>
                  <wp:positionH relativeFrom="column">
                    <wp:posOffset>1301115</wp:posOffset>
                  </wp:positionH>
                  <wp:positionV relativeFrom="paragraph">
                    <wp:posOffset>241935</wp:posOffset>
                  </wp:positionV>
                  <wp:extent cx="996315" cy="556895"/>
                  <wp:effectExtent l="0" t="0" r="0" b="0"/>
                  <wp:wrapNone/>
                  <wp:docPr id="100" name="图片 4" descr="说明: 估价对象ta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 descr="说明: 估价对象tag-L"/>
                          <pic:cNvPicPr>
                            <a:picLocks noChangeAspect="1"/>
                          </pic:cNvPicPr>
                        </pic:nvPicPr>
                        <pic:blipFill>
                          <a:blip r:embed="rId66"/>
                          <a:stretch>
                            <a:fillRect/>
                          </a:stretch>
                        </pic:blipFill>
                        <pic:spPr>
                          <a:xfrm>
                            <a:off x="0" y="0"/>
                            <a:ext cx="996315" cy="556895"/>
                          </a:xfrm>
                          <a:prstGeom prst="rect">
                            <a:avLst/>
                          </a:prstGeom>
                          <a:noFill/>
                          <a:ln>
                            <a:noFill/>
                          </a:ln>
                        </pic:spPr>
                      </pic:pic>
                    </a:graphicData>
                  </a:graphic>
                </wp:anchor>
              </w:drawing>
            </w:r>
            <w:r>
              <w:rPr>
                <w:color w:val="auto"/>
              </w:rPr>
              <w:drawing>
                <wp:inline distT="0" distB="0" distL="0" distR="0">
                  <wp:extent cx="5802630" cy="4597400"/>
                  <wp:effectExtent l="0" t="0" r="3810" b="508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802630" cy="4597400"/>
                          </a:xfrm>
                          <a:prstGeom prst="rect">
                            <a:avLst/>
                          </a:prstGeom>
                          <a:noFill/>
                          <a:ln>
                            <a:noFill/>
                          </a:ln>
                        </pic:spPr>
                      </pic:pic>
                    </a:graphicData>
                  </a:graphic>
                </wp:inline>
              </w:drawing>
            </w:r>
          </w:p>
        </w:tc>
      </w:tr>
      <w:tr w14:paraId="548BDB6E">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9299" w:type="dxa"/>
            <w:gridSpan w:val="3"/>
          </w:tcPr>
          <w:p w14:paraId="1EE4A685">
            <w:pPr>
              <w:widowControl/>
              <w:adjustRightInd/>
              <w:spacing w:line="240" w:lineRule="auto"/>
              <w:jc w:val="center"/>
              <w:textAlignment w:val="auto"/>
              <w:rPr>
                <w:rFonts w:ascii="华文细黑" w:hAnsi="华文细黑" w:eastAsia="华文细黑"/>
                <w:color w:val="auto"/>
              </w:rPr>
            </w:pPr>
            <w:r>
              <w:rPr>
                <w:rFonts w:hint="eastAsia" w:ascii="Arial" w:hAnsi="Arial" w:eastAsia="仿宋_GB2312" w:cs="Arial"/>
                <w:color w:val="auto"/>
                <w:szCs w:val="24"/>
              </w:rPr>
              <w:t>案例照片</w:t>
            </w:r>
          </w:p>
        </w:tc>
      </w:tr>
      <w:tr w14:paraId="6C4C27D1">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3099" w:type="dxa"/>
            <w:tcBorders>
              <w:bottom w:val="dotted" w:color="404040" w:sz="2" w:space="0"/>
            </w:tcBorders>
          </w:tcPr>
          <w:p w14:paraId="0B857197">
            <w:pPr>
              <w:widowControl/>
              <w:adjustRightInd/>
              <w:spacing w:line="24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案例G</w:t>
            </w:r>
          </w:p>
        </w:tc>
        <w:tc>
          <w:tcPr>
            <w:tcW w:w="3100" w:type="dxa"/>
            <w:tcBorders>
              <w:bottom w:val="dotted" w:color="404040" w:sz="2" w:space="0"/>
            </w:tcBorders>
          </w:tcPr>
          <w:p w14:paraId="3EFE6821">
            <w:pPr>
              <w:widowControl/>
              <w:adjustRightInd/>
              <w:spacing w:line="24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案例H</w:t>
            </w:r>
          </w:p>
        </w:tc>
        <w:tc>
          <w:tcPr>
            <w:tcW w:w="3100" w:type="dxa"/>
            <w:tcBorders>
              <w:bottom w:val="dotted" w:color="404040" w:sz="2" w:space="0"/>
            </w:tcBorders>
          </w:tcPr>
          <w:p w14:paraId="51F43EF5">
            <w:pPr>
              <w:widowControl/>
              <w:adjustRightInd/>
              <w:spacing w:line="24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案例I</w:t>
            </w:r>
          </w:p>
        </w:tc>
      </w:tr>
      <w:tr w14:paraId="4469300F">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trHeight w:val="3670" w:hRule="atLeast"/>
          <w:jc w:val="center"/>
        </w:trPr>
        <w:tc>
          <w:tcPr>
            <w:tcW w:w="3099" w:type="dxa"/>
          </w:tcPr>
          <w:p w14:paraId="63CC1F1F">
            <w:pPr>
              <w:jc w:val="center"/>
              <w:rPr>
                <w:color w:val="auto"/>
              </w:rPr>
            </w:pPr>
            <w:r>
              <w:rPr>
                <w:color w:val="auto"/>
              </w:rPr>
              <w:drawing>
                <wp:inline distT="0" distB="0" distL="114300" distR="114300">
                  <wp:extent cx="1930400" cy="2168525"/>
                  <wp:effectExtent l="0" t="0" r="5080" b="10795"/>
                  <wp:docPr id="7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3"/>
                          <pic:cNvPicPr>
                            <a:picLocks noChangeAspect="1"/>
                          </pic:cNvPicPr>
                        </pic:nvPicPr>
                        <pic:blipFill>
                          <a:blip r:embed="rId76"/>
                          <a:stretch>
                            <a:fillRect/>
                          </a:stretch>
                        </pic:blipFill>
                        <pic:spPr>
                          <a:xfrm>
                            <a:off x="0" y="0"/>
                            <a:ext cx="1930400" cy="2168525"/>
                          </a:xfrm>
                          <a:prstGeom prst="rect">
                            <a:avLst/>
                          </a:prstGeom>
                          <a:noFill/>
                          <a:ln>
                            <a:noFill/>
                          </a:ln>
                        </pic:spPr>
                      </pic:pic>
                    </a:graphicData>
                  </a:graphic>
                </wp:inline>
              </w:drawing>
            </w:r>
          </w:p>
        </w:tc>
        <w:tc>
          <w:tcPr>
            <w:tcW w:w="3100" w:type="dxa"/>
          </w:tcPr>
          <w:p w14:paraId="37924779">
            <w:pPr>
              <w:jc w:val="center"/>
              <w:rPr>
                <w:color w:val="auto"/>
              </w:rPr>
            </w:pPr>
            <w:r>
              <w:rPr>
                <w:rFonts w:hint="eastAsia"/>
                <w:color w:val="auto"/>
              </w:rPr>
              <w:drawing>
                <wp:inline distT="0" distB="0" distL="114300" distR="114300">
                  <wp:extent cx="1787525" cy="2166620"/>
                  <wp:effectExtent l="0" t="0" r="10795" b="12700"/>
                  <wp:docPr id="70" name="图片 70" descr="IMG_20260323_13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IMG_20260323_133251"/>
                          <pic:cNvPicPr>
                            <a:picLocks noChangeAspect="1"/>
                          </pic:cNvPicPr>
                        </pic:nvPicPr>
                        <pic:blipFill>
                          <a:blip r:embed="rId77"/>
                          <a:stretch>
                            <a:fillRect/>
                          </a:stretch>
                        </pic:blipFill>
                        <pic:spPr>
                          <a:xfrm>
                            <a:off x="0" y="0"/>
                            <a:ext cx="1787525" cy="2166620"/>
                          </a:xfrm>
                          <a:prstGeom prst="rect">
                            <a:avLst/>
                          </a:prstGeom>
                        </pic:spPr>
                      </pic:pic>
                    </a:graphicData>
                  </a:graphic>
                </wp:inline>
              </w:drawing>
            </w:r>
          </w:p>
        </w:tc>
        <w:tc>
          <w:tcPr>
            <w:tcW w:w="3100" w:type="dxa"/>
          </w:tcPr>
          <w:p w14:paraId="34CDF974">
            <w:pPr>
              <w:jc w:val="center"/>
              <w:rPr>
                <w:color w:val="auto"/>
              </w:rPr>
            </w:pPr>
            <w:r>
              <w:rPr>
                <w:color w:val="auto"/>
              </w:rPr>
              <w:drawing>
                <wp:inline distT="0" distB="0" distL="114300" distR="114300">
                  <wp:extent cx="1928495" cy="2193290"/>
                  <wp:effectExtent l="0" t="0" r="6985" b="1270"/>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4"/>
                          <pic:cNvPicPr>
                            <a:picLocks noChangeAspect="1"/>
                          </pic:cNvPicPr>
                        </pic:nvPicPr>
                        <pic:blipFill>
                          <a:blip r:embed="rId78"/>
                          <a:stretch>
                            <a:fillRect/>
                          </a:stretch>
                        </pic:blipFill>
                        <pic:spPr>
                          <a:xfrm>
                            <a:off x="0" y="0"/>
                            <a:ext cx="1928495" cy="2193290"/>
                          </a:xfrm>
                          <a:prstGeom prst="rect">
                            <a:avLst/>
                          </a:prstGeom>
                          <a:noFill/>
                          <a:ln>
                            <a:noFill/>
                          </a:ln>
                        </pic:spPr>
                      </pic:pic>
                    </a:graphicData>
                  </a:graphic>
                </wp:inline>
              </w:drawing>
            </w:r>
          </w:p>
        </w:tc>
      </w:tr>
    </w:tbl>
    <w:p w14:paraId="0C5451ED">
      <w:pPr>
        <w:spacing w:after="26" w:line="360" w:lineRule="auto"/>
        <w:jc w:val="center"/>
        <w:rPr>
          <w:rFonts w:ascii="Arial" w:hAnsi="Arial" w:eastAsia="仿宋" w:cs="Arial"/>
          <w:b/>
          <w:bCs/>
          <w:color w:val="auto"/>
          <w:szCs w:val="28"/>
        </w:rPr>
      </w:pPr>
    </w:p>
    <w:p w14:paraId="745C9923">
      <w:pPr>
        <w:spacing w:after="26" w:line="360" w:lineRule="auto"/>
        <w:jc w:val="both"/>
        <w:rPr>
          <w:rFonts w:ascii="Arial" w:hAnsi="Arial" w:eastAsia="仿宋" w:cs="Arial"/>
          <w:b/>
          <w:bCs/>
          <w:color w:val="auto"/>
          <w:szCs w:val="28"/>
        </w:rPr>
      </w:pPr>
    </w:p>
    <w:p w14:paraId="1E8AD0DD">
      <w:pPr>
        <w:spacing w:after="26" w:line="360" w:lineRule="auto"/>
        <w:jc w:val="center"/>
        <w:rPr>
          <w:rFonts w:ascii="Arial" w:hAnsi="Arial" w:eastAsia="仿宋" w:cs="Arial"/>
          <w:color w:val="auto"/>
          <w:sz w:val="28"/>
          <w:szCs w:val="28"/>
        </w:rPr>
      </w:pPr>
      <w:r>
        <w:rPr>
          <w:rFonts w:ascii="Arial" w:hAnsi="Arial" w:eastAsia="仿宋" w:cs="Arial"/>
          <w:b/>
          <w:bCs/>
          <w:color w:val="auto"/>
          <w:szCs w:val="28"/>
        </w:rPr>
        <w:t>表5：比较因素条件说明及指数表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492"/>
        <w:gridCol w:w="589"/>
        <w:gridCol w:w="1897"/>
        <w:gridCol w:w="502"/>
        <w:gridCol w:w="1548"/>
        <w:gridCol w:w="546"/>
        <w:gridCol w:w="1453"/>
        <w:gridCol w:w="549"/>
        <w:gridCol w:w="1251"/>
        <w:gridCol w:w="641"/>
      </w:tblGrid>
      <w:tr w14:paraId="463FA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blHeader/>
          <w:jc w:val="center"/>
        </w:trPr>
        <w:tc>
          <w:tcPr>
            <w:tcW w:w="1048" w:type="dxa"/>
            <w:gridSpan w:val="2"/>
            <w:vMerge w:val="restart"/>
            <w:tcBorders>
              <w:tl2br w:val="single" w:color="auto" w:sz="4" w:space="0"/>
            </w:tcBorders>
            <w:vAlign w:val="center"/>
          </w:tcPr>
          <w:p w14:paraId="5846C123">
            <w:pPr>
              <w:widowControl/>
              <w:adjustRightInd/>
              <w:spacing w:line="240" w:lineRule="exact"/>
              <w:jc w:val="right"/>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估价对象及</w:t>
            </w:r>
          </w:p>
          <w:p w14:paraId="169E5C65">
            <w:pPr>
              <w:widowControl/>
              <w:adjustRightInd/>
              <w:spacing w:line="240" w:lineRule="exact"/>
              <w:jc w:val="right"/>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可比案例</w:t>
            </w:r>
          </w:p>
          <w:p w14:paraId="6905865E">
            <w:pPr>
              <w:widowControl/>
              <w:adjustRightInd/>
              <w:spacing w:line="240" w:lineRule="exact"/>
              <w:jc w:val="center"/>
              <w:textAlignment w:val="auto"/>
              <w:rPr>
                <w:rFonts w:ascii="Arial" w:hAnsi="Arial" w:eastAsia="仿宋" w:cs="Arial"/>
                <w:snapToGrid w:val="0"/>
                <w:color w:val="auto"/>
                <w:sz w:val="18"/>
                <w:szCs w:val="18"/>
              </w:rPr>
            </w:pPr>
          </w:p>
          <w:p w14:paraId="35AA9858">
            <w:pPr>
              <w:widowControl/>
              <w:adjustRightInd/>
              <w:spacing w:line="240" w:lineRule="exact"/>
              <w:jc w:val="center"/>
              <w:textAlignment w:val="auto"/>
              <w:rPr>
                <w:rFonts w:ascii="Arial" w:hAnsi="Arial" w:eastAsia="仿宋" w:cs="Arial"/>
                <w:snapToGrid w:val="0"/>
                <w:color w:val="auto"/>
                <w:sz w:val="18"/>
                <w:szCs w:val="18"/>
              </w:rPr>
            </w:pPr>
          </w:p>
          <w:p w14:paraId="2A2DC123">
            <w:pPr>
              <w:widowControl/>
              <w:adjustRightInd/>
              <w:spacing w:line="240" w:lineRule="exact"/>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比较因素</w:t>
            </w:r>
          </w:p>
          <w:p w14:paraId="19841F31">
            <w:pPr>
              <w:widowControl/>
              <w:adjustRightInd/>
              <w:spacing w:line="240" w:lineRule="exact"/>
              <w:jc w:val="center"/>
              <w:textAlignment w:val="auto"/>
              <w:rPr>
                <w:rFonts w:ascii="Arial" w:hAnsi="Arial" w:eastAsia="仿宋" w:cs="Arial"/>
                <w:snapToGrid w:val="0"/>
                <w:color w:val="auto"/>
                <w:sz w:val="18"/>
                <w:szCs w:val="18"/>
              </w:rPr>
            </w:pPr>
          </w:p>
        </w:tc>
        <w:tc>
          <w:tcPr>
            <w:tcW w:w="2327" w:type="dxa"/>
            <w:gridSpan w:val="2"/>
            <w:vAlign w:val="center"/>
          </w:tcPr>
          <w:p w14:paraId="35759EE4">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估价对象</w:t>
            </w:r>
          </w:p>
        </w:tc>
        <w:tc>
          <w:tcPr>
            <w:tcW w:w="2032" w:type="dxa"/>
            <w:gridSpan w:val="2"/>
            <w:vAlign w:val="center"/>
          </w:tcPr>
          <w:p w14:paraId="5B98B1AB">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案例G</w:t>
            </w:r>
          </w:p>
        </w:tc>
        <w:tc>
          <w:tcPr>
            <w:tcW w:w="1942" w:type="dxa"/>
            <w:gridSpan w:val="2"/>
          </w:tcPr>
          <w:p w14:paraId="188A398F">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案例H</w:t>
            </w:r>
          </w:p>
        </w:tc>
        <w:tc>
          <w:tcPr>
            <w:tcW w:w="1835" w:type="dxa"/>
            <w:gridSpan w:val="2"/>
            <w:vAlign w:val="center"/>
          </w:tcPr>
          <w:p w14:paraId="69E74DE4">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案例I</w:t>
            </w:r>
          </w:p>
        </w:tc>
      </w:tr>
      <w:tr w14:paraId="41540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blHeader/>
          <w:jc w:val="center"/>
        </w:trPr>
        <w:tc>
          <w:tcPr>
            <w:tcW w:w="1048" w:type="dxa"/>
            <w:gridSpan w:val="2"/>
            <w:vMerge w:val="continue"/>
            <w:tcBorders>
              <w:tl2br w:val="single" w:color="auto" w:sz="4" w:space="0"/>
            </w:tcBorders>
            <w:vAlign w:val="center"/>
          </w:tcPr>
          <w:p w14:paraId="2E556F94">
            <w:pPr>
              <w:widowControl/>
              <w:adjustRightInd/>
              <w:spacing w:line="240" w:lineRule="exact"/>
              <w:jc w:val="center"/>
              <w:textAlignment w:val="auto"/>
              <w:rPr>
                <w:rFonts w:ascii="Arial" w:hAnsi="Arial" w:eastAsia="仿宋" w:cs="Arial"/>
                <w:snapToGrid w:val="0"/>
                <w:color w:val="auto"/>
                <w:sz w:val="18"/>
                <w:szCs w:val="18"/>
              </w:rPr>
            </w:pPr>
          </w:p>
        </w:tc>
        <w:tc>
          <w:tcPr>
            <w:tcW w:w="1840" w:type="dxa"/>
            <w:vAlign w:val="center"/>
          </w:tcPr>
          <w:p w14:paraId="2BD5197F">
            <w:pPr>
              <w:widowControl/>
              <w:adjustRightInd/>
              <w:spacing w:line="240" w:lineRule="exact"/>
              <w:jc w:val="center"/>
              <w:textAlignment w:val="auto"/>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北京市顺义区高丽营副中心区SY02</w:t>
            </w:r>
            <w:r>
              <w:rPr>
                <w:rFonts w:hint="eastAsia" w:ascii="Arial" w:hAnsi="Arial" w:eastAsia="仿宋" w:cs="Arial"/>
                <w:snapToGrid w:val="0"/>
                <w:color w:val="auto"/>
                <w:sz w:val="18"/>
                <w:szCs w:val="18"/>
              </w:rPr>
              <w:t>－</w:t>
            </w:r>
            <w:r>
              <w:rPr>
                <w:rFonts w:ascii="Arial" w:hAnsi="Arial" w:eastAsia="仿宋" w:cs="Arial"/>
                <w:snapToGrid w:val="0"/>
                <w:color w:val="auto"/>
                <w:sz w:val="18"/>
                <w:szCs w:val="18"/>
                <w:lang w:eastAsia="zh-Hans"/>
              </w:rPr>
              <w:t>0102</w:t>
            </w:r>
            <w:r>
              <w:rPr>
                <w:rFonts w:hint="eastAsia" w:ascii="Arial" w:hAnsi="Arial" w:eastAsia="仿宋" w:cs="Arial"/>
                <w:snapToGrid w:val="0"/>
                <w:color w:val="auto"/>
                <w:sz w:val="18"/>
                <w:szCs w:val="18"/>
              </w:rPr>
              <w:t>－</w:t>
            </w:r>
            <w:r>
              <w:rPr>
                <w:rFonts w:ascii="Arial" w:hAnsi="Arial" w:eastAsia="仿宋" w:cs="Arial"/>
                <w:snapToGrid w:val="0"/>
                <w:color w:val="auto"/>
                <w:sz w:val="18"/>
                <w:szCs w:val="18"/>
                <w:lang w:eastAsia="zh-Hans"/>
              </w:rPr>
              <w:t>6003号地块</w:t>
            </w:r>
          </w:p>
        </w:tc>
        <w:tc>
          <w:tcPr>
            <w:tcW w:w="487" w:type="dxa"/>
            <w:vAlign w:val="center"/>
          </w:tcPr>
          <w:p w14:paraId="68E4C27C">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系数</w:t>
            </w:r>
          </w:p>
        </w:tc>
        <w:tc>
          <w:tcPr>
            <w:tcW w:w="1502" w:type="dxa"/>
            <w:vAlign w:val="center"/>
          </w:tcPr>
          <w:p w14:paraId="59A8D1A2">
            <w:pPr>
              <w:widowControl/>
              <w:adjustRightInd/>
              <w:spacing w:line="240" w:lineRule="auto"/>
              <w:jc w:val="center"/>
              <w:textAlignment w:val="auto"/>
              <w:rPr>
                <w:rFonts w:ascii="仿宋" w:hAnsi="仿宋" w:eastAsia="仿宋"/>
                <w:color w:val="auto"/>
                <w:sz w:val="18"/>
                <w:szCs w:val="18"/>
              </w:rPr>
            </w:pPr>
            <w:r>
              <w:rPr>
                <w:rFonts w:hint="eastAsia" w:ascii="仿宋" w:hAnsi="仿宋" w:eastAsia="仿宋"/>
                <w:color w:val="auto"/>
                <w:sz w:val="18"/>
                <w:szCs w:val="18"/>
                <w:lang w:eastAsia="zh-Hans"/>
              </w:rPr>
              <w:t>数码视讯产业园</w:t>
            </w:r>
          </w:p>
        </w:tc>
        <w:tc>
          <w:tcPr>
            <w:tcW w:w="530" w:type="dxa"/>
            <w:vAlign w:val="center"/>
          </w:tcPr>
          <w:p w14:paraId="04FF42E5">
            <w:pPr>
              <w:jc w:val="center"/>
              <w:rPr>
                <w:rFonts w:ascii="仿宋" w:hAnsi="仿宋" w:eastAsia="仿宋"/>
                <w:color w:val="auto"/>
                <w:sz w:val="18"/>
                <w:szCs w:val="18"/>
              </w:rPr>
            </w:pPr>
            <w:r>
              <w:rPr>
                <w:rFonts w:hint="eastAsia" w:ascii="仿宋" w:hAnsi="仿宋" w:eastAsia="仿宋"/>
                <w:color w:val="auto"/>
                <w:sz w:val="18"/>
                <w:szCs w:val="18"/>
              </w:rPr>
              <w:t>系数</w:t>
            </w:r>
          </w:p>
        </w:tc>
        <w:tc>
          <w:tcPr>
            <w:tcW w:w="1409" w:type="dxa"/>
            <w:vAlign w:val="center"/>
          </w:tcPr>
          <w:p w14:paraId="66CA73FC">
            <w:pPr>
              <w:jc w:val="center"/>
              <w:rPr>
                <w:rFonts w:ascii="仿宋" w:hAnsi="仿宋" w:eastAsia="仿宋"/>
                <w:color w:val="auto"/>
                <w:sz w:val="18"/>
                <w:szCs w:val="18"/>
              </w:rPr>
            </w:pPr>
            <w:r>
              <w:rPr>
                <w:rFonts w:hint="eastAsia" w:ascii="仿宋" w:hAnsi="仿宋" w:eastAsia="仿宋"/>
                <w:color w:val="auto"/>
                <w:sz w:val="18"/>
                <w:szCs w:val="18"/>
                <w:lang w:eastAsia="zh-Hans"/>
              </w:rPr>
              <w:t>博润中心</w:t>
            </w:r>
          </w:p>
        </w:tc>
        <w:tc>
          <w:tcPr>
            <w:tcW w:w="533" w:type="dxa"/>
            <w:vAlign w:val="center"/>
          </w:tcPr>
          <w:p w14:paraId="70BB01E4">
            <w:pPr>
              <w:jc w:val="center"/>
              <w:rPr>
                <w:rFonts w:ascii="仿宋" w:hAnsi="仿宋" w:eastAsia="仿宋"/>
                <w:color w:val="auto"/>
                <w:sz w:val="18"/>
                <w:szCs w:val="18"/>
              </w:rPr>
            </w:pPr>
            <w:r>
              <w:rPr>
                <w:rFonts w:hint="eastAsia" w:ascii="仿宋" w:hAnsi="仿宋" w:eastAsia="仿宋"/>
                <w:color w:val="auto"/>
                <w:sz w:val="18"/>
                <w:szCs w:val="18"/>
              </w:rPr>
              <w:t>系数</w:t>
            </w:r>
          </w:p>
        </w:tc>
        <w:tc>
          <w:tcPr>
            <w:tcW w:w="1213" w:type="dxa"/>
            <w:vAlign w:val="center"/>
          </w:tcPr>
          <w:p w14:paraId="0D21A4F6">
            <w:pPr>
              <w:jc w:val="center"/>
              <w:rPr>
                <w:rFonts w:ascii="仿宋" w:hAnsi="仿宋" w:eastAsia="仿宋"/>
                <w:color w:val="auto"/>
                <w:sz w:val="18"/>
                <w:szCs w:val="18"/>
              </w:rPr>
            </w:pPr>
            <w:r>
              <w:rPr>
                <w:rFonts w:hint="eastAsia" w:ascii="仿宋" w:hAnsi="仿宋" w:eastAsia="仿宋"/>
                <w:color w:val="auto"/>
                <w:sz w:val="18"/>
                <w:szCs w:val="18"/>
                <w:lang w:eastAsia="zh-Hans"/>
              </w:rPr>
              <w:t>城建道桥大厦</w:t>
            </w:r>
          </w:p>
        </w:tc>
        <w:tc>
          <w:tcPr>
            <w:tcW w:w="622" w:type="dxa"/>
            <w:vAlign w:val="center"/>
          </w:tcPr>
          <w:p w14:paraId="46C892BE">
            <w:pPr>
              <w:jc w:val="center"/>
              <w:rPr>
                <w:rFonts w:ascii="仿宋" w:hAnsi="仿宋" w:eastAsia="仿宋"/>
                <w:color w:val="auto"/>
                <w:sz w:val="18"/>
                <w:szCs w:val="18"/>
              </w:rPr>
            </w:pPr>
            <w:r>
              <w:rPr>
                <w:rFonts w:hint="eastAsia" w:ascii="仿宋" w:hAnsi="仿宋" w:eastAsia="仿宋"/>
                <w:color w:val="auto"/>
                <w:sz w:val="18"/>
                <w:szCs w:val="18"/>
              </w:rPr>
              <w:t>系数</w:t>
            </w:r>
          </w:p>
        </w:tc>
      </w:tr>
      <w:tr w14:paraId="0DDCF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1048" w:type="dxa"/>
            <w:gridSpan w:val="2"/>
            <w:vAlign w:val="center"/>
          </w:tcPr>
          <w:p w14:paraId="472D1F04">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交易时间</w:t>
            </w:r>
          </w:p>
        </w:tc>
        <w:tc>
          <w:tcPr>
            <w:tcW w:w="1840" w:type="dxa"/>
            <w:vAlign w:val="center"/>
          </w:tcPr>
          <w:p w14:paraId="45FBF423">
            <w:pPr>
              <w:widowControl/>
              <w:adjustRightInd/>
              <w:spacing w:line="240" w:lineRule="exact"/>
              <w:jc w:val="center"/>
              <w:textAlignment w:val="auto"/>
              <w:rPr>
                <w:rFonts w:ascii="Arial" w:hAnsi="Arial" w:eastAsia="仿宋" w:cs="Arial"/>
                <w:snapToGrid w:val="0"/>
                <w:color w:val="auto"/>
                <w:sz w:val="18"/>
                <w:szCs w:val="18"/>
              </w:rPr>
            </w:pPr>
            <w:r>
              <w:rPr>
                <w:rFonts w:hint="eastAsia" w:ascii="Arial" w:hAnsi="Arial" w:eastAsia="仿宋" w:cs="Arial"/>
                <w:snapToGrid w:val="0"/>
                <w:color w:val="auto"/>
                <w:sz w:val="18"/>
                <w:szCs w:val="18"/>
              </w:rPr>
              <w:t>2026.3.26</w:t>
            </w:r>
          </w:p>
        </w:tc>
        <w:tc>
          <w:tcPr>
            <w:tcW w:w="487" w:type="dxa"/>
            <w:vAlign w:val="center"/>
          </w:tcPr>
          <w:p w14:paraId="1815C981">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100</w:t>
            </w:r>
          </w:p>
        </w:tc>
        <w:tc>
          <w:tcPr>
            <w:tcW w:w="1502" w:type="dxa"/>
            <w:vAlign w:val="center"/>
          </w:tcPr>
          <w:p w14:paraId="373D63D8">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20</w:t>
            </w:r>
            <w:r>
              <w:rPr>
                <w:rFonts w:hint="eastAsia" w:ascii="Arial" w:hAnsi="Arial" w:eastAsia="仿宋" w:cs="Arial"/>
                <w:snapToGrid w:val="0"/>
                <w:color w:val="auto"/>
                <w:sz w:val="18"/>
                <w:szCs w:val="18"/>
              </w:rPr>
              <w:t>26.3</w:t>
            </w:r>
          </w:p>
        </w:tc>
        <w:tc>
          <w:tcPr>
            <w:tcW w:w="530" w:type="dxa"/>
            <w:vAlign w:val="center"/>
          </w:tcPr>
          <w:p w14:paraId="6A1845CD">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100</w:t>
            </w:r>
          </w:p>
        </w:tc>
        <w:tc>
          <w:tcPr>
            <w:tcW w:w="1409" w:type="dxa"/>
            <w:vAlign w:val="center"/>
          </w:tcPr>
          <w:p w14:paraId="749E8048">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20</w:t>
            </w:r>
            <w:r>
              <w:rPr>
                <w:rFonts w:hint="eastAsia" w:ascii="Arial" w:hAnsi="Arial" w:eastAsia="仿宋" w:cs="Arial"/>
                <w:snapToGrid w:val="0"/>
                <w:color w:val="auto"/>
                <w:sz w:val="18"/>
                <w:szCs w:val="18"/>
              </w:rPr>
              <w:t>26.3</w:t>
            </w:r>
          </w:p>
        </w:tc>
        <w:tc>
          <w:tcPr>
            <w:tcW w:w="533" w:type="dxa"/>
            <w:vAlign w:val="center"/>
          </w:tcPr>
          <w:p w14:paraId="325927F6">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100</w:t>
            </w:r>
          </w:p>
        </w:tc>
        <w:tc>
          <w:tcPr>
            <w:tcW w:w="1213" w:type="dxa"/>
            <w:vAlign w:val="center"/>
          </w:tcPr>
          <w:p w14:paraId="2FD01C6A">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20</w:t>
            </w:r>
            <w:r>
              <w:rPr>
                <w:rFonts w:hint="eastAsia" w:ascii="Arial" w:hAnsi="Arial" w:eastAsia="仿宋" w:cs="Arial"/>
                <w:snapToGrid w:val="0"/>
                <w:color w:val="auto"/>
                <w:sz w:val="18"/>
                <w:szCs w:val="18"/>
              </w:rPr>
              <w:t>26.3</w:t>
            </w:r>
          </w:p>
        </w:tc>
        <w:tc>
          <w:tcPr>
            <w:tcW w:w="622" w:type="dxa"/>
            <w:vAlign w:val="center"/>
          </w:tcPr>
          <w:p w14:paraId="6B5C840A">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100</w:t>
            </w:r>
          </w:p>
        </w:tc>
      </w:tr>
      <w:tr w14:paraId="4DE86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1048" w:type="dxa"/>
            <w:gridSpan w:val="2"/>
            <w:vAlign w:val="center"/>
          </w:tcPr>
          <w:p w14:paraId="7FA26C59">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交易情况</w:t>
            </w:r>
          </w:p>
        </w:tc>
        <w:tc>
          <w:tcPr>
            <w:tcW w:w="1840" w:type="dxa"/>
            <w:vAlign w:val="center"/>
          </w:tcPr>
          <w:p w14:paraId="17A50999">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正常</w:t>
            </w:r>
          </w:p>
        </w:tc>
        <w:tc>
          <w:tcPr>
            <w:tcW w:w="487" w:type="dxa"/>
            <w:vAlign w:val="center"/>
          </w:tcPr>
          <w:p w14:paraId="26F534A4">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7511BD57">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正常</w:t>
            </w:r>
          </w:p>
        </w:tc>
        <w:tc>
          <w:tcPr>
            <w:tcW w:w="530" w:type="dxa"/>
            <w:vAlign w:val="center"/>
          </w:tcPr>
          <w:p w14:paraId="7E15CC2C">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409" w:type="dxa"/>
            <w:vAlign w:val="center"/>
          </w:tcPr>
          <w:p w14:paraId="13C4535D">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正常</w:t>
            </w:r>
          </w:p>
        </w:tc>
        <w:tc>
          <w:tcPr>
            <w:tcW w:w="533" w:type="dxa"/>
            <w:vAlign w:val="center"/>
          </w:tcPr>
          <w:p w14:paraId="113B6713">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213" w:type="dxa"/>
            <w:vAlign w:val="center"/>
          </w:tcPr>
          <w:p w14:paraId="2B3B4769">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正常</w:t>
            </w:r>
          </w:p>
        </w:tc>
        <w:tc>
          <w:tcPr>
            <w:tcW w:w="622" w:type="dxa"/>
            <w:vAlign w:val="center"/>
          </w:tcPr>
          <w:p w14:paraId="42F68978">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r>
      <w:tr w14:paraId="633EF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1048" w:type="dxa"/>
            <w:gridSpan w:val="2"/>
            <w:vAlign w:val="center"/>
          </w:tcPr>
          <w:p w14:paraId="1B6CF708">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用途</w:t>
            </w:r>
          </w:p>
        </w:tc>
        <w:tc>
          <w:tcPr>
            <w:tcW w:w="1840" w:type="dxa"/>
            <w:vAlign w:val="center"/>
          </w:tcPr>
          <w:p w14:paraId="3E57E44D">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公共服务</w:t>
            </w:r>
          </w:p>
        </w:tc>
        <w:tc>
          <w:tcPr>
            <w:tcW w:w="487" w:type="dxa"/>
            <w:vAlign w:val="center"/>
          </w:tcPr>
          <w:p w14:paraId="564B9F9E">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4FCD96C0">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办公</w:t>
            </w:r>
          </w:p>
        </w:tc>
        <w:tc>
          <w:tcPr>
            <w:tcW w:w="530" w:type="dxa"/>
            <w:vAlign w:val="center"/>
          </w:tcPr>
          <w:p w14:paraId="15693B59">
            <w:pPr>
              <w:spacing w:line="240" w:lineRule="exact"/>
              <w:jc w:val="center"/>
              <w:rPr>
                <w:rFonts w:ascii="Arial" w:hAnsi="Arial" w:eastAsia="仿宋" w:cs="Arial"/>
                <w:snapToGrid w:val="0"/>
                <w:color w:val="auto"/>
                <w:sz w:val="18"/>
                <w:szCs w:val="18"/>
              </w:rPr>
            </w:pPr>
            <w:r>
              <w:rPr>
                <w:rFonts w:ascii="Arial" w:hAnsi="Arial" w:eastAsia="仿宋" w:cs="Arial"/>
                <w:snapToGrid w:val="0"/>
                <w:color w:val="auto"/>
                <w:sz w:val="18"/>
                <w:szCs w:val="18"/>
                <w:lang w:eastAsia="zh-Hans"/>
              </w:rPr>
              <w:t>10</w:t>
            </w:r>
            <w:r>
              <w:rPr>
                <w:rFonts w:hint="eastAsia" w:ascii="Arial" w:hAnsi="Arial" w:eastAsia="仿宋" w:cs="Arial"/>
                <w:snapToGrid w:val="0"/>
                <w:color w:val="auto"/>
                <w:sz w:val="18"/>
                <w:szCs w:val="18"/>
              </w:rPr>
              <w:t>5</w:t>
            </w:r>
          </w:p>
        </w:tc>
        <w:tc>
          <w:tcPr>
            <w:tcW w:w="1409" w:type="dxa"/>
            <w:vAlign w:val="center"/>
          </w:tcPr>
          <w:p w14:paraId="14DFF1F9">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办公</w:t>
            </w:r>
          </w:p>
        </w:tc>
        <w:tc>
          <w:tcPr>
            <w:tcW w:w="533" w:type="dxa"/>
            <w:vAlign w:val="center"/>
          </w:tcPr>
          <w:p w14:paraId="2A6C7EEE">
            <w:pPr>
              <w:spacing w:line="240" w:lineRule="exact"/>
              <w:jc w:val="center"/>
              <w:rPr>
                <w:rFonts w:ascii="Arial" w:hAnsi="Arial" w:eastAsia="仿宋" w:cs="Arial"/>
                <w:snapToGrid w:val="0"/>
                <w:color w:val="auto"/>
                <w:sz w:val="18"/>
                <w:szCs w:val="18"/>
              </w:rPr>
            </w:pPr>
            <w:r>
              <w:rPr>
                <w:rFonts w:ascii="Arial" w:hAnsi="Arial" w:eastAsia="仿宋" w:cs="Arial"/>
                <w:snapToGrid w:val="0"/>
                <w:color w:val="auto"/>
                <w:sz w:val="18"/>
                <w:szCs w:val="18"/>
                <w:lang w:eastAsia="zh-Hans"/>
              </w:rPr>
              <w:t>10</w:t>
            </w:r>
            <w:r>
              <w:rPr>
                <w:rFonts w:hint="eastAsia" w:ascii="Arial" w:hAnsi="Arial" w:eastAsia="仿宋" w:cs="Arial"/>
                <w:snapToGrid w:val="0"/>
                <w:color w:val="auto"/>
                <w:sz w:val="18"/>
                <w:szCs w:val="18"/>
              </w:rPr>
              <w:t>5</w:t>
            </w:r>
          </w:p>
        </w:tc>
        <w:tc>
          <w:tcPr>
            <w:tcW w:w="1213" w:type="dxa"/>
            <w:vAlign w:val="center"/>
          </w:tcPr>
          <w:p w14:paraId="6494E889">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办公</w:t>
            </w:r>
          </w:p>
        </w:tc>
        <w:tc>
          <w:tcPr>
            <w:tcW w:w="622" w:type="dxa"/>
            <w:vAlign w:val="center"/>
          </w:tcPr>
          <w:p w14:paraId="2E837908">
            <w:pPr>
              <w:spacing w:line="240" w:lineRule="exact"/>
              <w:jc w:val="center"/>
              <w:rPr>
                <w:rFonts w:ascii="Arial" w:hAnsi="Arial" w:eastAsia="仿宋" w:cs="Arial"/>
                <w:snapToGrid w:val="0"/>
                <w:color w:val="auto"/>
                <w:sz w:val="18"/>
                <w:szCs w:val="18"/>
              </w:rPr>
            </w:pPr>
            <w:r>
              <w:rPr>
                <w:rFonts w:ascii="Arial" w:hAnsi="Arial" w:eastAsia="仿宋" w:cs="Arial"/>
                <w:snapToGrid w:val="0"/>
                <w:color w:val="auto"/>
                <w:sz w:val="18"/>
                <w:szCs w:val="18"/>
                <w:lang w:eastAsia="zh-Hans"/>
              </w:rPr>
              <w:t>10</w:t>
            </w:r>
            <w:r>
              <w:rPr>
                <w:rFonts w:hint="eastAsia" w:ascii="Arial" w:hAnsi="Arial" w:eastAsia="仿宋" w:cs="Arial"/>
                <w:snapToGrid w:val="0"/>
                <w:color w:val="auto"/>
                <w:sz w:val="18"/>
                <w:szCs w:val="18"/>
              </w:rPr>
              <w:t>5</w:t>
            </w:r>
          </w:p>
        </w:tc>
      </w:tr>
      <w:tr w14:paraId="70966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restart"/>
            <w:vAlign w:val="center"/>
          </w:tcPr>
          <w:p w14:paraId="49BB30D5">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区域</w:t>
            </w:r>
          </w:p>
          <w:p w14:paraId="507F623F">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因素</w:t>
            </w:r>
          </w:p>
          <w:p w14:paraId="1AC4CCB7">
            <w:pPr>
              <w:widowControl/>
              <w:adjustRightInd/>
              <w:spacing w:line="240" w:lineRule="exact"/>
              <w:jc w:val="center"/>
              <w:textAlignment w:val="auto"/>
              <w:rPr>
                <w:rFonts w:ascii="Arial" w:hAnsi="Arial" w:eastAsia="仿宋" w:cs="Arial"/>
                <w:snapToGrid w:val="0"/>
                <w:color w:val="auto"/>
                <w:sz w:val="18"/>
                <w:szCs w:val="18"/>
              </w:rPr>
            </w:pPr>
          </w:p>
        </w:tc>
        <w:tc>
          <w:tcPr>
            <w:tcW w:w="571" w:type="dxa"/>
            <w:vAlign w:val="center"/>
          </w:tcPr>
          <w:p w14:paraId="4AC46208">
            <w:pPr>
              <w:widowControl/>
              <w:adjustRightInd/>
              <w:spacing w:line="240" w:lineRule="exact"/>
              <w:jc w:val="center"/>
              <w:textAlignment w:val="auto"/>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物业集聚程度</w:t>
            </w:r>
          </w:p>
        </w:tc>
        <w:tc>
          <w:tcPr>
            <w:tcW w:w="1840" w:type="dxa"/>
            <w:vAlign w:val="center"/>
          </w:tcPr>
          <w:p w14:paraId="77FEA50B">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估价对象位于北京市顺义区高丽营镇夏县营村，周边2公里范围内有双悦大楼、智慧谷商务中心等办公项目，周边公共服务物业数量较少，物业集聚程度较差。</w:t>
            </w:r>
          </w:p>
        </w:tc>
        <w:tc>
          <w:tcPr>
            <w:tcW w:w="487" w:type="dxa"/>
            <w:vAlign w:val="center"/>
          </w:tcPr>
          <w:p w14:paraId="48A6546F">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438EB8DD">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lang w:eastAsia="zh-Hans"/>
              </w:rPr>
              <w:t>案例G周边约2公里范围内有中关村顺义园、理想汽车北京研发总部等办公园区，周边公共服务物业数量较少，物业集聚程度较差</w:t>
            </w:r>
            <w:r>
              <w:rPr>
                <w:rFonts w:hint="eastAsia" w:ascii="Arial" w:hAnsi="Arial" w:eastAsia="仿宋" w:cs="Arial"/>
                <w:snapToGrid w:val="0"/>
                <w:color w:val="auto"/>
                <w:sz w:val="18"/>
                <w:szCs w:val="18"/>
              </w:rPr>
              <w:t>。</w:t>
            </w:r>
          </w:p>
        </w:tc>
        <w:tc>
          <w:tcPr>
            <w:tcW w:w="530" w:type="dxa"/>
            <w:vAlign w:val="center"/>
          </w:tcPr>
          <w:p w14:paraId="3D64EE71">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409" w:type="dxa"/>
            <w:vAlign w:val="center"/>
          </w:tcPr>
          <w:p w14:paraId="491A00FC">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lang w:eastAsia="zh-Hans"/>
              </w:rPr>
              <w:t>案例H周边约2公里有绿地启航国际、中景江山赋写字楼、信得科技办公楼等办公项目，物业集聚程度较好</w:t>
            </w:r>
            <w:r>
              <w:rPr>
                <w:rFonts w:hint="eastAsia" w:ascii="Arial" w:hAnsi="Arial" w:eastAsia="仿宋" w:cs="Arial"/>
                <w:snapToGrid w:val="0"/>
                <w:color w:val="auto"/>
                <w:sz w:val="18"/>
                <w:szCs w:val="18"/>
              </w:rPr>
              <w:t>。</w:t>
            </w:r>
          </w:p>
        </w:tc>
        <w:tc>
          <w:tcPr>
            <w:tcW w:w="533" w:type="dxa"/>
            <w:vAlign w:val="center"/>
          </w:tcPr>
          <w:p w14:paraId="6CF94D06">
            <w:pPr>
              <w:spacing w:line="240" w:lineRule="exact"/>
              <w:jc w:val="center"/>
              <w:rPr>
                <w:rFonts w:ascii="Arial" w:hAnsi="Arial" w:eastAsia="仿宋" w:cs="Arial"/>
                <w:snapToGrid w:val="0"/>
                <w:color w:val="auto"/>
                <w:sz w:val="18"/>
                <w:szCs w:val="18"/>
              </w:rPr>
            </w:pPr>
            <w:r>
              <w:rPr>
                <w:rFonts w:ascii="Arial" w:hAnsi="Arial" w:eastAsia="仿宋" w:cs="Arial"/>
                <w:snapToGrid w:val="0"/>
                <w:color w:val="auto"/>
                <w:sz w:val="18"/>
                <w:szCs w:val="18"/>
                <w:lang w:eastAsia="zh-Hans"/>
              </w:rPr>
              <w:t>10</w:t>
            </w:r>
            <w:r>
              <w:rPr>
                <w:rFonts w:hint="eastAsia" w:ascii="Arial" w:hAnsi="Arial" w:eastAsia="仿宋" w:cs="Arial"/>
                <w:snapToGrid w:val="0"/>
                <w:color w:val="auto"/>
                <w:sz w:val="18"/>
                <w:szCs w:val="18"/>
              </w:rPr>
              <w:t>6</w:t>
            </w:r>
          </w:p>
        </w:tc>
        <w:tc>
          <w:tcPr>
            <w:tcW w:w="1213" w:type="dxa"/>
            <w:vAlign w:val="center"/>
          </w:tcPr>
          <w:p w14:paraId="36D19C41">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lang w:eastAsia="zh-Hans"/>
              </w:rPr>
              <w:t>案例I周边约2公里有嘉和一品写字楼、天博中心、顺接大厦、圣宇大厦、泰吉尔商务中心写字楼等办公项目，物业集聚程度较好</w:t>
            </w:r>
            <w:r>
              <w:rPr>
                <w:rFonts w:hint="eastAsia" w:ascii="Arial" w:hAnsi="Arial" w:eastAsia="仿宋" w:cs="Arial"/>
                <w:snapToGrid w:val="0"/>
                <w:color w:val="auto"/>
                <w:sz w:val="18"/>
                <w:szCs w:val="18"/>
              </w:rPr>
              <w:t>。</w:t>
            </w:r>
          </w:p>
        </w:tc>
        <w:tc>
          <w:tcPr>
            <w:tcW w:w="622" w:type="dxa"/>
            <w:vAlign w:val="center"/>
          </w:tcPr>
          <w:p w14:paraId="035C983F">
            <w:pPr>
              <w:spacing w:line="240" w:lineRule="exact"/>
              <w:jc w:val="center"/>
              <w:rPr>
                <w:rFonts w:ascii="Arial" w:hAnsi="Arial" w:eastAsia="仿宋" w:cs="Arial"/>
                <w:snapToGrid w:val="0"/>
                <w:color w:val="auto"/>
                <w:sz w:val="18"/>
                <w:szCs w:val="18"/>
              </w:rPr>
            </w:pPr>
            <w:r>
              <w:rPr>
                <w:rFonts w:ascii="Arial" w:hAnsi="Arial" w:eastAsia="仿宋" w:cs="Arial"/>
                <w:snapToGrid w:val="0"/>
                <w:color w:val="auto"/>
                <w:sz w:val="18"/>
                <w:szCs w:val="18"/>
                <w:lang w:eastAsia="zh-Hans"/>
              </w:rPr>
              <w:t>10</w:t>
            </w:r>
            <w:r>
              <w:rPr>
                <w:rFonts w:hint="eastAsia" w:ascii="Arial" w:hAnsi="Arial" w:eastAsia="仿宋" w:cs="Arial"/>
                <w:snapToGrid w:val="0"/>
                <w:color w:val="auto"/>
                <w:sz w:val="18"/>
                <w:szCs w:val="18"/>
              </w:rPr>
              <w:t>6</w:t>
            </w:r>
          </w:p>
        </w:tc>
      </w:tr>
      <w:tr w14:paraId="12BB8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continue"/>
            <w:vAlign w:val="center"/>
          </w:tcPr>
          <w:p w14:paraId="7A656BE2">
            <w:pPr>
              <w:widowControl/>
              <w:adjustRightInd/>
              <w:spacing w:line="240" w:lineRule="exact"/>
              <w:jc w:val="center"/>
              <w:textAlignment w:val="auto"/>
              <w:rPr>
                <w:rFonts w:ascii="Arial" w:hAnsi="Arial" w:eastAsia="仿宋" w:cs="Arial"/>
                <w:snapToGrid w:val="0"/>
                <w:color w:val="auto"/>
                <w:sz w:val="18"/>
                <w:szCs w:val="18"/>
              </w:rPr>
            </w:pPr>
          </w:p>
        </w:tc>
        <w:tc>
          <w:tcPr>
            <w:tcW w:w="571" w:type="dxa"/>
            <w:vAlign w:val="center"/>
          </w:tcPr>
          <w:p w14:paraId="18F4E280">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交通便捷度</w:t>
            </w:r>
          </w:p>
        </w:tc>
        <w:tc>
          <w:tcPr>
            <w:tcW w:w="1840" w:type="dxa"/>
            <w:vAlign w:val="center"/>
          </w:tcPr>
          <w:p w14:paraId="65FC0F36">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估价对象属于北京市顺义区高丽营镇夏县营村，估价对象紧临城市主干道——火寺路、周边1公里范围内有顺25路、顺42路、顺49路、顺69路等公交线路，区域内交通一般，区域间通达性较差，综合评价交通便捷度较差。</w:t>
            </w:r>
          </w:p>
        </w:tc>
        <w:tc>
          <w:tcPr>
            <w:tcW w:w="487" w:type="dxa"/>
            <w:vAlign w:val="center"/>
          </w:tcPr>
          <w:p w14:paraId="16CEF994">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71CA55C1">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lang w:eastAsia="zh-Hans"/>
              </w:rPr>
              <w:t>案例G周边1公里有快速直达专线41路、顺49路、顺67路、顺69路等公交线路，区域内交通一般，区域间通达性较差，综合评价交通便捷度较差</w:t>
            </w:r>
            <w:r>
              <w:rPr>
                <w:rFonts w:hint="eastAsia" w:ascii="Arial" w:hAnsi="Arial" w:eastAsia="仿宋" w:cs="Arial"/>
                <w:snapToGrid w:val="0"/>
                <w:color w:val="auto"/>
                <w:sz w:val="18"/>
                <w:szCs w:val="18"/>
              </w:rPr>
              <w:t>。</w:t>
            </w:r>
          </w:p>
        </w:tc>
        <w:tc>
          <w:tcPr>
            <w:tcW w:w="530" w:type="dxa"/>
            <w:vAlign w:val="center"/>
          </w:tcPr>
          <w:p w14:paraId="6B0152B0">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409" w:type="dxa"/>
            <w:vAlign w:val="center"/>
          </w:tcPr>
          <w:p w14:paraId="051F4CAC">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案例</w:t>
            </w:r>
            <w:r>
              <w:rPr>
                <w:rFonts w:ascii="Arial" w:hAnsi="Arial" w:eastAsia="仿宋" w:cs="Arial"/>
                <w:snapToGrid w:val="0"/>
                <w:color w:val="auto"/>
                <w:sz w:val="18"/>
                <w:szCs w:val="18"/>
                <w:lang w:eastAsia="zh-Hans"/>
              </w:rPr>
              <w:t>H</w:t>
            </w:r>
            <w:r>
              <w:rPr>
                <w:rFonts w:hint="eastAsia" w:ascii="Arial" w:hAnsi="Arial" w:eastAsia="仿宋" w:cs="Arial"/>
                <w:snapToGrid w:val="0"/>
                <w:color w:val="auto"/>
                <w:sz w:val="18"/>
                <w:szCs w:val="18"/>
                <w:lang w:eastAsia="zh-Hans"/>
              </w:rPr>
              <w:t>靠近机场北线高速，临近城市高速路</w:t>
            </w:r>
            <w:r>
              <w:rPr>
                <w:rFonts w:ascii="Arial" w:hAnsi="Arial" w:eastAsia="仿宋" w:cs="Arial"/>
                <w:snapToGrid w:val="0"/>
                <w:color w:val="auto"/>
                <w:sz w:val="18"/>
                <w:szCs w:val="18"/>
                <w:lang w:eastAsia="zh-Hans"/>
              </w:rPr>
              <w:t>——</w:t>
            </w:r>
            <w:r>
              <w:rPr>
                <w:rFonts w:hint="eastAsia" w:ascii="Arial" w:hAnsi="Arial" w:eastAsia="仿宋" w:cs="Arial"/>
                <w:snapToGrid w:val="0"/>
                <w:color w:val="auto"/>
                <w:sz w:val="18"/>
                <w:szCs w:val="18"/>
                <w:lang w:eastAsia="zh-Hans"/>
              </w:rPr>
              <w:t>机场北线高速，有空港</w:t>
            </w:r>
            <w:r>
              <w:rPr>
                <w:rFonts w:ascii="Arial" w:hAnsi="Arial" w:eastAsia="仿宋" w:cs="Arial"/>
                <w:snapToGrid w:val="0"/>
                <w:color w:val="auto"/>
                <w:sz w:val="18"/>
                <w:szCs w:val="18"/>
                <w:lang w:eastAsia="zh-Hans"/>
              </w:rPr>
              <w:t>3</w:t>
            </w:r>
            <w:r>
              <w:rPr>
                <w:rFonts w:hint="eastAsia" w:ascii="Arial" w:hAnsi="Arial" w:eastAsia="仿宋" w:cs="Arial"/>
                <w:snapToGrid w:val="0"/>
                <w:color w:val="auto"/>
                <w:sz w:val="18"/>
                <w:szCs w:val="18"/>
                <w:lang w:eastAsia="zh-Hans"/>
              </w:rPr>
              <w:t>路、顺</w:t>
            </w:r>
            <w:r>
              <w:rPr>
                <w:rFonts w:ascii="Arial" w:hAnsi="Arial" w:eastAsia="仿宋" w:cs="Arial"/>
                <w:snapToGrid w:val="0"/>
                <w:color w:val="auto"/>
                <w:sz w:val="18"/>
                <w:szCs w:val="18"/>
                <w:lang w:eastAsia="zh-Hans"/>
              </w:rPr>
              <w:t>57</w:t>
            </w:r>
            <w:r>
              <w:rPr>
                <w:rFonts w:hint="eastAsia" w:ascii="Arial" w:hAnsi="Arial" w:eastAsia="仿宋" w:cs="Arial"/>
                <w:snapToGrid w:val="0"/>
                <w:color w:val="auto"/>
                <w:sz w:val="18"/>
                <w:szCs w:val="18"/>
                <w:lang w:eastAsia="zh-Hans"/>
              </w:rPr>
              <w:t>路、顺</w:t>
            </w:r>
            <w:r>
              <w:rPr>
                <w:rFonts w:ascii="Arial" w:hAnsi="Arial" w:eastAsia="仿宋" w:cs="Arial"/>
                <w:snapToGrid w:val="0"/>
                <w:color w:val="auto"/>
                <w:sz w:val="18"/>
                <w:szCs w:val="18"/>
                <w:lang w:eastAsia="zh-Hans"/>
              </w:rPr>
              <w:t>58</w:t>
            </w:r>
            <w:r>
              <w:rPr>
                <w:rFonts w:hint="eastAsia" w:ascii="Arial" w:hAnsi="Arial" w:eastAsia="仿宋" w:cs="Arial"/>
                <w:snapToGrid w:val="0"/>
                <w:color w:val="auto"/>
                <w:sz w:val="18"/>
                <w:szCs w:val="18"/>
                <w:lang w:eastAsia="zh-Hans"/>
              </w:rPr>
              <w:t>路、</w:t>
            </w:r>
            <w:r>
              <w:rPr>
                <w:rFonts w:ascii="Arial" w:hAnsi="Arial" w:eastAsia="仿宋" w:cs="Arial"/>
                <w:snapToGrid w:val="0"/>
                <w:color w:val="auto"/>
                <w:sz w:val="18"/>
                <w:szCs w:val="18"/>
                <w:lang w:eastAsia="zh-Hans"/>
              </w:rPr>
              <w:t>59</w:t>
            </w:r>
            <w:r>
              <w:rPr>
                <w:rFonts w:hint="eastAsia" w:ascii="Arial" w:hAnsi="Arial" w:eastAsia="仿宋" w:cs="Arial"/>
                <w:snapToGrid w:val="0"/>
                <w:color w:val="auto"/>
                <w:sz w:val="18"/>
                <w:szCs w:val="18"/>
                <w:lang w:eastAsia="zh-Hans"/>
              </w:rPr>
              <w:t>路、顺</w:t>
            </w:r>
            <w:r>
              <w:rPr>
                <w:rFonts w:ascii="Arial" w:hAnsi="Arial" w:eastAsia="仿宋" w:cs="Arial"/>
                <w:snapToGrid w:val="0"/>
                <w:color w:val="auto"/>
                <w:sz w:val="18"/>
                <w:szCs w:val="18"/>
                <w:lang w:eastAsia="zh-Hans"/>
              </w:rPr>
              <w:t>69</w:t>
            </w:r>
            <w:r>
              <w:rPr>
                <w:rFonts w:hint="eastAsia" w:ascii="Arial" w:hAnsi="Arial" w:eastAsia="仿宋" w:cs="Arial"/>
                <w:snapToGrid w:val="0"/>
                <w:color w:val="auto"/>
                <w:sz w:val="18"/>
                <w:szCs w:val="18"/>
                <w:lang w:eastAsia="zh-Hans"/>
              </w:rPr>
              <w:t>路、顺</w:t>
            </w:r>
            <w:r>
              <w:rPr>
                <w:rFonts w:ascii="Arial" w:hAnsi="Arial" w:eastAsia="仿宋" w:cs="Arial"/>
                <w:snapToGrid w:val="0"/>
                <w:color w:val="auto"/>
                <w:sz w:val="18"/>
                <w:szCs w:val="18"/>
                <w:lang w:eastAsia="zh-Hans"/>
              </w:rPr>
              <w:t>69</w:t>
            </w:r>
            <w:r>
              <w:rPr>
                <w:rFonts w:hint="eastAsia" w:ascii="Arial" w:hAnsi="Arial" w:eastAsia="仿宋" w:cs="Arial"/>
                <w:snapToGrid w:val="0"/>
                <w:color w:val="auto"/>
                <w:sz w:val="18"/>
                <w:szCs w:val="18"/>
                <w:lang w:eastAsia="zh-Hans"/>
              </w:rPr>
              <w:t>路区间等多条公交线路通过，距地铁</w:t>
            </w:r>
            <w:r>
              <w:rPr>
                <w:rFonts w:ascii="Arial" w:hAnsi="Arial" w:eastAsia="仿宋" w:cs="Arial"/>
                <w:snapToGrid w:val="0"/>
                <w:color w:val="auto"/>
                <w:sz w:val="18"/>
                <w:szCs w:val="18"/>
                <w:lang w:eastAsia="zh-Hans"/>
              </w:rPr>
              <w:t>15</w:t>
            </w:r>
            <w:r>
              <w:rPr>
                <w:rFonts w:hint="eastAsia" w:ascii="Arial" w:hAnsi="Arial" w:eastAsia="仿宋" w:cs="Arial"/>
                <w:snapToGrid w:val="0"/>
                <w:color w:val="auto"/>
                <w:sz w:val="18"/>
                <w:szCs w:val="18"/>
                <w:lang w:eastAsia="zh-Hans"/>
              </w:rPr>
              <w:t>号线（后沙峪站）约</w:t>
            </w:r>
            <w:r>
              <w:rPr>
                <w:rFonts w:ascii="Arial" w:hAnsi="Arial" w:eastAsia="仿宋" w:cs="Arial"/>
                <w:snapToGrid w:val="0"/>
                <w:color w:val="auto"/>
                <w:sz w:val="18"/>
                <w:szCs w:val="18"/>
                <w:lang w:eastAsia="zh-Hans"/>
              </w:rPr>
              <w:t>0.9</w:t>
            </w:r>
            <w:r>
              <w:rPr>
                <w:rFonts w:hint="eastAsia" w:ascii="Arial" w:hAnsi="Arial" w:eastAsia="仿宋" w:cs="Arial"/>
                <w:snapToGrid w:val="0"/>
                <w:color w:val="auto"/>
                <w:sz w:val="18"/>
                <w:szCs w:val="18"/>
                <w:lang w:eastAsia="zh-Hans"/>
              </w:rPr>
              <w:t>公里，综合评价交通便捷度较好。</w:t>
            </w:r>
          </w:p>
        </w:tc>
        <w:tc>
          <w:tcPr>
            <w:tcW w:w="533" w:type="dxa"/>
            <w:vAlign w:val="center"/>
          </w:tcPr>
          <w:p w14:paraId="187A23D8">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106</w:t>
            </w:r>
          </w:p>
        </w:tc>
        <w:tc>
          <w:tcPr>
            <w:tcW w:w="1213" w:type="dxa"/>
            <w:vAlign w:val="center"/>
          </w:tcPr>
          <w:p w14:paraId="24BB3077">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案例</w:t>
            </w:r>
            <w:r>
              <w:rPr>
                <w:rFonts w:ascii="Arial" w:hAnsi="Arial" w:eastAsia="仿宋" w:cs="Arial"/>
                <w:snapToGrid w:val="0"/>
                <w:color w:val="auto"/>
                <w:sz w:val="18"/>
                <w:szCs w:val="18"/>
                <w:lang w:eastAsia="zh-Hans"/>
              </w:rPr>
              <w:t>I</w:t>
            </w:r>
            <w:r>
              <w:rPr>
                <w:rFonts w:hint="eastAsia" w:ascii="Arial" w:hAnsi="Arial" w:eastAsia="仿宋" w:cs="Arial"/>
                <w:snapToGrid w:val="0"/>
                <w:color w:val="auto"/>
                <w:sz w:val="18"/>
                <w:szCs w:val="18"/>
                <w:lang w:eastAsia="zh-Hans"/>
              </w:rPr>
              <w:t>靠近东六环快速路，有顺</w:t>
            </w:r>
            <w:r>
              <w:rPr>
                <w:rFonts w:ascii="Arial" w:hAnsi="Arial" w:eastAsia="仿宋" w:cs="Arial"/>
                <w:snapToGrid w:val="0"/>
                <w:color w:val="auto"/>
                <w:sz w:val="18"/>
                <w:szCs w:val="18"/>
                <w:lang w:eastAsia="zh-Hans"/>
              </w:rPr>
              <w:t>2</w:t>
            </w:r>
            <w:r>
              <w:rPr>
                <w:rFonts w:hint="eastAsia" w:ascii="Arial" w:hAnsi="Arial" w:eastAsia="仿宋" w:cs="Arial"/>
                <w:snapToGrid w:val="0"/>
                <w:color w:val="auto"/>
                <w:sz w:val="18"/>
                <w:szCs w:val="18"/>
                <w:lang w:eastAsia="zh-Hans"/>
              </w:rPr>
              <w:t>路、顺</w:t>
            </w:r>
            <w:r>
              <w:rPr>
                <w:rFonts w:ascii="Arial" w:hAnsi="Arial" w:eastAsia="仿宋" w:cs="Arial"/>
                <w:snapToGrid w:val="0"/>
                <w:color w:val="auto"/>
                <w:sz w:val="18"/>
                <w:szCs w:val="18"/>
                <w:lang w:eastAsia="zh-Hans"/>
              </w:rPr>
              <w:t>4</w:t>
            </w:r>
            <w:r>
              <w:rPr>
                <w:rFonts w:hint="eastAsia" w:ascii="Arial" w:hAnsi="Arial" w:eastAsia="仿宋" w:cs="Arial"/>
                <w:snapToGrid w:val="0"/>
                <w:color w:val="auto"/>
                <w:sz w:val="18"/>
                <w:szCs w:val="18"/>
                <w:lang w:eastAsia="zh-Hans"/>
              </w:rPr>
              <w:t>路、顺</w:t>
            </w:r>
            <w:r>
              <w:rPr>
                <w:rFonts w:ascii="Arial" w:hAnsi="Arial" w:eastAsia="仿宋" w:cs="Arial"/>
                <w:snapToGrid w:val="0"/>
                <w:color w:val="auto"/>
                <w:sz w:val="18"/>
                <w:szCs w:val="18"/>
                <w:lang w:eastAsia="zh-Hans"/>
              </w:rPr>
              <w:t>66</w:t>
            </w:r>
            <w:r>
              <w:rPr>
                <w:rFonts w:hint="eastAsia" w:ascii="Arial" w:hAnsi="Arial" w:eastAsia="仿宋" w:cs="Arial"/>
                <w:snapToGrid w:val="0"/>
                <w:color w:val="auto"/>
                <w:sz w:val="18"/>
                <w:szCs w:val="18"/>
                <w:lang w:eastAsia="zh-Hans"/>
              </w:rPr>
              <w:t>路、空港</w:t>
            </w:r>
            <w:r>
              <w:rPr>
                <w:rFonts w:ascii="Arial" w:hAnsi="Arial" w:eastAsia="仿宋" w:cs="Arial"/>
                <w:snapToGrid w:val="0"/>
                <w:color w:val="auto"/>
                <w:sz w:val="18"/>
                <w:szCs w:val="18"/>
                <w:lang w:eastAsia="zh-Hans"/>
              </w:rPr>
              <w:t>15</w:t>
            </w:r>
            <w:r>
              <w:rPr>
                <w:rFonts w:hint="eastAsia" w:ascii="Arial" w:hAnsi="Arial" w:eastAsia="仿宋" w:cs="Arial"/>
                <w:snapToGrid w:val="0"/>
                <w:color w:val="auto"/>
                <w:sz w:val="18"/>
                <w:szCs w:val="18"/>
                <w:lang w:eastAsia="zh-Hans"/>
              </w:rPr>
              <w:t>路、郊</w:t>
            </w:r>
            <w:r>
              <w:rPr>
                <w:rFonts w:ascii="Arial" w:hAnsi="Arial" w:eastAsia="仿宋" w:cs="Arial"/>
                <w:snapToGrid w:val="0"/>
                <w:color w:val="auto"/>
                <w:sz w:val="18"/>
                <w:szCs w:val="18"/>
                <w:lang w:eastAsia="zh-Hans"/>
              </w:rPr>
              <w:t>100</w:t>
            </w:r>
            <w:r>
              <w:rPr>
                <w:rFonts w:hint="eastAsia" w:ascii="Arial" w:hAnsi="Arial" w:eastAsia="仿宋" w:cs="Arial"/>
                <w:snapToGrid w:val="0"/>
                <w:color w:val="auto"/>
                <w:sz w:val="18"/>
                <w:szCs w:val="18"/>
                <w:lang w:eastAsia="zh-Hans"/>
              </w:rPr>
              <w:t>路等多条公交线路通过，距地铁</w:t>
            </w:r>
            <w:r>
              <w:rPr>
                <w:rFonts w:ascii="Arial" w:hAnsi="Arial" w:eastAsia="仿宋" w:cs="Arial"/>
                <w:snapToGrid w:val="0"/>
                <w:color w:val="auto"/>
                <w:sz w:val="18"/>
                <w:szCs w:val="18"/>
                <w:lang w:eastAsia="zh-Hans"/>
              </w:rPr>
              <w:t>15</w:t>
            </w:r>
            <w:r>
              <w:rPr>
                <w:rFonts w:hint="eastAsia" w:ascii="Arial" w:hAnsi="Arial" w:eastAsia="仿宋" w:cs="Arial"/>
                <w:snapToGrid w:val="0"/>
                <w:color w:val="auto"/>
                <w:sz w:val="18"/>
                <w:szCs w:val="18"/>
                <w:lang w:eastAsia="zh-Hans"/>
              </w:rPr>
              <w:t>号线（南法信站）约</w:t>
            </w:r>
            <w:r>
              <w:rPr>
                <w:rFonts w:ascii="Arial" w:hAnsi="Arial" w:eastAsia="仿宋" w:cs="Arial"/>
                <w:snapToGrid w:val="0"/>
                <w:color w:val="auto"/>
                <w:sz w:val="18"/>
                <w:szCs w:val="18"/>
                <w:lang w:eastAsia="zh-Hans"/>
              </w:rPr>
              <w:t>0.5</w:t>
            </w:r>
            <w:r>
              <w:rPr>
                <w:rFonts w:hint="eastAsia" w:ascii="Arial" w:hAnsi="Arial" w:eastAsia="仿宋" w:cs="Arial"/>
                <w:snapToGrid w:val="0"/>
                <w:color w:val="auto"/>
                <w:sz w:val="18"/>
                <w:szCs w:val="18"/>
                <w:lang w:eastAsia="zh-Hans"/>
              </w:rPr>
              <w:t>公里，综合评价交通便捷度较好。</w:t>
            </w:r>
          </w:p>
        </w:tc>
        <w:tc>
          <w:tcPr>
            <w:tcW w:w="622" w:type="dxa"/>
            <w:vAlign w:val="center"/>
          </w:tcPr>
          <w:p w14:paraId="13F06907">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106</w:t>
            </w:r>
          </w:p>
        </w:tc>
      </w:tr>
      <w:tr w14:paraId="7F985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continue"/>
            <w:vAlign w:val="center"/>
          </w:tcPr>
          <w:p w14:paraId="007C390C">
            <w:pPr>
              <w:widowControl/>
              <w:adjustRightInd/>
              <w:spacing w:line="240" w:lineRule="exact"/>
              <w:jc w:val="center"/>
              <w:textAlignment w:val="auto"/>
              <w:rPr>
                <w:rFonts w:ascii="Arial" w:hAnsi="Arial" w:eastAsia="仿宋" w:cs="Arial"/>
                <w:snapToGrid w:val="0"/>
                <w:color w:val="auto"/>
                <w:sz w:val="18"/>
                <w:szCs w:val="18"/>
              </w:rPr>
            </w:pPr>
          </w:p>
        </w:tc>
        <w:tc>
          <w:tcPr>
            <w:tcW w:w="571" w:type="dxa"/>
            <w:vAlign w:val="center"/>
          </w:tcPr>
          <w:p w14:paraId="2A6968F9">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公共配套设施</w:t>
            </w:r>
          </w:p>
        </w:tc>
        <w:tc>
          <w:tcPr>
            <w:tcW w:w="1840" w:type="dxa"/>
            <w:vAlign w:val="center"/>
          </w:tcPr>
          <w:p w14:paraId="3DB7885A">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估价对象周边2公里范围内</w:t>
            </w:r>
            <w:r>
              <w:rPr>
                <w:rFonts w:hint="eastAsia" w:ascii="Arial" w:hAnsi="Arial" w:eastAsia="仿宋" w:cs="Arial"/>
                <w:snapToGrid w:val="0"/>
                <w:color w:val="auto"/>
                <w:sz w:val="18"/>
                <w:szCs w:val="18"/>
              </w:rPr>
              <w:t>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w:t>
            </w:r>
            <w:r>
              <w:rPr>
                <w:rFonts w:hint="eastAsia" w:ascii="Arial" w:hAnsi="Arial" w:eastAsia="仿宋" w:cs="Arial"/>
                <w:snapToGrid w:val="0"/>
                <w:color w:val="auto"/>
                <w:sz w:val="18"/>
                <w:szCs w:val="18"/>
                <w:lang w:eastAsia="zh-Hans"/>
              </w:rPr>
              <w:t>，公共配套设施齐备情况一般。</w:t>
            </w:r>
          </w:p>
        </w:tc>
        <w:tc>
          <w:tcPr>
            <w:tcW w:w="487" w:type="dxa"/>
            <w:vAlign w:val="center"/>
          </w:tcPr>
          <w:p w14:paraId="4DED2000">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580922C3">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lang w:eastAsia="zh-Hans"/>
              </w:rPr>
              <w:t>案例G周边约2公里范围内有丽喜花园商业街、临街商业等商业服务设施；北京农商银行张喜庄分理处、北京顺义银座村镇银行高丽营支行、中国邮政储蓄银行张喜庄邮政储蓄等金融机构；高丽营第一幼儿园、高丽营第二小学、高丽营第二中学等教育资源；北京顺义天苑医院、北京市顺义区高丽营镇张喜庄卫生院、北京市顺义区高丽营镇河津营村卫生室等医疗设施，公共配套设施齐备情况一般</w:t>
            </w:r>
            <w:r>
              <w:rPr>
                <w:rFonts w:hint="eastAsia" w:ascii="Arial" w:hAnsi="Arial" w:eastAsia="仿宋" w:cs="Arial"/>
                <w:snapToGrid w:val="0"/>
                <w:color w:val="auto"/>
                <w:sz w:val="18"/>
                <w:szCs w:val="18"/>
              </w:rPr>
              <w:t>。</w:t>
            </w:r>
          </w:p>
        </w:tc>
        <w:tc>
          <w:tcPr>
            <w:tcW w:w="530" w:type="dxa"/>
            <w:vAlign w:val="center"/>
          </w:tcPr>
          <w:p w14:paraId="13C4650B">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409" w:type="dxa"/>
            <w:vAlign w:val="center"/>
          </w:tcPr>
          <w:p w14:paraId="7972CD90">
            <w:pPr>
              <w:spacing w:line="240" w:lineRule="exact"/>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案例</w:t>
            </w:r>
            <w:r>
              <w:rPr>
                <w:rFonts w:ascii="Arial" w:hAnsi="Arial" w:eastAsia="仿宋" w:cs="Arial"/>
                <w:snapToGrid w:val="0"/>
                <w:color w:val="auto"/>
                <w:sz w:val="18"/>
                <w:szCs w:val="18"/>
                <w:lang w:eastAsia="zh-Hans"/>
              </w:rPr>
              <w:t>H</w:t>
            </w:r>
            <w:r>
              <w:rPr>
                <w:rFonts w:hint="eastAsia" w:ascii="Arial" w:hAnsi="Arial" w:eastAsia="仿宋" w:cs="Arial"/>
                <w:snapToGrid w:val="0"/>
                <w:color w:val="auto"/>
                <w:sz w:val="18"/>
                <w:szCs w:val="18"/>
                <w:lang w:eastAsia="zh-Hans"/>
              </w:rPr>
              <w:t>周边约</w:t>
            </w:r>
            <w:r>
              <w:rPr>
                <w:rFonts w:ascii="Arial" w:hAnsi="Arial" w:eastAsia="仿宋" w:cs="Arial"/>
                <w:snapToGrid w:val="0"/>
                <w:color w:val="auto"/>
                <w:sz w:val="18"/>
                <w:szCs w:val="18"/>
                <w:lang w:eastAsia="zh-Hans"/>
              </w:rPr>
              <w:t>2</w:t>
            </w:r>
            <w:r>
              <w:rPr>
                <w:rFonts w:hint="eastAsia" w:ascii="Arial" w:hAnsi="Arial" w:eastAsia="仿宋" w:cs="Arial"/>
                <w:snapToGrid w:val="0"/>
                <w:color w:val="auto"/>
                <w:sz w:val="18"/>
                <w:szCs w:val="18"/>
                <w:lang w:eastAsia="zh-Hans"/>
              </w:rPr>
              <w:t>公里内有禾光幼儿园、后沙峪中心小学、顺义第十中学等教育资源，有上海银行</w:t>
            </w:r>
            <w:r>
              <w:rPr>
                <w:rFonts w:hint="eastAsia" w:ascii="Arial" w:hAnsi="Arial" w:eastAsia="仿宋" w:cs="Arial"/>
                <w:snapToGrid w:val="0"/>
                <w:color w:val="auto"/>
                <w:sz w:val="18"/>
                <w:szCs w:val="18"/>
              </w:rPr>
              <w:t>（</w:t>
            </w:r>
            <w:r>
              <w:rPr>
                <w:rFonts w:hint="eastAsia" w:ascii="Arial" w:hAnsi="Arial" w:eastAsia="仿宋" w:cs="Arial"/>
                <w:snapToGrid w:val="0"/>
                <w:color w:val="auto"/>
                <w:sz w:val="18"/>
                <w:szCs w:val="18"/>
                <w:lang w:eastAsia="zh-Hans"/>
              </w:rPr>
              <w:t>顺义支行</w:t>
            </w:r>
            <w:r>
              <w:rPr>
                <w:rFonts w:hint="eastAsia" w:ascii="Arial" w:hAnsi="Arial" w:eastAsia="仿宋" w:cs="Arial"/>
                <w:snapToGrid w:val="0"/>
                <w:color w:val="auto"/>
                <w:sz w:val="18"/>
                <w:szCs w:val="18"/>
              </w:rPr>
              <w:t>）</w:t>
            </w:r>
            <w:r>
              <w:rPr>
                <w:rFonts w:hint="eastAsia" w:ascii="Arial" w:hAnsi="Arial" w:eastAsia="仿宋" w:cs="Arial"/>
                <w:snapToGrid w:val="0"/>
                <w:color w:val="auto"/>
                <w:sz w:val="18"/>
                <w:szCs w:val="18"/>
                <w:lang w:eastAsia="zh-Hans"/>
              </w:rPr>
              <w:t>、中国光大银行</w:t>
            </w:r>
            <w:r>
              <w:rPr>
                <w:rFonts w:hint="eastAsia" w:ascii="Arial" w:hAnsi="Arial" w:eastAsia="仿宋" w:cs="Arial"/>
                <w:snapToGrid w:val="0"/>
                <w:color w:val="auto"/>
                <w:sz w:val="18"/>
                <w:szCs w:val="18"/>
              </w:rPr>
              <w:t>（</w:t>
            </w:r>
            <w:r>
              <w:rPr>
                <w:rFonts w:hint="eastAsia" w:ascii="Arial" w:hAnsi="Arial" w:eastAsia="仿宋" w:cs="Arial"/>
                <w:snapToGrid w:val="0"/>
                <w:color w:val="auto"/>
                <w:sz w:val="18"/>
                <w:szCs w:val="18"/>
                <w:lang w:eastAsia="zh-Hans"/>
              </w:rPr>
              <w:t>顺义后沙峪支行</w:t>
            </w:r>
            <w:r>
              <w:rPr>
                <w:rFonts w:hint="eastAsia" w:ascii="Arial" w:hAnsi="Arial" w:eastAsia="仿宋" w:cs="Arial"/>
                <w:snapToGrid w:val="0"/>
                <w:color w:val="auto"/>
                <w:sz w:val="18"/>
                <w:szCs w:val="18"/>
              </w:rPr>
              <w:t>）</w:t>
            </w:r>
            <w:r>
              <w:rPr>
                <w:rFonts w:hint="eastAsia" w:ascii="Arial" w:hAnsi="Arial" w:eastAsia="仿宋" w:cs="Arial"/>
                <w:snapToGrid w:val="0"/>
                <w:color w:val="auto"/>
                <w:sz w:val="18"/>
                <w:szCs w:val="18"/>
                <w:lang w:eastAsia="zh-Hans"/>
              </w:rPr>
              <w:t>等金融机构，有山姆会员商店</w:t>
            </w:r>
            <w:r>
              <w:rPr>
                <w:rFonts w:hint="eastAsia" w:ascii="Arial" w:hAnsi="Arial" w:eastAsia="仿宋" w:cs="Arial"/>
                <w:snapToGrid w:val="0"/>
                <w:color w:val="auto"/>
                <w:sz w:val="18"/>
                <w:szCs w:val="18"/>
              </w:rPr>
              <w:t>（</w:t>
            </w:r>
            <w:r>
              <w:rPr>
                <w:rFonts w:hint="eastAsia" w:ascii="Arial" w:hAnsi="Arial" w:eastAsia="仿宋" w:cs="Arial"/>
                <w:snapToGrid w:val="0"/>
                <w:color w:val="auto"/>
                <w:sz w:val="18"/>
                <w:szCs w:val="18"/>
                <w:lang w:eastAsia="zh-Hans"/>
              </w:rPr>
              <w:t>顺义店</w:t>
            </w:r>
            <w:r>
              <w:rPr>
                <w:rFonts w:hint="eastAsia" w:ascii="Arial" w:hAnsi="Arial" w:eastAsia="仿宋" w:cs="Arial"/>
                <w:snapToGrid w:val="0"/>
                <w:color w:val="auto"/>
                <w:sz w:val="18"/>
                <w:szCs w:val="18"/>
              </w:rPr>
              <w:t>）</w:t>
            </w:r>
            <w:r>
              <w:rPr>
                <w:rFonts w:hint="eastAsia" w:ascii="Arial" w:hAnsi="Arial" w:eastAsia="仿宋" w:cs="Arial"/>
                <w:snapToGrid w:val="0"/>
                <w:color w:val="auto"/>
                <w:sz w:val="18"/>
                <w:szCs w:val="18"/>
                <w:lang w:eastAsia="zh-Hans"/>
              </w:rPr>
              <w:t>、永辉超市</w:t>
            </w:r>
            <w:r>
              <w:rPr>
                <w:rFonts w:hint="eastAsia" w:ascii="Arial" w:hAnsi="Arial" w:eastAsia="仿宋" w:cs="Arial"/>
                <w:snapToGrid w:val="0"/>
                <w:color w:val="auto"/>
                <w:sz w:val="18"/>
                <w:szCs w:val="18"/>
              </w:rPr>
              <w:t>（</w:t>
            </w:r>
            <w:r>
              <w:rPr>
                <w:rFonts w:hint="eastAsia" w:ascii="Arial" w:hAnsi="Arial" w:eastAsia="仿宋" w:cs="Arial"/>
                <w:snapToGrid w:val="0"/>
                <w:color w:val="auto"/>
                <w:sz w:val="18"/>
                <w:szCs w:val="18"/>
                <w:lang w:eastAsia="zh-Hans"/>
              </w:rPr>
              <w:t>枫尚世纪奥特莱斯购物广场店</w:t>
            </w:r>
            <w:r>
              <w:rPr>
                <w:rFonts w:hint="eastAsia" w:ascii="Arial" w:hAnsi="Arial" w:eastAsia="仿宋" w:cs="Arial"/>
                <w:snapToGrid w:val="0"/>
                <w:color w:val="auto"/>
                <w:sz w:val="18"/>
                <w:szCs w:val="18"/>
              </w:rPr>
              <w:t>）</w:t>
            </w:r>
            <w:r>
              <w:rPr>
                <w:rFonts w:hint="eastAsia" w:ascii="Arial" w:hAnsi="Arial" w:eastAsia="仿宋" w:cs="Arial"/>
                <w:snapToGrid w:val="0"/>
                <w:color w:val="auto"/>
                <w:sz w:val="18"/>
                <w:szCs w:val="18"/>
                <w:lang w:eastAsia="zh-Hans"/>
              </w:rPr>
              <w:t>等商业服务设施，有北京市顺义区空港医院、北京杏园金方国医医院等医疗设施，公共服务设施齐备度较好。</w:t>
            </w:r>
          </w:p>
        </w:tc>
        <w:tc>
          <w:tcPr>
            <w:tcW w:w="533" w:type="dxa"/>
            <w:vAlign w:val="center"/>
          </w:tcPr>
          <w:p w14:paraId="2AF84B5E">
            <w:pPr>
              <w:spacing w:line="240" w:lineRule="exact"/>
              <w:jc w:val="center"/>
              <w:rPr>
                <w:rFonts w:ascii="Arial" w:hAnsi="Arial" w:eastAsia="仿宋" w:cs="Arial"/>
                <w:snapToGrid w:val="0"/>
                <w:color w:val="auto"/>
                <w:sz w:val="18"/>
                <w:szCs w:val="18"/>
              </w:rPr>
            </w:pPr>
            <w:r>
              <w:rPr>
                <w:rFonts w:ascii="Arial" w:hAnsi="Arial" w:eastAsia="仿宋" w:cs="Arial"/>
                <w:snapToGrid w:val="0"/>
                <w:color w:val="auto"/>
                <w:sz w:val="18"/>
                <w:szCs w:val="18"/>
                <w:lang w:eastAsia="zh-Hans"/>
              </w:rPr>
              <w:t>10</w:t>
            </w:r>
            <w:r>
              <w:rPr>
                <w:rFonts w:hint="eastAsia" w:ascii="Arial" w:hAnsi="Arial" w:eastAsia="仿宋" w:cs="Arial"/>
                <w:snapToGrid w:val="0"/>
                <w:color w:val="auto"/>
                <w:sz w:val="18"/>
                <w:szCs w:val="18"/>
              </w:rPr>
              <w:t>4</w:t>
            </w:r>
          </w:p>
        </w:tc>
        <w:tc>
          <w:tcPr>
            <w:tcW w:w="1213" w:type="dxa"/>
            <w:vAlign w:val="center"/>
          </w:tcPr>
          <w:p w14:paraId="1792894D">
            <w:pPr>
              <w:spacing w:line="240" w:lineRule="exact"/>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案例</w:t>
            </w:r>
            <w:r>
              <w:rPr>
                <w:rFonts w:ascii="Arial" w:hAnsi="Arial" w:eastAsia="仿宋" w:cs="Arial"/>
                <w:snapToGrid w:val="0"/>
                <w:color w:val="auto"/>
                <w:sz w:val="18"/>
                <w:szCs w:val="18"/>
                <w:lang w:eastAsia="zh-Hans"/>
              </w:rPr>
              <w:t>I</w:t>
            </w:r>
            <w:r>
              <w:rPr>
                <w:rFonts w:hint="eastAsia" w:ascii="Arial" w:hAnsi="Arial" w:eastAsia="仿宋" w:cs="Arial"/>
                <w:snapToGrid w:val="0"/>
                <w:color w:val="auto"/>
                <w:sz w:val="18"/>
                <w:szCs w:val="18"/>
                <w:lang w:eastAsia="zh-Hans"/>
              </w:rPr>
              <w:t>周边</w:t>
            </w:r>
            <w:r>
              <w:rPr>
                <w:rFonts w:ascii="Arial" w:hAnsi="Arial" w:eastAsia="仿宋" w:cs="Arial"/>
                <w:snapToGrid w:val="0"/>
                <w:color w:val="auto"/>
                <w:sz w:val="18"/>
                <w:szCs w:val="18"/>
                <w:lang w:eastAsia="zh-Hans"/>
              </w:rPr>
              <w:t>2</w:t>
            </w:r>
            <w:r>
              <w:rPr>
                <w:rFonts w:hint="eastAsia" w:ascii="Arial" w:hAnsi="Arial" w:eastAsia="仿宋" w:cs="Arial"/>
                <w:snapToGrid w:val="0"/>
                <w:color w:val="auto"/>
                <w:sz w:val="18"/>
                <w:szCs w:val="18"/>
                <w:lang w:eastAsia="zh-Hans"/>
              </w:rPr>
              <w:t>公里内有南法信中心小学、北京市顺义区第二中学等教育资源，有南京银行北京顺义支行、中国农业银行等金融机构，有家得利超市、石门市场、社区商业街等商业服务设施，有北京市顺义区南法信卫生院、北京市顺义区城区社区卫生服务中心宏城花园社区卫生服务站、忠锐口腔科等医疗设施，公共服务设施齐备度</w:t>
            </w:r>
            <w:r>
              <w:rPr>
                <w:rFonts w:hint="eastAsia" w:ascii="Arial" w:hAnsi="Arial" w:eastAsia="仿宋" w:cs="Arial"/>
                <w:snapToGrid w:val="0"/>
                <w:color w:val="auto"/>
                <w:sz w:val="18"/>
                <w:szCs w:val="18"/>
              </w:rPr>
              <w:t>较好</w:t>
            </w:r>
            <w:r>
              <w:rPr>
                <w:rFonts w:hint="eastAsia" w:ascii="Arial" w:hAnsi="Arial" w:eastAsia="仿宋" w:cs="Arial"/>
                <w:snapToGrid w:val="0"/>
                <w:color w:val="auto"/>
                <w:sz w:val="18"/>
                <w:szCs w:val="18"/>
                <w:lang w:eastAsia="zh-Hans"/>
              </w:rPr>
              <w:t>。</w:t>
            </w:r>
          </w:p>
        </w:tc>
        <w:tc>
          <w:tcPr>
            <w:tcW w:w="622" w:type="dxa"/>
            <w:vAlign w:val="center"/>
          </w:tcPr>
          <w:p w14:paraId="33D65571">
            <w:pPr>
              <w:spacing w:line="240" w:lineRule="exact"/>
              <w:jc w:val="center"/>
              <w:rPr>
                <w:rFonts w:ascii="Arial" w:hAnsi="Arial" w:eastAsia="仿宋" w:cs="Arial"/>
                <w:snapToGrid w:val="0"/>
                <w:color w:val="auto"/>
                <w:sz w:val="18"/>
                <w:szCs w:val="18"/>
              </w:rPr>
            </w:pPr>
            <w:r>
              <w:rPr>
                <w:rFonts w:ascii="Arial" w:hAnsi="Arial" w:eastAsia="仿宋" w:cs="Arial"/>
                <w:snapToGrid w:val="0"/>
                <w:color w:val="auto"/>
                <w:sz w:val="18"/>
                <w:szCs w:val="18"/>
                <w:lang w:eastAsia="zh-Hans"/>
              </w:rPr>
              <w:t>10</w:t>
            </w:r>
            <w:r>
              <w:rPr>
                <w:rFonts w:hint="eastAsia" w:ascii="Arial" w:hAnsi="Arial" w:eastAsia="仿宋" w:cs="Arial"/>
                <w:snapToGrid w:val="0"/>
                <w:color w:val="auto"/>
                <w:sz w:val="18"/>
                <w:szCs w:val="18"/>
              </w:rPr>
              <w:t>4</w:t>
            </w:r>
          </w:p>
        </w:tc>
      </w:tr>
      <w:tr w14:paraId="1F3D3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continue"/>
            <w:vAlign w:val="center"/>
          </w:tcPr>
          <w:p w14:paraId="6538D28F">
            <w:pPr>
              <w:widowControl/>
              <w:adjustRightInd/>
              <w:spacing w:line="240" w:lineRule="exact"/>
              <w:jc w:val="center"/>
              <w:textAlignment w:val="auto"/>
              <w:rPr>
                <w:rFonts w:ascii="Arial" w:hAnsi="Arial" w:eastAsia="仿宋" w:cs="Arial"/>
                <w:snapToGrid w:val="0"/>
                <w:color w:val="auto"/>
                <w:sz w:val="18"/>
                <w:szCs w:val="18"/>
              </w:rPr>
            </w:pPr>
          </w:p>
        </w:tc>
        <w:tc>
          <w:tcPr>
            <w:tcW w:w="571" w:type="dxa"/>
            <w:vAlign w:val="center"/>
          </w:tcPr>
          <w:p w14:paraId="511A3B8C">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基础设施水平</w:t>
            </w:r>
          </w:p>
        </w:tc>
        <w:tc>
          <w:tcPr>
            <w:tcW w:w="1840" w:type="dxa"/>
            <w:vAlign w:val="center"/>
          </w:tcPr>
          <w:p w14:paraId="3788E999">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所在区域基础设施水平达到七通。</w:t>
            </w:r>
          </w:p>
        </w:tc>
        <w:tc>
          <w:tcPr>
            <w:tcW w:w="487" w:type="dxa"/>
            <w:vAlign w:val="center"/>
          </w:tcPr>
          <w:p w14:paraId="44471CD9">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73C154A2">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所在区域基础设施水平达到七通。</w:t>
            </w:r>
          </w:p>
        </w:tc>
        <w:tc>
          <w:tcPr>
            <w:tcW w:w="530" w:type="dxa"/>
            <w:vAlign w:val="center"/>
          </w:tcPr>
          <w:p w14:paraId="35A51B30">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409" w:type="dxa"/>
            <w:vAlign w:val="center"/>
          </w:tcPr>
          <w:p w14:paraId="431D1917">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所在区域基础设施水平达到七通。</w:t>
            </w:r>
          </w:p>
        </w:tc>
        <w:tc>
          <w:tcPr>
            <w:tcW w:w="533" w:type="dxa"/>
            <w:vAlign w:val="center"/>
          </w:tcPr>
          <w:p w14:paraId="1DCC3AD5">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213" w:type="dxa"/>
            <w:vAlign w:val="center"/>
          </w:tcPr>
          <w:p w14:paraId="57147781">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所在区域基础设施水平达到七通。</w:t>
            </w:r>
          </w:p>
        </w:tc>
        <w:tc>
          <w:tcPr>
            <w:tcW w:w="622" w:type="dxa"/>
            <w:vAlign w:val="center"/>
          </w:tcPr>
          <w:p w14:paraId="3ED52A0D">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r>
      <w:tr w14:paraId="19989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continue"/>
            <w:vAlign w:val="center"/>
          </w:tcPr>
          <w:p w14:paraId="54948AF7">
            <w:pPr>
              <w:widowControl/>
              <w:adjustRightInd/>
              <w:spacing w:line="240" w:lineRule="exact"/>
              <w:jc w:val="center"/>
              <w:textAlignment w:val="auto"/>
              <w:rPr>
                <w:rFonts w:ascii="Arial" w:hAnsi="Arial" w:eastAsia="仿宋" w:cs="Arial"/>
                <w:snapToGrid w:val="0"/>
                <w:color w:val="auto"/>
                <w:sz w:val="18"/>
                <w:szCs w:val="18"/>
              </w:rPr>
            </w:pPr>
          </w:p>
        </w:tc>
        <w:tc>
          <w:tcPr>
            <w:tcW w:w="571" w:type="dxa"/>
            <w:vAlign w:val="center"/>
          </w:tcPr>
          <w:p w14:paraId="5F56C6EA">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自然及人文环境</w:t>
            </w:r>
          </w:p>
        </w:tc>
        <w:tc>
          <w:tcPr>
            <w:tcW w:w="1840" w:type="dxa"/>
            <w:vAlign w:val="center"/>
          </w:tcPr>
          <w:p w14:paraId="7156D10D">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估价对象位于北京市顺义区高丽营镇夏县营村，周边2公里南郎中休闲公园、口袋公园、方氏渠等自然环境；无人文环境；综合评价环境状况一般。</w:t>
            </w:r>
          </w:p>
        </w:tc>
        <w:tc>
          <w:tcPr>
            <w:tcW w:w="487" w:type="dxa"/>
            <w:vAlign w:val="center"/>
          </w:tcPr>
          <w:p w14:paraId="0AFBBD1C">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2E2854A3">
            <w:pPr>
              <w:spacing w:line="240" w:lineRule="exact"/>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案例G周边约2公里范围内南郎中休闲公园等自然环境；无人文环境；综合评价环境状况一般。</w:t>
            </w:r>
          </w:p>
        </w:tc>
        <w:tc>
          <w:tcPr>
            <w:tcW w:w="530" w:type="dxa"/>
            <w:vAlign w:val="center"/>
          </w:tcPr>
          <w:p w14:paraId="4148E52D">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409" w:type="dxa"/>
            <w:vAlign w:val="center"/>
          </w:tcPr>
          <w:p w14:paraId="65667279">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案例</w:t>
            </w:r>
            <w:r>
              <w:rPr>
                <w:rFonts w:ascii="Arial" w:hAnsi="Arial" w:eastAsia="仿宋" w:cs="Arial"/>
                <w:snapToGrid w:val="0"/>
                <w:color w:val="auto"/>
                <w:sz w:val="18"/>
                <w:szCs w:val="18"/>
                <w:lang w:eastAsia="zh-Hans"/>
              </w:rPr>
              <w:t>H</w:t>
            </w:r>
            <w:r>
              <w:rPr>
                <w:rFonts w:hint="eastAsia" w:ascii="Arial" w:hAnsi="Arial" w:eastAsia="仿宋" w:cs="Arial"/>
                <w:snapToGrid w:val="0"/>
                <w:color w:val="auto"/>
                <w:sz w:val="18"/>
                <w:szCs w:val="18"/>
                <w:lang w:eastAsia="zh-Hans"/>
              </w:rPr>
              <w:t>周边约</w:t>
            </w:r>
            <w:r>
              <w:rPr>
                <w:rFonts w:ascii="Arial" w:hAnsi="Arial" w:eastAsia="仿宋" w:cs="Arial"/>
                <w:snapToGrid w:val="0"/>
                <w:color w:val="auto"/>
                <w:sz w:val="18"/>
                <w:szCs w:val="18"/>
                <w:lang w:eastAsia="zh-Hans"/>
              </w:rPr>
              <w:t>2</w:t>
            </w:r>
            <w:r>
              <w:rPr>
                <w:rFonts w:hint="eastAsia" w:ascii="Arial" w:hAnsi="Arial" w:eastAsia="仿宋" w:cs="Arial"/>
                <w:snapToGrid w:val="0"/>
                <w:color w:val="auto"/>
                <w:sz w:val="18"/>
                <w:szCs w:val="18"/>
                <w:lang w:eastAsia="zh-Hans"/>
              </w:rPr>
              <w:t>公里内有花博会主题公园、兴峪城市森林公园、青年体育公园等自然公园，绿化条件较好；周边</w:t>
            </w:r>
            <w:r>
              <w:rPr>
                <w:rFonts w:ascii="Arial" w:hAnsi="Arial" w:eastAsia="仿宋" w:cs="Arial"/>
                <w:snapToGrid w:val="0"/>
                <w:color w:val="auto"/>
                <w:sz w:val="18"/>
                <w:szCs w:val="18"/>
                <w:lang w:eastAsia="zh-Hans"/>
              </w:rPr>
              <w:t>2</w:t>
            </w:r>
            <w:r>
              <w:rPr>
                <w:rFonts w:hint="eastAsia" w:ascii="Arial" w:hAnsi="Arial" w:eastAsia="仿宋" w:cs="Arial"/>
                <w:snapToGrid w:val="0"/>
                <w:color w:val="auto"/>
                <w:sz w:val="18"/>
                <w:szCs w:val="18"/>
                <w:lang w:eastAsia="zh-Hans"/>
              </w:rPr>
              <w:t>公里内有吾心文化广场等人文场所。综合考虑自然环境与人文环境较好。</w:t>
            </w:r>
          </w:p>
        </w:tc>
        <w:tc>
          <w:tcPr>
            <w:tcW w:w="533" w:type="dxa"/>
            <w:vAlign w:val="center"/>
          </w:tcPr>
          <w:p w14:paraId="3372BE25">
            <w:pPr>
              <w:spacing w:line="240" w:lineRule="exact"/>
              <w:jc w:val="center"/>
              <w:rPr>
                <w:rFonts w:ascii="Arial" w:hAnsi="Arial" w:eastAsia="仿宋" w:cs="Arial"/>
                <w:snapToGrid w:val="0"/>
                <w:color w:val="auto"/>
                <w:sz w:val="18"/>
                <w:szCs w:val="18"/>
              </w:rPr>
            </w:pPr>
            <w:r>
              <w:rPr>
                <w:rFonts w:ascii="Arial" w:hAnsi="Arial" w:eastAsia="仿宋" w:cs="Arial"/>
                <w:snapToGrid w:val="0"/>
                <w:color w:val="auto"/>
                <w:sz w:val="18"/>
                <w:szCs w:val="18"/>
                <w:lang w:eastAsia="zh-Hans"/>
              </w:rPr>
              <w:t>10</w:t>
            </w:r>
            <w:r>
              <w:rPr>
                <w:rFonts w:hint="eastAsia" w:ascii="Arial" w:hAnsi="Arial" w:eastAsia="仿宋" w:cs="Arial"/>
                <w:snapToGrid w:val="0"/>
                <w:color w:val="auto"/>
                <w:sz w:val="18"/>
                <w:szCs w:val="18"/>
              </w:rPr>
              <w:t>5</w:t>
            </w:r>
          </w:p>
        </w:tc>
        <w:tc>
          <w:tcPr>
            <w:tcW w:w="1213" w:type="dxa"/>
            <w:vAlign w:val="center"/>
          </w:tcPr>
          <w:p w14:paraId="2B3891F2">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案例</w:t>
            </w:r>
            <w:r>
              <w:rPr>
                <w:rFonts w:ascii="Arial" w:hAnsi="Arial" w:eastAsia="仿宋" w:cs="Arial"/>
                <w:snapToGrid w:val="0"/>
                <w:color w:val="auto"/>
                <w:sz w:val="18"/>
                <w:szCs w:val="18"/>
                <w:lang w:eastAsia="zh-Hans"/>
              </w:rPr>
              <w:t>I</w:t>
            </w:r>
            <w:r>
              <w:rPr>
                <w:rFonts w:hint="eastAsia" w:ascii="Arial" w:hAnsi="Arial" w:eastAsia="仿宋" w:cs="Arial"/>
                <w:snapToGrid w:val="0"/>
                <w:color w:val="auto"/>
                <w:sz w:val="18"/>
                <w:szCs w:val="18"/>
                <w:lang w:eastAsia="zh-Hans"/>
              </w:rPr>
              <w:t>周边约</w:t>
            </w:r>
            <w:r>
              <w:rPr>
                <w:rFonts w:ascii="Arial" w:hAnsi="Arial" w:eastAsia="仿宋" w:cs="Arial"/>
                <w:snapToGrid w:val="0"/>
                <w:color w:val="auto"/>
                <w:sz w:val="18"/>
                <w:szCs w:val="18"/>
                <w:lang w:eastAsia="zh-Hans"/>
              </w:rPr>
              <w:t>2</w:t>
            </w:r>
            <w:r>
              <w:rPr>
                <w:rFonts w:hint="eastAsia" w:ascii="Arial" w:hAnsi="Arial" w:eastAsia="仿宋" w:cs="Arial"/>
                <w:snapToGrid w:val="0"/>
                <w:color w:val="auto"/>
                <w:sz w:val="18"/>
                <w:szCs w:val="18"/>
                <w:lang w:eastAsia="zh-Hans"/>
              </w:rPr>
              <w:t>公里内有卧龙省市森林绿地、小中河、仁和文体广场等自然环境；无人文环境；综合评价环境状况一般。</w:t>
            </w:r>
          </w:p>
        </w:tc>
        <w:tc>
          <w:tcPr>
            <w:tcW w:w="622" w:type="dxa"/>
            <w:vAlign w:val="center"/>
          </w:tcPr>
          <w:p w14:paraId="299620CF">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r>
      <w:tr w14:paraId="6BAB8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restart"/>
            <w:vAlign w:val="center"/>
          </w:tcPr>
          <w:p w14:paraId="18D7B86D">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个别</w:t>
            </w:r>
          </w:p>
          <w:p w14:paraId="252A0294">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因素</w:t>
            </w:r>
          </w:p>
        </w:tc>
        <w:tc>
          <w:tcPr>
            <w:tcW w:w="571" w:type="dxa"/>
            <w:vAlign w:val="center"/>
          </w:tcPr>
          <w:p w14:paraId="72244D57">
            <w:pPr>
              <w:widowControl/>
              <w:adjustRightInd/>
              <w:spacing w:line="240" w:lineRule="exact"/>
              <w:jc w:val="both"/>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建筑规模</w:t>
            </w:r>
          </w:p>
          <w:p w14:paraId="60061128">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w:t>
            </w:r>
            <w:r>
              <w:rPr>
                <w:rFonts w:ascii="Arial" w:hAnsi="Arial" w:eastAsia="仿宋" w:cs="Arial"/>
                <w:snapToGrid w:val="0"/>
                <w:color w:val="auto"/>
                <w:sz w:val="18"/>
                <w:szCs w:val="18"/>
              </w:rPr>
              <w:t>平方米</w:t>
            </w:r>
            <w:r>
              <w:rPr>
                <w:rFonts w:hint="eastAsia" w:ascii="Arial" w:hAnsi="Arial" w:eastAsia="仿宋" w:cs="Arial"/>
                <w:snapToGrid w:val="0"/>
                <w:color w:val="auto"/>
                <w:sz w:val="18"/>
                <w:szCs w:val="18"/>
              </w:rPr>
              <w:t>）</w:t>
            </w:r>
          </w:p>
        </w:tc>
        <w:tc>
          <w:tcPr>
            <w:tcW w:w="1840" w:type="dxa"/>
            <w:vAlign w:val="center"/>
          </w:tcPr>
          <w:p w14:paraId="2F8591C1">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300</w:t>
            </w:r>
          </w:p>
        </w:tc>
        <w:tc>
          <w:tcPr>
            <w:tcW w:w="487" w:type="dxa"/>
            <w:vAlign w:val="center"/>
          </w:tcPr>
          <w:p w14:paraId="79AF9BC0">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37CA03C9">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600</w:t>
            </w:r>
          </w:p>
        </w:tc>
        <w:tc>
          <w:tcPr>
            <w:tcW w:w="530" w:type="dxa"/>
            <w:vAlign w:val="center"/>
          </w:tcPr>
          <w:p w14:paraId="30FFF058">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99</w:t>
            </w:r>
          </w:p>
        </w:tc>
        <w:tc>
          <w:tcPr>
            <w:tcW w:w="1409" w:type="dxa"/>
            <w:vAlign w:val="center"/>
          </w:tcPr>
          <w:p w14:paraId="00A5A660">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1050</w:t>
            </w:r>
          </w:p>
        </w:tc>
        <w:tc>
          <w:tcPr>
            <w:tcW w:w="533" w:type="dxa"/>
            <w:vAlign w:val="center"/>
          </w:tcPr>
          <w:p w14:paraId="3340D51F">
            <w:pPr>
              <w:spacing w:line="240" w:lineRule="exact"/>
              <w:jc w:val="center"/>
              <w:rPr>
                <w:rFonts w:ascii="Arial" w:hAnsi="Arial" w:eastAsia="仿宋" w:cs="Arial"/>
                <w:snapToGrid w:val="0"/>
                <w:color w:val="auto"/>
                <w:sz w:val="18"/>
                <w:szCs w:val="18"/>
              </w:rPr>
            </w:pPr>
            <w:r>
              <w:rPr>
                <w:rFonts w:ascii="Arial" w:hAnsi="Arial" w:eastAsia="仿宋" w:cs="Arial"/>
                <w:snapToGrid w:val="0"/>
                <w:color w:val="auto"/>
                <w:sz w:val="18"/>
                <w:szCs w:val="18"/>
                <w:lang w:eastAsia="zh-Hans"/>
              </w:rPr>
              <w:t>9</w:t>
            </w:r>
            <w:r>
              <w:rPr>
                <w:rFonts w:hint="eastAsia" w:ascii="Arial" w:hAnsi="Arial" w:eastAsia="仿宋" w:cs="Arial"/>
                <w:snapToGrid w:val="0"/>
                <w:color w:val="auto"/>
                <w:sz w:val="18"/>
                <w:szCs w:val="18"/>
              </w:rPr>
              <w:t>8</w:t>
            </w:r>
          </w:p>
        </w:tc>
        <w:tc>
          <w:tcPr>
            <w:tcW w:w="1213" w:type="dxa"/>
            <w:vAlign w:val="center"/>
          </w:tcPr>
          <w:p w14:paraId="77893C4B">
            <w:pPr>
              <w:spacing w:line="240" w:lineRule="exact"/>
              <w:jc w:val="center"/>
              <w:rPr>
                <w:rFonts w:ascii="Arial" w:hAnsi="Arial" w:eastAsia="仿宋" w:cs="Arial"/>
                <w:snapToGrid w:val="0"/>
                <w:color w:val="auto"/>
                <w:sz w:val="18"/>
                <w:szCs w:val="18"/>
              </w:rPr>
            </w:pPr>
            <w:r>
              <w:rPr>
                <w:rFonts w:hint="eastAsia" w:ascii="Arial" w:hAnsi="Arial" w:eastAsia="仿宋" w:cs="Arial"/>
                <w:snapToGrid w:val="0"/>
                <w:color w:val="auto"/>
                <w:sz w:val="18"/>
                <w:szCs w:val="18"/>
              </w:rPr>
              <w:t>132</w:t>
            </w:r>
          </w:p>
        </w:tc>
        <w:tc>
          <w:tcPr>
            <w:tcW w:w="622" w:type="dxa"/>
            <w:vAlign w:val="center"/>
          </w:tcPr>
          <w:p w14:paraId="14687874">
            <w:pPr>
              <w:spacing w:line="240" w:lineRule="exact"/>
              <w:jc w:val="center"/>
              <w:rPr>
                <w:rFonts w:ascii="Arial" w:hAnsi="Arial" w:eastAsia="仿宋" w:cs="Arial"/>
                <w:snapToGrid w:val="0"/>
                <w:color w:val="auto"/>
                <w:sz w:val="18"/>
                <w:szCs w:val="18"/>
              </w:rPr>
            </w:pPr>
            <w:r>
              <w:rPr>
                <w:rFonts w:ascii="Arial" w:hAnsi="Arial" w:eastAsia="仿宋" w:cs="Arial"/>
                <w:snapToGrid w:val="0"/>
                <w:color w:val="auto"/>
                <w:sz w:val="18"/>
                <w:szCs w:val="18"/>
                <w:lang w:eastAsia="zh-Hans"/>
              </w:rPr>
              <w:t>10</w:t>
            </w:r>
            <w:r>
              <w:rPr>
                <w:rFonts w:hint="eastAsia" w:ascii="Arial" w:hAnsi="Arial" w:eastAsia="仿宋" w:cs="Arial"/>
                <w:snapToGrid w:val="0"/>
                <w:color w:val="auto"/>
                <w:sz w:val="18"/>
                <w:szCs w:val="18"/>
              </w:rPr>
              <w:t>0</w:t>
            </w:r>
          </w:p>
        </w:tc>
      </w:tr>
      <w:tr w14:paraId="25156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continue"/>
            <w:textDirection w:val="tbRlV"/>
            <w:vAlign w:val="center"/>
          </w:tcPr>
          <w:p w14:paraId="1A3BDC35">
            <w:pPr>
              <w:widowControl/>
              <w:adjustRightInd/>
              <w:spacing w:line="240" w:lineRule="exact"/>
              <w:jc w:val="center"/>
              <w:textAlignment w:val="auto"/>
              <w:rPr>
                <w:rFonts w:ascii="Arial" w:hAnsi="Arial" w:eastAsia="仿宋" w:cs="Arial"/>
                <w:snapToGrid w:val="0"/>
                <w:color w:val="auto"/>
                <w:sz w:val="18"/>
                <w:szCs w:val="18"/>
              </w:rPr>
            </w:pPr>
          </w:p>
        </w:tc>
        <w:tc>
          <w:tcPr>
            <w:tcW w:w="571" w:type="dxa"/>
            <w:vAlign w:val="center"/>
          </w:tcPr>
          <w:p w14:paraId="484883AA">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建筑结构</w:t>
            </w:r>
          </w:p>
        </w:tc>
        <w:tc>
          <w:tcPr>
            <w:tcW w:w="1840" w:type="dxa"/>
            <w:vAlign w:val="center"/>
          </w:tcPr>
          <w:p w14:paraId="06FB219F">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钢混</w:t>
            </w:r>
          </w:p>
        </w:tc>
        <w:tc>
          <w:tcPr>
            <w:tcW w:w="487" w:type="dxa"/>
            <w:vAlign w:val="center"/>
          </w:tcPr>
          <w:p w14:paraId="1F5B3B0C">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5A2C373E">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钢混</w:t>
            </w:r>
          </w:p>
        </w:tc>
        <w:tc>
          <w:tcPr>
            <w:tcW w:w="530" w:type="dxa"/>
            <w:vAlign w:val="center"/>
          </w:tcPr>
          <w:p w14:paraId="72527648">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409" w:type="dxa"/>
            <w:vAlign w:val="center"/>
          </w:tcPr>
          <w:p w14:paraId="0BAE5E8E">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钢混</w:t>
            </w:r>
          </w:p>
        </w:tc>
        <w:tc>
          <w:tcPr>
            <w:tcW w:w="533" w:type="dxa"/>
            <w:vAlign w:val="center"/>
          </w:tcPr>
          <w:p w14:paraId="0CA8E5EB">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213" w:type="dxa"/>
            <w:vAlign w:val="center"/>
          </w:tcPr>
          <w:p w14:paraId="2A3425F5">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钢混</w:t>
            </w:r>
          </w:p>
        </w:tc>
        <w:tc>
          <w:tcPr>
            <w:tcW w:w="622" w:type="dxa"/>
            <w:vAlign w:val="center"/>
          </w:tcPr>
          <w:p w14:paraId="13E00380">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r>
      <w:tr w14:paraId="1EF3A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continue"/>
            <w:textDirection w:val="tbRlV"/>
            <w:vAlign w:val="center"/>
          </w:tcPr>
          <w:p w14:paraId="0F886E9A">
            <w:pPr>
              <w:widowControl/>
              <w:adjustRightInd/>
              <w:spacing w:line="240" w:lineRule="exact"/>
              <w:jc w:val="center"/>
              <w:textAlignment w:val="auto"/>
              <w:rPr>
                <w:rFonts w:ascii="Arial" w:hAnsi="Arial" w:eastAsia="仿宋" w:cs="Arial"/>
                <w:snapToGrid w:val="0"/>
                <w:color w:val="auto"/>
                <w:sz w:val="18"/>
                <w:szCs w:val="18"/>
              </w:rPr>
            </w:pPr>
          </w:p>
        </w:tc>
        <w:tc>
          <w:tcPr>
            <w:tcW w:w="571" w:type="dxa"/>
            <w:vAlign w:val="center"/>
          </w:tcPr>
          <w:p w14:paraId="18B9BEBE">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成新度</w:t>
            </w:r>
          </w:p>
        </w:tc>
        <w:tc>
          <w:tcPr>
            <w:tcW w:w="1840" w:type="dxa"/>
            <w:vAlign w:val="center"/>
          </w:tcPr>
          <w:p w14:paraId="65950214">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90%—100%（含）</w:t>
            </w:r>
          </w:p>
        </w:tc>
        <w:tc>
          <w:tcPr>
            <w:tcW w:w="487" w:type="dxa"/>
            <w:vAlign w:val="center"/>
          </w:tcPr>
          <w:p w14:paraId="3915A6CB">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67123749">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80%—90%（含）</w:t>
            </w:r>
          </w:p>
        </w:tc>
        <w:tc>
          <w:tcPr>
            <w:tcW w:w="530" w:type="dxa"/>
            <w:vAlign w:val="center"/>
          </w:tcPr>
          <w:p w14:paraId="466F9FA4">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99</w:t>
            </w:r>
          </w:p>
        </w:tc>
        <w:tc>
          <w:tcPr>
            <w:tcW w:w="1409" w:type="dxa"/>
            <w:vAlign w:val="center"/>
          </w:tcPr>
          <w:p w14:paraId="437A1448">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80%—90%（含）</w:t>
            </w:r>
          </w:p>
        </w:tc>
        <w:tc>
          <w:tcPr>
            <w:tcW w:w="533" w:type="dxa"/>
            <w:vAlign w:val="center"/>
          </w:tcPr>
          <w:p w14:paraId="1EACDEFC">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99</w:t>
            </w:r>
          </w:p>
        </w:tc>
        <w:tc>
          <w:tcPr>
            <w:tcW w:w="1213" w:type="dxa"/>
            <w:vAlign w:val="center"/>
          </w:tcPr>
          <w:p w14:paraId="41DF4672">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80%—90%（含）</w:t>
            </w:r>
          </w:p>
        </w:tc>
        <w:tc>
          <w:tcPr>
            <w:tcW w:w="622" w:type="dxa"/>
            <w:vAlign w:val="center"/>
          </w:tcPr>
          <w:p w14:paraId="67FEEEBE">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99</w:t>
            </w:r>
          </w:p>
        </w:tc>
      </w:tr>
      <w:tr w14:paraId="655BC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continue"/>
            <w:textDirection w:val="tbRlV"/>
            <w:vAlign w:val="center"/>
          </w:tcPr>
          <w:p w14:paraId="2965E207">
            <w:pPr>
              <w:widowControl/>
              <w:adjustRightInd/>
              <w:spacing w:line="240" w:lineRule="exact"/>
              <w:jc w:val="center"/>
              <w:textAlignment w:val="auto"/>
              <w:rPr>
                <w:rFonts w:ascii="Arial" w:hAnsi="Arial" w:eastAsia="仿宋" w:cs="Arial"/>
                <w:snapToGrid w:val="0"/>
                <w:color w:val="auto"/>
                <w:sz w:val="18"/>
                <w:szCs w:val="18"/>
              </w:rPr>
            </w:pPr>
          </w:p>
        </w:tc>
        <w:tc>
          <w:tcPr>
            <w:tcW w:w="571" w:type="dxa"/>
            <w:vAlign w:val="center"/>
          </w:tcPr>
          <w:p w14:paraId="48EB4567">
            <w:pPr>
              <w:widowControl/>
              <w:adjustRightInd/>
              <w:spacing w:line="240" w:lineRule="exact"/>
              <w:jc w:val="center"/>
              <w:textAlignment w:val="auto"/>
              <w:rPr>
                <w:rFonts w:ascii="Arial" w:hAnsi="Arial" w:eastAsia="仿宋" w:cs="Arial"/>
                <w:snapToGrid w:val="0"/>
                <w:color w:val="auto"/>
                <w:sz w:val="18"/>
                <w:szCs w:val="18"/>
              </w:rPr>
            </w:pPr>
            <w:r>
              <w:rPr>
                <w:rFonts w:ascii="Arial" w:hAnsi="Arial" w:eastAsia="仿宋" w:cs="Arial"/>
                <w:snapToGrid w:val="0"/>
                <w:color w:val="auto"/>
                <w:sz w:val="18"/>
                <w:szCs w:val="18"/>
              </w:rPr>
              <w:t>层高</w:t>
            </w:r>
          </w:p>
        </w:tc>
        <w:tc>
          <w:tcPr>
            <w:tcW w:w="1840" w:type="dxa"/>
            <w:vAlign w:val="center"/>
          </w:tcPr>
          <w:p w14:paraId="6A9695EC">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标准层高</w:t>
            </w:r>
          </w:p>
        </w:tc>
        <w:tc>
          <w:tcPr>
            <w:tcW w:w="487" w:type="dxa"/>
            <w:vAlign w:val="center"/>
          </w:tcPr>
          <w:p w14:paraId="07DFF3C6">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502" w:type="dxa"/>
            <w:vAlign w:val="center"/>
          </w:tcPr>
          <w:p w14:paraId="75FB6371">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标准层高</w:t>
            </w:r>
          </w:p>
        </w:tc>
        <w:tc>
          <w:tcPr>
            <w:tcW w:w="530" w:type="dxa"/>
            <w:vAlign w:val="center"/>
          </w:tcPr>
          <w:p w14:paraId="68BCC723">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409" w:type="dxa"/>
            <w:vAlign w:val="center"/>
          </w:tcPr>
          <w:p w14:paraId="027BC8E3">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标准层高</w:t>
            </w:r>
          </w:p>
        </w:tc>
        <w:tc>
          <w:tcPr>
            <w:tcW w:w="533" w:type="dxa"/>
            <w:vAlign w:val="center"/>
          </w:tcPr>
          <w:p w14:paraId="108572F9">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c>
          <w:tcPr>
            <w:tcW w:w="1213" w:type="dxa"/>
            <w:vAlign w:val="center"/>
          </w:tcPr>
          <w:p w14:paraId="5C1DB98E">
            <w:pPr>
              <w:spacing w:line="240" w:lineRule="exact"/>
              <w:jc w:val="center"/>
              <w:rPr>
                <w:rFonts w:ascii="Arial" w:hAnsi="Arial" w:eastAsia="仿宋" w:cs="Arial"/>
                <w:snapToGrid w:val="0"/>
                <w:color w:val="auto"/>
                <w:sz w:val="18"/>
                <w:szCs w:val="18"/>
                <w:lang w:eastAsia="zh-Hans"/>
              </w:rPr>
            </w:pPr>
            <w:r>
              <w:rPr>
                <w:rFonts w:hint="eastAsia" w:ascii="Arial" w:hAnsi="Arial" w:eastAsia="仿宋" w:cs="Arial"/>
                <w:snapToGrid w:val="0"/>
                <w:color w:val="auto"/>
                <w:sz w:val="18"/>
                <w:szCs w:val="18"/>
                <w:lang w:eastAsia="zh-Hans"/>
              </w:rPr>
              <w:t>标准层高</w:t>
            </w:r>
          </w:p>
        </w:tc>
        <w:tc>
          <w:tcPr>
            <w:tcW w:w="622" w:type="dxa"/>
            <w:vAlign w:val="center"/>
          </w:tcPr>
          <w:p w14:paraId="36EAC970">
            <w:pPr>
              <w:spacing w:line="240" w:lineRule="exact"/>
              <w:jc w:val="center"/>
              <w:rPr>
                <w:rFonts w:ascii="Arial" w:hAnsi="Arial" w:eastAsia="仿宋" w:cs="Arial"/>
                <w:snapToGrid w:val="0"/>
                <w:color w:val="auto"/>
                <w:sz w:val="18"/>
                <w:szCs w:val="18"/>
                <w:lang w:eastAsia="zh-Hans"/>
              </w:rPr>
            </w:pPr>
            <w:r>
              <w:rPr>
                <w:rFonts w:ascii="Arial" w:hAnsi="Arial" w:eastAsia="仿宋" w:cs="Arial"/>
                <w:snapToGrid w:val="0"/>
                <w:color w:val="auto"/>
                <w:sz w:val="18"/>
                <w:szCs w:val="18"/>
                <w:lang w:eastAsia="zh-Hans"/>
              </w:rPr>
              <w:t>100</w:t>
            </w:r>
          </w:p>
        </w:tc>
      </w:tr>
    </w:tbl>
    <w:p w14:paraId="0A0E27D6">
      <w:pPr>
        <w:spacing w:before="17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根据估价对象与比较实例各种因素具体情况，编制比较因素条件指数表。比较因素指数确定如下:</w:t>
      </w:r>
    </w:p>
    <w:p w14:paraId="11F2519D">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a交易时间：估价对象估价期日为2026年3月26日与三个比较实例交易时间接近，故不作修正；</w:t>
      </w:r>
    </w:p>
    <w:p w14:paraId="7CB7DB3B">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b交易情况：估价对象与三个比较实例交易情况均为正常，故不作修正；</w:t>
      </w:r>
    </w:p>
    <w:p w14:paraId="35B5A2FE">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c房屋用途：根据实际情况进行适当修正；</w:t>
      </w:r>
    </w:p>
    <w:p w14:paraId="1301618F">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d区域及个别因素修正：</w:t>
      </w:r>
    </w:p>
    <w:p w14:paraId="412E80C3">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①区域因素：</w:t>
      </w:r>
    </w:p>
    <w:p w14:paraId="0A17EECD">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a）物业集聚程度：分为大型物业集群为优：较多大型物业为较优：有一定数量的中小型物业为一般：独立的小型物业为较劣：物业零星分布为劣，共五个等级。以估价对象的等级指数为100，每相差一个等级，指数相应修正3；</w:t>
      </w:r>
    </w:p>
    <w:p w14:paraId="61B08960">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b）交通便捷度：根据交通和路网状况划分，分为区域内路网密集、交通便捷为好；区域内路网较密、交通较便捷为较好；区域内路网一般、交通为一般；区域内路网较稀、交通较不便捷为较差；区域内路网稀少、交通不便捷为差，共五个等级。以估价对象为100，每相差一个等级，指数相应修正3；</w:t>
      </w:r>
    </w:p>
    <w:p w14:paraId="65007555">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c）公共服务设施状况：区域内有大型、齐全公用服务设施为好；区域内有齐全的公用服务设施为较好；区域内有较少的公用服务设施为一般；区域内有小型、少量的公用服务设施为较差；区域内缺乏公用服务设施为差，五个等级。以估价对象为100，每相差一个等级，指数相应修正4；</w:t>
      </w:r>
    </w:p>
    <w:p w14:paraId="36F2B88E">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d）红线外基础设施水平：基础设施配套完善为好；基础设施配套较完善为较好；基础设施配套一般为一般；基础设施配套较不完善为较差；基础设施配套不完善为差；五个等级。以估价对象为100，每相差一通，指数相应修正 1；</w:t>
      </w:r>
    </w:p>
    <w:p w14:paraId="7E5DB82D">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e）自然和人文环境状况：区域内有众多高等院校、大型公园和公共绿地、基本无噪声和大气污染为好；区域内有公园和公共绿地，临近高等院校，噪声和大气污染较小为较好；区域内有小型公共绿地和专科院校，噪声和大气污染较小为一般；区域内有基本绿地，噪声和大气污染较严重为较差；区域内有基本绿地，靠近污染源，噪声和大气污染严重为差；五个等级。以估价对象为100，每相差一个等级，指数相应修正5。</w:t>
      </w:r>
    </w:p>
    <w:p w14:paraId="06F9A3C7">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②个别因素:</w:t>
      </w:r>
    </w:p>
    <w:p w14:paraId="508968F7">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a）建筑规模：根据实际情况进行适当修正；</w:t>
      </w:r>
    </w:p>
    <w:p w14:paraId="411D0C6A">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b）建筑结构：分为简易、砖木、砖混、钢混、钢结构五个等级，以估价对象为100，每增加或降低一个等级，指数相应增加或减少2；</w:t>
      </w:r>
    </w:p>
    <w:p w14:paraId="620391FD">
      <w:pPr>
        <w:spacing w:before="50" w:after="50"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c）成新度：根据实际情况进行适当修正；</w:t>
      </w:r>
    </w:p>
    <w:p w14:paraId="1A499403">
      <w:pPr>
        <w:spacing w:before="50" w:after="50" w:line="300" w:lineRule="auto"/>
        <w:ind w:firstLine="560" w:firstLineChars="200"/>
        <w:jc w:val="both"/>
        <w:rPr>
          <w:rFonts w:ascii="Arial" w:hAnsi="Arial" w:eastAsia="仿宋" w:cs="Arial"/>
          <w:b/>
          <w:bCs/>
          <w:color w:val="auto"/>
          <w:szCs w:val="28"/>
        </w:rPr>
      </w:pPr>
      <w:r>
        <w:rPr>
          <w:rFonts w:hint="eastAsia" w:ascii="Arial" w:hAnsi="Arial" w:eastAsia="仿宋_GB2312" w:cs="Arial"/>
          <w:color w:val="auto"/>
          <w:sz w:val="28"/>
        </w:rPr>
        <w:t>d）层高：根据实际情况进行适当修正；</w:t>
      </w:r>
    </w:p>
    <w:p w14:paraId="202EDA91">
      <w:pPr>
        <w:spacing w:before="240" w:beforeLines="100" w:line="440" w:lineRule="exact"/>
        <w:jc w:val="center"/>
        <w:rPr>
          <w:rFonts w:ascii="Arial" w:hAnsi="Arial" w:eastAsia="仿宋" w:cs="Arial"/>
          <w:b/>
          <w:bCs/>
          <w:color w:val="auto"/>
          <w:szCs w:val="28"/>
        </w:rPr>
      </w:pPr>
      <w:r>
        <w:rPr>
          <w:rFonts w:ascii="Arial" w:hAnsi="Arial" w:eastAsia="仿宋" w:cs="Arial"/>
          <w:b/>
          <w:bCs/>
          <w:color w:val="auto"/>
          <w:szCs w:val="28"/>
        </w:rPr>
        <w:t>表6：因素修正和调整系数表</w:t>
      </w:r>
    </w:p>
    <w:tbl>
      <w:tblPr>
        <w:tblStyle w:val="34"/>
        <w:tblW w:w="4937" w:type="pct"/>
        <w:jc w:val="center"/>
        <w:tblLayout w:type="fixed"/>
        <w:tblCellMar>
          <w:top w:w="57" w:type="dxa"/>
          <w:left w:w="57" w:type="dxa"/>
          <w:bottom w:w="57" w:type="dxa"/>
          <w:right w:w="57" w:type="dxa"/>
        </w:tblCellMar>
      </w:tblPr>
      <w:tblGrid>
        <w:gridCol w:w="1171"/>
        <w:gridCol w:w="1833"/>
        <w:gridCol w:w="2115"/>
        <w:gridCol w:w="2115"/>
        <w:gridCol w:w="2115"/>
      </w:tblGrid>
      <w:tr w14:paraId="20231A6F">
        <w:tblPrEx>
          <w:tblCellMar>
            <w:top w:w="57" w:type="dxa"/>
            <w:left w:w="57" w:type="dxa"/>
            <w:bottom w:w="57" w:type="dxa"/>
            <w:right w:w="57" w:type="dxa"/>
          </w:tblCellMar>
        </w:tblPrEx>
        <w:trPr>
          <w:trHeight w:val="280" w:hRule="atLeast"/>
          <w:jc w:val="center"/>
        </w:trPr>
        <w:tc>
          <w:tcPr>
            <w:tcW w:w="1606" w:type="pct"/>
            <w:gridSpan w:val="2"/>
            <w:vMerge w:val="restart"/>
            <w:tcBorders>
              <w:top w:val="single" w:color="auto" w:sz="4" w:space="0"/>
              <w:left w:val="single" w:color="auto" w:sz="4" w:space="0"/>
              <w:bottom w:val="single" w:color="auto" w:sz="4" w:space="0"/>
              <w:right w:val="single" w:color="auto" w:sz="4" w:space="0"/>
              <w:tl2br w:val="single" w:color="auto" w:sz="4" w:space="0"/>
            </w:tcBorders>
            <w:noWrap/>
            <w:vAlign w:val="center"/>
          </w:tcPr>
          <w:p w14:paraId="1FADC85E">
            <w:pPr>
              <w:widowControl/>
              <w:adjustRightInd/>
              <w:spacing w:line="240" w:lineRule="exact"/>
              <w:jc w:val="righ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可比案例</w:t>
            </w:r>
          </w:p>
          <w:p w14:paraId="289DD97B">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比较因素</w:t>
            </w:r>
          </w:p>
        </w:tc>
        <w:tc>
          <w:tcPr>
            <w:tcW w:w="1131" w:type="pct"/>
            <w:tcBorders>
              <w:top w:val="single" w:color="auto" w:sz="4" w:space="0"/>
              <w:left w:val="nil"/>
              <w:bottom w:val="single" w:color="auto" w:sz="4" w:space="0"/>
              <w:right w:val="single" w:color="auto" w:sz="4" w:space="0"/>
            </w:tcBorders>
            <w:noWrap/>
            <w:vAlign w:val="center"/>
          </w:tcPr>
          <w:p w14:paraId="07DD885D">
            <w:pPr>
              <w:widowControl/>
              <w:adjustRightInd/>
              <w:spacing w:line="240" w:lineRule="exact"/>
              <w:jc w:val="center"/>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案例G</w:t>
            </w:r>
          </w:p>
        </w:tc>
        <w:tc>
          <w:tcPr>
            <w:tcW w:w="1131" w:type="pct"/>
            <w:tcBorders>
              <w:top w:val="single" w:color="auto" w:sz="4" w:space="0"/>
              <w:left w:val="nil"/>
              <w:bottom w:val="single" w:color="auto" w:sz="4" w:space="0"/>
              <w:right w:val="single" w:color="auto" w:sz="4" w:space="0"/>
            </w:tcBorders>
            <w:noWrap/>
            <w:vAlign w:val="center"/>
          </w:tcPr>
          <w:p w14:paraId="75757A39">
            <w:pPr>
              <w:widowControl/>
              <w:adjustRightInd/>
              <w:spacing w:line="240" w:lineRule="exact"/>
              <w:jc w:val="center"/>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案例H</w:t>
            </w:r>
          </w:p>
        </w:tc>
        <w:tc>
          <w:tcPr>
            <w:tcW w:w="1131" w:type="pct"/>
            <w:tcBorders>
              <w:top w:val="single" w:color="auto" w:sz="4" w:space="0"/>
              <w:left w:val="nil"/>
              <w:bottom w:val="single" w:color="auto" w:sz="4" w:space="0"/>
              <w:right w:val="single" w:color="auto" w:sz="4" w:space="0"/>
            </w:tcBorders>
            <w:noWrap/>
            <w:vAlign w:val="center"/>
          </w:tcPr>
          <w:p w14:paraId="11D53E4F">
            <w:pPr>
              <w:widowControl/>
              <w:adjustRightInd/>
              <w:spacing w:line="240" w:lineRule="exact"/>
              <w:jc w:val="center"/>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案例I</w:t>
            </w:r>
          </w:p>
        </w:tc>
      </w:tr>
      <w:tr w14:paraId="20E30CCD">
        <w:tblPrEx>
          <w:tblCellMar>
            <w:top w:w="57" w:type="dxa"/>
            <w:left w:w="57" w:type="dxa"/>
            <w:bottom w:w="57" w:type="dxa"/>
            <w:right w:w="57" w:type="dxa"/>
          </w:tblCellMar>
        </w:tblPrEx>
        <w:trPr>
          <w:trHeight w:val="280" w:hRule="atLeast"/>
          <w:jc w:val="center"/>
        </w:trPr>
        <w:tc>
          <w:tcPr>
            <w:tcW w:w="1606" w:type="pct"/>
            <w:gridSpan w:val="2"/>
            <w:vMerge w:val="continue"/>
            <w:tcBorders>
              <w:top w:val="single" w:color="auto" w:sz="4" w:space="0"/>
              <w:left w:val="single" w:color="auto" w:sz="4" w:space="0"/>
              <w:bottom w:val="single" w:color="auto" w:sz="4" w:space="0"/>
              <w:right w:val="single" w:color="auto" w:sz="4" w:space="0"/>
              <w:tl2br w:val="single" w:color="auto" w:sz="4" w:space="0"/>
            </w:tcBorders>
            <w:vAlign w:val="center"/>
          </w:tcPr>
          <w:p w14:paraId="2477C691">
            <w:pPr>
              <w:widowControl/>
              <w:adjustRightInd/>
              <w:spacing w:line="240" w:lineRule="exact"/>
              <w:textAlignment w:val="auto"/>
              <w:rPr>
                <w:rFonts w:ascii="Arial" w:hAnsi="Arial" w:eastAsia="仿宋" w:cs="Arial"/>
                <w:snapToGrid w:val="0"/>
                <w:color w:val="auto"/>
                <w:sz w:val="20"/>
                <w:szCs w:val="21"/>
              </w:rPr>
            </w:pPr>
          </w:p>
        </w:tc>
        <w:tc>
          <w:tcPr>
            <w:tcW w:w="1131" w:type="pct"/>
            <w:tcBorders>
              <w:top w:val="nil"/>
              <w:left w:val="nil"/>
              <w:bottom w:val="single" w:color="auto" w:sz="4" w:space="0"/>
              <w:right w:val="single" w:color="auto" w:sz="4" w:space="0"/>
            </w:tcBorders>
            <w:noWrap/>
            <w:vAlign w:val="bottom"/>
          </w:tcPr>
          <w:p w14:paraId="06211960">
            <w:pPr>
              <w:widowControl/>
              <w:adjustRightInd/>
              <w:spacing w:line="240" w:lineRule="exact"/>
              <w:jc w:val="center"/>
              <w:textAlignment w:val="auto"/>
              <w:rPr>
                <w:rFonts w:ascii="Arial" w:hAnsi="Arial" w:eastAsia="仿宋" w:cs="Arial"/>
                <w:snapToGrid w:val="0"/>
                <w:color w:val="auto"/>
                <w:sz w:val="20"/>
                <w:szCs w:val="21"/>
                <w:lang w:eastAsia="zh-Hans"/>
              </w:rPr>
            </w:pPr>
            <w:r>
              <w:rPr>
                <w:rFonts w:hint="eastAsia" w:ascii="Arial" w:hAnsi="Arial" w:eastAsia="仿宋" w:cs="Arial"/>
                <w:snapToGrid w:val="0"/>
                <w:color w:val="auto"/>
                <w:sz w:val="20"/>
                <w:szCs w:val="21"/>
                <w:lang w:eastAsia="zh-Hans"/>
              </w:rPr>
              <w:t>数码视讯产业园</w:t>
            </w:r>
          </w:p>
        </w:tc>
        <w:tc>
          <w:tcPr>
            <w:tcW w:w="1131" w:type="pct"/>
            <w:tcBorders>
              <w:top w:val="nil"/>
              <w:left w:val="nil"/>
              <w:bottom w:val="single" w:color="auto" w:sz="4" w:space="0"/>
              <w:right w:val="single" w:color="auto" w:sz="4" w:space="0"/>
            </w:tcBorders>
            <w:noWrap/>
            <w:vAlign w:val="bottom"/>
          </w:tcPr>
          <w:p w14:paraId="3D29BB5B">
            <w:pPr>
              <w:widowControl/>
              <w:adjustRightInd/>
              <w:spacing w:line="240" w:lineRule="exact"/>
              <w:jc w:val="center"/>
              <w:textAlignment w:val="auto"/>
              <w:rPr>
                <w:rFonts w:ascii="Arial" w:hAnsi="Arial" w:eastAsia="仿宋" w:cs="Arial"/>
                <w:snapToGrid w:val="0"/>
                <w:color w:val="auto"/>
                <w:sz w:val="20"/>
                <w:szCs w:val="21"/>
                <w:lang w:eastAsia="zh-Hans"/>
              </w:rPr>
            </w:pPr>
            <w:r>
              <w:rPr>
                <w:rFonts w:hint="eastAsia" w:ascii="Arial" w:hAnsi="Arial" w:eastAsia="仿宋" w:cs="Arial"/>
                <w:snapToGrid w:val="0"/>
                <w:color w:val="auto"/>
                <w:sz w:val="20"/>
                <w:szCs w:val="21"/>
                <w:lang w:eastAsia="zh-Hans"/>
              </w:rPr>
              <w:t>博润中心</w:t>
            </w:r>
          </w:p>
        </w:tc>
        <w:tc>
          <w:tcPr>
            <w:tcW w:w="1131" w:type="pct"/>
            <w:tcBorders>
              <w:top w:val="nil"/>
              <w:left w:val="nil"/>
              <w:bottom w:val="single" w:color="auto" w:sz="4" w:space="0"/>
              <w:right w:val="single" w:color="auto" w:sz="4" w:space="0"/>
            </w:tcBorders>
            <w:noWrap/>
            <w:vAlign w:val="bottom"/>
          </w:tcPr>
          <w:p w14:paraId="2ADEED9C">
            <w:pPr>
              <w:widowControl/>
              <w:adjustRightInd/>
              <w:spacing w:line="240" w:lineRule="exact"/>
              <w:jc w:val="center"/>
              <w:textAlignment w:val="auto"/>
              <w:rPr>
                <w:rFonts w:ascii="Arial" w:hAnsi="Arial" w:eastAsia="仿宋" w:cs="Arial"/>
                <w:snapToGrid w:val="0"/>
                <w:color w:val="auto"/>
                <w:sz w:val="20"/>
                <w:szCs w:val="21"/>
                <w:lang w:eastAsia="zh-Hans"/>
              </w:rPr>
            </w:pPr>
            <w:r>
              <w:rPr>
                <w:rFonts w:hint="eastAsia" w:ascii="Arial" w:hAnsi="Arial" w:eastAsia="仿宋" w:cs="Arial"/>
                <w:snapToGrid w:val="0"/>
                <w:color w:val="auto"/>
                <w:sz w:val="20"/>
                <w:szCs w:val="21"/>
                <w:lang w:eastAsia="zh-Hans"/>
              </w:rPr>
              <w:t>城建道桥大厦</w:t>
            </w:r>
          </w:p>
        </w:tc>
      </w:tr>
      <w:tr w14:paraId="0F4B0FCB">
        <w:tblPrEx>
          <w:tblCellMar>
            <w:top w:w="57" w:type="dxa"/>
            <w:left w:w="57" w:type="dxa"/>
            <w:bottom w:w="57" w:type="dxa"/>
            <w:right w:w="57" w:type="dxa"/>
          </w:tblCellMar>
        </w:tblPrEx>
        <w:trPr>
          <w:trHeight w:val="280" w:hRule="atLeast"/>
          <w:jc w:val="center"/>
        </w:trPr>
        <w:tc>
          <w:tcPr>
            <w:tcW w:w="1606" w:type="pct"/>
            <w:gridSpan w:val="2"/>
            <w:tcBorders>
              <w:top w:val="single" w:color="auto" w:sz="4" w:space="0"/>
              <w:left w:val="single" w:color="auto" w:sz="4" w:space="0"/>
              <w:bottom w:val="single" w:color="auto" w:sz="4" w:space="0"/>
              <w:right w:val="single" w:color="000000" w:sz="4" w:space="0"/>
            </w:tcBorders>
            <w:noWrap/>
            <w:vAlign w:val="bottom"/>
          </w:tcPr>
          <w:p w14:paraId="131FF3B7">
            <w:pPr>
              <w:widowControl/>
              <w:adjustRightInd/>
              <w:spacing w:line="240" w:lineRule="exact"/>
              <w:jc w:val="center"/>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交易时间</w:t>
            </w:r>
          </w:p>
        </w:tc>
        <w:tc>
          <w:tcPr>
            <w:tcW w:w="1131" w:type="pct"/>
            <w:tcBorders>
              <w:top w:val="nil"/>
              <w:left w:val="nil"/>
              <w:bottom w:val="single" w:color="auto" w:sz="4" w:space="0"/>
              <w:right w:val="single" w:color="auto" w:sz="4" w:space="0"/>
            </w:tcBorders>
            <w:noWrap/>
            <w:vAlign w:val="center"/>
          </w:tcPr>
          <w:p w14:paraId="4683DF17">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774B0251">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219CC3C3">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r>
      <w:tr w14:paraId="68B8899C">
        <w:tblPrEx>
          <w:tblCellMar>
            <w:top w:w="57" w:type="dxa"/>
            <w:left w:w="57" w:type="dxa"/>
            <w:bottom w:w="57" w:type="dxa"/>
            <w:right w:w="57" w:type="dxa"/>
          </w:tblCellMar>
        </w:tblPrEx>
        <w:trPr>
          <w:trHeight w:val="280" w:hRule="atLeast"/>
          <w:jc w:val="center"/>
        </w:trPr>
        <w:tc>
          <w:tcPr>
            <w:tcW w:w="1606" w:type="pct"/>
            <w:gridSpan w:val="2"/>
            <w:tcBorders>
              <w:top w:val="single" w:color="auto" w:sz="4" w:space="0"/>
              <w:left w:val="single" w:color="auto" w:sz="4" w:space="0"/>
              <w:bottom w:val="single" w:color="auto" w:sz="4" w:space="0"/>
              <w:right w:val="single" w:color="000000" w:sz="4" w:space="0"/>
            </w:tcBorders>
            <w:noWrap/>
            <w:vAlign w:val="bottom"/>
          </w:tcPr>
          <w:p w14:paraId="3A1807C9">
            <w:pPr>
              <w:widowControl/>
              <w:adjustRightInd/>
              <w:spacing w:line="240" w:lineRule="exact"/>
              <w:jc w:val="center"/>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交易情况</w:t>
            </w:r>
          </w:p>
        </w:tc>
        <w:tc>
          <w:tcPr>
            <w:tcW w:w="1131" w:type="pct"/>
            <w:tcBorders>
              <w:top w:val="nil"/>
              <w:left w:val="nil"/>
              <w:bottom w:val="single" w:color="auto" w:sz="4" w:space="0"/>
              <w:right w:val="single" w:color="auto" w:sz="4" w:space="0"/>
            </w:tcBorders>
            <w:noWrap/>
            <w:vAlign w:val="center"/>
          </w:tcPr>
          <w:p w14:paraId="671E7812">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0BF808EC">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0E9FF4C9">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r>
      <w:tr w14:paraId="2C5C961D">
        <w:tblPrEx>
          <w:tblCellMar>
            <w:top w:w="57" w:type="dxa"/>
            <w:left w:w="57" w:type="dxa"/>
            <w:bottom w:w="57" w:type="dxa"/>
            <w:right w:w="57" w:type="dxa"/>
          </w:tblCellMar>
        </w:tblPrEx>
        <w:trPr>
          <w:trHeight w:val="296" w:hRule="atLeast"/>
          <w:jc w:val="center"/>
        </w:trPr>
        <w:tc>
          <w:tcPr>
            <w:tcW w:w="1606" w:type="pct"/>
            <w:gridSpan w:val="2"/>
            <w:tcBorders>
              <w:top w:val="single" w:color="auto" w:sz="4" w:space="0"/>
              <w:left w:val="single" w:color="auto" w:sz="4" w:space="0"/>
              <w:bottom w:val="single" w:color="auto" w:sz="4" w:space="0"/>
              <w:right w:val="single" w:color="auto" w:sz="4" w:space="0"/>
            </w:tcBorders>
            <w:noWrap/>
            <w:vAlign w:val="center"/>
          </w:tcPr>
          <w:p w14:paraId="3D3B24E7">
            <w:pPr>
              <w:widowControl/>
              <w:adjustRightInd/>
              <w:spacing w:line="240" w:lineRule="exact"/>
              <w:jc w:val="center"/>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用途</w:t>
            </w:r>
          </w:p>
        </w:tc>
        <w:tc>
          <w:tcPr>
            <w:tcW w:w="1131" w:type="pct"/>
            <w:tcBorders>
              <w:top w:val="nil"/>
              <w:left w:val="nil"/>
              <w:bottom w:val="single" w:color="auto" w:sz="4" w:space="0"/>
              <w:right w:val="single" w:color="auto" w:sz="4" w:space="0"/>
            </w:tcBorders>
            <w:noWrap/>
            <w:vAlign w:val="center"/>
          </w:tcPr>
          <w:p w14:paraId="6F6F64E2">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100/105</w:t>
            </w:r>
          </w:p>
        </w:tc>
        <w:tc>
          <w:tcPr>
            <w:tcW w:w="1131" w:type="pct"/>
            <w:tcBorders>
              <w:top w:val="nil"/>
              <w:left w:val="nil"/>
              <w:bottom w:val="single" w:color="auto" w:sz="4" w:space="0"/>
              <w:right w:val="single" w:color="auto" w:sz="4" w:space="0"/>
            </w:tcBorders>
            <w:noWrap/>
            <w:vAlign w:val="center"/>
          </w:tcPr>
          <w:p w14:paraId="4CA4521E">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100/105</w:t>
            </w:r>
          </w:p>
        </w:tc>
        <w:tc>
          <w:tcPr>
            <w:tcW w:w="1131" w:type="pct"/>
            <w:tcBorders>
              <w:top w:val="nil"/>
              <w:left w:val="nil"/>
              <w:bottom w:val="single" w:color="auto" w:sz="4" w:space="0"/>
              <w:right w:val="single" w:color="auto" w:sz="4" w:space="0"/>
            </w:tcBorders>
            <w:noWrap/>
            <w:vAlign w:val="center"/>
          </w:tcPr>
          <w:p w14:paraId="4150FBB9">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100/105</w:t>
            </w:r>
          </w:p>
        </w:tc>
      </w:tr>
      <w:tr w14:paraId="06647EF6">
        <w:tblPrEx>
          <w:tblCellMar>
            <w:top w:w="57" w:type="dxa"/>
            <w:left w:w="57" w:type="dxa"/>
            <w:bottom w:w="57" w:type="dxa"/>
            <w:right w:w="57" w:type="dxa"/>
          </w:tblCellMar>
        </w:tblPrEx>
        <w:trPr>
          <w:trHeight w:val="280" w:hRule="atLeast"/>
          <w:jc w:val="center"/>
        </w:trPr>
        <w:tc>
          <w:tcPr>
            <w:tcW w:w="626" w:type="pct"/>
            <w:vMerge w:val="restart"/>
            <w:tcBorders>
              <w:top w:val="single" w:color="auto" w:sz="4" w:space="0"/>
              <w:left w:val="single" w:color="auto" w:sz="4" w:space="0"/>
              <w:bottom w:val="single" w:color="000000" w:sz="4" w:space="0"/>
              <w:right w:val="single" w:color="auto" w:sz="4" w:space="0"/>
            </w:tcBorders>
            <w:noWrap/>
            <w:vAlign w:val="center"/>
          </w:tcPr>
          <w:p w14:paraId="38CB2D23">
            <w:pPr>
              <w:widowControl/>
              <w:adjustRightInd/>
              <w:spacing w:line="240" w:lineRule="exact"/>
              <w:jc w:val="center"/>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区域因素</w:t>
            </w:r>
          </w:p>
        </w:tc>
        <w:tc>
          <w:tcPr>
            <w:tcW w:w="980" w:type="pct"/>
            <w:tcBorders>
              <w:top w:val="single" w:color="auto" w:sz="4" w:space="0"/>
              <w:left w:val="nil"/>
              <w:bottom w:val="single" w:color="auto" w:sz="4" w:space="0"/>
              <w:right w:val="single" w:color="auto" w:sz="4" w:space="0"/>
            </w:tcBorders>
            <w:noWrap/>
            <w:vAlign w:val="center"/>
          </w:tcPr>
          <w:p w14:paraId="7A4B8A12">
            <w:pPr>
              <w:widowControl/>
              <w:adjustRightInd/>
              <w:spacing w:line="240" w:lineRule="exact"/>
              <w:textAlignment w:val="auto"/>
              <w:rPr>
                <w:rFonts w:ascii="Arial" w:hAnsi="Arial" w:eastAsia="仿宋" w:cs="Arial"/>
                <w:snapToGrid w:val="0"/>
                <w:color w:val="auto"/>
                <w:sz w:val="20"/>
                <w:szCs w:val="21"/>
                <w:lang w:eastAsia="zh-Hans"/>
              </w:rPr>
            </w:pPr>
            <w:r>
              <w:rPr>
                <w:rFonts w:ascii="Arial" w:hAnsi="Arial" w:eastAsia="仿宋" w:cs="Arial"/>
                <w:snapToGrid w:val="0"/>
                <w:color w:val="auto"/>
                <w:sz w:val="20"/>
                <w:szCs w:val="21"/>
                <w:lang w:eastAsia="zh-Hans"/>
              </w:rPr>
              <w:t>物业集聚程度</w:t>
            </w:r>
          </w:p>
        </w:tc>
        <w:tc>
          <w:tcPr>
            <w:tcW w:w="1131" w:type="pct"/>
            <w:tcBorders>
              <w:top w:val="nil"/>
              <w:left w:val="nil"/>
              <w:bottom w:val="single" w:color="auto" w:sz="4" w:space="0"/>
              <w:right w:val="single" w:color="auto" w:sz="4" w:space="0"/>
            </w:tcBorders>
            <w:noWrap/>
            <w:vAlign w:val="center"/>
          </w:tcPr>
          <w:p w14:paraId="24031084">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33D211A9">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100/106</w:t>
            </w:r>
          </w:p>
        </w:tc>
        <w:tc>
          <w:tcPr>
            <w:tcW w:w="1131" w:type="pct"/>
            <w:tcBorders>
              <w:top w:val="nil"/>
              <w:left w:val="nil"/>
              <w:bottom w:val="single" w:color="auto" w:sz="4" w:space="0"/>
              <w:right w:val="single" w:color="auto" w:sz="4" w:space="0"/>
            </w:tcBorders>
            <w:noWrap/>
            <w:vAlign w:val="center"/>
          </w:tcPr>
          <w:p w14:paraId="6645CF23">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100/106</w:t>
            </w:r>
          </w:p>
        </w:tc>
      </w:tr>
      <w:tr w14:paraId="6AE27028">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266D97E7">
            <w:pPr>
              <w:widowControl/>
              <w:adjustRightInd/>
              <w:spacing w:line="240" w:lineRule="exact"/>
              <w:textAlignment w:val="auto"/>
              <w:rPr>
                <w:rFonts w:ascii="Arial" w:hAnsi="Arial" w:eastAsia="仿宋" w:cs="Arial"/>
                <w:snapToGrid w:val="0"/>
                <w:color w:val="auto"/>
                <w:sz w:val="20"/>
                <w:szCs w:val="21"/>
              </w:rPr>
            </w:pPr>
          </w:p>
        </w:tc>
        <w:tc>
          <w:tcPr>
            <w:tcW w:w="980" w:type="pct"/>
            <w:tcBorders>
              <w:top w:val="nil"/>
              <w:left w:val="nil"/>
              <w:bottom w:val="single" w:color="auto" w:sz="4" w:space="0"/>
              <w:right w:val="single" w:color="auto" w:sz="4" w:space="0"/>
            </w:tcBorders>
            <w:noWrap/>
            <w:vAlign w:val="center"/>
          </w:tcPr>
          <w:p w14:paraId="13C487EB">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交通便捷度</w:t>
            </w:r>
          </w:p>
        </w:tc>
        <w:tc>
          <w:tcPr>
            <w:tcW w:w="1131" w:type="pct"/>
            <w:tcBorders>
              <w:top w:val="nil"/>
              <w:left w:val="nil"/>
              <w:bottom w:val="single" w:color="auto" w:sz="4" w:space="0"/>
              <w:right w:val="single" w:color="auto" w:sz="4" w:space="0"/>
            </w:tcBorders>
            <w:noWrap/>
            <w:vAlign w:val="center"/>
          </w:tcPr>
          <w:p w14:paraId="3C01121D">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3084241E">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100/106</w:t>
            </w:r>
          </w:p>
        </w:tc>
        <w:tc>
          <w:tcPr>
            <w:tcW w:w="1131" w:type="pct"/>
            <w:tcBorders>
              <w:top w:val="nil"/>
              <w:left w:val="nil"/>
              <w:bottom w:val="single" w:color="auto" w:sz="4" w:space="0"/>
              <w:right w:val="single" w:color="auto" w:sz="4" w:space="0"/>
            </w:tcBorders>
            <w:noWrap/>
            <w:vAlign w:val="center"/>
          </w:tcPr>
          <w:p w14:paraId="1B493CC6">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100/106</w:t>
            </w:r>
          </w:p>
        </w:tc>
      </w:tr>
      <w:tr w14:paraId="1EAD6D54">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28980095">
            <w:pPr>
              <w:widowControl/>
              <w:adjustRightInd/>
              <w:spacing w:line="240" w:lineRule="exact"/>
              <w:textAlignment w:val="auto"/>
              <w:rPr>
                <w:rFonts w:ascii="Arial" w:hAnsi="Arial" w:eastAsia="仿宋" w:cs="Arial"/>
                <w:snapToGrid w:val="0"/>
                <w:color w:val="auto"/>
                <w:sz w:val="20"/>
                <w:szCs w:val="21"/>
              </w:rPr>
            </w:pPr>
          </w:p>
        </w:tc>
        <w:tc>
          <w:tcPr>
            <w:tcW w:w="980" w:type="pct"/>
            <w:tcBorders>
              <w:top w:val="nil"/>
              <w:left w:val="nil"/>
              <w:bottom w:val="single" w:color="auto" w:sz="4" w:space="0"/>
              <w:right w:val="single" w:color="auto" w:sz="4" w:space="0"/>
            </w:tcBorders>
            <w:noWrap/>
            <w:vAlign w:val="center"/>
          </w:tcPr>
          <w:p w14:paraId="55736BCD">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公共配套设施</w:t>
            </w:r>
          </w:p>
        </w:tc>
        <w:tc>
          <w:tcPr>
            <w:tcW w:w="1131" w:type="pct"/>
            <w:tcBorders>
              <w:top w:val="nil"/>
              <w:left w:val="nil"/>
              <w:bottom w:val="single" w:color="auto" w:sz="4" w:space="0"/>
              <w:right w:val="single" w:color="auto" w:sz="4" w:space="0"/>
            </w:tcBorders>
            <w:noWrap/>
            <w:vAlign w:val="center"/>
          </w:tcPr>
          <w:p w14:paraId="45C55BA1">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0B6EDAD7">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100/104</w:t>
            </w:r>
          </w:p>
        </w:tc>
        <w:tc>
          <w:tcPr>
            <w:tcW w:w="1131" w:type="pct"/>
            <w:tcBorders>
              <w:top w:val="nil"/>
              <w:left w:val="nil"/>
              <w:bottom w:val="single" w:color="auto" w:sz="4" w:space="0"/>
              <w:right w:val="single" w:color="auto" w:sz="4" w:space="0"/>
            </w:tcBorders>
            <w:noWrap/>
            <w:vAlign w:val="center"/>
          </w:tcPr>
          <w:p w14:paraId="263299DC">
            <w:pPr>
              <w:spacing w:line="240" w:lineRule="exact"/>
              <w:jc w:val="center"/>
              <w:rPr>
                <w:rFonts w:ascii="Arial" w:hAnsi="Arial" w:eastAsia="仿宋" w:cs="Arial"/>
                <w:snapToGrid w:val="0"/>
                <w:color w:val="auto"/>
                <w:sz w:val="20"/>
                <w:szCs w:val="21"/>
              </w:rPr>
            </w:pPr>
            <w:r>
              <w:rPr>
                <w:rFonts w:ascii="Arial" w:hAnsi="Arial" w:eastAsia="仿宋" w:cs="Arial"/>
                <w:snapToGrid w:val="0"/>
                <w:color w:val="auto"/>
                <w:sz w:val="20"/>
                <w:szCs w:val="21"/>
              </w:rPr>
              <w:t>100/10</w:t>
            </w:r>
            <w:r>
              <w:rPr>
                <w:rFonts w:hint="eastAsia" w:ascii="Arial" w:hAnsi="Arial" w:eastAsia="仿宋" w:cs="Arial"/>
                <w:snapToGrid w:val="0"/>
                <w:color w:val="auto"/>
                <w:sz w:val="20"/>
                <w:szCs w:val="21"/>
              </w:rPr>
              <w:t>4</w:t>
            </w:r>
          </w:p>
        </w:tc>
      </w:tr>
      <w:tr w14:paraId="55D6B477">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693FFD78">
            <w:pPr>
              <w:widowControl/>
              <w:adjustRightInd/>
              <w:spacing w:line="240" w:lineRule="exact"/>
              <w:textAlignment w:val="auto"/>
              <w:rPr>
                <w:rFonts w:ascii="Arial" w:hAnsi="Arial" w:eastAsia="仿宋" w:cs="Arial"/>
                <w:snapToGrid w:val="0"/>
                <w:color w:val="auto"/>
                <w:sz w:val="20"/>
                <w:szCs w:val="21"/>
              </w:rPr>
            </w:pPr>
          </w:p>
        </w:tc>
        <w:tc>
          <w:tcPr>
            <w:tcW w:w="980" w:type="pct"/>
            <w:tcBorders>
              <w:top w:val="nil"/>
              <w:left w:val="nil"/>
              <w:bottom w:val="single" w:color="auto" w:sz="4" w:space="0"/>
              <w:right w:val="single" w:color="auto" w:sz="4" w:space="0"/>
            </w:tcBorders>
            <w:noWrap/>
            <w:vAlign w:val="center"/>
          </w:tcPr>
          <w:p w14:paraId="2F85EA78">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基础设施水平</w:t>
            </w:r>
          </w:p>
        </w:tc>
        <w:tc>
          <w:tcPr>
            <w:tcW w:w="1131" w:type="pct"/>
            <w:tcBorders>
              <w:top w:val="nil"/>
              <w:left w:val="nil"/>
              <w:bottom w:val="single" w:color="auto" w:sz="4" w:space="0"/>
              <w:right w:val="single" w:color="auto" w:sz="4" w:space="0"/>
            </w:tcBorders>
            <w:noWrap/>
            <w:vAlign w:val="center"/>
          </w:tcPr>
          <w:p w14:paraId="77E38706">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7A2AF9AC">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41584B20">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r>
      <w:tr w14:paraId="331F2666">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138DE327">
            <w:pPr>
              <w:widowControl/>
              <w:adjustRightInd/>
              <w:spacing w:line="240" w:lineRule="exact"/>
              <w:textAlignment w:val="auto"/>
              <w:rPr>
                <w:rFonts w:ascii="Arial" w:hAnsi="Arial" w:eastAsia="仿宋" w:cs="Arial"/>
                <w:snapToGrid w:val="0"/>
                <w:color w:val="auto"/>
                <w:sz w:val="20"/>
                <w:szCs w:val="21"/>
              </w:rPr>
            </w:pPr>
          </w:p>
        </w:tc>
        <w:tc>
          <w:tcPr>
            <w:tcW w:w="980" w:type="pct"/>
            <w:tcBorders>
              <w:top w:val="nil"/>
              <w:left w:val="nil"/>
              <w:bottom w:val="single" w:color="auto" w:sz="4" w:space="0"/>
              <w:right w:val="single" w:color="auto" w:sz="4" w:space="0"/>
            </w:tcBorders>
            <w:noWrap/>
            <w:vAlign w:val="center"/>
          </w:tcPr>
          <w:p w14:paraId="6288C6E0">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自然及人文环境</w:t>
            </w:r>
          </w:p>
        </w:tc>
        <w:tc>
          <w:tcPr>
            <w:tcW w:w="1131" w:type="pct"/>
            <w:tcBorders>
              <w:top w:val="nil"/>
              <w:left w:val="nil"/>
              <w:bottom w:val="single" w:color="auto" w:sz="4" w:space="0"/>
              <w:right w:val="single" w:color="auto" w:sz="4" w:space="0"/>
            </w:tcBorders>
            <w:noWrap/>
            <w:vAlign w:val="center"/>
          </w:tcPr>
          <w:p w14:paraId="0FABE796">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3F60F85A">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100/105</w:t>
            </w:r>
          </w:p>
        </w:tc>
        <w:tc>
          <w:tcPr>
            <w:tcW w:w="1131" w:type="pct"/>
            <w:tcBorders>
              <w:top w:val="nil"/>
              <w:left w:val="nil"/>
              <w:bottom w:val="single" w:color="auto" w:sz="4" w:space="0"/>
              <w:right w:val="single" w:color="auto" w:sz="4" w:space="0"/>
            </w:tcBorders>
            <w:noWrap/>
            <w:vAlign w:val="center"/>
          </w:tcPr>
          <w:p w14:paraId="3EBC0A20">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r>
      <w:tr w14:paraId="4527C39B">
        <w:tblPrEx>
          <w:tblCellMar>
            <w:top w:w="57" w:type="dxa"/>
            <w:left w:w="57" w:type="dxa"/>
            <w:bottom w:w="57" w:type="dxa"/>
            <w:right w:w="57" w:type="dxa"/>
          </w:tblCellMar>
        </w:tblPrEx>
        <w:trPr>
          <w:trHeight w:val="412" w:hRule="atLeast"/>
          <w:jc w:val="center"/>
        </w:trPr>
        <w:tc>
          <w:tcPr>
            <w:tcW w:w="626" w:type="pct"/>
            <w:vMerge w:val="restart"/>
            <w:tcBorders>
              <w:top w:val="nil"/>
              <w:left w:val="single" w:color="auto" w:sz="4" w:space="0"/>
              <w:bottom w:val="single" w:color="000000" w:sz="4" w:space="0"/>
              <w:right w:val="single" w:color="auto" w:sz="4" w:space="0"/>
            </w:tcBorders>
            <w:noWrap/>
            <w:vAlign w:val="center"/>
          </w:tcPr>
          <w:p w14:paraId="7931A58F">
            <w:pPr>
              <w:widowControl/>
              <w:adjustRightInd/>
              <w:spacing w:line="240" w:lineRule="exact"/>
              <w:jc w:val="center"/>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个别因素</w:t>
            </w:r>
          </w:p>
        </w:tc>
        <w:tc>
          <w:tcPr>
            <w:tcW w:w="980" w:type="pct"/>
            <w:tcBorders>
              <w:top w:val="single" w:color="auto" w:sz="4" w:space="0"/>
              <w:left w:val="nil"/>
              <w:bottom w:val="single" w:color="auto" w:sz="4" w:space="0"/>
              <w:right w:val="single" w:color="auto" w:sz="4" w:space="0"/>
            </w:tcBorders>
            <w:noWrap/>
            <w:vAlign w:val="center"/>
          </w:tcPr>
          <w:p w14:paraId="7A9EC603">
            <w:pPr>
              <w:spacing w:line="240" w:lineRule="exact"/>
              <w:rPr>
                <w:rFonts w:ascii="Arial" w:hAnsi="Arial" w:eastAsia="仿宋" w:cs="Arial"/>
                <w:snapToGrid w:val="0"/>
                <w:color w:val="auto"/>
                <w:sz w:val="20"/>
                <w:szCs w:val="21"/>
              </w:rPr>
            </w:pPr>
            <w:r>
              <w:rPr>
                <w:rFonts w:ascii="Arial" w:hAnsi="Arial" w:eastAsia="仿宋" w:cs="Arial"/>
                <w:snapToGrid w:val="0"/>
                <w:color w:val="auto"/>
                <w:sz w:val="20"/>
                <w:szCs w:val="21"/>
              </w:rPr>
              <w:t>项目建筑规模</w:t>
            </w:r>
          </w:p>
        </w:tc>
        <w:tc>
          <w:tcPr>
            <w:tcW w:w="1131" w:type="pct"/>
            <w:tcBorders>
              <w:top w:val="single" w:color="auto" w:sz="4" w:space="0"/>
              <w:left w:val="nil"/>
              <w:bottom w:val="single" w:color="auto" w:sz="4" w:space="0"/>
              <w:right w:val="single" w:color="auto" w:sz="4" w:space="0"/>
            </w:tcBorders>
            <w:noWrap/>
            <w:vAlign w:val="center"/>
          </w:tcPr>
          <w:p w14:paraId="1244115A">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100/99</w:t>
            </w:r>
          </w:p>
        </w:tc>
        <w:tc>
          <w:tcPr>
            <w:tcW w:w="1131" w:type="pct"/>
            <w:tcBorders>
              <w:top w:val="single" w:color="auto" w:sz="4" w:space="0"/>
              <w:left w:val="nil"/>
              <w:bottom w:val="single" w:color="auto" w:sz="4" w:space="0"/>
              <w:right w:val="single" w:color="auto" w:sz="4" w:space="0"/>
            </w:tcBorders>
            <w:noWrap/>
            <w:vAlign w:val="center"/>
          </w:tcPr>
          <w:p w14:paraId="39E636FF">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100/98</w:t>
            </w:r>
          </w:p>
        </w:tc>
        <w:tc>
          <w:tcPr>
            <w:tcW w:w="1131" w:type="pct"/>
            <w:tcBorders>
              <w:top w:val="single" w:color="auto" w:sz="4" w:space="0"/>
              <w:left w:val="nil"/>
              <w:bottom w:val="single" w:color="auto" w:sz="4" w:space="0"/>
              <w:right w:val="single" w:color="auto" w:sz="4" w:space="0"/>
            </w:tcBorders>
            <w:noWrap/>
            <w:vAlign w:val="center"/>
          </w:tcPr>
          <w:p w14:paraId="75B0F456">
            <w:pPr>
              <w:spacing w:line="240" w:lineRule="exact"/>
              <w:jc w:val="center"/>
              <w:rPr>
                <w:rFonts w:ascii="Arial" w:hAnsi="Arial" w:eastAsia="仿宋" w:cs="Arial"/>
                <w:snapToGrid w:val="0"/>
                <w:color w:val="auto"/>
                <w:sz w:val="20"/>
                <w:szCs w:val="21"/>
              </w:rPr>
            </w:pPr>
            <w:r>
              <w:rPr>
                <w:rFonts w:ascii="Arial" w:hAnsi="Arial" w:eastAsia="仿宋" w:cs="Arial"/>
                <w:snapToGrid w:val="0"/>
                <w:color w:val="auto"/>
                <w:sz w:val="20"/>
                <w:szCs w:val="21"/>
              </w:rPr>
              <w:t>100/10</w:t>
            </w:r>
            <w:r>
              <w:rPr>
                <w:rFonts w:hint="eastAsia" w:ascii="Arial" w:hAnsi="Arial" w:eastAsia="仿宋" w:cs="Arial"/>
                <w:snapToGrid w:val="0"/>
                <w:color w:val="auto"/>
                <w:sz w:val="20"/>
                <w:szCs w:val="21"/>
              </w:rPr>
              <w:t>0</w:t>
            </w:r>
          </w:p>
        </w:tc>
      </w:tr>
      <w:tr w14:paraId="1E726AC0">
        <w:tblPrEx>
          <w:tblCellMar>
            <w:top w:w="57" w:type="dxa"/>
            <w:left w:w="57" w:type="dxa"/>
            <w:bottom w:w="57" w:type="dxa"/>
            <w:right w:w="57" w:type="dxa"/>
          </w:tblCellMar>
        </w:tblPrEx>
        <w:trPr>
          <w:trHeight w:val="280" w:hRule="atLeast"/>
          <w:jc w:val="center"/>
        </w:trPr>
        <w:tc>
          <w:tcPr>
            <w:tcW w:w="626" w:type="pct"/>
            <w:vMerge w:val="continue"/>
            <w:tcBorders>
              <w:top w:val="nil"/>
              <w:left w:val="single" w:color="auto" w:sz="4" w:space="0"/>
              <w:bottom w:val="single" w:color="000000" w:sz="4" w:space="0"/>
              <w:right w:val="single" w:color="auto" w:sz="4" w:space="0"/>
            </w:tcBorders>
            <w:vAlign w:val="center"/>
          </w:tcPr>
          <w:p w14:paraId="67C487AE">
            <w:pPr>
              <w:widowControl/>
              <w:adjustRightInd/>
              <w:spacing w:line="240" w:lineRule="exact"/>
              <w:textAlignment w:val="auto"/>
              <w:rPr>
                <w:rFonts w:ascii="Arial" w:hAnsi="Arial" w:eastAsia="仿宋" w:cs="Arial"/>
                <w:snapToGrid w:val="0"/>
                <w:color w:val="auto"/>
                <w:sz w:val="20"/>
                <w:szCs w:val="21"/>
              </w:rPr>
            </w:pPr>
          </w:p>
        </w:tc>
        <w:tc>
          <w:tcPr>
            <w:tcW w:w="980" w:type="pct"/>
            <w:tcBorders>
              <w:top w:val="single" w:color="auto" w:sz="4" w:space="0"/>
              <w:left w:val="nil"/>
              <w:bottom w:val="single" w:color="auto" w:sz="4" w:space="0"/>
              <w:right w:val="single" w:color="auto" w:sz="4" w:space="0"/>
            </w:tcBorders>
            <w:noWrap/>
            <w:vAlign w:val="center"/>
          </w:tcPr>
          <w:p w14:paraId="66364AD8">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建筑结构</w:t>
            </w:r>
          </w:p>
        </w:tc>
        <w:tc>
          <w:tcPr>
            <w:tcW w:w="1131" w:type="pct"/>
            <w:tcBorders>
              <w:top w:val="single" w:color="auto" w:sz="4" w:space="0"/>
              <w:left w:val="nil"/>
              <w:bottom w:val="single" w:color="auto" w:sz="4" w:space="0"/>
              <w:right w:val="single" w:color="auto" w:sz="4" w:space="0"/>
            </w:tcBorders>
            <w:noWrap/>
            <w:vAlign w:val="center"/>
          </w:tcPr>
          <w:p w14:paraId="4342E408">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single" w:color="auto" w:sz="4" w:space="0"/>
              <w:left w:val="nil"/>
              <w:bottom w:val="single" w:color="auto" w:sz="4" w:space="0"/>
              <w:right w:val="single" w:color="auto" w:sz="4" w:space="0"/>
            </w:tcBorders>
            <w:noWrap/>
            <w:vAlign w:val="center"/>
          </w:tcPr>
          <w:p w14:paraId="0341E9CF">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single" w:color="auto" w:sz="4" w:space="0"/>
              <w:left w:val="nil"/>
              <w:bottom w:val="single" w:color="auto" w:sz="4" w:space="0"/>
              <w:right w:val="single" w:color="auto" w:sz="4" w:space="0"/>
            </w:tcBorders>
            <w:noWrap/>
            <w:vAlign w:val="center"/>
          </w:tcPr>
          <w:p w14:paraId="739ED277">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r>
      <w:tr w14:paraId="7DC8CA6F">
        <w:tblPrEx>
          <w:tblCellMar>
            <w:top w:w="57" w:type="dxa"/>
            <w:left w:w="57" w:type="dxa"/>
            <w:bottom w:w="57" w:type="dxa"/>
            <w:right w:w="57" w:type="dxa"/>
          </w:tblCellMar>
        </w:tblPrEx>
        <w:trPr>
          <w:trHeight w:val="280" w:hRule="atLeast"/>
          <w:jc w:val="center"/>
        </w:trPr>
        <w:tc>
          <w:tcPr>
            <w:tcW w:w="626" w:type="pct"/>
            <w:vMerge w:val="continue"/>
            <w:tcBorders>
              <w:top w:val="nil"/>
              <w:left w:val="single" w:color="auto" w:sz="4" w:space="0"/>
              <w:bottom w:val="single" w:color="000000" w:sz="4" w:space="0"/>
              <w:right w:val="single" w:color="auto" w:sz="4" w:space="0"/>
            </w:tcBorders>
            <w:vAlign w:val="center"/>
          </w:tcPr>
          <w:p w14:paraId="6DC3977C">
            <w:pPr>
              <w:widowControl/>
              <w:adjustRightInd/>
              <w:spacing w:line="240" w:lineRule="exact"/>
              <w:textAlignment w:val="auto"/>
              <w:rPr>
                <w:rFonts w:ascii="Arial" w:hAnsi="Arial" w:eastAsia="仿宋" w:cs="Arial"/>
                <w:snapToGrid w:val="0"/>
                <w:color w:val="auto"/>
                <w:sz w:val="20"/>
                <w:szCs w:val="21"/>
              </w:rPr>
            </w:pPr>
          </w:p>
        </w:tc>
        <w:tc>
          <w:tcPr>
            <w:tcW w:w="980" w:type="pct"/>
            <w:tcBorders>
              <w:top w:val="nil"/>
              <w:left w:val="nil"/>
              <w:bottom w:val="single" w:color="auto" w:sz="4" w:space="0"/>
              <w:right w:val="single" w:color="auto" w:sz="4" w:space="0"/>
            </w:tcBorders>
            <w:noWrap/>
            <w:vAlign w:val="center"/>
          </w:tcPr>
          <w:p w14:paraId="2CF6D17B">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公共部分装修</w:t>
            </w:r>
          </w:p>
        </w:tc>
        <w:tc>
          <w:tcPr>
            <w:tcW w:w="1131" w:type="pct"/>
            <w:tcBorders>
              <w:top w:val="nil"/>
              <w:left w:val="nil"/>
              <w:bottom w:val="single" w:color="auto" w:sz="4" w:space="0"/>
              <w:right w:val="single" w:color="auto" w:sz="4" w:space="0"/>
            </w:tcBorders>
            <w:noWrap/>
            <w:vAlign w:val="center"/>
          </w:tcPr>
          <w:p w14:paraId="5FF09A63">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7259E75D">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7091093E">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r>
      <w:tr w14:paraId="7143EF39">
        <w:tblPrEx>
          <w:tblCellMar>
            <w:top w:w="57" w:type="dxa"/>
            <w:left w:w="57" w:type="dxa"/>
            <w:bottom w:w="57" w:type="dxa"/>
            <w:right w:w="57" w:type="dxa"/>
          </w:tblCellMar>
        </w:tblPrEx>
        <w:trPr>
          <w:trHeight w:val="280" w:hRule="atLeast"/>
          <w:jc w:val="center"/>
        </w:trPr>
        <w:tc>
          <w:tcPr>
            <w:tcW w:w="626" w:type="pct"/>
            <w:vMerge w:val="continue"/>
            <w:tcBorders>
              <w:top w:val="nil"/>
              <w:left w:val="single" w:color="auto" w:sz="4" w:space="0"/>
              <w:bottom w:val="single" w:color="000000" w:sz="4" w:space="0"/>
              <w:right w:val="single" w:color="auto" w:sz="4" w:space="0"/>
            </w:tcBorders>
            <w:vAlign w:val="center"/>
          </w:tcPr>
          <w:p w14:paraId="2A9F1F7F">
            <w:pPr>
              <w:widowControl/>
              <w:adjustRightInd/>
              <w:spacing w:line="240" w:lineRule="exact"/>
              <w:textAlignment w:val="auto"/>
              <w:rPr>
                <w:rFonts w:ascii="Arial" w:hAnsi="Arial" w:eastAsia="仿宋" w:cs="Arial"/>
                <w:snapToGrid w:val="0"/>
                <w:color w:val="auto"/>
                <w:sz w:val="20"/>
                <w:szCs w:val="21"/>
              </w:rPr>
            </w:pPr>
          </w:p>
        </w:tc>
        <w:tc>
          <w:tcPr>
            <w:tcW w:w="980" w:type="pct"/>
            <w:tcBorders>
              <w:top w:val="nil"/>
              <w:left w:val="nil"/>
              <w:bottom w:val="single" w:color="auto" w:sz="4" w:space="0"/>
              <w:right w:val="single" w:color="auto" w:sz="4" w:space="0"/>
            </w:tcBorders>
            <w:noWrap/>
            <w:vAlign w:val="center"/>
          </w:tcPr>
          <w:p w14:paraId="73D559CD">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成新度</w:t>
            </w:r>
          </w:p>
        </w:tc>
        <w:tc>
          <w:tcPr>
            <w:tcW w:w="1131" w:type="pct"/>
            <w:tcBorders>
              <w:top w:val="nil"/>
              <w:left w:val="nil"/>
              <w:bottom w:val="single" w:color="auto" w:sz="4" w:space="0"/>
              <w:right w:val="single" w:color="auto" w:sz="4" w:space="0"/>
            </w:tcBorders>
            <w:noWrap/>
            <w:vAlign w:val="center"/>
          </w:tcPr>
          <w:p w14:paraId="504D7EED">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100/99</w:t>
            </w:r>
          </w:p>
        </w:tc>
        <w:tc>
          <w:tcPr>
            <w:tcW w:w="1131" w:type="pct"/>
            <w:tcBorders>
              <w:top w:val="nil"/>
              <w:left w:val="nil"/>
              <w:bottom w:val="single" w:color="auto" w:sz="4" w:space="0"/>
              <w:right w:val="single" w:color="auto" w:sz="4" w:space="0"/>
            </w:tcBorders>
            <w:noWrap/>
            <w:vAlign w:val="center"/>
          </w:tcPr>
          <w:p w14:paraId="70031071">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100/99</w:t>
            </w:r>
          </w:p>
        </w:tc>
        <w:tc>
          <w:tcPr>
            <w:tcW w:w="1131" w:type="pct"/>
            <w:tcBorders>
              <w:top w:val="nil"/>
              <w:left w:val="nil"/>
              <w:bottom w:val="single" w:color="auto" w:sz="4" w:space="0"/>
              <w:right w:val="single" w:color="auto" w:sz="4" w:space="0"/>
            </w:tcBorders>
            <w:noWrap/>
            <w:vAlign w:val="center"/>
          </w:tcPr>
          <w:p w14:paraId="0CABBA71">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100/99</w:t>
            </w:r>
          </w:p>
        </w:tc>
      </w:tr>
      <w:tr w14:paraId="1C5A053F">
        <w:tblPrEx>
          <w:tblCellMar>
            <w:top w:w="57" w:type="dxa"/>
            <w:left w:w="57" w:type="dxa"/>
            <w:bottom w:w="57" w:type="dxa"/>
            <w:right w:w="57" w:type="dxa"/>
          </w:tblCellMar>
        </w:tblPrEx>
        <w:trPr>
          <w:trHeight w:val="280" w:hRule="atLeast"/>
          <w:jc w:val="center"/>
        </w:trPr>
        <w:tc>
          <w:tcPr>
            <w:tcW w:w="626" w:type="pct"/>
            <w:vMerge w:val="continue"/>
            <w:tcBorders>
              <w:top w:val="nil"/>
              <w:left w:val="single" w:color="auto" w:sz="4" w:space="0"/>
              <w:bottom w:val="single" w:color="000000" w:sz="4" w:space="0"/>
              <w:right w:val="single" w:color="auto" w:sz="4" w:space="0"/>
            </w:tcBorders>
            <w:vAlign w:val="center"/>
          </w:tcPr>
          <w:p w14:paraId="6EC6F26B">
            <w:pPr>
              <w:widowControl/>
              <w:adjustRightInd/>
              <w:spacing w:line="240" w:lineRule="exact"/>
              <w:textAlignment w:val="auto"/>
              <w:rPr>
                <w:rFonts w:ascii="Arial" w:hAnsi="Arial" w:eastAsia="仿宋" w:cs="Arial"/>
                <w:snapToGrid w:val="0"/>
                <w:color w:val="auto"/>
                <w:sz w:val="20"/>
                <w:szCs w:val="21"/>
              </w:rPr>
            </w:pPr>
          </w:p>
        </w:tc>
        <w:tc>
          <w:tcPr>
            <w:tcW w:w="980" w:type="pct"/>
            <w:tcBorders>
              <w:top w:val="nil"/>
              <w:left w:val="nil"/>
              <w:bottom w:val="single" w:color="auto" w:sz="4" w:space="0"/>
              <w:right w:val="single" w:color="auto" w:sz="4" w:space="0"/>
            </w:tcBorders>
            <w:noWrap/>
            <w:vAlign w:val="center"/>
          </w:tcPr>
          <w:p w14:paraId="34201696">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层高</w:t>
            </w:r>
          </w:p>
        </w:tc>
        <w:tc>
          <w:tcPr>
            <w:tcW w:w="1131" w:type="pct"/>
            <w:tcBorders>
              <w:top w:val="nil"/>
              <w:left w:val="nil"/>
              <w:bottom w:val="single" w:color="auto" w:sz="4" w:space="0"/>
              <w:right w:val="single" w:color="auto" w:sz="4" w:space="0"/>
            </w:tcBorders>
            <w:noWrap/>
            <w:vAlign w:val="center"/>
          </w:tcPr>
          <w:p w14:paraId="169FA80E">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453DAD99">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c>
          <w:tcPr>
            <w:tcW w:w="1131" w:type="pct"/>
            <w:tcBorders>
              <w:top w:val="nil"/>
              <w:left w:val="nil"/>
              <w:bottom w:val="single" w:color="auto" w:sz="4" w:space="0"/>
              <w:right w:val="single" w:color="auto" w:sz="4" w:space="0"/>
            </w:tcBorders>
            <w:noWrap/>
            <w:vAlign w:val="center"/>
          </w:tcPr>
          <w:p w14:paraId="75BC9597">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100/100</w:t>
            </w:r>
          </w:p>
        </w:tc>
      </w:tr>
      <w:tr w14:paraId="157B57AA">
        <w:tblPrEx>
          <w:tblCellMar>
            <w:top w:w="57" w:type="dxa"/>
            <w:left w:w="57" w:type="dxa"/>
            <w:bottom w:w="57" w:type="dxa"/>
            <w:right w:w="57" w:type="dxa"/>
          </w:tblCellMar>
        </w:tblPrEx>
        <w:trPr>
          <w:trHeight w:val="280" w:hRule="atLeast"/>
          <w:jc w:val="center"/>
        </w:trPr>
        <w:tc>
          <w:tcPr>
            <w:tcW w:w="1606" w:type="pct"/>
            <w:gridSpan w:val="2"/>
            <w:tcBorders>
              <w:top w:val="nil"/>
              <w:left w:val="single" w:color="auto" w:sz="4" w:space="0"/>
              <w:bottom w:val="single" w:color="auto" w:sz="4" w:space="0"/>
              <w:right w:val="single" w:color="auto" w:sz="4" w:space="0"/>
            </w:tcBorders>
            <w:noWrap/>
            <w:vAlign w:val="bottom"/>
          </w:tcPr>
          <w:p w14:paraId="07D53B2D">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成交单价（元/平方米</w:t>
            </w:r>
            <w:r>
              <w:rPr>
                <w:rFonts w:ascii="Arial" w:hAnsi="Arial" w:eastAsia="微软雅黑" w:cs="Arial"/>
                <w:snapToGrid w:val="0"/>
                <w:color w:val="auto"/>
                <w:sz w:val="20"/>
                <w:szCs w:val="21"/>
              </w:rPr>
              <w:t>•</w:t>
            </w:r>
            <w:r>
              <w:rPr>
                <w:rFonts w:ascii="Arial" w:hAnsi="Arial" w:eastAsia="仿宋" w:cs="Arial"/>
                <w:snapToGrid w:val="0"/>
                <w:color w:val="auto"/>
                <w:sz w:val="20"/>
                <w:szCs w:val="21"/>
              </w:rPr>
              <w:t>天）</w:t>
            </w:r>
          </w:p>
        </w:tc>
        <w:tc>
          <w:tcPr>
            <w:tcW w:w="1131" w:type="pct"/>
            <w:tcBorders>
              <w:top w:val="nil"/>
              <w:left w:val="nil"/>
              <w:bottom w:val="single" w:color="auto" w:sz="4" w:space="0"/>
              <w:right w:val="single" w:color="auto" w:sz="4" w:space="0"/>
            </w:tcBorders>
            <w:noWrap/>
            <w:vAlign w:val="center"/>
          </w:tcPr>
          <w:p w14:paraId="056F022F">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2.2</w:t>
            </w:r>
          </w:p>
        </w:tc>
        <w:tc>
          <w:tcPr>
            <w:tcW w:w="1131" w:type="pct"/>
            <w:tcBorders>
              <w:top w:val="nil"/>
              <w:left w:val="nil"/>
              <w:bottom w:val="single" w:color="auto" w:sz="4" w:space="0"/>
              <w:right w:val="single" w:color="auto" w:sz="4" w:space="0"/>
            </w:tcBorders>
            <w:noWrap/>
            <w:vAlign w:val="center"/>
          </w:tcPr>
          <w:p w14:paraId="0D7CDB9D">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2.8</w:t>
            </w:r>
          </w:p>
        </w:tc>
        <w:tc>
          <w:tcPr>
            <w:tcW w:w="1131" w:type="pct"/>
            <w:tcBorders>
              <w:top w:val="nil"/>
              <w:left w:val="nil"/>
              <w:bottom w:val="single" w:color="auto" w:sz="4" w:space="0"/>
              <w:right w:val="single" w:color="auto" w:sz="4" w:space="0"/>
            </w:tcBorders>
            <w:noWrap/>
            <w:vAlign w:val="center"/>
          </w:tcPr>
          <w:p w14:paraId="56CA0D72">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2.3</w:t>
            </w:r>
          </w:p>
        </w:tc>
      </w:tr>
      <w:tr w14:paraId="5872BAD3">
        <w:tblPrEx>
          <w:tblCellMar>
            <w:top w:w="57" w:type="dxa"/>
            <w:left w:w="57" w:type="dxa"/>
            <w:bottom w:w="57" w:type="dxa"/>
            <w:right w:w="57" w:type="dxa"/>
          </w:tblCellMar>
        </w:tblPrEx>
        <w:trPr>
          <w:trHeight w:val="280" w:hRule="atLeast"/>
          <w:jc w:val="center"/>
        </w:trPr>
        <w:tc>
          <w:tcPr>
            <w:tcW w:w="1606" w:type="pct"/>
            <w:gridSpan w:val="2"/>
            <w:tcBorders>
              <w:top w:val="nil"/>
              <w:left w:val="single" w:color="auto" w:sz="4" w:space="0"/>
              <w:bottom w:val="single" w:color="auto" w:sz="4" w:space="0"/>
              <w:right w:val="single" w:color="auto" w:sz="4" w:space="0"/>
            </w:tcBorders>
            <w:noWrap/>
            <w:vAlign w:val="bottom"/>
          </w:tcPr>
          <w:p w14:paraId="7AD84B36">
            <w:pPr>
              <w:widowControl/>
              <w:adjustRightInd/>
              <w:spacing w:line="240" w:lineRule="exact"/>
              <w:textAlignment w:val="auto"/>
              <w:rPr>
                <w:rFonts w:ascii="Arial" w:hAnsi="Arial" w:eastAsia="仿宋" w:cs="Arial"/>
                <w:snapToGrid w:val="0"/>
                <w:color w:val="auto"/>
                <w:sz w:val="20"/>
                <w:szCs w:val="21"/>
              </w:rPr>
            </w:pPr>
            <w:r>
              <w:rPr>
                <w:rFonts w:ascii="Arial" w:hAnsi="Arial" w:eastAsia="仿宋" w:cs="Arial"/>
                <w:snapToGrid w:val="0"/>
                <w:color w:val="auto"/>
                <w:sz w:val="20"/>
                <w:szCs w:val="21"/>
              </w:rPr>
              <w:t>比较价格（元/平方米</w:t>
            </w:r>
            <w:r>
              <w:rPr>
                <w:rFonts w:ascii="Arial" w:hAnsi="Arial" w:eastAsia="微软雅黑" w:cs="Arial"/>
                <w:snapToGrid w:val="0"/>
                <w:color w:val="auto"/>
                <w:sz w:val="20"/>
                <w:szCs w:val="21"/>
              </w:rPr>
              <w:t>•</w:t>
            </w:r>
            <w:r>
              <w:rPr>
                <w:rFonts w:ascii="Arial" w:hAnsi="Arial" w:eastAsia="仿宋" w:cs="Arial"/>
                <w:snapToGrid w:val="0"/>
                <w:color w:val="auto"/>
                <w:sz w:val="20"/>
                <w:szCs w:val="21"/>
              </w:rPr>
              <w:t>天）</w:t>
            </w:r>
          </w:p>
        </w:tc>
        <w:tc>
          <w:tcPr>
            <w:tcW w:w="1131" w:type="pct"/>
            <w:tcBorders>
              <w:top w:val="nil"/>
              <w:left w:val="nil"/>
              <w:bottom w:val="single" w:color="auto" w:sz="4" w:space="0"/>
              <w:right w:val="single" w:color="auto" w:sz="4" w:space="0"/>
            </w:tcBorders>
            <w:noWrap/>
            <w:vAlign w:val="center"/>
          </w:tcPr>
          <w:p w14:paraId="10E43292">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2.1</w:t>
            </w:r>
          </w:p>
        </w:tc>
        <w:tc>
          <w:tcPr>
            <w:tcW w:w="1131" w:type="pct"/>
            <w:tcBorders>
              <w:top w:val="nil"/>
              <w:left w:val="nil"/>
              <w:bottom w:val="single" w:color="auto" w:sz="4" w:space="0"/>
              <w:right w:val="single" w:color="auto" w:sz="4" w:space="0"/>
            </w:tcBorders>
            <w:noWrap/>
            <w:vAlign w:val="center"/>
          </w:tcPr>
          <w:p w14:paraId="2B1CC825">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2.2</w:t>
            </w:r>
          </w:p>
        </w:tc>
        <w:tc>
          <w:tcPr>
            <w:tcW w:w="1131" w:type="pct"/>
            <w:tcBorders>
              <w:top w:val="nil"/>
              <w:left w:val="nil"/>
              <w:bottom w:val="single" w:color="auto" w:sz="4" w:space="0"/>
              <w:right w:val="single" w:color="auto" w:sz="4" w:space="0"/>
            </w:tcBorders>
            <w:noWrap/>
            <w:vAlign w:val="center"/>
          </w:tcPr>
          <w:p w14:paraId="6EA20030">
            <w:pPr>
              <w:spacing w:line="240" w:lineRule="exact"/>
              <w:jc w:val="center"/>
              <w:rPr>
                <w:rFonts w:ascii="Arial" w:hAnsi="Arial" w:eastAsia="仿宋" w:cs="Arial"/>
                <w:snapToGrid w:val="0"/>
                <w:color w:val="auto"/>
                <w:sz w:val="20"/>
                <w:szCs w:val="21"/>
              </w:rPr>
            </w:pPr>
            <w:r>
              <w:rPr>
                <w:rFonts w:hint="eastAsia" w:ascii="Arial" w:hAnsi="Arial" w:eastAsia="仿宋" w:cs="Arial"/>
                <w:snapToGrid w:val="0"/>
                <w:color w:val="auto"/>
                <w:sz w:val="20"/>
                <w:szCs w:val="21"/>
              </w:rPr>
              <w:t>1.9</w:t>
            </w:r>
          </w:p>
        </w:tc>
      </w:tr>
    </w:tbl>
    <w:p w14:paraId="7A94C8A5">
      <w:pPr>
        <w:spacing w:before="50" w:after="50" w:line="300" w:lineRule="auto"/>
        <w:ind w:firstLine="560" w:firstLineChars="200"/>
        <w:rPr>
          <w:rFonts w:ascii="Arial" w:hAnsi="Arial" w:eastAsia="仿宋" w:cs="Arial"/>
          <w:color w:val="auto"/>
          <w:sz w:val="28"/>
        </w:rPr>
      </w:pPr>
      <w:r>
        <w:rPr>
          <w:rFonts w:ascii="Arial" w:hAnsi="Arial" w:eastAsia="仿宋" w:cs="Arial"/>
          <w:color w:val="auto"/>
          <w:sz w:val="28"/>
        </w:rPr>
        <w:t>经过比较分析，以上三个案例修正后的比准价格差异在合理范围之内，能够真实的反应估价对象的市场租金水平。故取其简单算术平均值作为估价对象</w:t>
      </w:r>
      <w:r>
        <w:rPr>
          <w:rFonts w:ascii="Arial" w:hAnsi="Arial" w:eastAsia="仿宋" w:cs="Arial"/>
          <w:color w:val="auto"/>
          <w:sz w:val="28"/>
          <w:lang w:eastAsia="zh-Hans"/>
        </w:rPr>
        <w:t>公共服务</w:t>
      </w:r>
      <w:r>
        <w:rPr>
          <w:rFonts w:ascii="Arial" w:hAnsi="Arial" w:eastAsia="仿宋" w:cs="Arial"/>
          <w:color w:val="auto"/>
          <w:sz w:val="28"/>
        </w:rPr>
        <w:t>用途房地产的市场租金水平。</w:t>
      </w:r>
    </w:p>
    <w:p w14:paraId="55A79831">
      <w:pPr>
        <w:spacing w:before="50" w:after="50" w:line="300" w:lineRule="auto"/>
        <w:ind w:firstLine="560" w:firstLineChars="200"/>
        <w:rPr>
          <w:rFonts w:ascii="Arial" w:hAnsi="Arial" w:eastAsia="仿宋" w:cs="Arial"/>
          <w:color w:val="auto"/>
          <w:sz w:val="28"/>
        </w:rPr>
      </w:pPr>
      <w:r>
        <w:rPr>
          <w:rFonts w:ascii="Arial" w:hAnsi="Arial" w:eastAsia="仿宋" w:cs="Arial"/>
          <w:color w:val="auto"/>
          <w:sz w:val="28"/>
        </w:rPr>
        <w:t>比准价格</w:t>
      </w:r>
      <w:r>
        <w:rPr>
          <w:rFonts w:hint="eastAsia" w:ascii="Arial" w:hAnsi="Arial" w:eastAsia="仿宋" w:cs="Arial"/>
          <w:color w:val="auto"/>
          <w:sz w:val="28"/>
        </w:rPr>
        <w:t>＝</w:t>
      </w:r>
      <w:r>
        <w:rPr>
          <w:rFonts w:ascii="Arial" w:hAnsi="Arial" w:eastAsia="仿宋" w:cs="Arial"/>
          <w:color w:val="auto"/>
          <w:sz w:val="28"/>
        </w:rPr>
        <w:t>（</w:t>
      </w:r>
      <w:r>
        <w:rPr>
          <w:rFonts w:hint="eastAsia" w:ascii="Arial" w:hAnsi="Arial" w:eastAsia="仿宋" w:cs="Arial"/>
          <w:color w:val="auto"/>
          <w:sz w:val="28"/>
        </w:rPr>
        <w:t>2.1＋2.2＋1.9</w:t>
      </w:r>
      <w:r>
        <w:rPr>
          <w:rFonts w:ascii="Arial" w:hAnsi="Arial" w:eastAsia="仿宋" w:cs="Arial"/>
          <w:color w:val="auto"/>
          <w:sz w:val="28"/>
        </w:rPr>
        <w:t>）</w:t>
      </w:r>
      <w:r>
        <w:rPr>
          <w:rFonts w:hint="eastAsia" w:ascii="Arial" w:hAnsi="Arial" w:eastAsia="仿宋" w:cs="Arial"/>
          <w:color w:val="auto"/>
          <w:sz w:val="28"/>
        </w:rPr>
        <w:t>÷</w:t>
      </w:r>
      <w:r>
        <w:rPr>
          <w:rFonts w:ascii="Arial" w:hAnsi="Arial" w:eastAsia="仿宋" w:cs="Arial"/>
          <w:color w:val="auto"/>
          <w:sz w:val="28"/>
        </w:rPr>
        <w:t>3</w:t>
      </w:r>
    </w:p>
    <w:p w14:paraId="461AB962">
      <w:pPr>
        <w:spacing w:before="50" w:after="50" w:line="300" w:lineRule="auto"/>
        <w:ind w:firstLine="1680" w:firstLineChars="600"/>
        <w:rPr>
          <w:rFonts w:ascii="Arial" w:hAnsi="Arial" w:eastAsia="仿宋" w:cs="Arial"/>
          <w:b/>
          <w:color w:val="auto"/>
          <w:sz w:val="28"/>
        </w:rPr>
      </w:pPr>
      <w:r>
        <w:rPr>
          <w:rFonts w:hint="eastAsia" w:ascii="Arial" w:hAnsi="Arial" w:eastAsia="仿宋" w:cs="Arial"/>
          <w:color w:val="auto"/>
          <w:sz w:val="28"/>
        </w:rPr>
        <w:t>＝2.1</w:t>
      </w:r>
      <w:r>
        <w:rPr>
          <w:rFonts w:ascii="Arial" w:hAnsi="Arial" w:eastAsia="仿宋" w:cs="Arial"/>
          <w:color w:val="auto"/>
          <w:sz w:val="28"/>
        </w:rPr>
        <w:t>（元/平方米﹒天）</w:t>
      </w:r>
    </w:p>
    <w:p w14:paraId="31DE9FE3">
      <w:pPr>
        <w:spacing w:before="50" w:after="50" w:line="300" w:lineRule="auto"/>
        <w:ind w:firstLine="560" w:firstLineChars="200"/>
        <w:rPr>
          <w:rFonts w:ascii="Arial" w:hAnsi="Arial" w:eastAsia="仿宋" w:cs="Arial"/>
          <w:color w:val="auto"/>
          <w:sz w:val="28"/>
        </w:rPr>
      </w:pPr>
      <w:r>
        <w:rPr>
          <w:rFonts w:ascii="Arial" w:hAnsi="Arial" w:eastAsia="仿宋" w:cs="Arial"/>
          <w:color w:val="auto"/>
          <w:sz w:val="28"/>
        </w:rPr>
        <w:t>B.收益还原法求取估价对象</w:t>
      </w:r>
      <w:r>
        <w:rPr>
          <w:rFonts w:ascii="Arial" w:hAnsi="Arial" w:eastAsia="仿宋" w:cs="Arial"/>
          <w:color w:val="auto"/>
          <w:sz w:val="28"/>
          <w:lang w:eastAsia="zh-Hans"/>
        </w:rPr>
        <w:t>公共服务</w:t>
      </w:r>
      <w:r>
        <w:rPr>
          <w:rFonts w:ascii="Arial" w:hAnsi="Arial" w:eastAsia="仿宋" w:cs="Arial"/>
          <w:color w:val="auto"/>
          <w:sz w:val="28"/>
        </w:rPr>
        <w:t>用房开发完成后不动产价值</w:t>
      </w:r>
    </w:p>
    <w:p w14:paraId="3AC7EE88">
      <w:pPr>
        <w:spacing w:before="50" w:after="50" w:line="300" w:lineRule="auto"/>
        <w:ind w:firstLine="560" w:firstLineChars="200"/>
        <w:rPr>
          <w:rFonts w:ascii="Arial" w:hAnsi="Arial" w:eastAsia="仿宋" w:cs="Arial"/>
          <w:color w:val="auto"/>
          <w:sz w:val="28"/>
        </w:rPr>
      </w:pPr>
      <w:r>
        <w:rPr>
          <w:rFonts w:ascii="Arial" w:hAnsi="Arial" w:eastAsia="仿宋" w:cs="Arial"/>
          <w:color w:val="auto"/>
          <w:sz w:val="28"/>
        </w:rPr>
        <w:t>（A）求取房地年未来第一年净收益</w:t>
      </w:r>
    </w:p>
    <w:p w14:paraId="370894E9">
      <w:pPr>
        <w:spacing w:line="300" w:lineRule="auto"/>
        <w:ind w:right="205" w:firstLine="840" w:firstLineChars="300"/>
        <w:rPr>
          <w:rFonts w:ascii="Arial" w:hAnsi="Arial" w:eastAsia="仿宋" w:cs="Arial"/>
          <w:color w:val="auto"/>
          <w:sz w:val="28"/>
        </w:rPr>
      </w:pPr>
      <w:r>
        <w:rPr>
          <w:rFonts w:hint="eastAsia" w:ascii="Arial" w:hAnsi="Arial" w:eastAsia="仿宋" w:cs="Arial"/>
          <w:color w:val="auto"/>
          <w:sz w:val="28"/>
        </w:rPr>
        <w:t>a</w:t>
      </w:r>
      <w:r>
        <w:rPr>
          <w:rFonts w:ascii="Arial" w:hAnsi="Arial" w:eastAsia="仿宋" w:cs="Arial"/>
          <w:color w:val="auto"/>
          <w:sz w:val="28"/>
        </w:rPr>
        <w:t>未来第一年总收益</w:t>
      </w:r>
    </w:p>
    <w:p w14:paraId="667FF894">
      <w:pPr>
        <w:spacing w:line="300" w:lineRule="auto"/>
        <w:ind w:right="205" w:firstLine="840" w:firstLineChars="300"/>
        <w:rPr>
          <w:rFonts w:ascii="Arial" w:hAnsi="Arial" w:eastAsia="仿宋" w:cs="Arial"/>
          <w:color w:val="auto"/>
          <w:sz w:val="28"/>
        </w:rPr>
      </w:pPr>
      <w:r>
        <w:rPr>
          <w:rFonts w:ascii="Arial" w:hAnsi="Arial" w:eastAsia="仿宋" w:cs="Arial"/>
          <w:color w:val="auto"/>
          <w:sz w:val="28"/>
        </w:rPr>
        <w:fldChar w:fldCharType="begin"/>
      </w:r>
      <w:r>
        <w:rPr>
          <w:rFonts w:ascii="Arial" w:hAnsi="Arial" w:eastAsia="仿宋" w:cs="Arial"/>
          <w:color w:val="auto"/>
          <w:sz w:val="28"/>
        </w:rPr>
        <w:instrText xml:space="preserve"> </w:instrText>
      </w:r>
      <w:r>
        <w:rPr>
          <w:rFonts w:hint="eastAsia" w:ascii="Arial" w:hAnsi="Arial" w:eastAsia="仿宋" w:cs="Arial"/>
          <w:color w:val="auto"/>
          <w:sz w:val="28"/>
        </w:rPr>
        <w:instrText xml:space="preserve">= 1 \* GB3</w:instrText>
      </w:r>
      <w:r>
        <w:rPr>
          <w:rFonts w:ascii="Arial" w:hAnsi="Arial" w:eastAsia="仿宋" w:cs="Arial"/>
          <w:color w:val="auto"/>
          <w:sz w:val="28"/>
        </w:rPr>
        <w:instrText xml:space="preserve"> </w:instrText>
      </w:r>
      <w:r>
        <w:rPr>
          <w:rFonts w:ascii="Arial" w:hAnsi="Arial" w:eastAsia="仿宋" w:cs="Arial"/>
          <w:color w:val="auto"/>
          <w:sz w:val="28"/>
        </w:rPr>
        <w:fldChar w:fldCharType="separate"/>
      </w:r>
      <w:r>
        <w:rPr>
          <w:rFonts w:hint="eastAsia" w:ascii="Arial" w:hAnsi="Arial" w:eastAsia="仿宋" w:cs="Arial"/>
          <w:color w:val="auto"/>
          <w:sz w:val="28"/>
        </w:rPr>
        <w:t>①</w:t>
      </w:r>
      <w:r>
        <w:rPr>
          <w:rFonts w:ascii="Arial" w:hAnsi="Arial" w:eastAsia="仿宋" w:cs="Arial"/>
          <w:color w:val="auto"/>
          <w:sz w:val="28"/>
        </w:rPr>
        <w:fldChar w:fldCharType="end"/>
      </w:r>
      <w:r>
        <w:rPr>
          <w:rFonts w:hint="eastAsia" w:ascii="Arial" w:hAnsi="Arial" w:eastAsia="仿宋" w:cs="Arial"/>
          <w:color w:val="auto"/>
          <w:sz w:val="28"/>
        </w:rPr>
        <w:t>潜在毛租金收入</w:t>
      </w:r>
    </w:p>
    <w:p w14:paraId="00BA3870">
      <w:pPr>
        <w:spacing w:line="300" w:lineRule="auto"/>
        <w:ind w:right="205" w:firstLine="700" w:firstLineChars="250"/>
        <w:rPr>
          <w:rFonts w:ascii="Arial" w:hAnsi="Arial" w:eastAsia="仿宋" w:cs="Arial"/>
          <w:color w:val="auto"/>
          <w:sz w:val="28"/>
        </w:rPr>
      </w:pPr>
      <w:r>
        <w:rPr>
          <w:rFonts w:ascii="Arial" w:hAnsi="Arial" w:eastAsia="仿宋" w:cs="Arial"/>
          <w:color w:val="auto"/>
          <w:sz w:val="28"/>
        </w:rPr>
        <w:t>依据上述采用市场比较法确定估价对象</w:t>
      </w:r>
      <w:r>
        <w:rPr>
          <w:rFonts w:ascii="Arial" w:hAnsi="Arial" w:eastAsia="仿宋" w:cs="Arial"/>
          <w:color w:val="auto"/>
          <w:sz w:val="28"/>
          <w:lang w:eastAsia="zh-Hans"/>
        </w:rPr>
        <w:t>公共服务</w:t>
      </w:r>
      <w:r>
        <w:rPr>
          <w:rFonts w:ascii="Arial" w:hAnsi="Arial" w:eastAsia="仿宋" w:cs="Arial"/>
          <w:color w:val="auto"/>
          <w:sz w:val="28"/>
        </w:rPr>
        <w:t>用房租金水平平均为2.</w:t>
      </w:r>
      <w:r>
        <w:rPr>
          <w:rFonts w:hint="eastAsia" w:ascii="Arial" w:hAnsi="Arial" w:eastAsia="仿宋" w:cs="Arial"/>
          <w:color w:val="auto"/>
          <w:sz w:val="28"/>
        </w:rPr>
        <w:t>1</w:t>
      </w:r>
      <w:r>
        <w:rPr>
          <w:rFonts w:ascii="Arial" w:hAnsi="Arial" w:eastAsia="仿宋" w:cs="Arial"/>
          <w:color w:val="auto"/>
          <w:sz w:val="28"/>
        </w:rPr>
        <w:t>元/天</w:t>
      </w:r>
      <w:r>
        <w:rPr>
          <w:rFonts w:ascii="Arial" w:hAnsi="Arial" w:eastAsia="微软雅黑" w:cs="Arial"/>
          <w:color w:val="auto"/>
          <w:sz w:val="28"/>
        </w:rPr>
        <w:t>•</w:t>
      </w:r>
      <w:r>
        <w:rPr>
          <w:rFonts w:ascii="Arial" w:hAnsi="Arial" w:eastAsia="仿宋" w:cs="Arial"/>
          <w:color w:val="auto"/>
          <w:sz w:val="28"/>
        </w:rPr>
        <w:t xml:space="preserve">平方米；每年按365天计算。则有： </w:t>
      </w:r>
    </w:p>
    <w:p w14:paraId="65357A4A">
      <w:pPr>
        <w:spacing w:line="300" w:lineRule="auto"/>
        <w:ind w:right="205" w:firstLine="560" w:firstLineChars="200"/>
        <w:rPr>
          <w:rFonts w:ascii="Arial" w:hAnsi="Arial" w:eastAsia="仿宋" w:cs="Arial"/>
          <w:color w:val="auto"/>
          <w:sz w:val="28"/>
        </w:rPr>
      </w:pPr>
      <w:r>
        <w:rPr>
          <w:rFonts w:ascii="Arial" w:hAnsi="Arial" w:eastAsia="仿宋" w:cs="Arial"/>
          <w:color w:val="auto"/>
          <w:sz w:val="28"/>
        </w:rPr>
        <w:t>未来第一年年租金收入</w:t>
      </w:r>
    </w:p>
    <w:p w14:paraId="03A81F20">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w:t>
      </w:r>
      <w:r>
        <w:rPr>
          <w:rFonts w:ascii="Arial" w:hAnsi="Arial" w:eastAsia="仿宋" w:cs="Arial"/>
          <w:color w:val="auto"/>
          <w:sz w:val="28"/>
        </w:rPr>
        <w:t>2.</w:t>
      </w:r>
      <w:r>
        <w:rPr>
          <w:rFonts w:hint="eastAsia" w:ascii="Arial" w:hAnsi="Arial" w:eastAsia="仿宋" w:cs="Arial"/>
          <w:color w:val="auto"/>
          <w:sz w:val="28"/>
        </w:rPr>
        <w:t>1×300×</w:t>
      </w:r>
      <w:r>
        <w:rPr>
          <w:rFonts w:ascii="Arial" w:hAnsi="Arial" w:eastAsia="仿宋" w:cs="Arial"/>
          <w:color w:val="auto"/>
          <w:sz w:val="28"/>
        </w:rPr>
        <w:t>365</w:t>
      </w:r>
      <w:r>
        <w:rPr>
          <w:rFonts w:hint="eastAsia" w:ascii="Arial" w:hAnsi="Arial" w:eastAsia="仿宋" w:cs="Arial"/>
          <w:color w:val="auto"/>
          <w:sz w:val="28"/>
        </w:rPr>
        <w:t>÷</w:t>
      </w:r>
      <w:r>
        <w:rPr>
          <w:rFonts w:ascii="Arial" w:hAnsi="Arial" w:eastAsia="仿宋" w:cs="Arial"/>
          <w:color w:val="auto"/>
          <w:sz w:val="28"/>
        </w:rPr>
        <w:t>10000</w:t>
      </w:r>
    </w:p>
    <w:p w14:paraId="4EB073FB">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＝22.9950</w:t>
      </w:r>
      <w:r>
        <w:rPr>
          <w:rFonts w:ascii="Arial" w:hAnsi="Arial" w:eastAsia="仿宋" w:cs="Arial"/>
          <w:color w:val="auto"/>
          <w:sz w:val="28"/>
        </w:rPr>
        <w:t>（万元）</w:t>
      </w:r>
    </w:p>
    <w:p w14:paraId="3EF6681B">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② 空置和收租损失</w:t>
      </w:r>
    </w:p>
    <w:p w14:paraId="3B5354C1">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经评估专业人员对估价对象所在区域公共服务用房租赁市场的调查了解，该区域物业聚集度较差，对该类物业的需求度一般，平均空置率水平在8%－15%左右。估价对象具体位置条件分析，综合确定其空置率为10%。则有：</w:t>
      </w:r>
    </w:p>
    <w:p w14:paraId="1411F905">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空置和收租损失＝潜在毛租金收入×空置率＝22.9950×10%＝2.2995（万元）</w:t>
      </w:r>
    </w:p>
    <w:p w14:paraId="149AA0CA">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③ 有效毛租金收入</w:t>
      </w:r>
    </w:p>
    <w:p w14:paraId="67F8A963">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年有效毛租金收入是潜在毛租金收人减去空置和收租损失后的收人。估价对象的年有效毛租金收入为：</w:t>
      </w:r>
    </w:p>
    <w:p w14:paraId="5AE85ECA">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有效毛租金收入＝年潜在毛租金收入－空置和收租损失＝22.9950－2.2995＝20.6955（万元）</w:t>
      </w:r>
    </w:p>
    <w:p w14:paraId="1C5BE6E3">
      <w:pPr>
        <w:spacing w:line="300" w:lineRule="auto"/>
        <w:ind w:right="205" w:firstLine="560" w:firstLineChars="200"/>
        <w:rPr>
          <w:rFonts w:ascii="Arial" w:hAnsi="Arial" w:eastAsia="仿宋" w:cs="Arial"/>
          <w:color w:val="auto"/>
          <w:sz w:val="28"/>
        </w:rPr>
      </w:pPr>
      <w:r>
        <w:rPr>
          <w:rFonts w:ascii="Arial" w:hAnsi="Arial" w:eastAsia="仿宋" w:cs="Arial"/>
          <w:color w:val="auto"/>
          <w:sz w:val="28"/>
        </w:rPr>
        <w:t>b.押金利息</w:t>
      </w:r>
    </w:p>
    <w:p w14:paraId="4E72A50B">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根据评估专业人员对于租赁市场的调查，目前与估价对象同类物业的押金通常为1个月的租金。因此，本次评估按照上述计算的有效毛租金收入折算至月租金，并按照1年期存款利率1.5%计算押金利息。则有：</w:t>
      </w:r>
    </w:p>
    <w:p w14:paraId="0CAEECE9">
      <w:pPr>
        <w:spacing w:line="300" w:lineRule="auto"/>
        <w:ind w:right="205" w:firstLine="560" w:firstLineChars="200"/>
        <w:rPr>
          <w:rFonts w:ascii="Arial" w:hAnsi="Arial" w:eastAsia="仿宋" w:cs="Arial"/>
          <w:color w:val="auto"/>
          <w:sz w:val="28"/>
        </w:rPr>
      </w:pPr>
      <w:r>
        <w:rPr>
          <w:rFonts w:ascii="Arial" w:hAnsi="Arial" w:eastAsia="仿宋" w:cs="Arial"/>
          <w:color w:val="auto"/>
          <w:sz w:val="28"/>
        </w:rPr>
        <w:t>押金利息</w:t>
      </w:r>
    </w:p>
    <w:p w14:paraId="56119BF5">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＝20.6955÷</w:t>
      </w:r>
      <w:r>
        <w:rPr>
          <w:rFonts w:ascii="Arial" w:hAnsi="Arial" w:eastAsia="仿宋" w:cs="Arial"/>
          <w:color w:val="auto"/>
          <w:sz w:val="28"/>
        </w:rPr>
        <w:t>12</w:t>
      </w:r>
      <w:r>
        <w:rPr>
          <w:rFonts w:hint="eastAsia" w:ascii="Arial" w:hAnsi="Arial" w:eastAsia="仿宋" w:cs="Arial"/>
          <w:color w:val="auto"/>
          <w:sz w:val="28"/>
        </w:rPr>
        <w:t>×</w:t>
      </w:r>
      <w:r>
        <w:rPr>
          <w:rFonts w:ascii="Arial" w:hAnsi="Arial" w:eastAsia="仿宋" w:cs="Arial"/>
          <w:color w:val="auto"/>
          <w:sz w:val="28"/>
        </w:rPr>
        <w:t>1.5%</w:t>
      </w:r>
    </w:p>
    <w:p w14:paraId="242EBBF0">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＝0.0259</w:t>
      </w:r>
      <w:r>
        <w:rPr>
          <w:rFonts w:ascii="Arial" w:hAnsi="Arial" w:eastAsia="仿宋" w:cs="Arial"/>
          <w:color w:val="auto"/>
          <w:sz w:val="28"/>
        </w:rPr>
        <w:t>（万元）</w:t>
      </w:r>
    </w:p>
    <w:p w14:paraId="7C38EC6F">
      <w:pPr>
        <w:spacing w:line="300" w:lineRule="auto"/>
        <w:ind w:right="205" w:firstLine="560" w:firstLineChars="200"/>
        <w:rPr>
          <w:rFonts w:ascii="Arial" w:hAnsi="Arial" w:eastAsia="仿宋" w:cs="Arial"/>
          <w:color w:val="auto"/>
          <w:sz w:val="28"/>
        </w:rPr>
      </w:pPr>
      <w:r>
        <w:rPr>
          <w:rFonts w:ascii="Arial" w:hAnsi="Arial" w:eastAsia="仿宋" w:cs="Arial"/>
          <w:color w:val="auto"/>
          <w:sz w:val="28"/>
        </w:rPr>
        <w:t>c.</w:t>
      </w:r>
      <w:r>
        <w:rPr>
          <w:rFonts w:hint="eastAsia" w:ascii="Arial" w:hAnsi="Arial" w:eastAsia="仿宋" w:cs="Arial"/>
          <w:color w:val="auto"/>
          <w:sz w:val="28"/>
        </w:rPr>
        <w:t>其他收入</w:t>
      </w:r>
    </w:p>
    <w:p w14:paraId="53F5AFD0">
      <w:pPr>
        <w:spacing w:line="300" w:lineRule="auto"/>
        <w:ind w:right="205" w:firstLine="560" w:firstLineChars="200"/>
        <w:rPr>
          <w:rFonts w:ascii="Arial" w:hAnsi="Arial" w:eastAsia="仿宋" w:cs="Arial"/>
          <w:color w:val="auto"/>
          <w:sz w:val="28"/>
        </w:rPr>
      </w:pPr>
      <w:r>
        <w:rPr>
          <w:rFonts w:ascii="Arial" w:hAnsi="Arial" w:eastAsia="仿宋" w:cs="Arial"/>
          <w:color w:val="auto"/>
          <w:sz w:val="28"/>
        </w:rPr>
        <w:t>估价对象不存在其他收入。</w:t>
      </w:r>
    </w:p>
    <w:p w14:paraId="54FDF620">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d</w:t>
      </w:r>
      <w:r>
        <w:rPr>
          <w:rFonts w:ascii="Arial" w:hAnsi="Arial" w:eastAsia="仿宋" w:cs="Arial"/>
          <w:color w:val="auto"/>
          <w:sz w:val="28"/>
        </w:rPr>
        <w:t>.</w:t>
      </w:r>
      <w:r>
        <w:rPr>
          <w:rFonts w:hint="eastAsia" w:ascii="Arial" w:hAnsi="Arial" w:eastAsia="仿宋" w:cs="Arial"/>
          <w:color w:val="auto"/>
          <w:sz w:val="28"/>
        </w:rPr>
        <w:t>未来第一年有效毛收入</w:t>
      </w:r>
    </w:p>
    <w:p w14:paraId="1661804C">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综上，估价对象未来第一年的有效毛收入为有效毛租金收入加上押金利息及其他收入。则有：</w:t>
      </w:r>
    </w:p>
    <w:p w14:paraId="090F5E06">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未来第一年有效毛收入</w:t>
      </w:r>
    </w:p>
    <w:p w14:paraId="5842FA68">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＝有效毛租金收入＋利息＋其他收入</w:t>
      </w:r>
    </w:p>
    <w:p w14:paraId="0762CCEE">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＝20.6955</w:t>
      </w:r>
      <w:r>
        <w:rPr>
          <w:rFonts w:ascii="Arial" w:hAnsi="Arial" w:eastAsia="仿宋" w:cs="Arial"/>
          <w:color w:val="auto"/>
          <w:sz w:val="28"/>
        </w:rPr>
        <w:t>＋</w:t>
      </w:r>
      <w:r>
        <w:rPr>
          <w:rFonts w:hint="eastAsia" w:ascii="Arial" w:hAnsi="Arial" w:eastAsia="仿宋" w:cs="Arial"/>
          <w:color w:val="auto"/>
          <w:sz w:val="28"/>
        </w:rPr>
        <w:t>0.0259＋0</w:t>
      </w:r>
    </w:p>
    <w:p w14:paraId="3C3EE3B0">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＝20.7214</w:t>
      </w:r>
      <w:r>
        <w:rPr>
          <w:rFonts w:ascii="Arial" w:hAnsi="Arial" w:eastAsia="仿宋" w:cs="Arial"/>
          <w:color w:val="auto"/>
          <w:sz w:val="28"/>
        </w:rPr>
        <w:t>（万元）</w:t>
      </w:r>
    </w:p>
    <w:p w14:paraId="050AA851">
      <w:pPr>
        <w:spacing w:line="300" w:lineRule="auto"/>
        <w:ind w:right="205" w:firstLine="560" w:firstLineChars="200"/>
        <w:rPr>
          <w:rFonts w:ascii="Arial" w:hAnsi="Arial" w:eastAsia="仿宋" w:cs="Arial"/>
          <w:color w:val="auto"/>
          <w:sz w:val="28"/>
        </w:rPr>
      </w:pPr>
      <w:r>
        <w:rPr>
          <w:rFonts w:ascii="Arial" w:hAnsi="Arial" w:eastAsia="仿宋" w:cs="Arial"/>
          <w:color w:val="auto"/>
          <w:sz w:val="28"/>
        </w:rPr>
        <w:t>（</w:t>
      </w:r>
      <w:r>
        <w:rPr>
          <w:rFonts w:hint="eastAsia" w:ascii="Arial" w:hAnsi="Arial" w:eastAsia="仿宋" w:cs="Arial"/>
          <w:color w:val="auto"/>
          <w:sz w:val="28"/>
        </w:rPr>
        <w:t>B</w:t>
      </w:r>
      <w:r>
        <w:rPr>
          <w:rFonts w:ascii="Arial" w:hAnsi="Arial" w:eastAsia="仿宋" w:cs="Arial"/>
          <w:color w:val="auto"/>
          <w:sz w:val="28"/>
        </w:rPr>
        <w:t>）</w:t>
      </w:r>
      <w:r>
        <w:rPr>
          <w:rFonts w:hint="eastAsia" w:ascii="Arial" w:hAnsi="Arial" w:eastAsia="仿宋" w:cs="Arial"/>
          <w:color w:val="auto"/>
          <w:sz w:val="28"/>
        </w:rPr>
        <w:t>年经营费用</w:t>
      </w:r>
    </w:p>
    <w:p w14:paraId="16873FED">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A）税费</w:t>
      </w:r>
    </w:p>
    <w:p w14:paraId="3820FC54">
      <w:pPr>
        <w:spacing w:line="300" w:lineRule="auto"/>
        <w:ind w:right="205" w:firstLine="560" w:firstLineChars="200"/>
        <w:rPr>
          <w:rFonts w:ascii="Arial" w:hAnsi="Arial" w:eastAsia="仿宋" w:cs="Arial"/>
          <w:color w:val="auto"/>
          <w:sz w:val="28"/>
        </w:rPr>
      </w:pPr>
      <w:r>
        <w:rPr>
          <w:rFonts w:ascii="Arial" w:hAnsi="Arial" w:eastAsia="仿宋" w:cs="Arial"/>
          <w:color w:val="auto"/>
          <w:sz w:val="28"/>
        </w:rPr>
        <w:fldChar w:fldCharType="begin"/>
      </w:r>
      <w:r>
        <w:rPr>
          <w:rFonts w:ascii="Arial" w:hAnsi="Arial" w:eastAsia="仿宋" w:cs="Arial"/>
          <w:color w:val="auto"/>
          <w:sz w:val="28"/>
        </w:rPr>
        <w:instrText xml:space="preserve"> </w:instrText>
      </w:r>
      <w:r>
        <w:rPr>
          <w:rFonts w:hint="eastAsia" w:ascii="Arial" w:hAnsi="Arial" w:eastAsia="仿宋" w:cs="Arial"/>
          <w:color w:val="auto"/>
          <w:sz w:val="28"/>
        </w:rPr>
        <w:instrText xml:space="preserve">= 1 \* GB3</w:instrText>
      </w:r>
      <w:r>
        <w:rPr>
          <w:rFonts w:ascii="Arial" w:hAnsi="Arial" w:eastAsia="仿宋" w:cs="Arial"/>
          <w:color w:val="auto"/>
          <w:sz w:val="28"/>
        </w:rPr>
        <w:instrText xml:space="preserve"> </w:instrText>
      </w:r>
      <w:r>
        <w:rPr>
          <w:rFonts w:ascii="Arial" w:hAnsi="Arial" w:eastAsia="仿宋" w:cs="Arial"/>
          <w:color w:val="auto"/>
          <w:sz w:val="28"/>
        </w:rPr>
        <w:fldChar w:fldCharType="separate"/>
      </w:r>
      <w:r>
        <w:rPr>
          <w:rFonts w:hint="eastAsia" w:ascii="Arial" w:hAnsi="Arial" w:eastAsia="仿宋" w:cs="Arial"/>
          <w:color w:val="auto"/>
          <w:sz w:val="28"/>
        </w:rPr>
        <w:t>①</w:t>
      </w:r>
      <w:r>
        <w:rPr>
          <w:rFonts w:ascii="Arial" w:hAnsi="Arial" w:eastAsia="仿宋" w:cs="Arial"/>
          <w:color w:val="auto"/>
          <w:sz w:val="28"/>
        </w:rPr>
        <w:fldChar w:fldCharType="end"/>
      </w:r>
      <w:r>
        <w:rPr>
          <w:rFonts w:hint="eastAsia" w:ascii="Arial" w:hAnsi="Arial" w:eastAsia="仿宋" w:cs="Arial"/>
          <w:color w:val="auto"/>
          <w:sz w:val="28"/>
        </w:rPr>
        <w:t xml:space="preserve"> 增值税及附加</w:t>
      </w:r>
    </w:p>
    <w:p w14:paraId="59117CC9">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对估价对象在运营期间所产生的增值税及附加税费，遵循《中华人民共和国增值税法》所确立的价外税原则及一般计税方法进行估算。</w:t>
      </w:r>
    </w:p>
    <w:p w14:paraId="2E521846">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 xml:space="preserve">增值税： </w:t>
      </w:r>
    </w:p>
    <w:p w14:paraId="198871A9">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a.销项税额</w:t>
      </w:r>
    </w:p>
    <w:p w14:paraId="5160DCCC">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以预测的年不含增值税租金收入（即有效毛租金收入）为计税基础，按不动产租赁服务适用的增值税税率（本报告按照一般纳税人、一般计税方法为前提，设定销项税率为9%）计算销项税额。则有：</w:t>
      </w:r>
    </w:p>
    <w:p w14:paraId="2E4C221B">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销项税额</w:t>
      </w:r>
      <w:bookmarkStart w:id="385" w:name="OLE_LINK18"/>
      <w:r>
        <w:rPr>
          <w:rFonts w:hint="eastAsia" w:ascii="Arial" w:hAnsi="Arial" w:eastAsia="仿宋" w:cs="Arial"/>
          <w:color w:val="auto"/>
          <w:sz w:val="28"/>
        </w:rPr>
        <w:t>＝有效毛租金收入×增值税适用税率</w:t>
      </w:r>
      <w:bookmarkEnd w:id="385"/>
      <w:r>
        <w:rPr>
          <w:rFonts w:hint="eastAsia" w:ascii="Arial" w:hAnsi="Arial" w:eastAsia="仿宋" w:cs="Arial"/>
          <w:color w:val="auto"/>
          <w:sz w:val="28"/>
        </w:rPr>
        <w:t>＝20.6955×9%＝1.8626（万元）</w:t>
      </w:r>
    </w:p>
    <w:p w14:paraId="39577AA3">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b.可抵扣的进项税额</w:t>
      </w:r>
    </w:p>
    <w:p w14:paraId="0C8B7581">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在年经营费用中，本次评估以维修费、保险费及管理费用均符合抵扣条件为前提。以上述各项成本的不含增值税金额为基础，按其各自适用的税率计算可抵扣的进项税额，其中，维修费进项税率为9%，保险费及管理费用采用的进项税税率为6%。则有：</w:t>
      </w:r>
    </w:p>
    <w:p w14:paraId="38F50061">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可抵扣进项税额＝</w:t>
      </w:r>
      <w:bookmarkStart w:id="386" w:name="OLE_LINK31"/>
      <w:bookmarkStart w:id="387" w:name="OLE_LINK30"/>
      <w:r>
        <w:rPr>
          <w:rFonts w:hint="eastAsia" w:ascii="Arial" w:hAnsi="Arial" w:eastAsia="仿宋" w:cs="Arial"/>
          <w:color w:val="auto"/>
          <w:sz w:val="28"/>
        </w:rPr>
        <w:t>维修费×9%</w:t>
      </w:r>
      <w:bookmarkStart w:id="388" w:name="OLE_LINK24"/>
      <w:bookmarkStart w:id="389" w:name="OLE_LINK25"/>
      <w:r>
        <w:rPr>
          <w:rFonts w:hint="eastAsia" w:ascii="Arial" w:hAnsi="Arial" w:eastAsia="仿宋" w:cs="Arial"/>
          <w:color w:val="auto"/>
          <w:sz w:val="28"/>
        </w:rPr>
        <w:t>＋（保险费＋管理费用）×6%</w:t>
      </w:r>
      <w:bookmarkEnd w:id="386"/>
      <w:bookmarkEnd w:id="387"/>
      <w:bookmarkEnd w:id="388"/>
      <w:bookmarkEnd w:id="389"/>
    </w:p>
    <w:p w14:paraId="64041DD5">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c.增值税额</w:t>
      </w:r>
    </w:p>
    <w:p w14:paraId="4E2C179A">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增值税额 ＝ 销项税额－可抵扣进项税额＝</w:t>
      </w:r>
      <w:bookmarkStart w:id="390" w:name="OLE_LINK45"/>
      <w:r>
        <w:rPr>
          <w:rFonts w:hint="eastAsia" w:ascii="Arial" w:hAnsi="Arial" w:eastAsia="仿宋" w:cs="Arial"/>
          <w:color w:val="auto"/>
          <w:sz w:val="28"/>
        </w:rPr>
        <w:t>1.8626－（维修费×9%＋（保险费＋管理费用）×6%）</w:t>
      </w:r>
      <w:bookmarkEnd w:id="390"/>
    </w:p>
    <w:p w14:paraId="53F0C930">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附加税费</w:t>
      </w:r>
    </w:p>
    <w:p w14:paraId="26A40AD3">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a.城市维护建设税：根据《北京市财政局 国家税务总局北京市税务局北京市民政局关于明确北京市城市维护建设税纳税人所在地具体地点的通知》[京财税〔2021〕1770号]，维护建设税税率如下：（一）纳税人所在地在全市各区的街道办事处管辖范围内的，税率为7%。；（二）纳税人所在地在全市各区的镇范围内的，税率为5%；（三）纳税人所在地不在上述范围内的，税率为1%。估价对象位于北京市顺义区高丽营镇，城市维护建设税税率为5%。</w:t>
      </w:r>
    </w:p>
    <w:p w14:paraId="6C283809">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b.教育费附加：根据《征收教育费附加的暂行规定》（国务院令〔2005〕448号），教育费附加税税率为3%。</w:t>
      </w:r>
    </w:p>
    <w:p w14:paraId="229017A9">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c.地方教育附加：根据《财政部关于统一地方教育附加政策有关问题的通知》（财综〔2010〕98号）及《北京市人民政府关于印发北京市地方教育附加征收使用管理办法的通知》，北京市地方教育税附加税税率为2%。</w:t>
      </w:r>
    </w:p>
    <w:p w14:paraId="3D2F56D9">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d.附加税费</w:t>
      </w:r>
    </w:p>
    <w:p w14:paraId="68236C7C">
      <w:pPr>
        <w:spacing w:line="300" w:lineRule="auto"/>
        <w:ind w:right="205" w:firstLine="560" w:firstLineChars="200"/>
        <w:rPr>
          <w:rFonts w:ascii="Arial" w:hAnsi="Arial" w:eastAsia="仿宋" w:cs="Arial"/>
          <w:color w:val="auto"/>
          <w:sz w:val="28"/>
        </w:rPr>
      </w:pPr>
      <w:bookmarkStart w:id="391" w:name="OLE_LINK4"/>
      <w:r>
        <w:rPr>
          <w:rFonts w:hint="eastAsia" w:ascii="Arial" w:hAnsi="Arial" w:eastAsia="仿宋" w:cs="Arial"/>
          <w:color w:val="auto"/>
          <w:sz w:val="28"/>
        </w:rPr>
        <w:t>附加税</w:t>
      </w:r>
      <w:bookmarkStart w:id="392" w:name="OLE_LINK36"/>
      <w:bookmarkStart w:id="393" w:name="OLE_LINK37"/>
      <w:bookmarkStart w:id="394" w:name="OLE_LINK42"/>
      <w:bookmarkStart w:id="395" w:name="OLE_LINK41"/>
      <w:r>
        <w:rPr>
          <w:rFonts w:hint="eastAsia" w:ascii="Arial" w:hAnsi="Arial" w:eastAsia="仿宋" w:cs="Arial"/>
          <w:color w:val="auto"/>
          <w:sz w:val="28"/>
        </w:rPr>
        <w:t>费综合费率</w:t>
      </w:r>
      <w:bookmarkEnd w:id="391"/>
    </w:p>
    <w:p w14:paraId="2A0B0383">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w:t>
      </w:r>
      <w:bookmarkEnd w:id="392"/>
      <w:bookmarkEnd w:id="393"/>
      <w:r>
        <w:rPr>
          <w:rFonts w:hint="eastAsia" w:ascii="Arial" w:hAnsi="Arial" w:eastAsia="仿宋" w:cs="Arial"/>
          <w:color w:val="auto"/>
          <w:sz w:val="28"/>
        </w:rPr>
        <w:t>城市维护建设税</w:t>
      </w:r>
      <w:bookmarkStart w:id="396" w:name="OLE_LINK35"/>
      <w:r>
        <w:rPr>
          <w:rFonts w:hint="eastAsia" w:ascii="Arial" w:hAnsi="Arial" w:eastAsia="仿宋" w:cs="Arial"/>
          <w:color w:val="auto"/>
          <w:sz w:val="28"/>
        </w:rPr>
        <w:t>税率</w:t>
      </w:r>
      <w:bookmarkEnd w:id="396"/>
      <w:r>
        <w:rPr>
          <w:rFonts w:hint="eastAsia" w:ascii="Arial" w:hAnsi="Arial" w:eastAsia="仿宋" w:cs="Arial"/>
          <w:color w:val="auto"/>
          <w:sz w:val="28"/>
        </w:rPr>
        <w:t>＋教育费附加费率＋地方教育附加费率</w:t>
      </w:r>
      <w:bookmarkEnd w:id="394"/>
      <w:bookmarkEnd w:id="395"/>
    </w:p>
    <w:p w14:paraId="7E2E1EFA">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＝5%＋3%＋2%＝10%</w:t>
      </w:r>
    </w:p>
    <w:p w14:paraId="59A2E3A8">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综上，附加税费包含</w:t>
      </w:r>
      <w:bookmarkStart w:id="397" w:name="OLE_LINK32"/>
      <w:r>
        <w:rPr>
          <w:rFonts w:hint="eastAsia" w:ascii="Arial" w:hAnsi="Arial" w:eastAsia="仿宋" w:cs="Arial"/>
          <w:color w:val="auto"/>
          <w:sz w:val="28"/>
        </w:rPr>
        <w:t>城市维护建设税、教育费附加及地方教育附加</w:t>
      </w:r>
      <w:bookmarkEnd w:id="397"/>
      <w:r>
        <w:rPr>
          <w:rFonts w:hint="eastAsia" w:ascii="Arial" w:hAnsi="Arial" w:eastAsia="仿宋" w:cs="Arial"/>
          <w:color w:val="auto"/>
          <w:sz w:val="28"/>
        </w:rPr>
        <w:t>，综合费率合计为10%。</w:t>
      </w:r>
    </w:p>
    <w:p w14:paraId="697A5926">
      <w:pPr>
        <w:spacing w:line="300" w:lineRule="auto"/>
        <w:ind w:right="205" w:firstLine="560" w:firstLineChars="200"/>
        <w:rPr>
          <w:rFonts w:ascii="Arial" w:hAnsi="Arial" w:eastAsia="仿宋" w:cs="Arial"/>
          <w:color w:val="auto"/>
          <w:sz w:val="28"/>
        </w:rPr>
      </w:pPr>
      <w:bookmarkStart w:id="398" w:name="OLE_LINK43"/>
      <w:bookmarkStart w:id="399" w:name="OLE_LINK44"/>
      <w:r>
        <w:rPr>
          <w:rFonts w:hint="eastAsia" w:ascii="Arial" w:hAnsi="Arial" w:eastAsia="仿宋" w:cs="Arial"/>
          <w:color w:val="auto"/>
          <w:sz w:val="28"/>
        </w:rPr>
        <w:t>增值税及附加</w:t>
      </w:r>
      <w:bookmarkEnd w:id="398"/>
      <w:bookmarkEnd w:id="399"/>
    </w:p>
    <w:p w14:paraId="22104639">
      <w:pPr>
        <w:spacing w:line="300" w:lineRule="auto"/>
        <w:ind w:right="205" w:firstLine="560" w:firstLineChars="200"/>
        <w:jc w:val="both"/>
        <w:rPr>
          <w:rFonts w:ascii="Arial" w:hAnsi="Arial" w:eastAsia="仿宋" w:cs="Arial"/>
          <w:color w:val="auto"/>
          <w:sz w:val="28"/>
        </w:rPr>
      </w:pPr>
      <w:bookmarkStart w:id="400" w:name="OLE_LINK15"/>
      <w:r>
        <w:rPr>
          <w:rFonts w:hint="eastAsia" w:ascii="Arial" w:hAnsi="Arial" w:eastAsia="仿宋" w:cs="Arial"/>
          <w:color w:val="auto"/>
          <w:sz w:val="28"/>
        </w:rPr>
        <w:t>由于有效毛收入的计算中，潜在毛租金收入不含销项税额，年经营费用中的维修费、保险费、管理费用均不含可抵扣的进项税额，故此处仅将附加税费做减项处理，即：</w:t>
      </w:r>
    </w:p>
    <w:bookmarkEnd w:id="400"/>
    <w:p w14:paraId="1CF3C292">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增值税附加税费</w:t>
      </w:r>
    </w:p>
    <w:p w14:paraId="3497DCD4">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w:t>
      </w:r>
      <w:bookmarkStart w:id="401" w:name="OLE_LINK46"/>
      <w:bookmarkStart w:id="402" w:name="OLE_LINK47"/>
      <w:r>
        <w:rPr>
          <w:rFonts w:hint="eastAsia" w:ascii="Arial" w:hAnsi="Arial" w:eastAsia="仿宋" w:cs="Arial"/>
          <w:color w:val="auto"/>
          <w:sz w:val="28"/>
        </w:rPr>
        <w:t>[维修费×9%＋（保险费＋管理费用）×6%）]×附加税费综合费率</w:t>
      </w:r>
    </w:p>
    <w:p w14:paraId="4171BD15">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＝[维修费×9%＋（保险费＋管理费用）×6%）]×10%</w:t>
      </w:r>
      <w:bookmarkEnd w:id="401"/>
      <w:bookmarkEnd w:id="402"/>
    </w:p>
    <w:p w14:paraId="4163C361">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fldChar w:fldCharType="begin"/>
      </w:r>
      <w:r>
        <w:rPr>
          <w:rFonts w:hint="eastAsia" w:ascii="Arial" w:hAnsi="Arial" w:eastAsia="仿宋" w:cs="Arial"/>
          <w:color w:val="auto"/>
          <w:sz w:val="28"/>
        </w:rPr>
        <w:instrText xml:space="preserve"> = 2 \* GB3 </w:instrText>
      </w:r>
      <w:r>
        <w:rPr>
          <w:rFonts w:hint="eastAsia" w:ascii="Arial" w:hAnsi="Arial" w:eastAsia="仿宋" w:cs="Arial"/>
          <w:color w:val="auto"/>
          <w:sz w:val="28"/>
        </w:rPr>
        <w:fldChar w:fldCharType="separate"/>
      </w:r>
      <w:r>
        <w:rPr>
          <w:rFonts w:hint="eastAsia" w:ascii="Arial" w:hAnsi="Arial" w:eastAsia="仿宋" w:cs="Arial"/>
          <w:color w:val="auto"/>
          <w:sz w:val="28"/>
        </w:rPr>
        <w:t>②</w:t>
      </w:r>
      <w:r>
        <w:rPr>
          <w:rFonts w:hint="eastAsia" w:ascii="Arial" w:hAnsi="Arial" w:eastAsia="仿宋" w:cs="Arial"/>
          <w:color w:val="auto"/>
          <w:sz w:val="28"/>
        </w:rPr>
        <w:fldChar w:fldCharType="end"/>
      </w:r>
      <w:r>
        <w:rPr>
          <w:rFonts w:hint="eastAsia" w:ascii="Arial" w:hAnsi="Arial" w:eastAsia="仿宋" w:cs="Arial"/>
          <w:color w:val="auto"/>
          <w:sz w:val="28"/>
        </w:rPr>
        <w:t xml:space="preserve"> 房产税</w:t>
      </w:r>
    </w:p>
    <w:p w14:paraId="08AA5A68">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房产税是以房产为征税对象，由房产所有人按有关规定向税务机关缴纳的一种财产税，依据《中华人民共和国房产税暂行条例》和《北京市人民政府关于进一步落实&lt;中华人民共和国房产税暂行条例&gt;有关规定的通知》[京政发〔2016〕24号]有关规定计算，房产税依照不含税房产租金收入（即有效毛租金收入）计算缴纳的，税率为12%。</w:t>
      </w:r>
    </w:p>
    <w:p w14:paraId="53F37A1D">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房产税</w:t>
      </w:r>
      <w:bookmarkStart w:id="403" w:name="OLE_LINK81"/>
      <w:bookmarkStart w:id="404" w:name="OLE_LINK82"/>
      <w:r>
        <w:rPr>
          <w:rFonts w:hint="eastAsia" w:ascii="Arial" w:hAnsi="Arial" w:eastAsia="仿宋" w:cs="Arial"/>
          <w:color w:val="auto"/>
          <w:sz w:val="28"/>
        </w:rPr>
        <w:t>＝有效毛租金收入×12%</w:t>
      </w:r>
      <w:bookmarkEnd w:id="403"/>
      <w:bookmarkEnd w:id="404"/>
      <w:r>
        <w:rPr>
          <w:rFonts w:hint="eastAsia" w:ascii="Arial" w:hAnsi="Arial" w:eastAsia="仿宋" w:cs="Arial"/>
          <w:color w:val="auto"/>
          <w:sz w:val="28"/>
        </w:rPr>
        <w:t>＝20.6955×12%＝2.4835（万元）</w:t>
      </w:r>
    </w:p>
    <w:p w14:paraId="002BC7F0">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fldChar w:fldCharType="begin"/>
      </w:r>
      <w:r>
        <w:rPr>
          <w:rFonts w:hint="eastAsia" w:ascii="Arial" w:hAnsi="Arial" w:eastAsia="仿宋" w:cs="Arial"/>
          <w:color w:val="auto"/>
          <w:sz w:val="28"/>
        </w:rPr>
        <w:instrText xml:space="preserve"> = 3 \* GB3 </w:instrText>
      </w:r>
      <w:r>
        <w:rPr>
          <w:rFonts w:hint="eastAsia" w:ascii="Arial" w:hAnsi="Arial" w:eastAsia="仿宋" w:cs="Arial"/>
          <w:color w:val="auto"/>
          <w:sz w:val="28"/>
        </w:rPr>
        <w:fldChar w:fldCharType="separate"/>
      </w:r>
      <w:r>
        <w:rPr>
          <w:rFonts w:hint="eastAsia" w:ascii="Arial" w:hAnsi="Arial" w:eastAsia="仿宋" w:cs="Arial"/>
          <w:color w:val="auto"/>
          <w:sz w:val="28"/>
        </w:rPr>
        <w:t>③</w:t>
      </w:r>
      <w:r>
        <w:rPr>
          <w:rFonts w:hint="eastAsia" w:ascii="Arial" w:hAnsi="Arial" w:eastAsia="仿宋" w:cs="Arial"/>
          <w:color w:val="auto"/>
          <w:sz w:val="28"/>
        </w:rPr>
        <w:fldChar w:fldCharType="end"/>
      </w:r>
      <w:r>
        <w:rPr>
          <w:rFonts w:hint="eastAsia" w:ascii="Arial" w:hAnsi="Arial" w:eastAsia="仿宋" w:cs="Arial"/>
          <w:color w:val="auto"/>
          <w:sz w:val="28"/>
        </w:rPr>
        <w:t xml:space="preserve"> 城镇土地使用税</w:t>
      </w:r>
    </w:p>
    <w:p w14:paraId="0E952EC1">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根据《中华人民共和国城镇土地使用税暂行条例》[国令第〔1988〕17号，2011年修订]及《北京市实施&lt;中华人民共和国城镇土地使用税暂行条例&gt;办法》[1988年12月30日北京市人民政府京政发〔1988〕115号文件发布　根据1998年6月12日北京市人民政府第6号令第一次修改　根据2007年4月27日北京市人民政府第188号令第二次修改]，北京市土地使用税的纳税等级划分为六级，每平方米年税额分别为：一级土地30元；二级土地24元；三级土地18元；四级土地12元；五级土地3元；六级土地1.5元。</w:t>
      </w:r>
    </w:p>
    <w:p w14:paraId="693107A1">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依据北京市地方税务局于2015年11月26日发布的《北京市地方税务局关于调整北京市城镇土地纳税等级分级范围的公告》，估价对象位于北京市顺义区 ，属于北京市城镇土地纳税等级分级范围六级土地，纳税标准为1.5元/平方米；估价对象土地面积为236.68平方米。则有：</w:t>
      </w:r>
    </w:p>
    <w:p w14:paraId="608A4CC9">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城镇土地使用税＝1.5×236.68＝0.0355（万元）</w:t>
      </w:r>
    </w:p>
    <w:p w14:paraId="1E3095BE">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B）维修费</w:t>
      </w:r>
    </w:p>
    <w:p w14:paraId="06ACFE6C">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维修费指为保障房屋正常使用每年需支付的修缮费。根据项目的不同，维修保养费用一般取重置价格0.2%－1%。本次评估根据估价对象的品质、结构、建成年代等，维修保养费按建筑物重置价的1%计算； 其中建筑物重置价计算如下：</w:t>
      </w:r>
    </w:p>
    <w:tbl>
      <w:tblPr>
        <w:tblStyle w:val="34"/>
        <w:tblW w:w="94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816"/>
        <w:gridCol w:w="2172"/>
        <w:gridCol w:w="1692"/>
        <w:gridCol w:w="888"/>
        <w:gridCol w:w="3840"/>
      </w:tblGrid>
      <w:tr w14:paraId="2D877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52A8785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序号</w:t>
            </w:r>
          </w:p>
        </w:tc>
        <w:tc>
          <w:tcPr>
            <w:tcW w:w="2172" w:type="dxa"/>
            <w:shd w:val="clear" w:color="auto" w:fill="auto"/>
            <w:noWrap/>
            <w:vAlign w:val="center"/>
          </w:tcPr>
          <w:p w14:paraId="34EB8BD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项目</w:t>
            </w:r>
          </w:p>
        </w:tc>
        <w:tc>
          <w:tcPr>
            <w:tcW w:w="1692" w:type="dxa"/>
            <w:shd w:val="clear" w:color="auto" w:fill="auto"/>
            <w:noWrap/>
            <w:vAlign w:val="center"/>
          </w:tcPr>
          <w:p w14:paraId="3993928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总额</w:t>
            </w:r>
            <w:r>
              <w:rPr>
                <w:rFonts w:hint="eastAsia" w:ascii="Arial" w:hAnsi="Arial" w:eastAsia="仿宋" w:cs="Arial"/>
                <w:bCs/>
                <w:color w:val="auto"/>
                <w:sz w:val="21"/>
                <w:szCs w:val="21"/>
              </w:rPr>
              <w:t>（万元）</w:t>
            </w:r>
          </w:p>
        </w:tc>
        <w:tc>
          <w:tcPr>
            <w:tcW w:w="888" w:type="dxa"/>
            <w:shd w:val="clear" w:color="auto" w:fill="auto"/>
            <w:noWrap/>
            <w:vAlign w:val="center"/>
          </w:tcPr>
          <w:p w14:paraId="0DC99C4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费率</w:t>
            </w:r>
          </w:p>
        </w:tc>
        <w:tc>
          <w:tcPr>
            <w:tcW w:w="3840" w:type="dxa"/>
            <w:shd w:val="clear" w:color="auto" w:fill="auto"/>
            <w:noWrap/>
            <w:vAlign w:val="center"/>
          </w:tcPr>
          <w:p w14:paraId="0CC0CAB2">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备注</w:t>
            </w:r>
          </w:p>
        </w:tc>
      </w:tr>
      <w:tr w14:paraId="43D4E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02C6E2F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r>
              <w:rPr>
                <w:rFonts w:ascii="Arial" w:hAnsi="Arial" w:eastAsia="仿宋" w:cs="Arial"/>
                <w:bCs/>
                <w:color w:val="auto"/>
                <w:sz w:val="21"/>
                <w:szCs w:val="21"/>
              </w:rPr>
              <w:t>1</w:t>
            </w:r>
            <w:r>
              <w:rPr>
                <w:rFonts w:hint="eastAsia" w:ascii="Arial" w:hAnsi="Arial" w:eastAsia="仿宋" w:cs="Arial"/>
                <w:bCs/>
                <w:color w:val="auto"/>
                <w:sz w:val="21"/>
                <w:szCs w:val="21"/>
              </w:rPr>
              <w:t>）</w:t>
            </w:r>
          </w:p>
        </w:tc>
        <w:tc>
          <w:tcPr>
            <w:tcW w:w="2172" w:type="dxa"/>
            <w:shd w:val="clear" w:color="auto" w:fill="auto"/>
            <w:noWrap/>
            <w:vAlign w:val="center"/>
          </w:tcPr>
          <w:p w14:paraId="7A2BFAA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建设成本</w:t>
            </w:r>
          </w:p>
        </w:tc>
        <w:tc>
          <w:tcPr>
            <w:tcW w:w="1692" w:type="dxa"/>
            <w:shd w:val="clear" w:color="auto" w:fill="auto"/>
            <w:noWrap/>
            <w:vAlign w:val="center"/>
          </w:tcPr>
          <w:p w14:paraId="0AEA85E6">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150.0000</w:t>
            </w:r>
          </w:p>
        </w:tc>
        <w:tc>
          <w:tcPr>
            <w:tcW w:w="888" w:type="dxa"/>
            <w:shd w:val="clear" w:color="auto" w:fill="auto"/>
            <w:noWrap/>
            <w:vAlign w:val="center"/>
          </w:tcPr>
          <w:p w14:paraId="17DE6D9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c>
          <w:tcPr>
            <w:tcW w:w="3840" w:type="dxa"/>
            <w:shd w:val="clear" w:color="auto" w:fill="auto"/>
            <w:noWrap/>
            <w:vAlign w:val="center"/>
          </w:tcPr>
          <w:p w14:paraId="1AA30BC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w:t>
            </w:r>
          </w:p>
        </w:tc>
      </w:tr>
      <w:tr w14:paraId="2CDB0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50AE46D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r>
              <w:rPr>
                <w:rFonts w:hint="eastAsia" w:ascii="Arial" w:hAnsi="Arial" w:eastAsia="仿宋" w:cs="Arial"/>
                <w:bCs/>
                <w:color w:val="auto"/>
                <w:sz w:val="21"/>
                <w:szCs w:val="21"/>
              </w:rPr>
              <w:t>）</w:t>
            </w:r>
          </w:p>
        </w:tc>
        <w:tc>
          <w:tcPr>
            <w:tcW w:w="2172" w:type="dxa"/>
            <w:shd w:val="clear" w:color="auto" w:fill="auto"/>
            <w:noWrap/>
            <w:vAlign w:val="center"/>
          </w:tcPr>
          <w:p w14:paraId="7EB85885">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建筑安装工程费</w:t>
            </w:r>
          </w:p>
        </w:tc>
        <w:tc>
          <w:tcPr>
            <w:tcW w:w="1692" w:type="dxa"/>
            <w:shd w:val="clear" w:color="auto" w:fill="auto"/>
            <w:noWrap/>
            <w:vAlign w:val="center"/>
          </w:tcPr>
          <w:p w14:paraId="33019B61">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120.0000</w:t>
            </w:r>
          </w:p>
        </w:tc>
        <w:tc>
          <w:tcPr>
            <w:tcW w:w="888" w:type="dxa"/>
            <w:shd w:val="clear" w:color="auto" w:fill="auto"/>
            <w:noWrap/>
            <w:vAlign w:val="center"/>
          </w:tcPr>
          <w:p w14:paraId="758CDE9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4000</w:t>
            </w:r>
          </w:p>
        </w:tc>
        <w:tc>
          <w:tcPr>
            <w:tcW w:w="3840" w:type="dxa"/>
            <w:shd w:val="clear" w:color="auto" w:fill="auto"/>
            <w:noWrap/>
            <w:vAlign w:val="center"/>
          </w:tcPr>
          <w:p w14:paraId="7659BD6C">
            <w:pPr>
              <w:widowControl/>
              <w:adjustRightInd/>
              <w:spacing w:line="240" w:lineRule="exact"/>
              <w:textAlignment w:val="auto"/>
              <w:rPr>
                <w:rFonts w:hint="eastAsia" w:ascii="Arial" w:hAnsi="Arial" w:eastAsia="仿宋" w:cs="Arial"/>
                <w:bCs/>
                <w:color w:val="auto"/>
                <w:sz w:val="21"/>
                <w:szCs w:val="21"/>
                <w:lang w:val="en-US" w:eastAsia="zh-CN"/>
              </w:rPr>
            </w:pPr>
            <w:r>
              <w:rPr>
                <w:rFonts w:hint="eastAsia" w:ascii="Arial" w:hAnsi="Arial" w:eastAsia="仿宋" w:cs="Arial"/>
                <w:bCs/>
                <w:color w:val="auto"/>
                <w:sz w:val="21"/>
                <w:szCs w:val="21"/>
                <w:lang w:val="zh-CN"/>
              </w:rPr>
              <w:t>参照住房和城乡建设部标准定额研究所发布的北京建安成本，同时参考评估人员掌握的目前同类地区、相同档次项目的建筑结构及装修情况</w:t>
            </w:r>
            <w:r>
              <w:rPr>
                <w:rFonts w:hint="eastAsia" w:ascii="Arial" w:hAnsi="Arial" w:eastAsia="仿宋" w:cs="Arial"/>
                <w:bCs/>
                <w:color w:val="auto"/>
                <w:sz w:val="21"/>
                <w:szCs w:val="21"/>
                <w:lang w:val="en-US" w:eastAsia="zh-CN"/>
              </w:rPr>
              <w:t>确定</w:t>
            </w:r>
          </w:p>
        </w:tc>
      </w:tr>
      <w:tr w14:paraId="6A3FE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2E982C0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2</w:t>
            </w:r>
            <w:r>
              <w:rPr>
                <w:rFonts w:hint="eastAsia" w:ascii="Arial" w:hAnsi="Arial" w:eastAsia="仿宋" w:cs="Arial"/>
                <w:bCs/>
                <w:color w:val="auto"/>
                <w:sz w:val="21"/>
                <w:szCs w:val="21"/>
              </w:rPr>
              <w:t>）</w:t>
            </w:r>
          </w:p>
        </w:tc>
        <w:tc>
          <w:tcPr>
            <w:tcW w:w="2172" w:type="dxa"/>
            <w:shd w:val="clear" w:color="auto" w:fill="auto"/>
            <w:noWrap/>
            <w:vAlign w:val="center"/>
          </w:tcPr>
          <w:p w14:paraId="1E1CA45B">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前期费用</w:t>
            </w:r>
          </w:p>
        </w:tc>
        <w:tc>
          <w:tcPr>
            <w:tcW w:w="1692" w:type="dxa"/>
            <w:shd w:val="clear" w:color="auto" w:fill="auto"/>
            <w:noWrap/>
            <w:vAlign w:val="center"/>
          </w:tcPr>
          <w:p w14:paraId="04F71336">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9.6000</w:t>
            </w:r>
          </w:p>
        </w:tc>
        <w:tc>
          <w:tcPr>
            <w:tcW w:w="888" w:type="dxa"/>
            <w:shd w:val="clear" w:color="auto" w:fill="auto"/>
            <w:noWrap/>
            <w:vAlign w:val="center"/>
          </w:tcPr>
          <w:p w14:paraId="716BC50A">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8%</w:t>
            </w:r>
          </w:p>
        </w:tc>
        <w:tc>
          <w:tcPr>
            <w:tcW w:w="3840" w:type="dxa"/>
            <w:shd w:val="clear" w:color="auto" w:fill="auto"/>
            <w:noWrap/>
            <w:vAlign w:val="center"/>
          </w:tcPr>
          <w:p w14:paraId="606E63A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以建安费用为基数，取值同前</w:t>
            </w:r>
          </w:p>
        </w:tc>
      </w:tr>
      <w:tr w14:paraId="56D1E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058A295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3</w:t>
            </w:r>
            <w:r>
              <w:rPr>
                <w:rFonts w:hint="eastAsia" w:ascii="Arial" w:hAnsi="Arial" w:eastAsia="仿宋" w:cs="Arial"/>
                <w:bCs/>
                <w:color w:val="auto"/>
                <w:sz w:val="21"/>
                <w:szCs w:val="21"/>
              </w:rPr>
              <w:t>）</w:t>
            </w:r>
          </w:p>
        </w:tc>
        <w:tc>
          <w:tcPr>
            <w:tcW w:w="2172" w:type="dxa"/>
            <w:shd w:val="clear" w:color="auto" w:fill="auto"/>
            <w:noWrap/>
            <w:vAlign w:val="center"/>
          </w:tcPr>
          <w:p w14:paraId="4E69F46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公共配套设施费用</w:t>
            </w:r>
          </w:p>
        </w:tc>
        <w:tc>
          <w:tcPr>
            <w:tcW w:w="1692" w:type="dxa"/>
            <w:shd w:val="clear" w:color="auto" w:fill="auto"/>
            <w:noWrap/>
            <w:vAlign w:val="center"/>
          </w:tcPr>
          <w:p w14:paraId="7C978296">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c>
          <w:tcPr>
            <w:tcW w:w="888" w:type="dxa"/>
            <w:shd w:val="clear" w:color="auto" w:fill="auto"/>
            <w:noWrap/>
            <w:vAlign w:val="center"/>
          </w:tcPr>
          <w:p w14:paraId="5136A0A2">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不计取</w:t>
            </w:r>
          </w:p>
        </w:tc>
        <w:tc>
          <w:tcPr>
            <w:tcW w:w="3840" w:type="dxa"/>
            <w:shd w:val="clear" w:color="auto" w:fill="auto"/>
            <w:noWrap/>
            <w:vAlign w:val="center"/>
          </w:tcPr>
          <w:p w14:paraId="21EFD5C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同前取值　</w:t>
            </w:r>
          </w:p>
        </w:tc>
      </w:tr>
      <w:tr w14:paraId="2B87E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5DBA6C6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4）</w:t>
            </w:r>
          </w:p>
        </w:tc>
        <w:tc>
          <w:tcPr>
            <w:tcW w:w="2172" w:type="dxa"/>
            <w:shd w:val="clear" w:color="auto" w:fill="auto"/>
            <w:noWrap/>
            <w:vAlign w:val="center"/>
          </w:tcPr>
          <w:p w14:paraId="052E335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基础设施建设费</w:t>
            </w:r>
          </w:p>
        </w:tc>
        <w:tc>
          <w:tcPr>
            <w:tcW w:w="1692" w:type="dxa"/>
            <w:shd w:val="clear" w:color="auto" w:fill="auto"/>
            <w:noWrap/>
            <w:vAlign w:val="center"/>
          </w:tcPr>
          <w:p w14:paraId="74718153">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12.0000</w:t>
            </w:r>
          </w:p>
        </w:tc>
        <w:tc>
          <w:tcPr>
            <w:tcW w:w="888" w:type="dxa"/>
            <w:shd w:val="clear" w:color="auto" w:fill="auto"/>
            <w:noWrap/>
            <w:vAlign w:val="center"/>
          </w:tcPr>
          <w:p w14:paraId="2EB63C8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10%</w:t>
            </w:r>
          </w:p>
        </w:tc>
        <w:tc>
          <w:tcPr>
            <w:tcW w:w="3840" w:type="dxa"/>
            <w:shd w:val="clear" w:color="auto" w:fill="auto"/>
            <w:noWrap/>
            <w:vAlign w:val="center"/>
          </w:tcPr>
          <w:p w14:paraId="6F8288D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城市基础设施建设费和红线外市政费用归为土地开发成本，此处不计入；红线内市政费用同前取值</w:t>
            </w:r>
          </w:p>
        </w:tc>
      </w:tr>
      <w:tr w14:paraId="13778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4B07FC5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5）</w:t>
            </w:r>
          </w:p>
        </w:tc>
        <w:tc>
          <w:tcPr>
            <w:tcW w:w="2172" w:type="dxa"/>
            <w:shd w:val="clear" w:color="auto" w:fill="auto"/>
            <w:noWrap/>
            <w:vAlign w:val="center"/>
          </w:tcPr>
          <w:p w14:paraId="3079542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其他工程费</w:t>
            </w:r>
          </w:p>
        </w:tc>
        <w:tc>
          <w:tcPr>
            <w:tcW w:w="1692" w:type="dxa"/>
            <w:shd w:val="clear" w:color="auto" w:fill="auto"/>
            <w:noWrap/>
            <w:vAlign w:val="center"/>
          </w:tcPr>
          <w:p w14:paraId="1E774372">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6.0000</w:t>
            </w:r>
          </w:p>
        </w:tc>
        <w:tc>
          <w:tcPr>
            <w:tcW w:w="888" w:type="dxa"/>
            <w:shd w:val="clear" w:color="auto" w:fill="auto"/>
            <w:noWrap/>
            <w:vAlign w:val="center"/>
          </w:tcPr>
          <w:p w14:paraId="37E48307">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5%</w:t>
            </w:r>
          </w:p>
        </w:tc>
        <w:tc>
          <w:tcPr>
            <w:tcW w:w="3840" w:type="dxa"/>
            <w:shd w:val="clear" w:color="auto" w:fill="auto"/>
            <w:noWrap/>
            <w:vAlign w:val="center"/>
          </w:tcPr>
          <w:p w14:paraId="0B6C036C">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以建安费用为基数，取值同前</w:t>
            </w:r>
          </w:p>
        </w:tc>
      </w:tr>
      <w:tr w14:paraId="330BA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13A274E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6</w:t>
            </w:r>
            <w:r>
              <w:rPr>
                <w:rFonts w:hint="eastAsia" w:ascii="Arial" w:hAnsi="Arial" w:eastAsia="仿宋" w:cs="Arial"/>
                <w:bCs/>
                <w:color w:val="auto"/>
                <w:sz w:val="21"/>
                <w:szCs w:val="21"/>
              </w:rPr>
              <w:t>）</w:t>
            </w:r>
          </w:p>
        </w:tc>
        <w:tc>
          <w:tcPr>
            <w:tcW w:w="2172" w:type="dxa"/>
            <w:shd w:val="clear" w:color="auto" w:fill="auto"/>
            <w:noWrap/>
            <w:vAlign w:val="center"/>
          </w:tcPr>
          <w:p w14:paraId="24D6A45D">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开发期间税费</w:t>
            </w:r>
          </w:p>
        </w:tc>
        <w:tc>
          <w:tcPr>
            <w:tcW w:w="1692" w:type="dxa"/>
            <w:shd w:val="clear" w:color="auto" w:fill="auto"/>
            <w:noWrap/>
            <w:vAlign w:val="center"/>
          </w:tcPr>
          <w:p w14:paraId="300A7B2D">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2.4000</w:t>
            </w:r>
          </w:p>
        </w:tc>
        <w:tc>
          <w:tcPr>
            <w:tcW w:w="888" w:type="dxa"/>
            <w:shd w:val="clear" w:color="auto" w:fill="auto"/>
            <w:noWrap/>
            <w:vAlign w:val="center"/>
          </w:tcPr>
          <w:p w14:paraId="7BD8AA6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2%</w:t>
            </w:r>
          </w:p>
        </w:tc>
        <w:tc>
          <w:tcPr>
            <w:tcW w:w="3840" w:type="dxa"/>
            <w:shd w:val="clear" w:color="auto" w:fill="auto"/>
            <w:noWrap/>
            <w:vAlign w:val="center"/>
          </w:tcPr>
          <w:p w14:paraId="0FE67EC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以建安费用为基数，取值同前</w:t>
            </w:r>
          </w:p>
        </w:tc>
      </w:tr>
      <w:tr w14:paraId="41D09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319F213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r>
              <w:rPr>
                <w:rFonts w:ascii="Arial" w:hAnsi="Arial" w:eastAsia="仿宋" w:cs="Arial"/>
                <w:bCs/>
                <w:color w:val="auto"/>
                <w:sz w:val="21"/>
                <w:szCs w:val="21"/>
              </w:rPr>
              <w:t>2</w:t>
            </w:r>
            <w:r>
              <w:rPr>
                <w:rFonts w:hint="eastAsia" w:ascii="Arial" w:hAnsi="Arial" w:eastAsia="仿宋" w:cs="Arial"/>
                <w:bCs/>
                <w:color w:val="auto"/>
                <w:sz w:val="21"/>
                <w:szCs w:val="21"/>
              </w:rPr>
              <w:t>）</w:t>
            </w:r>
          </w:p>
        </w:tc>
        <w:tc>
          <w:tcPr>
            <w:tcW w:w="2172" w:type="dxa"/>
            <w:shd w:val="clear" w:color="auto" w:fill="auto"/>
            <w:noWrap/>
            <w:vAlign w:val="center"/>
          </w:tcPr>
          <w:p w14:paraId="199A7392">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管理费用</w:t>
            </w:r>
          </w:p>
        </w:tc>
        <w:tc>
          <w:tcPr>
            <w:tcW w:w="1692" w:type="dxa"/>
            <w:shd w:val="clear" w:color="auto" w:fill="auto"/>
            <w:noWrap/>
            <w:vAlign w:val="center"/>
          </w:tcPr>
          <w:p w14:paraId="6122A41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4.5000</w:t>
            </w:r>
          </w:p>
        </w:tc>
        <w:tc>
          <w:tcPr>
            <w:tcW w:w="888" w:type="dxa"/>
            <w:shd w:val="clear" w:color="auto" w:fill="auto"/>
            <w:noWrap/>
            <w:vAlign w:val="center"/>
          </w:tcPr>
          <w:p w14:paraId="4F539C0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3%</w:t>
            </w:r>
          </w:p>
        </w:tc>
        <w:tc>
          <w:tcPr>
            <w:tcW w:w="3840" w:type="dxa"/>
            <w:shd w:val="clear" w:color="auto" w:fill="auto"/>
            <w:noWrap/>
            <w:vAlign w:val="center"/>
          </w:tcPr>
          <w:p w14:paraId="3368AAA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以（</w:t>
            </w:r>
            <w:r>
              <w:rPr>
                <w:rFonts w:ascii="Arial" w:hAnsi="Arial" w:eastAsia="仿宋" w:cs="Arial"/>
                <w:bCs/>
                <w:color w:val="auto"/>
                <w:sz w:val="21"/>
                <w:szCs w:val="21"/>
              </w:rPr>
              <w:t>1</w:t>
            </w:r>
            <w:r>
              <w:rPr>
                <w:rFonts w:hint="eastAsia" w:ascii="Arial" w:hAnsi="Arial" w:eastAsia="仿宋" w:cs="Arial"/>
                <w:bCs/>
                <w:color w:val="auto"/>
                <w:sz w:val="21"/>
                <w:szCs w:val="21"/>
              </w:rPr>
              <w:t>）为基数，取值同前</w:t>
            </w:r>
          </w:p>
        </w:tc>
      </w:tr>
      <w:tr w14:paraId="54C2B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27809973">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r>
              <w:rPr>
                <w:rFonts w:ascii="Arial" w:hAnsi="Arial" w:eastAsia="仿宋" w:cs="Arial"/>
                <w:bCs/>
                <w:color w:val="auto"/>
                <w:sz w:val="21"/>
                <w:szCs w:val="21"/>
              </w:rPr>
              <w:t>3</w:t>
            </w:r>
            <w:r>
              <w:rPr>
                <w:rFonts w:hint="eastAsia" w:ascii="Arial" w:hAnsi="Arial" w:eastAsia="仿宋" w:cs="Arial"/>
                <w:bCs/>
                <w:color w:val="auto"/>
                <w:sz w:val="21"/>
                <w:szCs w:val="21"/>
              </w:rPr>
              <w:t>）</w:t>
            </w:r>
          </w:p>
        </w:tc>
        <w:tc>
          <w:tcPr>
            <w:tcW w:w="2172" w:type="dxa"/>
            <w:shd w:val="clear" w:color="auto" w:fill="auto"/>
            <w:noWrap/>
            <w:vAlign w:val="center"/>
          </w:tcPr>
          <w:p w14:paraId="0FD080A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销售费用</w:t>
            </w:r>
          </w:p>
        </w:tc>
        <w:tc>
          <w:tcPr>
            <w:tcW w:w="1692" w:type="dxa"/>
            <w:shd w:val="clear" w:color="auto" w:fill="auto"/>
            <w:noWrap/>
            <w:vAlign w:val="center"/>
          </w:tcPr>
          <w:p w14:paraId="49DA2B83">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c>
          <w:tcPr>
            <w:tcW w:w="888" w:type="dxa"/>
            <w:shd w:val="clear" w:color="auto" w:fill="auto"/>
            <w:noWrap/>
            <w:vAlign w:val="center"/>
          </w:tcPr>
          <w:p w14:paraId="4B5C3EA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不计取</w:t>
            </w:r>
          </w:p>
        </w:tc>
        <w:tc>
          <w:tcPr>
            <w:tcW w:w="3840" w:type="dxa"/>
            <w:shd w:val="clear" w:color="auto" w:fill="auto"/>
            <w:noWrap/>
            <w:vAlign w:val="center"/>
          </w:tcPr>
          <w:p w14:paraId="18CA796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以建筑物重置价值为基数，取值同前</w:t>
            </w:r>
          </w:p>
        </w:tc>
      </w:tr>
      <w:tr w14:paraId="7B26F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664FEA8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r>
              <w:rPr>
                <w:rFonts w:ascii="Arial" w:hAnsi="Arial" w:eastAsia="仿宋" w:cs="Arial"/>
                <w:bCs/>
                <w:color w:val="auto"/>
                <w:sz w:val="21"/>
                <w:szCs w:val="21"/>
              </w:rPr>
              <w:t>4</w:t>
            </w:r>
            <w:r>
              <w:rPr>
                <w:rFonts w:hint="eastAsia" w:ascii="Arial" w:hAnsi="Arial" w:eastAsia="仿宋" w:cs="Arial"/>
                <w:bCs/>
                <w:color w:val="auto"/>
                <w:sz w:val="21"/>
                <w:szCs w:val="21"/>
              </w:rPr>
              <w:t>）</w:t>
            </w:r>
          </w:p>
        </w:tc>
        <w:tc>
          <w:tcPr>
            <w:tcW w:w="2172" w:type="dxa"/>
            <w:shd w:val="clear" w:color="auto" w:fill="auto"/>
            <w:noWrap/>
            <w:vAlign w:val="center"/>
          </w:tcPr>
          <w:p w14:paraId="2876F981">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投资利息</w:t>
            </w:r>
          </w:p>
        </w:tc>
        <w:tc>
          <w:tcPr>
            <w:tcW w:w="1692" w:type="dxa"/>
            <w:shd w:val="clear" w:color="auto" w:fill="auto"/>
            <w:noWrap/>
            <w:vAlign w:val="center"/>
          </w:tcPr>
          <w:p w14:paraId="4CD25B79">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7.5927＋0V</w:t>
            </w:r>
            <w:r>
              <w:rPr>
                <w:rFonts w:hint="eastAsia" w:ascii="Arial" w:hAnsi="Arial" w:eastAsia="仿宋" w:cs="Arial"/>
                <w:bCs/>
                <w:color w:val="auto"/>
                <w:sz w:val="21"/>
                <w:szCs w:val="21"/>
                <w:vertAlign w:val="subscript"/>
              </w:rPr>
              <w:t>建</w:t>
            </w:r>
          </w:p>
        </w:tc>
        <w:tc>
          <w:tcPr>
            <w:tcW w:w="888" w:type="dxa"/>
            <w:shd w:val="clear" w:color="auto" w:fill="auto"/>
            <w:noWrap/>
            <w:vAlign w:val="center"/>
          </w:tcPr>
          <w:p w14:paraId="3C1637D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c>
          <w:tcPr>
            <w:tcW w:w="3840" w:type="dxa"/>
            <w:shd w:val="clear" w:color="auto" w:fill="auto"/>
            <w:noWrap/>
            <w:vAlign w:val="center"/>
          </w:tcPr>
          <w:p w14:paraId="6672520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建设期为</w:t>
            </w:r>
            <w:r>
              <w:rPr>
                <w:rFonts w:hint="eastAsia" w:ascii="Arial" w:hAnsi="Arial" w:eastAsia="仿宋" w:cs="Arial"/>
                <w:bCs/>
                <w:color w:val="auto"/>
                <w:sz w:val="21"/>
                <w:szCs w:val="21"/>
              </w:rPr>
              <w:t>3年，</w:t>
            </w:r>
            <w:r>
              <w:rPr>
                <w:rFonts w:ascii="Arial" w:hAnsi="Arial" w:eastAsia="仿宋" w:cs="Arial"/>
                <w:bCs/>
                <w:color w:val="auto"/>
                <w:sz w:val="21"/>
                <w:szCs w:val="21"/>
              </w:rPr>
              <w:t>复利计息</w:t>
            </w:r>
          </w:p>
        </w:tc>
      </w:tr>
      <w:tr w14:paraId="6D0A5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4FDB325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r>
              <w:rPr>
                <w:rFonts w:hint="eastAsia" w:ascii="Arial" w:hAnsi="Arial" w:eastAsia="仿宋" w:cs="Arial"/>
                <w:bCs/>
                <w:color w:val="auto"/>
                <w:sz w:val="21"/>
                <w:szCs w:val="21"/>
              </w:rPr>
              <w:t>）</w:t>
            </w:r>
          </w:p>
        </w:tc>
        <w:tc>
          <w:tcPr>
            <w:tcW w:w="2172" w:type="dxa"/>
            <w:shd w:val="clear" w:color="auto" w:fill="auto"/>
            <w:noWrap/>
            <w:vAlign w:val="center"/>
          </w:tcPr>
          <w:p w14:paraId="06753B89">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r>
              <w:rPr>
                <w:rFonts w:ascii="Arial" w:hAnsi="Arial" w:eastAsia="仿宋" w:cs="Arial"/>
                <w:bCs/>
                <w:color w:val="auto"/>
                <w:sz w:val="21"/>
                <w:szCs w:val="21"/>
              </w:rPr>
              <w:t>1</w:t>
            </w:r>
            <w:r>
              <w:rPr>
                <w:rFonts w:hint="eastAsia" w:ascii="Arial" w:hAnsi="Arial" w:eastAsia="仿宋" w:cs="Arial"/>
                <w:bCs/>
                <w:color w:val="auto"/>
                <w:sz w:val="21"/>
                <w:szCs w:val="21"/>
              </w:rPr>
              <w:t>）、（</w:t>
            </w:r>
            <w:r>
              <w:rPr>
                <w:rFonts w:ascii="Arial" w:hAnsi="Arial" w:eastAsia="仿宋" w:cs="Arial"/>
                <w:bCs/>
                <w:color w:val="auto"/>
                <w:sz w:val="21"/>
                <w:szCs w:val="21"/>
              </w:rPr>
              <w:t>2</w:t>
            </w:r>
            <w:r>
              <w:rPr>
                <w:rFonts w:hint="eastAsia" w:ascii="Arial" w:hAnsi="Arial" w:eastAsia="仿宋" w:cs="Arial"/>
                <w:bCs/>
                <w:color w:val="auto"/>
                <w:sz w:val="21"/>
                <w:szCs w:val="21"/>
              </w:rPr>
              <w:t>）项产生的利息</w:t>
            </w:r>
          </w:p>
        </w:tc>
        <w:tc>
          <w:tcPr>
            <w:tcW w:w="1692" w:type="dxa"/>
            <w:shd w:val="clear" w:color="auto" w:fill="auto"/>
            <w:noWrap/>
            <w:vAlign w:val="center"/>
          </w:tcPr>
          <w:p w14:paraId="7B740B6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7.5927</w:t>
            </w:r>
          </w:p>
        </w:tc>
        <w:tc>
          <w:tcPr>
            <w:tcW w:w="888" w:type="dxa"/>
            <w:shd w:val="clear" w:color="auto" w:fill="auto"/>
            <w:noWrap/>
            <w:vAlign w:val="center"/>
          </w:tcPr>
          <w:p w14:paraId="13AF2063">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3.25%</w:t>
            </w:r>
          </w:p>
        </w:tc>
        <w:tc>
          <w:tcPr>
            <w:tcW w:w="3840" w:type="dxa"/>
            <w:vMerge w:val="restart"/>
            <w:shd w:val="clear" w:color="auto" w:fill="auto"/>
            <w:noWrap/>
            <w:vAlign w:val="center"/>
          </w:tcPr>
          <w:p w14:paraId="24624BD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建设期均匀投入</w:t>
            </w:r>
          </w:p>
        </w:tc>
      </w:tr>
      <w:tr w14:paraId="514F5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53BFBBAF">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2</w:t>
            </w:r>
            <w:r>
              <w:rPr>
                <w:rFonts w:hint="eastAsia" w:ascii="Arial" w:hAnsi="Arial" w:eastAsia="仿宋" w:cs="Arial"/>
                <w:bCs/>
                <w:color w:val="auto"/>
                <w:sz w:val="21"/>
                <w:szCs w:val="21"/>
              </w:rPr>
              <w:t>）</w:t>
            </w:r>
          </w:p>
        </w:tc>
        <w:tc>
          <w:tcPr>
            <w:tcW w:w="2172" w:type="dxa"/>
            <w:shd w:val="clear" w:color="auto" w:fill="auto"/>
            <w:noWrap/>
            <w:vAlign w:val="center"/>
          </w:tcPr>
          <w:p w14:paraId="637CF64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（3）项产生的利息</w:t>
            </w:r>
          </w:p>
        </w:tc>
        <w:tc>
          <w:tcPr>
            <w:tcW w:w="1692" w:type="dxa"/>
            <w:shd w:val="clear" w:color="auto" w:fill="auto"/>
            <w:noWrap/>
            <w:vAlign w:val="center"/>
          </w:tcPr>
          <w:p w14:paraId="6CB7C96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0.0000</w:t>
            </w:r>
          </w:p>
        </w:tc>
        <w:tc>
          <w:tcPr>
            <w:tcW w:w="888" w:type="dxa"/>
            <w:shd w:val="clear" w:color="auto" w:fill="auto"/>
            <w:noWrap/>
            <w:vAlign w:val="center"/>
          </w:tcPr>
          <w:p w14:paraId="514E0C0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c>
          <w:tcPr>
            <w:tcW w:w="3840" w:type="dxa"/>
            <w:vMerge w:val="continue"/>
            <w:shd w:val="clear" w:color="auto" w:fill="auto"/>
            <w:vAlign w:val="center"/>
          </w:tcPr>
          <w:p w14:paraId="36FE133C">
            <w:pPr>
              <w:widowControl/>
              <w:adjustRightInd/>
              <w:spacing w:line="240" w:lineRule="exact"/>
              <w:textAlignment w:val="auto"/>
              <w:rPr>
                <w:rFonts w:ascii="Arial" w:hAnsi="Arial" w:eastAsia="仿宋" w:cs="Arial"/>
                <w:bCs/>
                <w:color w:val="auto"/>
                <w:sz w:val="21"/>
                <w:szCs w:val="21"/>
              </w:rPr>
            </w:pPr>
          </w:p>
        </w:tc>
      </w:tr>
      <w:tr w14:paraId="1F4E6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70B0BE0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r>
              <w:rPr>
                <w:rFonts w:ascii="Arial" w:hAnsi="Arial" w:eastAsia="仿宋" w:cs="Arial"/>
                <w:bCs/>
                <w:color w:val="auto"/>
                <w:sz w:val="21"/>
                <w:szCs w:val="21"/>
              </w:rPr>
              <w:t>5</w:t>
            </w:r>
            <w:r>
              <w:rPr>
                <w:rFonts w:hint="eastAsia" w:ascii="Arial" w:hAnsi="Arial" w:eastAsia="仿宋" w:cs="Arial"/>
                <w:bCs/>
                <w:color w:val="auto"/>
                <w:sz w:val="21"/>
                <w:szCs w:val="21"/>
              </w:rPr>
              <w:t>）</w:t>
            </w:r>
          </w:p>
        </w:tc>
        <w:tc>
          <w:tcPr>
            <w:tcW w:w="2172" w:type="dxa"/>
            <w:shd w:val="clear" w:color="auto" w:fill="auto"/>
            <w:noWrap/>
            <w:vAlign w:val="center"/>
          </w:tcPr>
          <w:p w14:paraId="62A46921">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开发利润</w:t>
            </w:r>
          </w:p>
        </w:tc>
        <w:tc>
          <w:tcPr>
            <w:tcW w:w="1692" w:type="dxa"/>
            <w:shd w:val="clear" w:color="auto" w:fill="auto"/>
            <w:noWrap/>
            <w:vAlign w:val="center"/>
          </w:tcPr>
          <w:p w14:paraId="2592302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15.4500＋0V</w:t>
            </w:r>
            <w:r>
              <w:rPr>
                <w:rFonts w:hint="eastAsia" w:ascii="Arial" w:hAnsi="Arial" w:eastAsia="仿宋" w:cs="Arial"/>
                <w:bCs/>
                <w:color w:val="auto"/>
                <w:sz w:val="21"/>
                <w:szCs w:val="21"/>
                <w:vertAlign w:val="subscript"/>
              </w:rPr>
              <w:t>建</w:t>
            </w:r>
          </w:p>
        </w:tc>
        <w:tc>
          <w:tcPr>
            <w:tcW w:w="888" w:type="dxa"/>
            <w:shd w:val="clear" w:color="auto" w:fill="auto"/>
            <w:noWrap/>
            <w:vAlign w:val="center"/>
          </w:tcPr>
          <w:p w14:paraId="397007F5">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c>
          <w:tcPr>
            <w:tcW w:w="3840" w:type="dxa"/>
            <w:shd w:val="clear" w:color="auto" w:fill="auto"/>
            <w:vAlign w:val="center"/>
          </w:tcPr>
          <w:p w14:paraId="1483DF69">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r>
              <w:rPr>
                <w:rFonts w:ascii="Arial" w:hAnsi="Arial" w:eastAsia="仿宋" w:cs="Arial"/>
                <w:bCs/>
                <w:color w:val="auto"/>
                <w:sz w:val="21"/>
                <w:szCs w:val="21"/>
              </w:rPr>
              <w:t>1</w:t>
            </w:r>
            <w:r>
              <w:rPr>
                <w:rFonts w:hint="eastAsia" w:ascii="Arial" w:hAnsi="Arial" w:eastAsia="仿宋" w:cs="Arial"/>
                <w:bCs/>
                <w:color w:val="auto"/>
                <w:sz w:val="21"/>
                <w:szCs w:val="21"/>
              </w:rPr>
              <w:t>）－（</w:t>
            </w:r>
            <w:r>
              <w:rPr>
                <w:rFonts w:ascii="Arial" w:hAnsi="Arial" w:eastAsia="仿宋" w:cs="Arial"/>
                <w:bCs/>
                <w:color w:val="auto"/>
                <w:sz w:val="21"/>
                <w:szCs w:val="21"/>
              </w:rPr>
              <w:t>3</w:t>
            </w:r>
            <w:r>
              <w:rPr>
                <w:rFonts w:hint="eastAsia" w:ascii="Arial" w:hAnsi="Arial" w:eastAsia="仿宋" w:cs="Arial"/>
                <w:bCs/>
                <w:color w:val="auto"/>
                <w:sz w:val="21"/>
                <w:szCs w:val="21"/>
              </w:rPr>
              <w:t>）项乘投资利润率，取值依据同前</w:t>
            </w:r>
          </w:p>
        </w:tc>
      </w:tr>
      <w:tr w14:paraId="61E79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22465A0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r>
              <w:rPr>
                <w:rFonts w:hint="eastAsia" w:ascii="Arial" w:hAnsi="Arial" w:eastAsia="仿宋" w:cs="Arial"/>
                <w:bCs/>
                <w:color w:val="auto"/>
                <w:sz w:val="21"/>
                <w:szCs w:val="21"/>
              </w:rPr>
              <w:t>）</w:t>
            </w:r>
          </w:p>
        </w:tc>
        <w:tc>
          <w:tcPr>
            <w:tcW w:w="2172" w:type="dxa"/>
            <w:shd w:val="clear" w:color="auto" w:fill="auto"/>
            <w:noWrap/>
            <w:vAlign w:val="center"/>
          </w:tcPr>
          <w:p w14:paraId="09D0D22B">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r>
              <w:rPr>
                <w:rFonts w:ascii="Arial" w:hAnsi="Arial" w:eastAsia="仿宋" w:cs="Arial"/>
                <w:bCs/>
                <w:color w:val="auto"/>
                <w:sz w:val="21"/>
                <w:szCs w:val="21"/>
              </w:rPr>
              <w:t>1</w:t>
            </w:r>
            <w:r>
              <w:rPr>
                <w:rFonts w:hint="eastAsia" w:ascii="Arial" w:hAnsi="Arial" w:eastAsia="仿宋" w:cs="Arial"/>
                <w:bCs/>
                <w:color w:val="auto"/>
                <w:sz w:val="21"/>
                <w:szCs w:val="21"/>
              </w:rPr>
              <w:t>）、（</w:t>
            </w:r>
            <w:r>
              <w:rPr>
                <w:rFonts w:ascii="Arial" w:hAnsi="Arial" w:eastAsia="仿宋" w:cs="Arial"/>
                <w:bCs/>
                <w:color w:val="auto"/>
                <w:sz w:val="21"/>
                <w:szCs w:val="21"/>
              </w:rPr>
              <w:t>2</w:t>
            </w:r>
            <w:r>
              <w:rPr>
                <w:rFonts w:hint="eastAsia" w:ascii="Arial" w:hAnsi="Arial" w:eastAsia="仿宋" w:cs="Arial"/>
                <w:bCs/>
                <w:color w:val="auto"/>
                <w:sz w:val="21"/>
                <w:szCs w:val="21"/>
              </w:rPr>
              <w:t>）项产生的利润</w:t>
            </w:r>
          </w:p>
        </w:tc>
        <w:tc>
          <w:tcPr>
            <w:tcW w:w="1692" w:type="dxa"/>
            <w:shd w:val="clear" w:color="auto" w:fill="auto"/>
            <w:noWrap/>
            <w:vAlign w:val="center"/>
          </w:tcPr>
          <w:p w14:paraId="63446C0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15.4500</w:t>
            </w:r>
          </w:p>
        </w:tc>
        <w:tc>
          <w:tcPr>
            <w:tcW w:w="888" w:type="dxa"/>
            <w:shd w:val="clear" w:color="auto" w:fill="auto"/>
            <w:noWrap/>
            <w:vAlign w:val="center"/>
          </w:tcPr>
          <w:p w14:paraId="64B56685">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10%</w:t>
            </w:r>
          </w:p>
        </w:tc>
        <w:tc>
          <w:tcPr>
            <w:tcW w:w="3840" w:type="dxa"/>
            <w:shd w:val="clear" w:color="auto" w:fill="auto"/>
            <w:vAlign w:val="center"/>
          </w:tcPr>
          <w:p w14:paraId="4DB1A6B5">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w:t>
            </w:r>
          </w:p>
        </w:tc>
      </w:tr>
      <w:tr w14:paraId="5E023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55BBF307">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2</w:t>
            </w:r>
            <w:r>
              <w:rPr>
                <w:rFonts w:hint="eastAsia" w:ascii="Arial" w:hAnsi="Arial" w:eastAsia="仿宋" w:cs="Arial"/>
                <w:bCs/>
                <w:color w:val="auto"/>
                <w:sz w:val="21"/>
                <w:szCs w:val="21"/>
              </w:rPr>
              <w:t>）</w:t>
            </w:r>
          </w:p>
        </w:tc>
        <w:tc>
          <w:tcPr>
            <w:tcW w:w="2172" w:type="dxa"/>
            <w:shd w:val="clear" w:color="auto" w:fill="auto"/>
            <w:noWrap/>
            <w:vAlign w:val="center"/>
          </w:tcPr>
          <w:p w14:paraId="23B78D8B">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r>
              <w:rPr>
                <w:rFonts w:ascii="Arial" w:hAnsi="Arial" w:eastAsia="仿宋" w:cs="Arial"/>
                <w:bCs/>
                <w:color w:val="auto"/>
                <w:sz w:val="21"/>
                <w:szCs w:val="21"/>
              </w:rPr>
              <w:t>3</w:t>
            </w:r>
            <w:r>
              <w:rPr>
                <w:rFonts w:hint="eastAsia" w:ascii="Arial" w:hAnsi="Arial" w:eastAsia="仿宋" w:cs="Arial"/>
                <w:bCs/>
                <w:color w:val="auto"/>
                <w:sz w:val="21"/>
                <w:szCs w:val="21"/>
              </w:rPr>
              <w:t>）项产生的利润</w:t>
            </w:r>
          </w:p>
        </w:tc>
        <w:tc>
          <w:tcPr>
            <w:tcW w:w="1692" w:type="dxa"/>
            <w:shd w:val="clear" w:color="auto" w:fill="auto"/>
            <w:noWrap/>
            <w:vAlign w:val="center"/>
          </w:tcPr>
          <w:p w14:paraId="67F5C59A">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0.0000</w:t>
            </w:r>
          </w:p>
        </w:tc>
        <w:tc>
          <w:tcPr>
            <w:tcW w:w="888" w:type="dxa"/>
            <w:shd w:val="clear" w:color="auto" w:fill="auto"/>
            <w:noWrap/>
            <w:vAlign w:val="center"/>
          </w:tcPr>
          <w:p w14:paraId="05DD99BB">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c>
          <w:tcPr>
            <w:tcW w:w="3840" w:type="dxa"/>
            <w:shd w:val="clear" w:color="auto" w:fill="auto"/>
            <w:vAlign w:val="center"/>
          </w:tcPr>
          <w:p w14:paraId="599963B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w:t>
            </w:r>
          </w:p>
        </w:tc>
      </w:tr>
      <w:tr w14:paraId="5901C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1EBC4592">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r>
              <w:rPr>
                <w:rFonts w:ascii="Arial" w:hAnsi="Arial" w:eastAsia="仿宋" w:cs="Arial"/>
                <w:bCs/>
                <w:color w:val="auto"/>
                <w:sz w:val="21"/>
                <w:szCs w:val="21"/>
              </w:rPr>
              <w:t>6</w:t>
            </w:r>
            <w:r>
              <w:rPr>
                <w:rFonts w:hint="eastAsia" w:ascii="Arial" w:hAnsi="Arial" w:eastAsia="仿宋" w:cs="Arial"/>
                <w:bCs/>
                <w:color w:val="auto"/>
                <w:sz w:val="21"/>
                <w:szCs w:val="21"/>
              </w:rPr>
              <w:t>）</w:t>
            </w:r>
          </w:p>
        </w:tc>
        <w:tc>
          <w:tcPr>
            <w:tcW w:w="2172" w:type="dxa"/>
            <w:shd w:val="clear" w:color="auto" w:fill="auto"/>
            <w:noWrap/>
            <w:vAlign w:val="center"/>
          </w:tcPr>
          <w:p w14:paraId="2340B5E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销售税费</w:t>
            </w:r>
          </w:p>
        </w:tc>
        <w:tc>
          <w:tcPr>
            <w:tcW w:w="1692" w:type="dxa"/>
            <w:shd w:val="clear" w:color="auto" w:fill="auto"/>
            <w:noWrap/>
            <w:vAlign w:val="center"/>
          </w:tcPr>
          <w:p w14:paraId="6245FCC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0.0000</w:t>
            </w:r>
          </w:p>
        </w:tc>
        <w:tc>
          <w:tcPr>
            <w:tcW w:w="888" w:type="dxa"/>
            <w:shd w:val="clear" w:color="auto" w:fill="auto"/>
            <w:noWrap/>
            <w:vAlign w:val="center"/>
          </w:tcPr>
          <w:p w14:paraId="1BF63226">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c>
          <w:tcPr>
            <w:tcW w:w="3840" w:type="dxa"/>
            <w:shd w:val="clear" w:color="auto" w:fill="auto"/>
            <w:noWrap/>
            <w:vAlign w:val="center"/>
          </w:tcPr>
          <w:p w14:paraId="748214D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销售税费主要包括增值税及附加。增值税为价外税，基于《增值税法》价税分离原则，此处不将其作为成本计入。</w:t>
            </w:r>
          </w:p>
        </w:tc>
      </w:tr>
      <w:tr w14:paraId="1230F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54F24D4B">
            <w:pPr>
              <w:widowControl/>
              <w:adjustRightInd/>
              <w:spacing w:line="240" w:lineRule="exact"/>
              <w:textAlignment w:val="auto"/>
              <w:rPr>
                <w:rFonts w:ascii="Arial" w:hAnsi="Arial" w:eastAsia="仿宋" w:cs="Arial"/>
                <w:bCs/>
                <w:color w:val="auto"/>
                <w:sz w:val="21"/>
                <w:szCs w:val="21"/>
              </w:rPr>
            </w:pPr>
            <w:bookmarkStart w:id="405" w:name="OLE_LINK89"/>
            <w:bookmarkStart w:id="406" w:name="OLE_LINK88"/>
            <w:r>
              <w:rPr>
                <w:rFonts w:hint="eastAsia" w:ascii="Arial" w:hAnsi="Arial" w:eastAsia="仿宋" w:cs="Arial"/>
                <w:bCs/>
                <w:color w:val="auto"/>
                <w:sz w:val="21"/>
                <w:szCs w:val="21"/>
              </w:rPr>
              <w:t>（7）</w:t>
            </w:r>
            <w:bookmarkEnd w:id="405"/>
            <w:bookmarkEnd w:id="406"/>
          </w:p>
        </w:tc>
        <w:tc>
          <w:tcPr>
            <w:tcW w:w="2172" w:type="dxa"/>
            <w:shd w:val="clear" w:color="auto" w:fill="auto"/>
            <w:noWrap/>
            <w:vAlign w:val="center"/>
          </w:tcPr>
          <w:p w14:paraId="06D18F6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建筑物重置价值</w:t>
            </w:r>
          </w:p>
        </w:tc>
        <w:tc>
          <w:tcPr>
            <w:tcW w:w="1692" w:type="dxa"/>
            <w:shd w:val="clear" w:color="auto" w:fill="auto"/>
            <w:noWrap/>
            <w:vAlign w:val="center"/>
          </w:tcPr>
          <w:p w14:paraId="59D24EE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177.5427</w:t>
            </w:r>
          </w:p>
        </w:tc>
        <w:tc>
          <w:tcPr>
            <w:tcW w:w="888" w:type="dxa"/>
            <w:shd w:val="clear" w:color="auto" w:fill="auto"/>
            <w:noWrap/>
            <w:vAlign w:val="center"/>
          </w:tcPr>
          <w:p w14:paraId="77CD9A7D">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c>
          <w:tcPr>
            <w:tcW w:w="3840" w:type="dxa"/>
            <w:shd w:val="clear" w:color="auto" w:fill="auto"/>
            <w:noWrap/>
            <w:vAlign w:val="center"/>
          </w:tcPr>
          <w:p w14:paraId="3DD5314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前述六项相加</w:t>
            </w:r>
          </w:p>
        </w:tc>
      </w:tr>
      <w:tr w14:paraId="72869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4035C489">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（8）</w:t>
            </w:r>
          </w:p>
        </w:tc>
        <w:tc>
          <w:tcPr>
            <w:tcW w:w="2172" w:type="dxa"/>
            <w:shd w:val="clear" w:color="auto" w:fill="auto"/>
            <w:noWrap/>
            <w:vAlign w:val="center"/>
          </w:tcPr>
          <w:p w14:paraId="4F0E39A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建筑物折旧</w:t>
            </w:r>
          </w:p>
        </w:tc>
        <w:tc>
          <w:tcPr>
            <w:tcW w:w="1692" w:type="dxa"/>
            <w:shd w:val="clear" w:color="auto" w:fill="auto"/>
            <w:noWrap/>
            <w:vAlign w:val="center"/>
          </w:tcPr>
          <w:p w14:paraId="5A8B2C36">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100%</w:t>
            </w:r>
          </w:p>
        </w:tc>
        <w:tc>
          <w:tcPr>
            <w:tcW w:w="888" w:type="dxa"/>
            <w:shd w:val="clear" w:color="auto" w:fill="auto"/>
            <w:noWrap/>
            <w:vAlign w:val="center"/>
          </w:tcPr>
          <w:p w14:paraId="312F929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成新率</w:t>
            </w:r>
          </w:p>
        </w:tc>
        <w:tc>
          <w:tcPr>
            <w:tcW w:w="3840" w:type="dxa"/>
            <w:shd w:val="clear" w:color="auto" w:fill="auto"/>
            <w:noWrap/>
            <w:vAlign w:val="center"/>
          </w:tcPr>
          <w:p w14:paraId="20C9E202">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建筑物重置价值×（1－成新率）</w:t>
            </w:r>
          </w:p>
        </w:tc>
      </w:tr>
      <w:tr w14:paraId="395EB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142624F5">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（9）</w:t>
            </w:r>
          </w:p>
        </w:tc>
        <w:tc>
          <w:tcPr>
            <w:tcW w:w="2172" w:type="dxa"/>
            <w:shd w:val="clear" w:color="auto" w:fill="auto"/>
            <w:noWrap/>
            <w:vAlign w:val="center"/>
          </w:tcPr>
          <w:p w14:paraId="36742FB3">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建筑物现值</w:t>
            </w:r>
          </w:p>
        </w:tc>
        <w:tc>
          <w:tcPr>
            <w:tcW w:w="1692" w:type="dxa"/>
            <w:shd w:val="clear" w:color="auto" w:fill="auto"/>
            <w:noWrap/>
            <w:vAlign w:val="center"/>
          </w:tcPr>
          <w:p w14:paraId="36C0279A">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177.5427</w:t>
            </w:r>
          </w:p>
        </w:tc>
        <w:tc>
          <w:tcPr>
            <w:tcW w:w="888" w:type="dxa"/>
            <w:shd w:val="clear" w:color="auto" w:fill="auto"/>
            <w:noWrap/>
            <w:vAlign w:val="center"/>
          </w:tcPr>
          <w:p w14:paraId="569DAC7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c>
          <w:tcPr>
            <w:tcW w:w="3840" w:type="dxa"/>
            <w:shd w:val="clear" w:color="auto" w:fill="auto"/>
            <w:noWrap/>
            <w:vAlign w:val="center"/>
          </w:tcPr>
          <w:p w14:paraId="6CCADAD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建筑物重置价值－建筑物折旧</w:t>
            </w:r>
          </w:p>
        </w:tc>
      </w:tr>
    </w:tbl>
    <w:p w14:paraId="0BFE9A0F">
      <w:pPr>
        <w:wordWrap w:val="0"/>
        <w:overflowPunct w:val="0"/>
        <w:autoSpaceDE w:val="0"/>
        <w:autoSpaceDN w:val="0"/>
        <w:spacing w:line="276" w:lineRule="auto"/>
        <w:ind w:firstLine="360" w:firstLineChars="200"/>
        <w:jc w:val="both"/>
        <w:outlineLvl w:val="0"/>
        <w:rPr>
          <w:rFonts w:ascii="Arial" w:hAnsi="Arial" w:eastAsia="华文细黑" w:cs="Arial"/>
          <w:color w:val="auto"/>
          <w:sz w:val="18"/>
          <w:szCs w:val="21"/>
        </w:rPr>
      </w:pPr>
      <w:r>
        <w:rPr>
          <w:rFonts w:ascii="Arial" w:hAnsi="Arial" w:eastAsia="华文细黑" w:cs="Arial"/>
          <w:color w:val="auto"/>
          <w:sz w:val="18"/>
          <w:szCs w:val="21"/>
        </w:rPr>
        <w:t>注：房产原值即为建筑物重置价值；</w:t>
      </w:r>
    </w:p>
    <w:p w14:paraId="440ECC0B">
      <w:pPr>
        <w:wordWrap w:val="0"/>
        <w:overflowPunct w:val="0"/>
        <w:autoSpaceDE w:val="0"/>
        <w:autoSpaceDN w:val="0"/>
        <w:spacing w:line="276" w:lineRule="auto"/>
        <w:ind w:firstLine="360" w:firstLineChars="200"/>
        <w:jc w:val="both"/>
        <w:outlineLvl w:val="0"/>
        <w:rPr>
          <w:rFonts w:ascii="Arial" w:hAnsi="Arial" w:eastAsia="华文细黑" w:cs="Arial"/>
          <w:color w:val="auto"/>
          <w:sz w:val="18"/>
          <w:szCs w:val="21"/>
        </w:rPr>
      </w:pPr>
      <w:r>
        <w:rPr>
          <w:rFonts w:ascii="Arial" w:hAnsi="Arial" w:eastAsia="华文细黑" w:cs="Arial"/>
          <w:color w:val="auto"/>
          <w:sz w:val="18"/>
          <w:szCs w:val="21"/>
        </w:rPr>
        <w:t>依上述所示，估价对象总用地规模为</w:t>
      </w:r>
      <w:r>
        <w:rPr>
          <w:rFonts w:hint="eastAsia" w:ascii="Arial" w:hAnsi="Arial" w:eastAsia="华文细黑" w:cs="Arial"/>
          <w:color w:val="auto"/>
          <w:sz w:val="18"/>
          <w:szCs w:val="21"/>
        </w:rPr>
        <w:t>56790.45平</w:t>
      </w:r>
      <w:r>
        <w:rPr>
          <w:rFonts w:ascii="Arial" w:hAnsi="Arial" w:eastAsia="华文细黑" w:cs="Arial"/>
          <w:color w:val="auto"/>
          <w:sz w:val="18"/>
          <w:szCs w:val="21"/>
        </w:rPr>
        <w:t>方米，总建筑规模为68148.54</w:t>
      </w:r>
      <w:r>
        <w:rPr>
          <w:rFonts w:hint="eastAsia" w:ascii="Arial" w:hAnsi="Arial" w:eastAsia="华文细黑" w:cs="Arial"/>
          <w:color w:val="auto"/>
          <w:sz w:val="18"/>
          <w:szCs w:val="21"/>
        </w:rPr>
        <w:t>平</w:t>
      </w:r>
      <w:r>
        <w:rPr>
          <w:rFonts w:ascii="Arial" w:hAnsi="Arial" w:eastAsia="华文细黑" w:cs="Arial"/>
          <w:color w:val="auto"/>
          <w:sz w:val="18"/>
          <w:szCs w:val="21"/>
        </w:rPr>
        <w:t>方米，本次评估设定公共服务用途出让地上建筑规模为</w:t>
      </w:r>
      <w:r>
        <w:rPr>
          <w:rFonts w:hint="eastAsia" w:ascii="Arial" w:hAnsi="Arial" w:eastAsia="华文细黑" w:cs="Arial"/>
          <w:color w:val="auto"/>
          <w:sz w:val="18"/>
          <w:szCs w:val="21"/>
        </w:rPr>
        <w:t>300</w:t>
      </w:r>
      <w:r>
        <w:rPr>
          <w:rFonts w:ascii="Arial" w:hAnsi="Arial" w:eastAsia="华文细黑" w:cs="Arial"/>
          <w:color w:val="auto"/>
          <w:sz w:val="18"/>
          <w:szCs w:val="21"/>
        </w:rPr>
        <w:t>.00</w:t>
      </w:r>
      <w:r>
        <w:rPr>
          <w:rFonts w:hint="eastAsia" w:ascii="Arial" w:hAnsi="Arial" w:eastAsia="华文细黑" w:cs="Arial"/>
          <w:color w:val="auto"/>
          <w:sz w:val="18"/>
          <w:szCs w:val="21"/>
        </w:rPr>
        <w:t>平</w:t>
      </w:r>
      <w:r>
        <w:rPr>
          <w:rFonts w:ascii="Arial" w:hAnsi="Arial" w:eastAsia="华文细黑" w:cs="Arial"/>
          <w:color w:val="auto"/>
          <w:sz w:val="18"/>
          <w:szCs w:val="21"/>
        </w:rPr>
        <w:t>方米，其分摊土地面积</w:t>
      </w:r>
      <w:r>
        <w:rPr>
          <w:rFonts w:hint="eastAsia" w:ascii="Arial" w:hAnsi="Arial" w:eastAsia="华文细黑" w:cs="Arial"/>
          <w:color w:val="auto"/>
          <w:sz w:val="18"/>
          <w:szCs w:val="21"/>
        </w:rPr>
        <w:t>＝300.</w:t>
      </w:r>
      <w:r>
        <w:rPr>
          <w:rFonts w:ascii="Arial" w:hAnsi="Arial" w:eastAsia="华文细黑" w:cs="Arial"/>
          <w:color w:val="auto"/>
          <w:sz w:val="18"/>
          <w:szCs w:val="21"/>
        </w:rPr>
        <w:t>.00</w:t>
      </w:r>
      <w:r>
        <w:rPr>
          <w:rFonts w:hint="eastAsia" w:ascii="Arial" w:hAnsi="Arial" w:eastAsia="华文细黑" w:cs="Arial"/>
          <w:color w:val="auto"/>
          <w:sz w:val="18"/>
          <w:szCs w:val="21"/>
        </w:rPr>
        <w:t>÷</w:t>
      </w:r>
      <w:r>
        <w:rPr>
          <w:rFonts w:ascii="Arial" w:hAnsi="Arial" w:eastAsia="华文细黑" w:cs="Arial"/>
          <w:color w:val="auto"/>
          <w:sz w:val="18"/>
          <w:szCs w:val="21"/>
        </w:rPr>
        <w:t>68148.54</w:t>
      </w:r>
      <w:r>
        <w:rPr>
          <w:rFonts w:hint="eastAsia" w:ascii="Arial" w:hAnsi="Arial" w:eastAsia="华文细黑" w:cs="Arial"/>
          <w:color w:val="auto"/>
          <w:sz w:val="18"/>
          <w:szCs w:val="21"/>
        </w:rPr>
        <w:t>×56790.45＝236.68</w:t>
      </w:r>
      <w:r>
        <w:rPr>
          <w:rFonts w:ascii="Arial" w:hAnsi="Arial" w:eastAsia="华文细黑" w:cs="Arial"/>
          <w:color w:val="auto"/>
          <w:sz w:val="18"/>
          <w:szCs w:val="21"/>
        </w:rPr>
        <w:t>平方米</w:t>
      </w:r>
    </w:p>
    <w:p w14:paraId="14C75062">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则有：</w:t>
      </w:r>
    </w:p>
    <w:p w14:paraId="47D43A20">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维修费</w:t>
      </w:r>
      <w:bookmarkStart w:id="407" w:name="OLE_LINK91"/>
      <w:bookmarkStart w:id="408" w:name="OLE_LINK90"/>
      <w:r>
        <w:rPr>
          <w:rFonts w:hint="eastAsia" w:ascii="Arial" w:hAnsi="Arial" w:eastAsia="仿宋" w:cs="Arial"/>
          <w:color w:val="auto"/>
          <w:sz w:val="28"/>
        </w:rPr>
        <w:t>＝建筑物重置价值×维修费率</w:t>
      </w:r>
      <w:bookmarkEnd w:id="407"/>
      <w:bookmarkEnd w:id="408"/>
      <w:r>
        <w:rPr>
          <w:rFonts w:hint="eastAsia" w:ascii="Arial" w:hAnsi="Arial" w:eastAsia="仿宋" w:cs="Arial"/>
          <w:color w:val="auto"/>
          <w:sz w:val="28"/>
        </w:rPr>
        <w:t>＝177.5427×1%＝1.7754（万元）</w:t>
      </w:r>
    </w:p>
    <w:p w14:paraId="323240CF">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C）保险费</w:t>
      </w:r>
    </w:p>
    <w:p w14:paraId="5261B9EF">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保险费指房产所有人为使自己的房产避免意外损失而向保险公司支付的费用，一般按房屋重置成新价格乘以保险费率计算，根据经评估专业人员问询保险机构，依据项目的不同，保险费率一般在0.1%－0.2%。依前表，建筑物现值为177.5427万元，本次评估根据估价对象实际情况，按建筑物现值的0.2%计算，则有：</w:t>
      </w:r>
    </w:p>
    <w:p w14:paraId="15077A59">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保险费＝建筑物现值×保险费率＝177.5427×0.2%＝0.3551（万元）</w:t>
      </w:r>
    </w:p>
    <w:p w14:paraId="75A742DA">
      <w:pPr>
        <w:spacing w:line="300" w:lineRule="auto"/>
        <w:ind w:right="205" w:firstLine="560" w:firstLineChars="200"/>
        <w:jc w:val="both"/>
        <w:rPr>
          <w:rFonts w:ascii="Arial" w:hAnsi="Arial" w:eastAsia="仿宋" w:cs="Arial"/>
          <w:color w:val="auto"/>
          <w:sz w:val="28"/>
        </w:rPr>
      </w:pPr>
      <w:r>
        <w:rPr>
          <w:rFonts w:hint="eastAsia" w:ascii="Arial" w:hAnsi="Arial" w:eastAsia="仿宋" w:cs="Arial"/>
          <w:color w:val="auto"/>
          <w:sz w:val="28"/>
        </w:rPr>
        <w:t>D）管理费用，指对出租房屋进行必要的管理所需的费用，如管理人员工资、物业费等，同类房地产的管理费水平一般占年收入的1%－2%。本次评估根据估价对象实际情况，按年有效毛收入的1.5%计算，则有：</w:t>
      </w:r>
    </w:p>
    <w:p w14:paraId="37C87A6A">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管理费用＝20.7214×1.5%＝0.3108（万元）</w:t>
      </w:r>
    </w:p>
    <w:p w14:paraId="3AFDD966">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E）年经营费用汇总如下：</w:t>
      </w:r>
    </w:p>
    <w:tbl>
      <w:tblPr>
        <w:tblStyle w:val="34"/>
        <w:tblW w:w="9299" w:type="dxa"/>
        <w:jc w:val="center"/>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Layout w:type="fixed"/>
        <w:tblCellMar>
          <w:top w:w="57" w:type="dxa"/>
          <w:left w:w="85" w:type="dxa"/>
          <w:bottom w:w="57" w:type="dxa"/>
          <w:right w:w="85" w:type="dxa"/>
        </w:tblCellMar>
      </w:tblPr>
      <w:tblGrid>
        <w:gridCol w:w="852"/>
        <w:gridCol w:w="1548"/>
        <w:gridCol w:w="1476"/>
        <w:gridCol w:w="5423"/>
      </w:tblGrid>
      <w:tr w14:paraId="704CB120">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6A07673A">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序号</w:t>
            </w:r>
          </w:p>
        </w:tc>
        <w:tc>
          <w:tcPr>
            <w:tcW w:w="1548" w:type="dxa"/>
            <w:noWrap/>
            <w:vAlign w:val="center"/>
          </w:tcPr>
          <w:p w14:paraId="1A88FDC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项目名称</w:t>
            </w:r>
          </w:p>
        </w:tc>
        <w:tc>
          <w:tcPr>
            <w:tcW w:w="1476" w:type="dxa"/>
            <w:noWrap/>
            <w:vAlign w:val="center"/>
          </w:tcPr>
          <w:p w14:paraId="7C35D63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总额（万元）</w:t>
            </w:r>
          </w:p>
        </w:tc>
        <w:tc>
          <w:tcPr>
            <w:tcW w:w="5423" w:type="dxa"/>
          </w:tcPr>
          <w:p w14:paraId="0EF47E4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备注</w:t>
            </w:r>
          </w:p>
        </w:tc>
      </w:tr>
      <w:tr w14:paraId="6F938A49">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1C8101C9">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w:t>
            </w:r>
          </w:p>
        </w:tc>
        <w:tc>
          <w:tcPr>
            <w:tcW w:w="1548" w:type="dxa"/>
            <w:noWrap/>
            <w:vAlign w:val="center"/>
          </w:tcPr>
          <w:p w14:paraId="0422F262">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税费</w:t>
            </w:r>
          </w:p>
        </w:tc>
        <w:tc>
          <w:tcPr>
            <w:tcW w:w="1476" w:type="dxa"/>
            <w:noWrap/>
            <w:vAlign w:val="center"/>
          </w:tcPr>
          <w:p w14:paraId="24DF3A0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2.6853</w:t>
            </w:r>
          </w:p>
        </w:tc>
        <w:tc>
          <w:tcPr>
            <w:tcW w:w="5423" w:type="dxa"/>
          </w:tcPr>
          <w:p w14:paraId="033970F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r>
      <w:tr w14:paraId="6BBD8035">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trHeight w:val="108" w:hRule="atLeast"/>
          <w:jc w:val="center"/>
        </w:trPr>
        <w:tc>
          <w:tcPr>
            <w:tcW w:w="852" w:type="dxa"/>
            <w:noWrap/>
            <w:vAlign w:val="center"/>
          </w:tcPr>
          <w:p w14:paraId="538C911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A</w:t>
            </w:r>
          </w:p>
        </w:tc>
        <w:tc>
          <w:tcPr>
            <w:tcW w:w="1548" w:type="dxa"/>
            <w:noWrap/>
            <w:vAlign w:val="center"/>
          </w:tcPr>
          <w:p w14:paraId="205F04A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增值税及附加</w:t>
            </w:r>
          </w:p>
        </w:tc>
        <w:tc>
          <w:tcPr>
            <w:tcW w:w="1476" w:type="dxa"/>
            <w:noWrap/>
            <w:vAlign w:val="center"/>
          </w:tcPr>
          <w:p w14:paraId="3F1D3CD7">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0.1663</w:t>
            </w:r>
          </w:p>
        </w:tc>
        <w:tc>
          <w:tcPr>
            <w:tcW w:w="5423" w:type="dxa"/>
          </w:tcPr>
          <w:p w14:paraId="7F774541">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依前述，仅将增值税的附加税费做减项处理，公式为：</w:t>
            </w:r>
          </w:p>
          <w:p w14:paraId="7A0CD49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增值税附加税费</w:t>
            </w:r>
          </w:p>
          <w:p w14:paraId="44CEBE69">
            <w:pPr>
              <w:widowControl/>
              <w:adjustRightInd/>
              <w:spacing w:line="240" w:lineRule="exact"/>
              <w:textAlignment w:val="auto"/>
              <w:rPr>
                <w:rFonts w:ascii="Arial" w:hAnsi="Arial" w:eastAsia="仿宋" w:cs="Arial"/>
                <w:bCs/>
                <w:color w:val="auto"/>
                <w:sz w:val="21"/>
                <w:szCs w:val="21"/>
              </w:rPr>
            </w:pPr>
            <w:bookmarkStart w:id="409" w:name="OLE_LINK48"/>
            <w:bookmarkStart w:id="410" w:name="OLE_LINK49"/>
            <w:r>
              <w:rPr>
                <w:rFonts w:hint="eastAsia" w:ascii="Arial" w:hAnsi="Arial" w:eastAsia="仿宋" w:cs="Arial"/>
                <w:bCs/>
                <w:color w:val="auto"/>
                <w:sz w:val="21"/>
                <w:szCs w:val="21"/>
              </w:rPr>
              <w:t>＝</w:t>
            </w:r>
            <w:bookmarkEnd w:id="409"/>
            <w:bookmarkEnd w:id="410"/>
            <w:bookmarkStart w:id="411" w:name="OLE_LINK50"/>
            <w:bookmarkStart w:id="412" w:name="OLE_LINK51"/>
            <w:r>
              <w:rPr>
                <w:rFonts w:hint="eastAsia" w:ascii="Arial" w:hAnsi="Arial" w:eastAsia="仿宋" w:cs="Arial"/>
                <w:bCs/>
                <w:color w:val="auto"/>
                <w:sz w:val="21"/>
                <w:szCs w:val="21"/>
              </w:rPr>
              <w:t>[1.8626－（维修费×9%＋（保险费＋管理费用）×6%））]×10%</w:t>
            </w:r>
            <w:bookmarkEnd w:id="411"/>
            <w:bookmarkEnd w:id="412"/>
          </w:p>
          <w:p w14:paraId="1AAB470D">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＝[1.8626－（1.7754×9%＋（0.3551＋0.3108）×6%））]×10%</w:t>
            </w:r>
          </w:p>
          <w:p w14:paraId="1D10437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＝0.1663</w:t>
            </w:r>
          </w:p>
        </w:tc>
      </w:tr>
      <w:tr w14:paraId="24387AE6">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6697DECB">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B</w:t>
            </w:r>
          </w:p>
        </w:tc>
        <w:tc>
          <w:tcPr>
            <w:tcW w:w="1548" w:type="dxa"/>
            <w:noWrap/>
            <w:vAlign w:val="center"/>
          </w:tcPr>
          <w:p w14:paraId="7E220A0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房产税</w:t>
            </w:r>
          </w:p>
        </w:tc>
        <w:tc>
          <w:tcPr>
            <w:tcW w:w="1476" w:type="dxa"/>
            <w:noWrap/>
            <w:vAlign w:val="center"/>
          </w:tcPr>
          <w:p w14:paraId="5E4823F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2.4835</w:t>
            </w:r>
          </w:p>
        </w:tc>
        <w:tc>
          <w:tcPr>
            <w:tcW w:w="5423" w:type="dxa"/>
          </w:tcPr>
          <w:p w14:paraId="680A41A7">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r>
      <w:tr w14:paraId="2EFFD91D">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3509187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C</w:t>
            </w:r>
          </w:p>
        </w:tc>
        <w:tc>
          <w:tcPr>
            <w:tcW w:w="1548" w:type="dxa"/>
            <w:noWrap/>
            <w:vAlign w:val="center"/>
          </w:tcPr>
          <w:p w14:paraId="452DCDF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土地使用税</w:t>
            </w:r>
          </w:p>
        </w:tc>
        <w:tc>
          <w:tcPr>
            <w:tcW w:w="1476" w:type="dxa"/>
            <w:noWrap/>
            <w:vAlign w:val="center"/>
          </w:tcPr>
          <w:p w14:paraId="15467B6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0.0355</w:t>
            </w:r>
          </w:p>
        </w:tc>
        <w:tc>
          <w:tcPr>
            <w:tcW w:w="5423" w:type="dxa"/>
          </w:tcPr>
          <w:p w14:paraId="7E495DE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r>
      <w:tr w14:paraId="733E0EC9">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2F571C5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2）</w:t>
            </w:r>
          </w:p>
        </w:tc>
        <w:tc>
          <w:tcPr>
            <w:tcW w:w="1548" w:type="dxa"/>
            <w:noWrap/>
            <w:vAlign w:val="center"/>
          </w:tcPr>
          <w:p w14:paraId="6C6587A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维修费</w:t>
            </w:r>
          </w:p>
        </w:tc>
        <w:tc>
          <w:tcPr>
            <w:tcW w:w="1476" w:type="dxa"/>
            <w:noWrap/>
            <w:vAlign w:val="center"/>
          </w:tcPr>
          <w:p w14:paraId="73343D0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1.7754</w:t>
            </w:r>
          </w:p>
        </w:tc>
        <w:tc>
          <w:tcPr>
            <w:tcW w:w="5423" w:type="dxa"/>
          </w:tcPr>
          <w:p w14:paraId="51FC47C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r>
      <w:tr w14:paraId="2BFADD85">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2DD129DB">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3）</w:t>
            </w:r>
          </w:p>
        </w:tc>
        <w:tc>
          <w:tcPr>
            <w:tcW w:w="1548" w:type="dxa"/>
            <w:noWrap/>
            <w:vAlign w:val="center"/>
          </w:tcPr>
          <w:p w14:paraId="18B4DEB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保险费</w:t>
            </w:r>
          </w:p>
        </w:tc>
        <w:tc>
          <w:tcPr>
            <w:tcW w:w="1476" w:type="dxa"/>
            <w:noWrap/>
            <w:vAlign w:val="center"/>
          </w:tcPr>
          <w:p w14:paraId="6CE4F76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0.3551</w:t>
            </w:r>
          </w:p>
        </w:tc>
        <w:tc>
          <w:tcPr>
            <w:tcW w:w="5423" w:type="dxa"/>
          </w:tcPr>
          <w:p w14:paraId="72196C0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r>
      <w:tr w14:paraId="6900C24C">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030BA7C2">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4）</w:t>
            </w:r>
          </w:p>
        </w:tc>
        <w:tc>
          <w:tcPr>
            <w:tcW w:w="1548" w:type="dxa"/>
            <w:noWrap/>
            <w:vAlign w:val="center"/>
          </w:tcPr>
          <w:p w14:paraId="6C8192A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管理费用</w:t>
            </w:r>
          </w:p>
        </w:tc>
        <w:tc>
          <w:tcPr>
            <w:tcW w:w="1476" w:type="dxa"/>
            <w:noWrap/>
            <w:vAlign w:val="center"/>
          </w:tcPr>
          <w:p w14:paraId="7229A93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0.3108</w:t>
            </w:r>
          </w:p>
        </w:tc>
        <w:tc>
          <w:tcPr>
            <w:tcW w:w="5423" w:type="dxa"/>
          </w:tcPr>
          <w:p w14:paraId="6EA6BDBD">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w:t>
            </w:r>
          </w:p>
        </w:tc>
      </w:tr>
      <w:tr w14:paraId="162E09E3">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3F138B77">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5）</w:t>
            </w:r>
          </w:p>
        </w:tc>
        <w:tc>
          <w:tcPr>
            <w:tcW w:w="1548" w:type="dxa"/>
            <w:noWrap/>
            <w:vAlign w:val="center"/>
          </w:tcPr>
          <w:p w14:paraId="20C9155D">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年经营费用</w:t>
            </w:r>
          </w:p>
        </w:tc>
        <w:tc>
          <w:tcPr>
            <w:tcW w:w="1476" w:type="dxa"/>
            <w:noWrap/>
            <w:vAlign w:val="center"/>
          </w:tcPr>
          <w:p w14:paraId="0A97317F">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5.1266</w:t>
            </w:r>
          </w:p>
        </w:tc>
        <w:tc>
          <w:tcPr>
            <w:tcW w:w="5423" w:type="dxa"/>
          </w:tcPr>
          <w:p w14:paraId="49CE852E">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1）+2）+3）+4）</w:t>
            </w:r>
          </w:p>
        </w:tc>
      </w:tr>
    </w:tbl>
    <w:p w14:paraId="0CCD281D">
      <w:pPr>
        <w:overflowPunct w:val="0"/>
        <w:autoSpaceDE w:val="0"/>
        <w:autoSpaceDN w:val="0"/>
        <w:spacing w:line="240" w:lineRule="exact"/>
        <w:jc w:val="both"/>
        <w:textAlignment w:val="auto"/>
        <w:rPr>
          <w:rFonts w:ascii="Arial" w:hAnsi="Arial" w:eastAsia="华文细黑"/>
          <w:color w:val="auto"/>
          <w:sz w:val="18"/>
          <w:szCs w:val="21"/>
        </w:rPr>
      </w:pPr>
    </w:p>
    <w:p w14:paraId="2D6E06D6">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（C） 房地年净收益（A）：</w:t>
      </w:r>
    </w:p>
    <w:p w14:paraId="7F33D988">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房地年净收益＝未来第一年有效毛收入－年经营费用＝20.7214－5.1266＝15.5948（万元）</w:t>
      </w:r>
    </w:p>
    <w:p w14:paraId="4725D78F">
      <w:pPr>
        <w:rPr>
          <w:rFonts w:ascii="Arial" w:hAnsi="Arial" w:eastAsia="仿宋" w:cs="Arial"/>
          <w:color w:val="auto"/>
          <w:sz w:val="28"/>
        </w:rPr>
      </w:pPr>
      <w:r>
        <w:rPr>
          <w:rFonts w:hint="eastAsia" w:ascii="Arial" w:hAnsi="Arial" w:eastAsia="仿宋" w:cs="Arial"/>
          <w:color w:val="auto"/>
          <w:sz w:val="28"/>
        </w:rPr>
        <w:br w:type="page"/>
      </w:r>
    </w:p>
    <w:p w14:paraId="21C35B3E">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A）报酬率（Y）</w:t>
      </w:r>
      <w:r>
        <w:rPr>
          <w:rFonts w:hint="eastAsia" w:ascii="Arial" w:hAnsi="Arial" w:eastAsia="仿宋" w:cs="Arial"/>
          <w:color w:val="auto"/>
          <w:sz w:val="28"/>
        </w:rPr>
        <w:tab/>
      </w:r>
    </w:p>
    <w:p w14:paraId="7E510910">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报酬率的确定方法有市场提取法、安全利率加风险调整值法、复合投资收益率法、投资收益率排序插入法等方法。本次测算采取安全利率加风险调整值法；以安全利率加上风险调整值作为报酬率。其中安全利率可以选用同一时期的中国人民银行公布的一年定期存款年利率（1.5%），风险调整值则可以根据估价对象所在地区的经济现状及未来预测、估价对象的用途等自身特点确定，经调查，一般为3%－5%之间，本次评估依据估价对象所在项目特点，取风险调整值为3.5%，则依据安全利率加风险调整值法可以得出报酬率为5%。</w:t>
      </w:r>
    </w:p>
    <w:p w14:paraId="32B2DCF2">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B）净收益逐年增长比率（g）</w:t>
      </w:r>
    </w:p>
    <w:p w14:paraId="406F898E">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北京市近年来的公共服务用房租金水平呈平稳趋势。根据区域房地产市场的调查情况，区域类似物业租金增减幅度情况，分析估价对象所在位置具体情况，本次评估依据估价目的，确定其净收益逐年增长比率为0%。</w:t>
      </w:r>
    </w:p>
    <w:p w14:paraId="75566801">
      <w:pPr>
        <w:spacing w:line="300" w:lineRule="auto"/>
        <w:ind w:right="205" w:firstLine="560" w:firstLineChars="200"/>
        <w:rPr>
          <w:rFonts w:ascii="Arial" w:hAnsi="Arial" w:eastAsia="仿宋" w:cs="Arial"/>
          <w:color w:val="auto"/>
          <w:sz w:val="28"/>
          <w:szCs w:val="28"/>
        </w:rPr>
      </w:pPr>
      <w:r>
        <w:rPr>
          <w:rFonts w:hint="eastAsia" w:ascii="Arial" w:hAnsi="Arial" w:eastAsia="仿宋" w:cs="Arial"/>
          <w:color w:val="auto"/>
          <w:sz w:val="28"/>
        </w:rPr>
        <w:t>C）</w:t>
      </w:r>
      <w:r>
        <w:rPr>
          <w:rFonts w:ascii="Arial" w:hAnsi="Arial" w:eastAsia="仿宋" w:cs="Arial"/>
          <w:color w:val="auto"/>
          <w:sz w:val="28"/>
          <w:szCs w:val="28"/>
        </w:rPr>
        <w:t>收益年期（n）</w:t>
      </w:r>
    </w:p>
    <w:p w14:paraId="49C4B977">
      <w:pPr>
        <w:spacing w:line="300" w:lineRule="auto"/>
        <w:ind w:right="205" w:firstLine="560" w:firstLineChars="200"/>
        <w:rPr>
          <w:rFonts w:ascii="Arial" w:hAnsi="Arial" w:eastAsia="仿宋" w:cs="Arial"/>
          <w:color w:val="auto"/>
          <w:sz w:val="28"/>
          <w:szCs w:val="28"/>
        </w:rPr>
      </w:pPr>
      <w:r>
        <w:rPr>
          <w:rFonts w:ascii="Arial" w:hAnsi="Arial" w:eastAsia="仿宋" w:cs="Arial"/>
          <w:color w:val="auto"/>
          <w:sz w:val="28"/>
          <w:szCs w:val="28"/>
        </w:rPr>
        <w:t>估价对象用途为</w:t>
      </w:r>
      <w:r>
        <w:rPr>
          <w:rFonts w:ascii="Arial" w:hAnsi="Arial" w:eastAsia="仿宋" w:cs="Arial"/>
          <w:color w:val="auto"/>
          <w:sz w:val="28"/>
          <w:szCs w:val="28"/>
          <w:lang w:eastAsia="zh-Hans"/>
        </w:rPr>
        <w:t>公共服务</w:t>
      </w:r>
      <w:r>
        <w:rPr>
          <w:rFonts w:ascii="Arial" w:hAnsi="Arial" w:eastAsia="仿宋" w:cs="Arial"/>
          <w:color w:val="auto"/>
          <w:sz w:val="28"/>
          <w:szCs w:val="28"/>
        </w:rPr>
        <w:t>，设定出让国有建设用地使用权剩余土地使用年限为50年，</w:t>
      </w:r>
      <w:r>
        <w:rPr>
          <w:rFonts w:hint="eastAsia" w:ascii="Arial" w:hAnsi="Arial" w:eastAsia="仿宋" w:cs="Arial"/>
          <w:color w:val="auto"/>
          <w:sz w:val="28"/>
          <w:szCs w:val="28"/>
        </w:rPr>
        <w:t>建设期</w:t>
      </w:r>
      <w:r>
        <w:rPr>
          <w:rFonts w:ascii="Arial" w:hAnsi="Arial" w:eastAsia="仿宋" w:cs="Arial"/>
          <w:color w:val="auto"/>
          <w:sz w:val="28"/>
          <w:szCs w:val="28"/>
          <w:lang w:eastAsia="zh-Hans"/>
        </w:rPr>
        <w:t>为</w:t>
      </w:r>
      <w:r>
        <w:rPr>
          <w:rFonts w:hint="eastAsia" w:ascii="Arial" w:hAnsi="Arial" w:eastAsia="仿宋" w:cs="Arial"/>
          <w:color w:val="auto"/>
          <w:sz w:val="28"/>
          <w:szCs w:val="28"/>
        </w:rPr>
        <w:t>3</w:t>
      </w:r>
      <w:r>
        <w:rPr>
          <w:rFonts w:ascii="Arial" w:hAnsi="Arial" w:eastAsia="仿宋" w:cs="Arial"/>
          <w:color w:val="auto"/>
          <w:sz w:val="28"/>
          <w:szCs w:val="28"/>
          <w:lang w:eastAsia="zh-Hans"/>
        </w:rPr>
        <w:t>年，则建成后剩余土地使用年限为</w:t>
      </w:r>
      <w:r>
        <w:rPr>
          <w:rFonts w:hint="eastAsia" w:ascii="Arial" w:hAnsi="Arial" w:eastAsia="仿宋" w:cs="Arial"/>
          <w:color w:val="auto"/>
          <w:sz w:val="28"/>
          <w:szCs w:val="28"/>
        </w:rPr>
        <w:t>47</w:t>
      </w:r>
      <w:r>
        <w:rPr>
          <w:rFonts w:ascii="Arial" w:hAnsi="Arial" w:eastAsia="仿宋" w:cs="Arial"/>
          <w:color w:val="auto"/>
          <w:sz w:val="28"/>
          <w:szCs w:val="28"/>
          <w:lang w:eastAsia="zh-Hans"/>
        </w:rPr>
        <w:t>年</w:t>
      </w:r>
      <w:r>
        <w:rPr>
          <w:rFonts w:ascii="Arial" w:hAnsi="Arial" w:eastAsia="仿宋" w:cs="Arial"/>
          <w:color w:val="auto"/>
          <w:sz w:val="28"/>
          <w:szCs w:val="28"/>
        </w:rPr>
        <w:t>。估价对象所在物业为钢混结构，经济耐用年限为60年；本次评估设定估价对象成新率为100%，故剩余经济耐用年限为60年。估价对象剩余土地使用年限短于剩余经济耐用年限。故，本次评估收益年期按照土地使用年期计算，即47年。</w:t>
      </w:r>
    </w:p>
    <w:p w14:paraId="2E2E598F">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（D）收益价值</w:t>
      </w:r>
    </w:p>
    <w:p w14:paraId="1AAF1257">
      <w:pPr>
        <w:spacing w:line="300" w:lineRule="auto"/>
        <w:ind w:right="205" w:firstLine="560" w:firstLineChars="200"/>
        <w:rPr>
          <w:rFonts w:ascii="Arial" w:hAnsi="Arial" w:eastAsia="仿宋" w:cs="Arial"/>
          <w:color w:val="auto"/>
          <w:sz w:val="28"/>
        </w:rPr>
      </w:pPr>
      <w:r>
        <w:rPr>
          <w:rFonts w:hint="eastAsia" w:ascii="Arial" w:hAnsi="Arial" w:eastAsia="仿宋" w:cs="Arial"/>
          <w:color w:val="auto"/>
          <w:sz w:val="28"/>
        </w:rPr>
        <w:t>收益价值</w:t>
      </w:r>
    </w:p>
    <w:p w14:paraId="473BB8A3">
      <w:pPr>
        <w:spacing w:line="300" w:lineRule="auto"/>
        <w:ind w:right="205" w:firstLine="560" w:firstLineChars="200"/>
        <w:rPr>
          <w:rFonts w:ascii="Arial" w:hAnsi="Arial" w:eastAsia="仿宋" w:cs="Arial"/>
          <w:color w:val="auto"/>
          <w:sz w:val="28"/>
          <w:szCs w:val="28"/>
        </w:rPr>
      </w:pPr>
      <w:r>
        <w:rPr>
          <w:rFonts w:hint="eastAsia" w:ascii="Arial" w:hAnsi="Arial" w:eastAsia="仿宋" w:cs="Arial"/>
          <w:color w:val="auto"/>
          <w:sz w:val="28"/>
          <w:szCs w:val="28"/>
        </w:rPr>
        <w:t>＝A×{1－[（1＋g）÷（1＋Y）]</w:t>
      </w:r>
      <w:r>
        <w:rPr>
          <w:rFonts w:hint="eastAsia" w:ascii="Arial" w:hAnsi="Arial" w:eastAsia="仿宋" w:cs="Arial"/>
          <w:color w:val="auto"/>
          <w:sz w:val="28"/>
          <w:szCs w:val="28"/>
          <w:vertAlign w:val="superscript"/>
        </w:rPr>
        <w:t>n</w:t>
      </w:r>
      <w:r>
        <w:rPr>
          <w:rFonts w:hint="eastAsia" w:ascii="Arial" w:hAnsi="Arial" w:eastAsia="仿宋" w:cs="Arial"/>
          <w:color w:val="auto"/>
          <w:sz w:val="28"/>
          <w:szCs w:val="28"/>
        </w:rPr>
        <w:t>}÷（Y－g）</w:t>
      </w:r>
    </w:p>
    <w:p w14:paraId="2BE61BC9">
      <w:pPr>
        <w:spacing w:line="300" w:lineRule="auto"/>
        <w:ind w:right="205" w:firstLine="560" w:firstLineChars="200"/>
        <w:rPr>
          <w:rFonts w:ascii="Arial" w:hAnsi="Arial" w:eastAsia="仿宋" w:cs="Arial"/>
          <w:color w:val="auto"/>
          <w:sz w:val="28"/>
          <w:szCs w:val="28"/>
        </w:rPr>
      </w:pPr>
      <w:r>
        <w:rPr>
          <w:rFonts w:hint="eastAsia" w:ascii="Arial" w:hAnsi="Arial" w:eastAsia="仿宋" w:cs="Arial"/>
          <w:color w:val="auto"/>
          <w:sz w:val="28"/>
          <w:szCs w:val="28"/>
        </w:rPr>
        <w:t>＝</w:t>
      </w:r>
      <w:bookmarkStart w:id="413" w:name="OLE_LINK1"/>
      <w:bookmarkStart w:id="414" w:name="OLE_LINK2"/>
      <w:r>
        <w:rPr>
          <w:rFonts w:hint="eastAsia" w:ascii="Arial" w:hAnsi="Arial" w:eastAsia="仿宋" w:cs="Arial"/>
          <w:color w:val="auto"/>
          <w:sz w:val="28"/>
          <w:szCs w:val="28"/>
        </w:rPr>
        <w:t>15.5948×{1－[(1＋0%) ÷(1＋5%)]</w:t>
      </w:r>
      <w:r>
        <w:rPr>
          <w:rFonts w:hint="eastAsia" w:ascii="Arial" w:hAnsi="Arial" w:eastAsia="仿宋" w:cs="Arial"/>
          <w:color w:val="auto"/>
          <w:sz w:val="28"/>
          <w:szCs w:val="28"/>
          <w:vertAlign w:val="superscript"/>
        </w:rPr>
        <w:t>47</w:t>
      </w:r>
      <w:r>
        <w:rPr>
          <w:rFonts w:hint="eastAsia" w:ascii="Arial" w:hAnsi="Arial" w:eastAsia="仿宋" w:cs="Arial"/>
          <w:color w:val="auto"/>
          <w:sz w:val="28"/>
          <w:szCs w:val="28"/>
        </w:rPr>
        <w:t>}÷（5%－0%）</w:t>
      </w:r>
      <w:bookmarkEnd w:id="413"/>
      <w:bookmarkEnd w:id="414"/>
    </w:p>
    <w:p w14:paraId="19542F46">
      <w:pPr>
        <w:spacing w:line="300" w:lineRule="auto"/>
        <w:ind w:right="205" w:firstLine="560" w:firstLineChars="200"/>
        <w:rPr>
          <w:rFonts w:ascii="Arial" w:hAnsi="Arial" w:eastAsia="仿宋" w:cs="Arial"/>
          <w:color w:val="auto"/>
          <w:sz w:val="28"/>
          <w:szCs w:val="28"/>
        </w:rPr>
      </w:pPr>
      <w:r>
        <w:rPr>
          <w:rFonts w:hint="eastAsia" w:ascii="Arial" w:hAnsi="Arial" w:eastAsia="仿宋" w:cs="Arial"/>
          <w:color w:val="auto"/>
          <w:sz w:val="28"/>
          <w:szCs w:val="28"/>
        </w:rPr>
        <w:t>＝305.6472（万元）</w:t>
      </w:r>
    </w:p>
    <w:p w14:paraId="57432982">
      <w:pPr>
        <w:spacing w:line="300" w:lineRule="auto"/>
        <w:ind w:firstLine="560" w:firstLineChars="200"/>
        <w:rPr>
          <w:rFonts w:ascii="Arial" w:hAnsi="Arial" w:eastAsia="仿宋" w:cs="Arial"/>
          <w:color w:val="auto"/>
          <w:sz w:val="28"/>
          <w:szCs w:val="28"/>
          <w:lang w:eastAsia="zh-Hans"/>
        </w:rPr>
      </w:pPr>
      <w:r>
        <w:rPr>
          <w:rFonts w:ascii="Arial" w:hAnsi="Arial" w:eastAsia="仿宋" w:cs="Arial"/>
          <w:color w:val="auto"/>
          <w:sz w:val="28"/>
          <w:szCs w:val="28"/>
          <w:lang w:eastAsia="zh-Hans"/>
        </w:rPr>
        <w:t>公共服务用房房地产单价</w:t>
      </w:r>
    </w:p>
    <w:p w14:paraId="26892B5D">
      <w:pPr>
        <w:spacing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＝305.6472÷300×</w:t>
      </w:r>
      <w:r>
        <w:rPr>
          <w:rFonts w:ascii="Arial" w:hAnsi="Arial" w:eastAsia="仿宋" w:cs="Arial"/>
          <w:color w:val="auto"/>
          <w:sz w:val="28"/>
          <w:szCs w:val="28"/>
        </w:rPr>
        <w:t>10000</w:t>
      </w:r>
    </w:p>
    <w:p w14:paraId="2EC29D4E">
      <w:pPr>
        <w:spacing w:line="300" w:lineRule="auto"/>
        <w:ind w:firstLine="560" w:firstLineChars="200"/>
        <w:rPr>
          <w:rFonts w:ascii="Arial" w:hAnsi="Arial" w:eastAsia="仿宋" w:cs="Arial"/>
          <w:color w:val="auto"/>
          <w:sz w:val="28"/>
          <w:szCs w:val="28"/>
          <w:lang w:eastAsia="zh-Hans"/>
        </w:rPr>
      </w:pPr>
      <w:r>
        <w:rPr>
          <w:rFonts w:hint="eastAsia" w:ascii="Arial" w:hAnsi="Arial" w:eastAsia="仿宋" w:cs="Arial"/>
          <w:color w:val="auto"/>
          <w:sz w:val="28"/>
          <w:szCs w:val="28"/>
        </w:rPr>
        <w:t>＝10188</w:t>
      </w:r>
      <w:r>
        <w:rPr>
          <w:rFonts w:ascii="Arial" w:hAnsi="Arial" w:eastAsia="仿宋" w:cs="Arial"/>
          <w:color w:val="auto"/>
          <w:sz w:val="28"/>
          <w:szCs w:val="28"/>
          <w:lang w:eastAsia="zh-Hans"/>
        </w:rPr>
        <w:t>（元/平方米）</w:t>
      </w:r>
    </w:p>
    <w:p w14:paraId="4219499A">
      <w:pPr>
        <w:spacing w:before="120" w:beforeLines="50" w:after="120" w:afterLines="50" w:line="300" w:lineRule="auto"/>
        <w:ind w:firstLine="560" w:firstLineChars="200"/>
        <w:rPr>
          <w:rFonts w:ascii="Arial" w:hAnsi="Arial" w:eastAsia="仿宋" w:cs="Arial"/>
          <w:color w:val="auto"/>
          <w:sz w:val="28"/>
          <w:szCs w:val="28"/>
        </w:rPr>
      </w:pPr>
      <w:r>
        <w:rPr>
          <w:rFonts w:ascii="Arial" w:hAnsi="Arial" w:eastAsia="仿宋" w:cs="Arial"/>
          <w:color w:val="auto"/>
          <w:sz w:val="28"/>
          <w:szCs w:val="28"/>
        </w:rPr>
        <w:t>C.开发成本</w:t>
      </w:r>
    </w:p>
    <w:p w14:paraId="4772C245">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根据《北京市国有建设用地使用权出让地价评估技术导则》（2026年2月10日实施）6.2.1开发成本确定:</w:t>
      </w:r>
    </w:p>
    <w:p w14:paraId="29446A7E">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开发成本是项目开发建设期间所发生的客观费用的总和。</w:t>
      </w:r>
    </w:p>
    <w:p w14:paraId="76B7EF5B">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开发成本计算公式为：</w:t>
      </w:r>
    </w:p>
    <w:p w14:paraId="4CB54C6E">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开发成本＝购地税费＋房屋建设成本＋管理费用＋销售费用＋投资利息＋销售税费</w:t>
      </w:r>
    </w:p>
    <w:p w14:paraId="4FFC798D">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房屋建设成本＝前期费用＋建筑安装工程费＋基础设施建设费＋公共配套设施建设费＋开发期间税费＋其他工程费</w:t>
      </w:r>
    </w:p>
    <w:p w14:paraId="6C095B53">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a.购地税费</w:t>
      </w:r>
    </w:p>
    <w:p w14:paraId="512A13BD">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设定估价对</w:t>
      </w:r>
      <w:r>
        <w:rPr>
          <w:rFonts w:hint="eastAsia" w:ascii="Arial" w:hAnsi="Arial" w:eastAsia="仿宋_GB2312"/>
          <w:color w:val="auto"/>
          <w:sz w:val="28"/>
        </w:rPr>
        <w:t>象于“七通”条件下的城镇住宅用地熟地总价为</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万元。取得土地的税费指契税、印花税及交易手续费等，按照《中华人民共和国印花税法》（2021年6月10日第十三届全国人民代表大会常务委员会第二十九次会议通过），土地使用权出让合同按产权转移书据征收印花税，印花税及交易手续费以土地价值的0.05%计算，按照《中华人民共和国契税法》（2020年8月11日第十三届全国人民代表大会常务委员会第二十一次会议通过）</w:t>
      </w:r>
      <w:r>
        <w:rPr>
          <w:rFonts w:hint="eastAsia" w:ascii="Arial" w:hAnsi="Arial" w:eastAsia="仿宋_GB2312"/>
          <w:color w:val="auto"/>
          <w:sz w:val="28"/>
          <w:lang w:eastAsia="zh-CN"/>
        </w:rPr>
        <w:t>、《</w:t>
      </w:r>
      <w:r>
        <w:rPr>
          <w:rFonts w:hint="eastAsia" w:ascii="Arial" w:hAnsi="Arial" w:eastAsia="仿宋_GB2312"/>
          <w:color w:val="auto"/>
          <w:sz w:val="28"/>
        </w:rPr>
        <w:t>北京市人民代表大会常务委员会关于北京市契税具体适用税率等事项的决定</w:t>
      </w:r>
      <w:r>
        <w:rPr>
          <w:rFonts w:hint="eastAsia" w:ascii="Arial" w:hAnsi="Arial" w:eastAsia="仿宋_GB2312"/>
          <w:color w:val="auto"/>
          <w:sz w:val="28"/>
          <w:lang w:eastAsia="zh-CN"/>
        </w:rPr>
        <w:t>》（</w:t>
      </w:r>
      <w:r>
        <w:rPr>
          <w:rFonts w:hint="eastAsia" w:ascii="Arial" w:hAnsi="Arial" w:eastAsia="仿宋_GB2312"/>
          <w:color w:val="auto"/>
          <w:sz w:val="28"/>
        </w:rPr>
        <w:t>本决定自2021年9月1日起施行</w:t>
      </w:r>
      <w:r>
        <w:rPr>
          <w:rFonts w:hint="eastAsia" w:ascii="Arial" w:hAnsi="Arial" w:eastAsia="仿宋_GB2312"/>
          <w:color w:val="auto"/>
          <w:sz w:val="28"/>
          <w:lang w:eastAsia="zh-CN"/>
        </w:rPr>
        <w:t>），</w:t>
      </w:r>
      <w:r>
        <w:rPr>
          <w:rFonts w:hint="eastAsia" w:ascii="Arial" w:hAnsi="Arial" w:eastAsia="仿宋_GB2312"/>
          <w:color w:val="auto"/>
          <w:sz w:val="28"/>
        </w:rPr>
        <w:t>契税以土地成交价的3%缴纳，则两者合计为3.05%。即购地税费为3.05%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万元。</w:t>
      </w:r>
    </w:p>
    <w:p w14:paraId="1162AF54">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b.</w:t>
      </w:r>
      <w:r>
        <w:rPr>
          <w:rFonts w:hint="eastAsia" w:ascii="仿宋_GB2312" w:eastAsia="仿宋_GB2312"/>
          <w:color w:val="auto"/>
          <w:sz w:val="28"/>
        </w:rPr>
        <w:t>房屋建设成本</w:t>
      </w:r>
    </w:p>
    <w:p w14:paraId="7AB87EED">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a）建筑安装工程费</w:t>
      </w:r>
    </w:p>
    <w:p w14:paraId="6E8CFFE1">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指建造商品房及附属工程所发生的土建工程费用、安装工程费用、装饰装修工程费用等。参照住房和城乡建设部标准定额研究所发布的北京建安成本，同时参考评估人员掌握的目前同类地区、相同档次项目的建筑结构及装修情况，综合确定估价对象的建筑安装工程费用为4000元/平方米</w:t>
      </w:r>
      <w:r>
        <w:rPr>
          <w:rFonts w:hint="eastAsia" w:ascii="Arial" w:hAnsi="Arial" w:eastAsia="仿宋" w:cs="Arial"/>
          <w:color w:val="auto"/>
          <w:sz w:val="28"/>
        </w:rPr>
        <w:t>则有：</w:t>
      </w:r>
    </w:p>
    <w:p w14:paraId="2F7076A4">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建筑安装工程费＝40</w:t>
      </w:r>
      <w:r>
        <w:rPr>
          <w:rFonts w:ascii="Arial" w:hAnsi="Arial" w:eastAsia="仿宋_GB2312"/>
          <w:color w:val="auto"/>
          <w:sz w:val="28"/>
        </w:rPr>
        <w:t>00</w:t>
      </w:r>
      <w:r>
        <w:rPr>
          <w:rFonts w:hint="eastAsia" w:ascii="仿宋_GB2312" w:eastAsia="仿宋_GB2312"/>
          <w:color w:val="auto"/>
          <w:sz w:val="28"/>
        </w:rPr>
        <w:t>×</w:t>
      </w:r>
      <w:r>
        <w:rPr>
          <w:rFonts w:hint="eastAsia" w:ascii="Arial" w:hAnsi="Arial" w:eastAsia="仿宋_GB2312" w:cs="Arial"/>
          <w:color w:val="auto"/>
          <w:sz w:val="28"/>
        </w:rPr>
        <w:t>300÷</w:t>
      </w:r>
      <w:r>
        <w:rPr>
          <w:rFonts w:ascii="Arial" w:hAnsi="Arial" w:eastAsia="仿宋_GB2312" w:cs="Arial"/>
          <w:color w:val="auto"/>
          <w:sz w:val="28"/>
        </w:rPr>
        <w:t>10000</w:t>
      </w:r>
      <w:r>
        <w:rPr>
          <w:rFonts w:hint="eastAsia" w:ascii="仿宋_GB2312" w:eastAsia="仿宋_GB2312"/>
          <w:color w:val="auto"/>
          <w:sz w:val="28"/>
        </w:rPr>
        <w:t>＝</w:t>
      </w:r>
      <w:r>
        <w:rPr>
          <w:rFonts w:hint="eastAsia" w:ascii="Arial" w:hAnsi="Arial" w:eastAsia="仿宋_GB2312"/>
          <w:color w:val="auto"/>
          <w:sz w:val="28"/>
        </w:rPr>
        <w:t>120.0000（万元）</w:t>
      </w:r>
    </w:p>
    <w:p w14:paraId="3898982F">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b）前期费用</w:t>
      </w:r>
    </w:p>
    <w:p w14:paraId="50FF5FAB">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勘察设计和前期工程费指建造商品房及附属工程过程中勘察、测量设计、市场调研等费用。目前北京市房地产开发中该类建筑物的勘察设计和前期工程费用一般为建造成本的5－10%之间，根据估价对象自身状况，本次评估确定勘察设计和前期工程费以建筑安装工程费为计费基础取8%，则有：</w:t>
      </w:r>
    </w:p>
    <w:p w14:paraId="56082B45">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勘查设计和前期工程费＝建安费用×取费标准</w:t>
      </w:r>
    </w:p>
    <w:p w14:paraId="4FC6102F">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＝120.0000×8</w:t>
      </w:r>
      <w:r>
        <w:rPr>
          <w:rFonts w:ascii="Arial" w:hAnsi="Arial" w:eastAsia="仿宋_GB2312"/>
          <w:color w:val="auto"/>
          <w:sz w:val="28"/>
        </w:rPr>
        <w:t>%</w:t>
      </w:r>
    </w:p>
    <w:p w14:paraId="54288D85">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＝9.6000（万元）</w:t>
      </w:r>
    </w:p>
    <w:p w14:paraId="292D63F4">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c）基础设施建设费</w:t>
      </w:r>
    </w:p>
    <w:p w14:paraId="2F940FA8">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基础设施建设费是指建筑物外墙外边线2m以外和项目红线范围内的道路、供水、供电、</w:t>
      </w:r>
      <w:r>
        <w:rPr>
          <w:rFonts w:hint="eastAsia" w:ascii="Arial" w:hAnsi="Arial" w:eastAsia="仿宋_GB2312"/>
          <w:color w:val="auto"/>
          <w:sz w:val="28"/>
        </w:rPr>
        <w:t>供气、通信、绿化、环卫、排水、室外照明等设施的建设费用，以及各项设施与市政千道、千管、干线等的接口费用，北京市房地产开发项目宗地内基础设施建设费一般为建安工程费的5%－15%。根据估价人员现场调查，通过区域电力、燃气、暖气、上下水标准及室外绿化、道路等配套情况，同时结合估价对象所处位置、建设规模等情况，基础设施建设费取建筑安装工程费的10%,则有：</w:t>
      </w:r>
    </w:p>
    <w:p w14:paraId="696279AF">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基础设施建设费＝建安费用×取费标准</w:t>
      </w:r>
    </w:p>
    <w:p w14:paraId="01880E7F">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＝120.0000×10</w:t>
      </w:r>
      <w:r>
        <w:rPr>
          <w:rFonts w:ascii="Arial" w:hAnsi="Arial" w:eastAsia="仿宋_GB2312"/>
          <w:color w:val="auto"/>
          <w:sz w:val="28"/>
        </w:rPr>
        <w:t>%</w:t>
      </w:r>
    </w:p>
    <w:p w14:paraId="1BE04CF3">
      <w:pPr>
        <w:spacing w:line="300" w:lineRule="auto"/>
        <w:ind w:firstLine="3360" w:firstLineChars="1200"/>
        <w:jc w:val="both"/>
        <w:rPr>
          <w:rFonts w:ascii="Arial" w:hAnsi="Arial" w:eastAsia="仿宋_GB2312"/>
          <w:color w:val="auto"/>
          <w:sz w:val="28"/>
        </w:rPr>
      </w:pPr>
      <w:r>
        <w:rPr>
          <w:rFonts w:hint="eastAsia" w:ascii="Arial" w:hAnsi="Arial" w:eastAsia="仿宋_GB2312"/>
          <w:color w:val="auto"/>
          <w:sz w:val="28"/>
        </w:rPr>
        <w:t>＝12.0000（万元）</w:t>
      </w:r>
    </w:p>
    <w:p w14:paraId="7E287F44">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d）</w:t>
      </w:r>
      <w:r>
        <w:rPr>
          <w:rFonts w:hint="eastAsia" w:ascii="仿宋_GB2312" w:eastAsia="仿宋_GB2312"/>
          <w:color w:val="auto"/>
          <w:sz w:val="28"/>
        </w:rPr>
        <w:t>公共配套设施费用</w:t>
      </w:r>
    </w:p>
    <w:p w14:paraId="03824DB5">
      <w:pPr>
        <w:spacing w:line="300" w:lineRule="auto"/>
        <w:ind w:firstLine="560" w:firstLineChars="200"/>
        <w:jc w:val="both"/>
        <w:rPr>
          <w:rFonts w:ascii="仿宋_GB2312" w:eastAsia="仿宋_GB2312"/>
          <w:color w:val="auto"/>
          <w:sz w:val="28"/>
        </w:rPr>
      </w:pPr>
      <w:r>
        <w:rPr>
          <w:rFonts w:hint="eastAsia" w:ascii="Arial" w:hAnsi="Arial" w:eastAsia="仿宋" w:cs="Arial"/>
          <w:color w:val="auto"/>
          <w:sz w:val="28"/>
          <w:szCs w:val="28"/>
        </w:rPr>
        <w:t>公共配套设施建设费按照城市规划要求小区内配套的教育、医疗卫生、文化体育、社区服务等非营业性设施的建设费用。小区配套费用仅限于住宅小区开发时计取，非住宅不计取。</w:t>
      </w:r>
    </w:p>
    <w:p w14:paraId="46410404">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e）</w:t>
      </w:r>
      <w:r>
        <w:rPr>
          <w:rFonts w:hint="eastAsia" w:ascii="仿宋_GB2312" w:eastAsia="仿宋_GB2312"/>
          <w:color w:val="auto"/>
          <w:sz w:val="28"/>
        </w:rPr>
        <w:t>开发期间税费</w:t>
      </w:r>
    </w:p>
    <w:p w14:paraId="574E7FB9">
      <w:pPr>
        <w:spacing w:before="50" w:after="50" w:line="300" w:lineRule="auto"/>
        <w:ind w:firstLine="560" w:firstLineChars="200"/>
        <w:jc w:val="both"/>
        <w:rPr>
          <w:rFonts w:ascii="Arial" w:hAnsi="Arial" w:eastAsia="仿宋" w:cs="Arial"/>
          <w:color w:val="auto"/>
          <w:sz w:val="28"/>
          <w:szCs w:val="28"/>
        </w:rPr>
      </w:pPr>
      <w:r>
        <w:rPr>
          <w:rFonts w:hint="eastAsia" w:ascii="仿宋_GB2312" w:eastAsia="仿宋_GB2312"/>
          <w:color w:val="auto"/>
          <w:sz w:val="28"/>
        </w:rPr>
        <w:t>主要</w:t>
      </w:r>
      <w:r>
        <w:rPr>
          <w:rFonts w:hint="eastAsia" w:ascii="Arial" w:hAnsi="Arial" w:eastAsia="仿宋" w:cs="Arial"/>
          <w:color w:val="auto"/>
          <w:sz w:val="28"/>
          <w:szCs w:val="28"/>
        </w:rPr>
        <w:t>包括有关部门税收和地方政府或其他有关部门收取的费用，如工程监理费、竣工验收费、绿化建设费、人防工程费等。</w:t>
      </w:r>
      <w:r>
        <w:rPr>
          <w:rFonts w:hint="eastAsia" w:ascii="仿宋_GB2312" w:eastAsia="仿宋_GB2312"/>
          <w:color w:val="auto"/>
          <w:sz w:val="28"/>
        </w:rPr>
        <w:t>开发期间税费</w:t>
      </w:r>
      <w:r>
        <w:rPr>
          <w:rFonts w:hint="eastAsia" w:ascii="Arial" w:hAnsi="Arial" w:eastAsia="仿宋_GB2312"/>
          <w:color w:val="auto"/>
          <w:sz w:val="28"/>
        </w:rPr>
        <w:t>一般为建筑安装工程费用的2%－5%，</w:t>
      </w:r>
      <w:r>
        <w:rPr>
          <w:rFonts w:hint="eastAsia" w:ascii="Arial" w:hAnsi="Arial" w:eastAsia="仿宋" w:cs="Arial"/>
          <w:color w:val="auto"/>
          <w:sz w:val="28"/>
          <w:szCs w:val="28"/>
        </w:rPr>
        <w:t>根据估价对象所处区域的一般情况，并结合估价对象的实际情况，按建筑安装工程费的2%测算，</w:t>
      </w:r>
      <w:r>
        <w:rPr>
          <w:rFonts w:ascii="Arial" w:hAnsi="Arial" w:eastAsia="仿宋" w:cs="Arial"/>
          <w:color w:val="auto"/>
          <w:sz w:val="28"/>
          <w:szCs w:val="28"/>
        </w:rPr>
        <w:t>则有：</w:t>
      </w:r>
    </w:p>
    <w:p w14:paraId="65A5B28C">
      <w:pPr>
        <w:spacing w:line="300" w:lineRule="auto"/>
        <w:ind w:firstLine="560" w:firstLineChars="200"/>
        <w:jc w:val="both"/>
        <w:rPr>
          <w:rFonts w:ascii="Arial" w:hAnsi="Arial" w:eastAsia="仿宋_GB2312"/>
          <w:color w:val="auto"/>
          <w:sz w:val="28"/>
        </w:rPr>
      </w:pPr>
      <w:r>
        <w:rPr>
          <w:rFonts w:hint="eastAsia" w:ascii="Arial" w:hAnsi="Arial" w:eastAsia="仿宋" w:cs="Arial"/>
          <w:color w:val="auto"/>
          <w:sz w:val="28"/>
          <w:szCs w:val="28"/>
        </w:rPr>
        <w:t>开发期间税费</w:t>
      </w:r>
      <w:r>
        <w:rPr>
          <w:rFonts w:hint="eastAsia" w:ascii="Arial" w:hAnsi="Arial" w:eastAsia="仿宋_GB2312"/>
          <w:color w:val="auto"/>
          <w:sz w:val="28"/>
        </w:rPr>
        <w:t>＝建安费用×取费标准</w:t>
      </w:r>
    </w:p>
    <w:p w14:paraId="1A778EC6">
      <w:pPr>
        <w:spacing w:line="300" w:lineRule="auto"/>
        <w:ind w:firstLine="2240" w:firstLineChars="800"/>
        <w:jc w:val="both"/>
        <w:rPr>
          <w:rFonts w:ascii="Arial" w:hAnsi="Arial" w:eastAsia="仿宋_GB2312"/>
          <w:color w:val="auto"/>
          <w:sz w:val="28"/>
        </w:rPr>
      </w:pPr>
      <w:r>
        <w:rPr>
          <w:rFonts w:hint="eastAsia" w:ascii="Arial" w:hAnsi="Arial" w:eastAsia="仿宋_GB2312"/>
          <w:color w:val="auto"/>
          <w:sz w:val="28"/>
        </w:rPr>
        <w:t>＝120.0000×2</w:t>
      </w:r>
      <w:r>
        <w:rPr>
          <w:rFonts w:ascii="Arial" w:hAnsi="Arial" w:eastAsia="仿宋_GB2312"/>
          <w:color w:val="auto"/>
          <w:sz w:val="28"/>
        </w:rPr>
        <w:t>%</w:t>
      </w:r>
    </w:p>
    <w:p w14:paraId="73B3B005">
      <w:pPr>
        <w:spacing w:before="50" w:after="50" w:line="300" w:lineRule="auto"/>
        <w:ind w:firstLine="2240" w:firstLineChars="800"/>
        <w:jc w:val="both"/>
        <w:rPr>
          <w:rFonts w:ascii="Arial" w:hAnsi="Arial" w:eastAsia="仿宋_GB2312"/>
          <w:color w:val="auto"/>
          <w:sz w:val="28"/>
        </w:rPr>
      </w:pPr>
      <w:r>
        <w:rPr>
          <w:rFonts w:hint="eastAsia" w:ascii="Arial" w:hAnsi="Arial" w:eastAsia="仿宋_GB2312"/>
          <w:color w:val="auto"/>
          <w:sz w:val="28"/>
        </w:rPr>
        <w:t>＝2.4000（万元）</w:t>
      </w:r>
    </w:p>
    <w:p w14:paraId="31C5CBE6">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f）其他工程费</w:t>
      </w:r>
    </w:p>
    <w:p w14:paraId="53C14930">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其他工程费是指在工程建设中，除建筑安装工程费和设备、工具、器具购置费以外的费用。根据目前北京市房地产开发的情况。其他工程费一般为建筑安装工程费用的2%－5%，确定以建筑安装工程费用为计费基础取5%</w:t>
      </w:r>
      <w:r>
        <w:rPr>
          <w:rFonts w:hint="eastAsia" w:ascii="Arial" w:hAnsi="Arial" w:eastAsia="仿宋" w:cs="Arial"/>
          <w:color w:val="auto"/>
          <w:sz w:val="28"/>
          <w:szCs w:val="28"/>
        </w:rPr>
        <w:t>，</w:t>
      </w:r>
      <w:r>
        <w:rPr>
          <w:rFonts w:ascii="Arial" w:hAnsi="Arial" w:eastAsia="仿宋" w:cs="Arial"/>
          <w:color w:val="auto"/>
          <w:sz w:val="28"/>
          <w:szCs w:val="28"/>
        </w:rPr>
        <w:t>则有：</w:t>
      </w:r>
    </w:p>
    <w:p w14:paraId="6DEA58F2">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其他工程费＝建安费用×取费标准</w:t>
      </w:r>
    </w:p>
    <w:p w14:paraId="6AA1FDB5">
      <w:pPr>
        <w:spacing w:line="300" w:lineRule="auto"/>
        <w:ind w:firstLine="1960" w:firstLineChars="700"/>
        <w:jc w:val="both"/>
        <w:rPr>
          <w:rFonts w:ascii="Arial" w:hAnsi="Arial" w:eastAsia="仿宋_GB2312"/>
          <w:color w:val="auto"/>
          <w:sz w:val="28"/>
        </w:rPr>
      </w:pPr>
      <w:r>
        <w:rPr>
          <w:rFonts w:hint="eastAsia" w:ascii="Arial" w:hAnsi="Arial" w:eastAsia="仿宋_GB2312"/>
          <w:color w:val="auto"/>
          <w:sz w:val="28"/>
        </w:rPr>
        <w:t>＝120.0000×5</w:t>
      </w:r>
      <w:r>
        <w:rPr>
          <w:rFonts w:ascii="Arial" w:hAnsi="Arial" w:eastAsia="仿宋_GB2312"/>
          <w:color w:val="auto"/>
          <w:sz w:val="28"/>
        </w:rPr>
        <w:t>%</w:t>
      </w:r>
    </w:p>
    <w:p w14:paraId="21FD394E">
      <w:pPr>
        <w:spacing w:line="300" w:lineRule="auto"/>
        <w:ind w:firstLine="1960" w:firstLineChars="700"/>
        <w:jc w:val="both"/>
        <w:rPr>
          <w:rFonts w:ascii="Arial" w:hAnsi="Arial" w:eastAsia="仿宋_GB2312"/>
          <w:color w:val="auto"/>
          <w:sz w:val="28"/>
        </w:rPr>
      </w:pPr>
      <w:r>
        <w:rPr>
          <w:rFonts w:hint="eastAsia" w:ascii="Arial" w:hAnsi="Arial" w:eastAsia="仿宋_GB2312"/>
          <w:color w:val="auto"/>
          <w:sz w:val="28"/>
        </w:rPr>
        <w:t>＝6.0000（万元）</w:t>
      </w:r>
    </w:p>
    <w:p w14:paraId="709F6B05">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g）房屋建设成本</w:t>
      </w:r>
    </w:p>
    <w:p w14:paraId="0B642B61">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房屋建设成本</w:t>
      </w:r>
      <w:r>
        <w:rPr>
          <w:rFonts w:hint="eastAsia" w:ascii="仿宋_GB2312" w:eastAsia="仿宋_GB2312"/>
          <w:color w:val="auto"/>
          <w:sz w:val="28"/>
        </w:rPr>
        <w:t>为上述6项之和，则有：</w:t>
      </w:r>
    </w:p>
    <w:p w14:paraId="523F79F2">
      <w:pPr>
        <w:spacing w:line="300" w:lineRule="auto"/>
        <w:ind w:firstLine="562" w:firstLineChars="201"/>
        <w:rPr>
          <w:rFonts w:ascii="Arial" w:hAnsi="Arial" w:eastAsia="仿宋_GB2312"/>
          <w:color w:val="auto"/>
          <w:sz w:val="28"/>
        </w:rPr>
      </w:pPr>
      <w:r>
        <w:rPr>
          <w:rFonts w:hint="eastAsia" w:ascii="Arial" w:hAnsi="Arial" w:eastAsia="仿宋_GB2312"/>
          <w:color w:val="auto"/>
          <w:sz w:val="28"/>
        </w:rPr>
        <w:t>房屋建设成本</w:t>
      </w:r>
    </w:p>
    <w:p w14:paraId="76955C47">
      <w:pPr>
        <w:spacing w:line="300" w:lineRule="auto"/>
        <w:ind w:firstLine="562" w:firstLineChars="201"/>
        <w:rPr>
          <w:rFonts w:ascii="Arial" w:hAnsi="Arial" w:eastAsia="仿宋_GB2312"/>
          <w:color w:val="auto"/>
          <w:sz w:val="28"/>
        </w:rPr>
      </w:pPr>
      <w:r>
        <w:rPr>
          <w:rFonts w:hint="eastAsia" w:ascii="Arial" w:hAnsi="Arial" w:eastAsia="仿宋_GB2312"/>
          <w:color w:val="auto"/>
          <w:sz w:val="28"/>
        </w:rPr>
        <w:t xml:space="preserve">＝前期费用＋建筑安装工程费＋基础设施建设费＋公共配套设施建设费＋开发期间税费＋其他工程费  </w:t>
      </w:r>
    </w:p>
    <w:p w14:paraId="3E508638">
      <w:pPr>
        <w:spacing w:line="300" w:lineRule="auto"/>
        <w:ind w:firstLine="562" w:firstLineChars="201"/>
        <w:jc w:val="both"/>
        <w:rPr>
          <w:rFonts w:ascii="Arial" w:hAnsi="Arial" w:eastAsia="仿宋_GB2312"/>
          <w:color w:val="auto"/>
          <w:sz w:val="28"/>
        </w:rPr>
      </w:pPr>
      <w:r>
        <w:rPr>
          <w:rFonts w:hint="eastAsia" w:ascii="Arial" w:hAnsi="Arial" w:eastAsia="仿宋_GB2312"/>
          <w:color w:val="auto"/>
          <w:sz w:val="28"/>
        </w:rPr>
        <w:t>＝9.6000＋120.0000＋12.0000＋0＋2.4000＋6.0000</w:t>
      </w:r>
    </w:p>
    <w:p w14:paraId="0B586686">
      <w:pPr>
        <w:spacing w:line="300" w:lineRule="auto"/>
        <w:ind w:firstLine="562" w:firstLineChars="201"/>
        <w:jc w:val="both"/>
        <w:rPr>
          <w:rFonts w:ascii="Arial" w:hAnsi="Arial" w:eastAsia="仿宋_GB2312"/>
          <w:color w:val="auto"/>
          <w:sz w:val="28"/>
        </w:rPr>
      </w:pPr>
      <w:r>
        <w:rPr>
          <w:rFonts w:hint="eastAsia" w:ascii="Arial" w:hAnsi="Arial" w:eastAsia="仿宋_GB2312"/>
          <w:color w:val="auto"/>
          <w:sz w:val="28"/>
        </w:rPr>
        <w:t>＝150.0000（万元）</w:t>
      </w:r>
    </w:p>
    <w:p w14:paraId="1D3E1A54">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c.</w:t>
      </w:r>
      <w:r>
        <w:rPr>
          <w:rFonts w:hint="eastAsia" w:ascii="仿宋_GB2312" w:eastAsia="仿宋_GB2312"/>
          <w:color w:val="auto"/>
          <w:sz w:val="28"/>
        </w:rPr>
        <w:t>管理费用</w:t>
      </w:r>
    </w:p>
    <w:p w14:paraId="44238DF8">
      <w:pPr>
        <w:spacing w:line="300" w:lineRule="auto"/>
        <w:ind w:firstLine="560" w:firstLineChars="200"/>
        <w:jc w:val="both"/>
        <w:rPr>
          <w:rFonts w:ascii="仿宋_GB2312" w:eastAsia="仿宋_GB2312"/>
          <w:color w:val="auto"/>
          <w:sz w:val="28"/>
        </w:rPr>
      </w:pPr>
      <w:r>
        <w:rPr>
          <w:rFonts w:hint="eastAsia" w:ascii="仿宋_GB2312" w:hAnsi="Arial" w:eastAsia="仿宋_GB2312"/>
          <w:color w:val="auto"/>
          <w:sz w:val="28"/>
        </w:rPr>
        <w:t>管</w:t>
      </w:r>
      <w:r>
        <w:rPr>
          <w:rFonts w:hint="eastAsia" w:ascii="Arial" w:hAnsi="Arial" w:eastAsia="仿宋_GB2312"/>
          <w:color w:val="auto"/>
          <w:sz w:val="28"/>
        </w:rPr>
        <w:t>理费用是房地产开发商为组织和管理房地产开发经营活动的必要支出，主要包括人员工资、办公费、差旅费等.管理费用按照房地产开发企业财务会计制度核算，根据目前北京市房地产开发中管理费用的平均水平，该类房地产开发项目的管理费用一般为房屋建设成本的1－3%之间。根据项目实际情况，确定管理费用以房屋建设成本为计费基础取 3%，</w:t>
      </w:r>
      <w:r>
        <w:rPr>
          <w:rFonts w:hint="eastAsia" w:ascii="仿宋_GB2312" w:eastAsia="仿宋_GB2312"/>
          <w:color w:val="auto"/>
          <w:sz w:val="28"/>
        </w:rPr>
        <w:t>则有：</w:t>
      </w:r>
    </w:p>
    <w:p w14:paraId="214D0645">
      <w:pPr>
        <w:spacing w:line="300" w:lineRule="auto"/>
        <w:ind w:firstLine="560" w:firstLineChars="200"/>
        <w:jc w:val="both"/>
        <w:rPr>
          <w:rFonts w:ascii="仿宋_GB2312" w:eastAsia="仿宋_GB2312"/>
          <w:color w:val="auto"/>
          <w:sz w:val="28"/>
        </w:rPr>
      </w:pPr>
      <w:r>
        <w:rPr>
          <w:rFonts w:hint="eastAsia" w:ascii="仿宋_GB2312" w:eastAsia="仿宋_GB2312"/>
          <w:color w:val="auto"/>
          <w:sz w:val="28"/>
        </w:rPr>
        <w:t>管理费用＝</w:t>
      </w:r>
      <w:r>
        <w:rPr>
          <w:rFonts w:hint="eastAsia" w:ascii="Arial" w:hAnsi="Arial" w:eastAsia="仿宋_GB2312"/>
          <w:color w:val="auto"/>
          <w:sz w:val="28"/>
        </w:rPr>
        <w:t>房屋建设成本</w:t>
      </w:r>
      <w:r>
        <w:rPr>
          <w:rFonts w:hint="eastAsia" w:ascii="仿宋_GB2312" w:eastAsia="仿宋_GB2312"/>
          <w:color w:val="auto"/>
          <w:sz w:val="28"/>
        </w:rPr>
        <w:t>×管理费率</w:t>
      </w:r>
    </w:p>
    <w:p w14:paraId="4832ADDD">
      <w:pPr>
        <w:spacing w:line="300" w:lineRule="auto"/>
        <w:ind w:firstLine="1680" w:firstLineChars="600"/>
        <w:jc w:val="both"/>
        <w:rPr>
          <w:rFonts w:ascii="仿宋_GB2312" w:eastAsia="仿宋_GB2312"/>
          <w:color w:val="auto"/>
          <w:sz w:val="28"/>
        </w:rPr>
      </w:pPr>
      <w:r>
        <w:rPr>
          <w:rFonts w:hint="eastAsia" w:ascii="仿宋_GB2312" w:eastAsia="仿宋_GB2312"/>
          <w:color w:val="auto"/>
          <w:sz w:val="28"/>
        </w:rPr>
        <w:t>＝</w:t>
      </w:r>
      <w:r>
        <w:rPr>
          <w:rFonts w:hint="eastAsia" w:ascii="Arial" w:hAnsi="Arial" w:eastAsia="仿宋_GB2312"/>
          <w:color w:val="auto"/>
          <w:sz w:val="28"/>
        </w:rPr>
        <w:t>150.0000×3%</w:t>
      </w:r>
      <w:r>
        <w:rPr>
          <w:rFonts w:hint="eastAsia" w:ascii="仿宋_GB2312" w:eastAsia="仿宋_GB2312"/>
          <w:color w:val="auto"/>
          <w:sz w:val="28"/>
        </w:rPr>
        <w:t>＝</w:t>
      </w:r>
      <w:r>
        <w:rPr>
          <w:rFonts w:hint="eastAsia" w:ascii="Arial" w:hAnsi="Arial" w:eastAsia="仿宋_GB2312"/>
          <w:color w:val="auto"/>
          <w:sz w:val="28"/>
        </w:rPr>
        <w:t>4.5000（</w:t>
      </w:r>
      <w:r>
        <w:rPr>
          <w:rFonts w:hint="eastAsia" w:ascii="仿宋_GB2312" w:eastAsia="仿宋_GB2312"/>
          <w:color w:val="auto"/>
          <w:sz w:val="28"/>
        </w:rPr>
        <w:t>万元）</w:t>
      </w:r>
    </w:p>
    <w:p w14:paraId="75AB9F7B">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d.销售费用</w:t>
      </w:r>
    </w:p>
    <w:p w14:paraId="1B794538">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销售费用指预售未来开发完成的房地产或者销售已经开发完成的房地产所必要的费用，包括广告费、销售资料制作费、样板房或样板间建设费售楼处建设费、销售人员费用或者销售代理费等。根据目前北京市居住用途房地产开发中销售费用的平均费用情况，该类建筑物的销售费用一般为房地产销售价格的2%－4%之间。</w:t>
      </w:r>
    </w:p>
    <w:p w14:paraId="5714D33E">
      <w:pPr>
        <w:spacing w:line="300" w:lineRule="auto"/>
        <w:ind w:firstLine="560" w:firstLineChars="200"/>
        <w:jc w:val="both"/>
        <w:rPr>
          <w:rFonts w:ascii="仿宋_GB2312" w:hAnsi="Arial" w:eastAsia="仿宋_GB2312"/>
          <w:color w:val="auto"/>
          <w:sz w:val="28"/>
        </w:rPr>
      </w:pPr>
      <w:r>
        <w:rPr>
          <w:rFonts w:hint="eastAsia" w:ascii="Arial" w:hAnsi="Arial" w:eastAsia="仿宋_GB2312"/>
          <w:color w:val="auto"/>
          <w:sz w:val="28"/>
        </w:rPr>
        <w:t>本次评估估价对象公共管理与公共服务用房建成后为住宅配套用房，直接对接相关单位，故本次评估不涉及销售费用。</w:t>
      </w:r>
    </w:p>
    <w:p w14:paraId="0DB60F3E">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e.投资利息</w:t>
      </w:r>
    </w:p>
    <w:p w14:paraId="71A5B470">
      <w:pPr>
        <w:spacing w:line="300" w:lineRule="auto"/>
        <w:ind w:firstLine="560" w:firstLineChars="200"/>
        <w:jc w:val="both"/>
        <w:rPr>
          <w:rFonts w:ascii="Arial" w:hAnsi="Arial" w:eastAsia="仿宋_GB2312"/>
          <w:color w:val="auto"/>
          <w:sz w:val="28"/>
        </w:rPr>
      </w:pPr>
      <w:r>
        <w:rPr>
          <w:rFonts w:hint="eastAsia" w:ascii="仿宋_GB2312" w:eastAsia="仿宋_GB2312"/>
          <w:color w:val="auto"/>
          <w:sz w:val="28"/>
        </w:rPr>
        <w:t>投资利息指在房地产开发完成或实现销售之前发生的所有必要费用应计算的利息。</w:t>
      </w:r>
    </w:p>
    <w:p w14:paraId="3A055C49">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本次评估综合考虑项目拟建设规模、主体结构高度以及装修状况，参考同类物业的开发周期，设定估价对象建设周期为3年。根据中国人民银行2026年3月20日公布的贷款市场报价利率（LPR）为，1年期LPR为3.0%，5 年期以上 LPR为 3.5%，由于未公布的 1－5 年期之间的具体 LPR 数据，本次评估采用插值法计算开发周期对应利率，得出3年期LPR为3.25%（3.0%＋（3－1）÷（5－1）×（3.5%－3.0%））。本次评估贷款利率取3.25%。地价款和购地税费全周期计息，房屋建设成本、管理费用、销售费用等预付资本应根据开发周期均匀投入计息，则有：</w:t>
      </w:r>
    </w:p>
    <w:p w14:paraId="2AD32319">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投资利息＝（估价对象土地价格＋购地税费）×〔（1＋年利率）</w:t>
      </w:r>
      <w:r>
        <w:rPr>
          <w:rFonts w:hint="eastAsia" w:ascii="Arial" w:hAnsi="Arial" w:eastAsia="仿宋_GB2312"/>
          <w:color w:val="auto"/>
          <w:sz w:val="28"/>
          <w:vertAlign w:val="superscript"/>
        </w:rPr>
        <w:t>项目开发周期</w:t>
      </w:r>
      <w:r>
        <w:rPr>
          <w:rFonts w:hint="eastAsia" w:ascii="Arial" w:hAnsi="Arial" w:eastAsia="仿宋_GB2312"/>
          <w:color w:val="auto"/>
          <w:sz w:val="28"/>
        </w:rPr>
        <w:t>－1〕＋（房屋建设成本＋管理费用＋销售费用）×〔（1＋年利率）</w:t>
      </w:r>
      <w:r>
        <w:rPr>
          <w:rFonts w:hint="eastAsia" w:ascii="Arial" w:hAnsi="Arial" w:eastAsia="仿宋_GB2312"/>
          <w:color w:val="auto"/>
          <w:sz w:val="28"/>
          <w:vertAlign w:val="superscript"/>
        </w:rPr>
        <w:t>（项目开发周期÷2）</w:t>
      </w:r>
      <w:r>
        <w:rPr>
          <w:rFonts w:hint="eastAsia" w:ascii="Arial" w:hAnsi="Arial" w:eastAsia="仿宋_GB2312"/>
          <w:color w:val="auto"/>
          <w:sz w:val="28"/>
        </w:rPr>
        <w:t>－1〕</w:t>
      </w:r>
    </w:p>
    <w:p w14:paraId="77BC3C88">
      <w:pPr>
        <w:spacing w:line="300" w:lineRule="auto"/>
        <w:ind w:firstLine="1680" w:firstLineChars="600"/>
        <w:jc w:val="both"/>
        <w:rPr>
          <w:rFonts w:ascii="Arial" w:hAnsi="Arial" w:eastAsia="仿宋_GB2312"/>
          <w:color w:val="auto"/>
          <w:sz w:val="28"/>
        </w:rPr>
      </w:pPr>
      <w:r>
        <w:rPr>
          <w:rFonts w:hint="eastAsia" w:ascii="Arial" w:hAnsi="Arial" w:eastAsia="仿宋_GB2312"/>
          <w:color w:val="auto"/>
          <w:sz w:val="28"/>
        </w:rPr>
        <w:t>＝（</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）×〔（1＋3.25%）</w:t>
      </w:r>
      <w:r>
        <w:rPr>
          <w:rFonts w:hint="eastAsia" w:ascii="Arial" w:hAnsi="Arial" w:eastAsia="仿宋_GB2312"/>
          <w:color w:val="auto"/>
          <w:sz w:val="28"/>
          <w:vertAlign w:val="superscript"/>
        </w:rPr>
        <w:t>3</w:t>
      </w:r>
      <w:r>
        <w:rPr>
          <w:rFonts w:hint="eastAsia" w:ascii="Arial" w:hAnsi="Arial" w:eastAsia="仿宋_GB2312"/>
          <w:color w:val="auto"/>
          <w:sz w:val="28"/>
        </w:rPr>
        <w:t>－1〕＋（150.0000＋4.5000＋0）×〔（1＋3.25%）</w:t>
      </w:r>
      <w:r>
        <w:rPr>
          <w:rFonts w:hint="eastAsia" w:ascii="Arial" w:hAnsi="Arial" w:eastAsia="仿宋_GB2312"/>
          <w:color w:val="auto"/>
          <w:sz w:val="28"/>
          <w:vertAlign w:val="superscript"/>
        </w:rPr>
        <w:t>（3÷2）</w:t>
      </w:r>
      <w:r>
        <w:rPr>
          <w:rFonts w:hint="eastAsia" w:ascii="Arial" w:hAnsi="Arial" w:eastAsia="仿宋_GB2312"/>
          <w:color w:val="auto"/>
          <w:sz w:val="28"/>
        </w:rPr>
        <w:t>－1〕</w:t>
      </w:r>
    </w:p>
    <w:p w14:paraId="409EDEEB">
      <w:pPr>
        <w:spacing w:line="300" w:lineRule="auto"/>
        <w:ind w:firstLine="1680" w:firstLineChars="600"/>
        <w:jc w:val="both"/>
        <w:rPr>
          <w:rFonts w:ascii="仿宋_GB2312" w:eastAsia="仿宋_GB2312"/>
          <w:color w:val="auto"/>
          <w:sz w:val="28"/>
        </w:rPr>
      </w:pPr>
      <w:r>
        <w:rPr>
          <w:rFonts w:hint="eastAsia" w:ascii="Arial" w:hAnsi="Arial" w:eastAsia="仿宋_GB2312"/>
          <w:color w:val="auto"/>
          <w:sz w:val="28"/>
        </w:rPr>
        <w:t>＝7.5927＋0.1038</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w:t>
      </w:r>
      <w:r>
        <w:rPr>
          <w:rFonts w:hint="eastAsia" w:ascii="仿宋_GB2312" w:eastAsia="仿宋_GB2312"/>
          <w:color w:val="auto"/>
          <w:sz w:val="28"/>
        </w:rPr>
        <w:t>万元）</w:t>
      </w:r>
    </w:p>
    <w:p w14:paraId="1ECB06DA">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f.销售税费</w:t>
      </w:r>
      <w:r>
        <w:rPr>
          <w:rFonts w:hint="eastAsia" w:ascii="Arial" w:hAnsi="Arial" w:eastAsia="仿宋_GB2312"/>
          <w:color w:val="auto"/>
          <w:sz w:val="28"/>
        </w:rPr>
        <w:tab/>
      </w:r>
    </w:p>
    <w:p w14:paraId="09F1DD09">
      <w:pPr>
        <w:spacing w:line="300" w:lineRule="auto"/>
        <w:ind w:firstLine="560" w:firstLineChars="200"/>
        <w:jc w:val="both"/>
        <w:rPr>
          <w:rFonts w:ascii="Arial" w:hAnsi="Arial" w:eastAsia="仿宋_GB2312" w:cs="Arial"/>
          <w:color w:val="auto"/>
          <w:sz w:val="28"/>
        </w:rPr>
      </w:pPr>
      <w:r>
        <w:rPr>
          <w:rFonts w:hint="eastAsia" w:ascii="仿宋_GB2312" w:hAnsi="Arial" w:eastAsia="仿宋_GB2312"/>
          <w:color w:val="auto"/>
          <w:sz w:val="28"/>
        </w:rPr>
        <w:t>本</w:t>
      </w:r>
      <w:r>
        <w:rPr>
          <w:rFonts w:hint="eastAsia" w:ascii="Arial" w:hAnsi="Arial" w:eastAsia="仿宋_GB2312" w:cs="Arial"/>
          <w:color w:val="auto"/>
          <w:sz w:val="28"/>
        </w:rPr>
        <w:t>处所指销售税费是指国家规定的相关销售税费。销售税费包括增值税及城市维护建设税、教育费附加和地方教育附加。</w:t>
      </w:r>
    </w:p>
    <w:p w14:paraId="743ED88B">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w:t>
      </w:r>
      <w:r>
        <w:rPr>
          <w:rFonts w:hint="eastAsia" w:ascii="Arial" w:hAnsi="Arial" w:eastAsia="仿宋" w:cs="Arial"/>
          <w:color w:val="auto"/>
          <w:sz w:val="28"/>
          <w:szCs w:val="28"/>
        </w:rPr>
        <w:t>《中华人民共和国增值税法》及《中华人民共和国增值税法实施条例》</w:t>
      </w:r>
      <w:r>
        <w:rPr>
          <w:rFonts w:hint="eastAsia" w:ascii="Arial" w:hAnsi="Arial" w:eastAsia="仿宋_GB2312" w:cs="Arial"/>
          <w:color w:val="auto"/>
          <w:sz w:val="28"/>
        </w:rPr>
        <w:t>相关规定，对于一般纳税人自行开发销售的新建项目，适宜采用一般计税方式测算增值税。</w:t>
      </w:r>
      <w:r>
        <w:rPr>
          <w:rFonts w:ascii="Arial" w:hAnsi="Arial" w:eastAsia="仿宋_GB2312" w:cs="Arial"/>
          <w:color w:val="auto"/>
          <w:sz w:val="28"/>
        </w:rPr>
        <w:t>销售不动产税率为9%</w:t>
      </w:r>
      <w:r>
        <w:rPr>
          <w:rFonts w:hint="eastAsia" w:ascii="Arial" w:hAnsi="Arial" w:eastAsia="仿宋_GB2312" w:cs="Arial"/>
          <w:color w:val="auto"/>
          <w:sz w:val="28"/>
        </w:rPr>
        <w:t>，</w:t>
      </w:r>
      <w:r>
        <w:rPr>
          <w:rFonts w:ascii="Arial" w:hAnsi="Arial" w:eastAsia="仿宋_GB2312" w:cs="Arial"/>
          <w:color w:val="auto"/>
          <w:sz w:val="28"/>
        </w:rPr>
        <w:t>进项税额中建筑安装工程费、</w:t>
      </w:r>
      <w:r>
        <w:rPr>
          <w:rFonts w:hint="eastAsia" w:ascii="Arial" w:hAnsi="Arial" w:eastAsia="仿宋_GB2312" w:cs="Arial"/>
          <w:color w:val="auto"/>
          <w:sz w:val="28"/>
        </w:rPr>
        <w:t>基础设施建设费</w:t>
      </w:r>
      <w:r>
        <w:rPr>
          <w:rFonts w:ascii="Arial" w:hAnsi="Arial" w:eastAsia="仿宋_GB2312" w:cs="Arial"/>
          <w:color w:val="auto"/>
          <w:sz w:val="28"/>
        </w:rPr>
        <w:t>、</w:t>
      </w:r>
      <w:r>
        <w:rPr>
          <w:rFonts w:hint="eastAsia" w:ascii="Arial" w:hAnsi="Arial" w:eastAsia="仿宋_GB2312" w:cs="Arial"/>
          <w:color w:val="auto"/>
          <w:sz w:val="28"/>
        </w:rPr>
        <w:t>公共配套设施建设费</w:t>
      </w:r>
      <w:r>
        <w:rPr>
          <w:rFonts w:ascii="Arial" w:hAnsi="Arial" w:eastAsia="仿宋_GB2312" w:cs="Arial"/>
          <w:color w:val="auto"/>
          <w:sz w:val="28"/>
        </w:rPr>
        <w:t>属于建筑行业，税率为9%；</w:t>
      </w:r>
      <w:r>
        <w:rPr>
          <w:rFonts w:hint="eastAsia" w:ascii="Arial" w:hAnsi="Arial" w:eastAsia="仿宋_GB2312" w:cs="Arial"/>
          <w:color w:val="auto"/>
          <w:sz w:val="28"/>
        </w:rPr>
        <w:t>前期费用</w:t>
      </w:r>
      <w:r>
        <w:rPr>
          <w:rFonts w:ascii="Arial" w:hAnsi="Arial" w:eastAsia="仿宋_GB2312" w:cs="Arial"/>
          <w:color w:val="auto"/>
          <w:sz w:val="28"/>
        </w:rPr>
        <w:t>、</w:t>
      </w:r>
      <w:r>
        <w:rPr>
          <w:rFonts w:hint="eastAsia" w:ascii="Arial" w:hAnsi="Arial" w:eastAsia="仿宋_GB2312" w:cs="Arial"/>
          <w:color w:val="auto"/>
          <w:sz w:val="28"/>
        </w:rPr>
        <w:t>其他工程费、</w:t>
      </w:r>
      <w:r>
        <w:rPr>
          <w:rFonts w:ascii="Arial" w:hAnsi="Arial" w:eastAsia="仿宋_GB2312" w:cs="Arial"/>
          <w:color w:val="auto"/>
          <w:sz w:val="28"/>
        </w:rPr>
        <w:t>销售费用税率为6%</w:t>
      </w:r>
      <w:r>
        <w:rPr>
          <w:rFonts w:hint="eastAsia" w:ascii="Arial" w:hAnsi="Arial" w:eastAsia="仿宋_GB2312" w:cs="Arial"/>
          <w:color w:val="auto"/>
          <w:sz w:val="28"/>
        </w:rPr>
        <w:t>。根据《北京市财政局国家税务总局北京市税务局北京市民政局关于明确北京市城市维护建设税纳税人所在地具体地点的通知》（京财税〔2021〕1770号），估价对象位于顺义区，城市维护建设税为增值税的5%；根据《国务院关于修改&lt;征收教育费附加的暂行规定&gt;的决定》，教育费附加为增值税的3%；根据《北京市地方教育附加征收使用管理办法》，地方教育附加费为增值税的2%，则有：</w:t>
      </w:r>
    </w:p>
    <w:p w14:paraId="4E06B729">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增值税基本公式：增值税＝销项税额－进项税额</w:t>
      </w:r>
    </w:p>
    <w:p w14:paraId="6CE6DFAD">
      <w:pPr>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销项税额</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s="Arial"/>
          <w:color w:val="auto"/>
          <w:sz w:val="28"/>
        </w:rPr>
        <w:t>开发完成后</w:t>
      </w:r>
      <w:r>
        <w:rPr>
          <w:rFonts w:ascii="Arial" w:hAnsi="Arial" w:eastAsia="仿宋_GB2312" w:cs="Arial"/>
          <w:color w:val="auto"/>
          <w:sz w:val="28"/>
        </w:rPr>
        <w:t>不动产总价</w:t>
      </w:r>
      <w:r>
        <w:rPr>
          <w:rFonts w:hint="eastAsia" w:ascii="Arial" w:hAnsi="Arial" w:eastAsia="仿宋_GB2312" w:cs="Arial"/>
          <w:color w:val="auto"/>
          <w:sz w:val="28"/>
        </w:rPr>
        <w:t>－</w:t>
      </w:r>
      <w:r>
        <w:rPr>
          <w:rFonts w:ascii="Arial" w:hAnsi="Arial" w:eastAsia="仿宋_GB2312" w:cs="Arial"/>
          <w:color w:val="auto"/>
          <w:sz w:val="28"/>
        </w:rPr>
        <w:t>土地使用权</w:t>
      </w:r>
      <w:r>
        <w:rPr>
          <w:rFonts w:hint="eastAsia" w:ascii="Arial" w:hAnsi="Arial" w:eastAsia="仿宋_GB2312"/>
          <w:color w:val="auto"/>
          <w:sz w:val="28"/>
        </w:rPr>
        <w:t>总价</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p>
    <w:p w14:paraId="114F978C">
      <w:pPr>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进项税额</w:t>
      </w:r>
      <w:r>
        <w:rPr>
          <w:rFonts w:hint="eastAsia" w:ascii="Arial" w:hAnsi="Arial" w:eastAsia="仿宋_GB2312" w:cs="Arial"/>
          <w:color w:val="auto"/>
          <w:sz w:val="28"/>
        </w:rPr>
        <w:t>＝（</w:t>
      </w:r>
      <w:r>
        <w:rPr>
          <w:rFonts w:hint="eastAsia" w:ascii="Arial" w:hAnsi="Arial" w:eastAsia="仿宋_GB2312"/>
          <w:color w:val="auto"/>
          <w:sz w:val="28"/>
        </w:rPr>
        <w:t>建筑安装工程费＋基础设施建设费＋公共配套设施建设费</w:t>
      </w:r>
      <w:r>
        <w:rPr>
          <w:rFonts w:hint="eastAsia" w:ascii="Arial" w:hAnsi="Arial" w:eastAsia="仿宋_GB2312" w:cs="Arial"/>
          <w:color w:val="auto"/>
          <w:sz w:val="28"/>
        </w:rPr>
        <w:t>＋开发期间税费）÷</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hint="eastAsia" w:ascii="Arial" w:hAnsi="Arial" w:eastAsia="仿宋_GB2312"/>
          <w:color w:val="auto"/>
          <w:sz w:val="28"/>
        </w:rPr>
        <w:t>前期费用</w:t>
      </w:r>
      <w:r>
        <w:rPr>
          <w:rFonts w:hint="eastAsia" w:ascii="Arial" w:hAnsi="Arial" w:eastAsia="仿宋_GB2312" w:cs="Arial"/>
          <w:color w:val="auto"/>
          <w:sz w:val="28"/>
        </w:rPr>
        <w:t>＋</w:t>
      </w:r>
      <w:r>
        <w:rPr>
          <w:rFonts w:hint="eastAsia" w:ascii="Arial" w:hAnsi="Arial" w:eastAsia="仿宋_GB2312"/>
          <w:color w:val="auto"/>
          <w:sz w:val="28"/>
        </w:rPr>
        <w:t>其他工程费＋</w:t>
      </w:r>
      <w:r>
        <w:rPr>
          <w:rFonts w:ascii="Arial" w:hAnsi="Arial" w:eastAsia="仿宋_GB2312" w:cs="Arial"/>
          <w:color w:val="auto"/>
          <w:sz w:val="28"/>
        </w:rPr>
        <w:t>销售费用</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w:t>
      </w:r>
      <w:r>
        <w:rPr>
          <w:rFonts w:ascii="Arial" w:hAnsi="Arial" w:eastAsia="仿宋_GB2312" w:cs="Arial"/>
          <w:color w:val="auto"/>
          <w:sz w:val="28"/>
        </w:rPr>
        <w:t xml:space="preserve">6%。 </w:t>
      </w:r>
    </w:p>
    <w:p w14:paraId="2C6EBF3C">
      <w:pPr>
        <w:spacing w:line="300" w:lineRule="auto"/>
        <w:ind w:firstLine="560" w:firstLineChars="200"/>
        <w:rPr>
          <w:rFonts w:ascii="Arial" w:hAnsi="Arial" w:eastAsia="仿宋_GB2312"/>
          <w:color w:val="auto"/>
          <w:sz w:val="28"/>
        </w:rPr>
      </w:pPr>
      <w:r>
        <w:rPr>
          <w:rFonts w:hint="eastAsia" w:ascii="Arial" w:hAnsi="Arial" w:eastAsia="仿宋_GB2312"/>
          <w:color w:val="auto"/>
          <w:sz w:val="28"/>
        </w:rPr>
        <w:t>销售税费</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s="Arial"/>
          <w:color w:val="auto"/>
          <w:sz w:val="28"/>
        </w:rPr>
        <w:t>305.6472－</w:t>
      </w:r>
      <w:r>
        <w:rPr>
          <w:rFonts w:ascii="Arial" w:hAnsi="Arial" w:eastAsia="仿宋_GB2312"/>
          <w:color w:val="auto"/>
          <w:sz w:val="28"/>
        </w:rPr>
        <w:t>P</w:t>
      </w:r>
      <w:r>
        <w:rPr>
          <w:rFonts w:hint="eastAsia" w:ascii="Arial" w:hAnsi="Arial" w:eastAsia="仿宋_GB2312"/>
          <w:color w:val="auto"/>
          <w:sz w:val="28"/>
          <w:vertAlign w:val="subscript"/>
        </w:rPr>
        <w:t>土</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olor w:val="auto"/>
          <w:sz w:val="28"/>
        </w:rPr>
        <w:t>120.0000＋</w:t>
      </w:r>
    </w:p>
    <w:p w14:paraId="5192E51A">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w:t>
      </w:r>
      <w:r>
        <w:rPr>
          <w:rFonts w:hint="eastAsia" w:ascii="Arial" w:hAnsi="Arial" w:eastAsia="仿宋_GB2312"/>
          <w:color w:val="auto"/>
          <w:sz w:val="28"/>
        </w:rPr>
        <w:t>12.0000＋0＋2.4000</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9%</w:t>
      </w:r>
      <w:r>
        <w:rPr>
          <w:rFonts w:hint="eastAsia" w:ascii="Arial" w:hAnsi="Arial" w:eastAsia="仿宋_GB2312" w:cs="Arial"/>
          <w:color w:val="auto"/>
          <w:sz w:val="28"/>
        </w:rPr>
        <w:t>－</w:t>
      </w:r>
      <w:r>
        <w:rPr>
          <w:rFonts w:ascii="Arial" w:hAnsi="Arial" w:eastAsia="仿宋_GB2312" w:cs="Arial"/>
          <w:color w:val="auto"/>
          <w:sz w:val="28"/>
        </w:rPr>
        <w:t>（</w:t>
      </w:r>
      <w:r>
        <w:rPr>
          <w:rFonts w:hint="eastAsia" w:ascii="Arial" w:hAnsi="Arial" w:eastAsia="仿宋_GB2312"/>
          <w:color w:val="auto"/>
          <w:sz w:val="28"/>
        </w:rPr>
        <w:t>9.6000＋6.0000＋0</w:t>
      </w:r>
      <w:r>
        <w:rPr>
          <w:rFonts w:ascii="Arial" w:hAnsi="Arial" w:eastAsia="仿宋_GB2312" w:cs="Arial"/>
          <w:color w:val="auto"/>
          <w:sz w:val="28"/>
        </w:rPr>
        <w:t>）</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w:t>
      </w:r>
      <w:r>
        <w:rPr>
          <w:rFonts w:ascii="Arial" w:hAnsi="Arial" w:eastAsia="仿宋_GB2312" w:cs="Arial"/>
          <w:color w:val="auto"/>
          <w:sz w:val="28"/>
        </w:rPr>
        <w:t>6%]</w:t>
      </w:r>
      <w:r>
        <w:rPr>
          <w:rFonts w:hint="eastAsia" w:ascii="Arial" w:hAnsi="Arial" w:eastAsia="仿宋_GB2312" w:cs="Arial"/>
          <w:color w:val="auto"/>
          <w:sz w:val="28"/>
        </w:rPr>
        <w:t>×（1＋5%＋3%＋2%）＝14.5822－</w:t>
      </w:r>
      <w:r>
        <w:rPr>
          <w:rFonts w:ascii="Arial" w:hAnsi="Arial" w:eastAsia="仿宋_GB2312" w:cs="Arial"/>
          <w:color w:val="auto"/>
          <w:sz w:val="28"/>
        </w:rPr>
        <w:t>0.0</w:t>
      </w:r>
      <w:r>
        <w:rPr>
          <w:rFonts w:hint="eastAsia" w:ascii="Arial" w:hAnsi="Arial" w:eastAsia="仿宋_GB2312" w:cs="Arial"/>
          <w:color w:val="auto"/>
          <w:sz w:val="28"/>
        </w:rPr>
        <w:t>909</w:t>
      </w:r>
      <w:r>
        <w:rPr>
          <w:rFonts w:ascii="Arial" w:hAnsi="Arial" w:eastAsia="仿宋_GB2312" w:cs="Arial"/>
          <w:color w:val="auto"/>
          <w:sz w:val="28"/>
        </w:rPr>
        <w:t>P</w:t>
      </w:r>
      <w:r>
        <w:rPr>
          <w:rFonts w:hint="eastAsia" w:ascii="Arial" w:hAnsi="Arial" w:eastAsia="仿宋" w:cs="Arial"/>
          <w:bCs/>
          <w:color w:val="auto"/>
          <w:sz w:val="21"/>
          <w:szCs w:val="21"/>
          <w:vertAlign w:val="subscript"/>
        </w:rPr>
        <w:t>土</w:t>
      </w:r>
      <w:r>
        <w:rPr>
          <w:rFonts w:ascii="Arial" w:hAnsi="Arial" w:eastAsia="仿宋_GB2312" w:cs="Arial"/>
          <w:color w:val="auto"/>
          <w:sz w:val="28"/>
        </w:rPr>
        <w:t>（万元）</w:t>
      </w:r>
    </w:p>
    <w:p w14:paraId="14D57960">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g</w:t>
      </w:r>
      <w:r>
        <w:rPr>
          <w:rFonts w:ascii="Arial" w:hAnsi="Arial" w:eastAsia="仿宋_GB2312"/>
          <w:color w:val="auto"/>
          <w:sz w:val="28"/>
        </w:rPr>
        <w:t>.</w:t>
      </w:r>
      <w:r>
        <w:rPr>
          <w:rFonts w:hint="eastAsia" w:ascii="仿宋_GB2312" w:eastAsia="仿宋_GB2312"/>
          <w:color w:val="auto"/>
          <w:sz w:val="28"/>
        </w:rPr>
        <w:t>开发成本</w:t>
      </w:r>
    </w:p>
    <w:p w14:paraId="3B16B86F">
      <w:pPr>
        <w:spacing w:line="300" w:lineRule="auto"/>
        <w:ind w:firstLine="560" w:firstLineChars="200"/>
        <w:jc w:val="both"/>
        <w:rPr>
          <w:rFonts w:ascii="仿宋_GB2312" w:eastAsia="仿宋_GB2312"/>
          <w:color w:val="auto"/>
          <w:sz w:val="28"/>
        </w:rPr>
      </w:pPr>
      <w:r>
        <w:rPr>
          <w:rFonts w:hint="eastAsia" w:ascii="仿宋_GB2312" w:eastAsia="仿宋_GB2312"/>
          <w:color w:val="auto"/>
          <w:sz w:val="28"/>
        </w:rPr>
        <w:t>开发成本为上述</w:t>
      </w:r>
      <w:r>
        <w:rPr>
          <w:rFonts w:hint="eastAsia" w:ascii="Arial" w:hAnsi="Arial" w:eastAsia="仿宋_GB2312"/>
          <w:color w:val="auto"/>
          <w:sz w:val="28"/>
        </w:rPr>
        <w:t>6</w:t>
      </w:r>
      <w:r>
        <w:rPr>
          <w:rFonts w:hint="eastAsia" w:ascii="仿宋_GB2312" w:eastAsia="仿宋_GB2312"/>
          <w:color w:val="auto"/>
          <w:sz w:val="28"/>
        </w:rPr>
        <w:t>项合计，则有：</w:t>
      </w:r>
    </w:p>
    <w:p w14:paraId="6C8C274B">
      <w:pPr>
        <w:spacing w:line="300" w:lineRule="auto"/>
        <w:ind w:firstLine="560" w:firstLineChars="200"/>
        <w:jc w:val="both"/>
        <w:rPr>
          <w:rFonts w:ascii="Arial" w:hAnsi="Arial" w:eastAsia="仿宋_GB2312"/>
          <w:color w:val="auto"/>
          <w:sz w:val="28"/>
        </w:rPr>
      </w:pPr>
      <w:r>
        <w:rPr>
          <w:rFonts w:hint="eastAsia" w:ascii="Arial" w:hAnsi="Arial" w:eastAsia="仿宋_GB2312"/>
          <w:color w:val="auto"/>
          <w:sz w:val="28"/>
        </w:rPr>
        <w:t>开发成本</w:t>
      </w:r>
    </w:p>
    <w:p w14:paraId="50375CC0">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＝购地税费＋房屋建设成本＋管理费用＋销售费用＋投资利息＋销售税费</w:t>
      </w:r>
    </w:p>
    <w:p w14:paraId="3184AD85">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w:t>
      </w:r>
      <w:r>
        <w:rPr>
          <w:rFonts w:hint="eastAsia" w:ascii="Arial" w:hAnsi="Arial" w:eastAsia="仿宋_GB2312"/>
          <w:color w:val="auto"/>
          <w:sz w:val="28"/>
        </w:rPr>
        <w:t>3.05%</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＋150.0000＋4.5000</w:t>
      </w:r>
      <w:r>
        <w:rPr>
          <w:rFonts w:hint="eastAsia" w:ascii="Arial" w:hAnsi="Arial" w:eastAsia="仿宋" w:cs="Arial"/>
          <w:color w:val="auto"/>
          <w:sz w:val="28"/>
        </w:rPr>
        <w:t>＋</w:t>
      </w:r>
      <w:r>
        <w:rPr>
          <w:rFonts w:hint="eastAsia" w:ascii="Arial" w:hAnsi="Arial" w:eastAsia="仿宋_GB2312"/>
          <w:color w:val="auto"/>
          <w:sz w:val="28"/>
        </w:rPr>
        <w:t>0＋7.5927＋0.1038</w:t>
      </w:r>
      <w:r>
        <w:rPr>
          <w:rFonts w:ascii="Arial" w:hAnsi="Arial" w:eastAsia="仿宋_GB2312"/>
          <w:color w:val="auto"/>
          <w:sz w:val="28"/>
        </w:rPr>
        <w:t>P</w:t>
      </w:r>
      <w:r>
        <w:rPr>
          <w:rFonts w:hint="eastAsia" w:ascii="Arial" w:hAnsi="Arial" w:eastAsia="仿宋_GB2312"/>
          <w:color w:val="auto"/>
          <w:sz w:val="28"/>
          <w:vertAlign w:val="subscript"/>
        </w:rPr>
        <w:t>土</w:t>
      </w:r>
      <w:r>
        <w:rPr>
          <w:rFonts w:hint="eastAsia" w:ascii="Arial" w:hAnsi="Arial" w:eastAsia="仿宋_GB2312"/>
          <w:color w:val="auto"/>
          <w:sz w:val="28"/>
        </w:rPr>
        <w:t>＋</w:t>
      </w:r>
      <w:r>
        <w:rPr>
          <w:rFonts w:hint="eastAsia" w:ascii="Arial" w:hAnsi="Arial" w:eastAsia="仿宋_GB2312" w:cs="Arial"/>
          <w:color w:val="auto"/>
          <w:sz w:val="28"/>
        </w:rPr>
        <w:t>14.5822</w:t>
      </w:r>
    </w:p>
    <w:p w14:paraId="09EC9265">
      <w:pPr>
        <w:spacing w:line="300" w:lineRule="auto"/>
        <w:jc w:val="both"/>
        <w:rPr>
          <w:rFonts w:ascii="Arial" w:hAnsi="Arial" w:eastAsia="仿宋_GB2312" w:cs="Arial"/>
          <w:color w:val="auto"/>
          <w:sz w:val="28"/>
        </w:rPr>
      </w:pPr>
      <w:r>
        <w:rPr>
          <w:rFonts w:hint="eastAsia" w:ascii="Arial" w:hAnsi="Arial" w:eastAsia="仿宋_GB2312" w:cs="Arial"/>
          <w:color w:val="auto"/>
          <w:sz w:val="28"/>
        </w:rPr>
        <w:t>－</w:t>
      </w:r>
      <w:r>
        <w:rPr>
          <w:rFonts w:ascii="Arial" w:hAnsi="Arial" w:eastAsia="仿宋_GB2312" w:cs="Arial"/>
          <w:color w:val="auto"/>
          <w:sz w:val="28"/>
        </w:rPr>
        <w:t>0.0</w:t>
      </w:r>
      <w:r>
        <w:rPr>
          <w:rFonts w:hint="eastAsia" w:ascii="Arial" w:hAnsi="Arial" w:eastAsia="仿宋_GB2312" w:cs="Arial"/>
          <w:color w:val="auto"/>
          <w:sz w:val="28"/>
        </w:rPr>
        <w:t>909</w:t>
      </w:r>
      <w:r>
        <w:rPr>
          <w:rFonts w:ascii="Arial" w:hAnsi="Arial" w:eastAsia="仿宋_GB2312" w:cs="Arial"/>
          <w:color w:val="auto"/>
          <w:sz w:val="28"/>
        </w:rPr>
        <w:t>P</w:t>
      </w:r>
    </w:p>
    <w:p w14:paraId="54C196C7">
      <w:pPr>
        <w:spacing w:line="300" w:lineRule="auto"/>
        <w:ind w:firstLine="560" w:firstLineChars="200"/>
        <w:jc w:val="both"/>
        <w:rPr>
          <w:rFonts w:ascii="仿宋_GB2312" w:eastAsia="仿宋_GB2312"/>
          <w:color w:val="auto"/>
          <w:sz w:val="28"/>
        </w:rPr>
      </w:pPr>
      <w:r>
        <w:rPr>
          <w:rFonts w:hint="eastAsia" w:ascii="Arial" w:hAnsi="Arial" w:eastAsia="仿宋_GB2312" w:cs="Arial"/>
          <w:color w:val="auto"/>
          <w:sz w:val="28"/>
        </w:rPr>
        <w:t>＝</w:t>
      </w:r>
      <w:r>
        <w:rPr>
          <w:rFonts w:hint="eastAsia" w:ascii="Arial" w:hAnsi="Arial" w:eastAsia="仿宋_GB2312"/>
          <w:color w:val="auto"/>
          <w:sz w:val="28"/>
        </w:rPr>
        <w:t>176.6749＋0.0434</w:t>
      </w:r>
      <w:r>
        <w:rPr>
          <w:rFonts w:ascii="Arial" w:hAnsi="Arial" w:eastAsia="仿宋_GB2312"/>
          <w:color w:val="auto"/>
          <w:sz w:val="28"/>
        </w:rPr>
        <w:t xml:space="preserve"> P</w:t>
      </w:r>
      <w:r>
        <w:rPr>
          <w:rFonts w:hint="eastAsia" w:ascii="仿宋_GB2312" w:eastAsia="仿宋_GB2312"/>
          <w:color w:val="auto"/>
          <w:sz w:val="28"/>
          <w:vertAlign w:val="subscript"/>
        </w:rPr>
        <w:t>土</w:t>
      </w:r>
      <w:r>
        <w:rPr>
          <w:rFonts w:hint="eastAsia" w:ascii="Arial" w:hAnsi="Arial" w:eastAsia="仿宋_GB2312"/>
          <w:color w:val="auto"/>
          <w:sz w:val="28"/>
        </w:rPr>
        <w:t>（</w:t>
      </w:r>
      <w:r>
        <w:rPr>
          <w:rFonts w:hint="eastAsia" w:ascii="仿宋_GB2312" w:eastAsia="仿宋_GB2312"/>
          <w:color w:val="auto"/>
          <w:sz w:val="28"/>
        </w:rPr>
        <w:t>万元）</w:t>
      </w:r>
    </w:p>
    <w:p w14:paraId="4C41D58C">
      <w:pPr>
        <w:spacing w:line="300" w:lineRule="auto"/>
        <w:ind w:firstLine="560" w:firstLineChars="200"/>
        <w:jc w:val="both"/>
        <w:rPr>
          <w:rFonts w:ascii="仿宋_GB2312" w:eastAsia="仿宋_GB2312"/>
          <w:color w:val="auto"/>
          <w:sz w:val="28"/>
        </w:rPr>
      </w:pPr>
      <w:r>
        <w:rPr>
          <w:rFonts w:hint="eastAsia" w:ascii="Arial" w:hAnsi="Arial" w:eastAsia="仿宋_GB2312"/>
          <w:color w:val="auto"/>
          <w:sz w:val="28"/>
        </w:rPr>
        <w:t>D</w:t>
      </w:r>
      <w:r>
        <w:rPr>
          <w:rFonts w:ascii="Arial" w:hAnsi="Arial" w:eastAsia="仿宋_GB2312"/>
          <w:color w:val="auto"/>
          <w:sz w:val="28"/>
        </w:rPr>
        <w:t>.</w:t>
      </w:r>
      <w:r>
        <w:rPr>
          <w:rFonts w:hint="eastAsia" w:ascii="仿宋_GB2312" w:eastAsia="仿宋_GB2312"/>
          <w:color w:val="auto"/>
          <w:sz w:val="28"/>
        </w:rPr>
        <w:t>开发利润（投资利润）</w:t>
      </w:r>
    </w:p>
    <w:p w14:paraId="26F2F1A0">
      <w:pPr>
        <w:spacing w:line="300" w:lineRule="auto"/>
        <w:ind w:firstLine="560" w:firstLineChars="200"/>
        <w:jc w:val="both"/>
        <w:rPr>
          <w:rFonts w:ascii="Arial" w:hAnsi="Arial" w:eastAsia="仿宋_GB2312" w:cs="Arial"/>
          <w:color w:val="auto"/>
          <w:sz w:val="28"/>
        </w:rPr>
      </w:pPr>
      <w:r>
        <w:rPr>
          <w:rFonts w:hint="eastAsia" w:ascii="仿宋_GB2312" w:hAnsi="Arial" w:eastAsia="仿宋_GB2312"/>
          <w:color w:val="auto"/>
          <w:sz w:val="28"/>
        </w:rPr>
        <w:t>开发利润是指房地产开发商投资房地产开发项目应取得的资金报酬及承担</w:t>
      </w:r>
      <w:r>
        <w:rPr>
          <w:rFonts w:hint="eastAsia" w:ascii="Arial" w:hAnsi="Arial" w:eastAsia="仿宋_GB2312" w:cs="Arial"/>
          <w:color w:val="auto"/>
          <w:sz w:val="28"/>
        </w:rPr>
        <w:t xml:space="preserve">风险补偿。一般以土地或不动产总价值或全部预付资本的一定比例计算，利润率宜采用同一市场上类似土地或不动产开发项目的平均利润率。本次评估采用投资利润率，以全部预付资本的一定比例计算。 </w:t>
      </w:r>
    </w:p>
    <w:p w14:paraId="64D0C4D5">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根据《北京市国有建设用地使用权出让地价评估技术导则》（2026年2月10日实施），剩余法房地产开发投资利润率，参考区间值公共服务用途为10%－20%。估价对象位于北京市顺义区，结合估价对象容积率等自身条件，本次取其他商业服务用地开发商投资利润率为10%。</w:t>
      </w:r>
      <w:r>
        <w:rPr>
          <w:rFonts w:hint="eastAsia" w:ascii="仿宋_GB2312" w:eastAsia="仿宋_GB2312"/>
          <w:color w:val="auto"/>
          <w:sz w:val="28"/>
        </w:rPr>
        <w:t>则有：</w:t>
      </w:r>
    </w:p>
    <w:p w14:paraId="42FE4662">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投资利润</w:t>
      </w:r>
    </w:p>
    <w:p w14:paraId="60E36396">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＝（估价对象土地价格＋购地税费＋房屋建设成本＋管理费用＋销售费用）×投资利润率</w:t>
      </w:r>
    </w:p>
    <w:p w14:paraId="35B73BF0">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rPr>
        <w:t>＝（</w:t>
      </w:r>
      <w:r>
        <w:rPr>
          <w:rFonts w:hint="eastAsia" w:ascii="仿宋_GB2312" w:eastAsia="仿宋_GB2312"/>
          <w:color w:val="auto"/>
          <w:sz w:val="28"/>
        </w:rPr>
        <w:t xml:space="preserve"> </w:t>
      </w:r>
      <w:r>
        <w:rPr>
          <w:rFonts w:ascii="Arial" w:hAnsi="Arial" w:eastAsia="仿宋_GB2312"/>
          <w:color w:val="auto"/>
          <w:sz w:val="28"/>
        </w:rPr>
        <w:t>P</w:t>
      </w:r>
      <w:r>
        <w:rPr>
          <w:rFonts w:hint="eastAsia" w:ascii="仿宋_GB2312" w:eastAsia="仿宋_GB2312"/>
          <w:color w:val="auto"/>
          <w:sz w:val="28"/>
          <w:vertAlign w:val="subscript"/>
        </w:rPr>
        <w:t>土</w:t>
      </w:r>
      <w:r>
        <w:rPr>
          <w:rFonts w:hint="eastAsia" w:ascii="Arial" w:hAnsi="Arial" w:eastAsia="仿宋_GB2312" w:cs="Arial"/>
          <w:color w:val="auto"/>
          <w:sz w:val="28"/>
        </w:rPr>
        <w:t>＋3.05%</w:t>
      </w:r>
      <w:r>
        <w:rPr>
          <w:rFonts w:hint="eastAsia" w:ascii="仿宋_GB2312" w:eastAsia="仿宋_GB2312"/>
          <w:color w:val="auto"/>
          <w:sz w:val="28"/>
        </w:rPr>
        <w:t xml:space="preserve"> </w:t>
      </w:r>
      <w:r>
        <w:rPr>
          <w:rFonts w:ascii="Arial" w:hAnsi="Arial" w:eastAsia="仿宋_GB2312"/>
          <w:color w:val="auto"/>
          <w:sz w:val="28"/>
        </w:rPr>
        <w:t>P</w:t>
      </w:r>
      <w:r>
        <w:rPr>
          <w:rFonts w:hint="eastAsia" w:ascii="仿宋_GB2312" w:eastAsia="仿宋_GB2312"/>
          <w:color w:val="auto"/>
          <w:sz w:val="28"/>
          <w:vertAlign w:val="subscript"/>
        </w:rPr>
        <w:t>土</w:t>
      </w:r>
      <w:r>
        <w:rPr>
          <w:rFonts w:hint="eastAsia" w:ascii="Arial" w:hAnsi="Arial" w:eastAsia="仿宋_GB2312" w:cs="Arial"/>
          <w:color w:val="auto"/>
          <w:sz w:val="28"/>
        </w:rPr>
        <w:t>＋</w:t>
      </w:r>
      <w:r>
        <w:rPr>
          <w:rFonts w:hint="eastAsia" w:ascii="Arial" w:hAnsi="Arial" w:eastAsia="仿宋_GB2312"/>
          <w:color w:val="auto"/>
          <w:sz w:val="28"/>
        </w:rPr>
        <w:t>150.0000</w:t>
      </w:r>
      <w:r>
        <w:rPr>
          <w:rFonts w:hint="eastAsia" w:ascii="Arial" w:hAnsi="Arial" w:eastAsia="仿宋_GB2312" w:cs="Arial"/>
          <w:color w:val="auto"/>
          <w:sz w:val="28"/>
        </w:rPr>
        <w:t>＋</w:t>
      </w:r>
      <w:r>
        <w:rPr>
          <w:rFonts w:hint="eastAsia" w:ascii="Arial" w:hAnsi="Arial" w:eastAsia="仿宋_GB2312"/>
          <w:color w:val="auto"/>
          <w:sz w:val="28"/>
        </w:rPr>
        <w:t>4.5000</w:t>
      </w:r>
      <w:r>
        <w:rPr>
          <w:rFonts w:hint="eastAsia" w:ascii="Arial" w:hAnsi="Arial" w:eastAsia="仿宋_GB2312" w:cs="Arial"/>
          <w:color w:val="auto"/>
          <w:sz w:val="28"/>
        </w:rPr>
        <w:t>＋</w:t>
      </w:r>
      <w:r>
        <w:rPr>
          <w:rFonts w:hint="eastAsia" w:ascii="Arial" w:hAnsi="Arial" w:eastAsia="仿宋_GB2312"/>
          <w:color w:val="auto"/>
          <w:sz w:val="28"/>
        </w:rPr>
        <w:t>7.5927</w:t>
      </w:r>
      <w:r>
        <w:rPr>
          <w:rFonts w:hint="eastAsia" w:ascii="Arial" w:hAnsi="Arial" w:eastAsia="仿宋_GB2312" w:cs="Arial"/>
          <w:color w:val="auto"/>
          <w:sz w:val="28"/>
        </w:rPr>
        <w:t>）×10%</w:t>
      </w:r>
    </w:p>
    <w:p w14:paraId="73A52A38">
      <w:pPr>
        <w:spacing w:line="300" w:lineRule="auto"/>
        <w:ind w:firstLine="560" w:firstLineChars="200"/>
        <w:jc w:val="both"/>
        <w:rPr>
          <w:rFonts w:ascii="Arial" w:hAnsi="Arial" w:eastAsia="仿宋" w:cs="Arial"/>
          <w:color w:val="auto"/>
          <w:sz w:val="28"/>
          <w:szCs w:val="28"/>
        </w:rPr>
      </w:pPr>
      <w:r>
        <w:rPr>
          <w:rFonts w:hint="eastAsia" w:ascii="Arial" w:hAnsi="Arial" w:eastAsia="仿宋_GB2312" w:cs="Arial"/>
          <w:color w:val="auto"/>
          <w:sz w:val="28"/>
        </w:rPr>
        <w:t>＝</w:t>
      </w:r>
      <w:r>
        <w:rPr>
          <w:rFonts w:hint="eastAsia" w:ascii="Arial" w:hAnsi="Arial" w:eastAsia="仿宋_GB2312"/>
          <w:color w:val="auto"/>
          <w:sz w:val="28"/>
        </w:rPr>
        <w:t>15.4500</w:t>
      </w:r>
      <w:r>
        <w:rPr>
          <w:rFonts w:hint="eastAsia" w:ascii="Arial" w:hAnsi="Arial" w:eastAsia="仿宋" w:cs="Arial"/>
          <w:color w:val="auto"/>
          <w:sz w:val="28"/>
        </w:rPr>
        <w:t>＋</w:t>
      </w:r>
      <w:r>
        <w:rPr>
          <w:rFonts w:ascii="Arial" w:hAnsi="Arial" w:eastAsia="仿宋" w:cs="Arial"/>
          <w:color w:val="auto"/>
          <w:sz w:val="28"/>
        </w:rPr>
        <w:t>0.</w:t>
      </w:r>
      <w:r>
        <w:rPr>
          <w:rFonts w:hint="eastAsia" w:ascii="Arial" w:hAnsi="Arial" w:eastAsia="仿宋" w:cs="Arial"/>
          <w:color w:val="auto"/>
          <w:sz w:val="28"/>
        </w:rPr>
        <w:t>1031P</w:t>
      </w:r>
      <w:r>
        <w:rPr>
          <w:rFonts w:hint="eastAsia" w:ascii="Arial" w:hAnsi="Arial" w:eastAsia="仿宋" w:cs="Arial"/>
          <w:color w:val="auto"/>
          <w:sz w:val="28"/>
          <w:vertAlign w:val="subscript"/>
        </w:rPr>
        <w:t>土</w:t>
      </w:r>
      <w:r>
        <w:rPr>
          <w:rFonts w:hint="eastAsia" w:ascii="仿宋_GB2312" w:eastAsia="仿宋_GB2312"/>
          <w:color w:val="auto"/>
          <w:sz w:val="28"/>
        </w:rPr>
        <w:t>（万元）</w:t>
      </w:r>
    </w:p>
    <w:p w14:paraId="0F464FE9">
      <w:pPr>
        <w:spacing w:before="50" w:after="50"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E.</w:t>
      </w:r>
      <w:r>
        <w:rPr>
          <w:rFonts w:ascii="Arial" w:hAnsi="Arial" w:eastAsia="仿宋" w:cs="Arial"/>
          <w:color w:val="auto"/>
          <w:sz w:val="28"/>
          <w:szCs w:val="28"/>
        </w:rPr>
        <w:t>求取估价对象</w:t>
      </w:r>
      <w:r>
        <w:rPr>
          <w:rFonts w:ascii="Arial" w:hAnsi="Arial" w:eastAsia="仿宋" w:cs="Arial"/>
          <w:color w:val="auto"/>
          <w:sz w:val="28"/>
          <w:szCs w:val="28"/>
          <w:lang w:eastAsia="zh-Hans"/>
        </w:rPr>
        <w:t>公共服务</w:t>
      </w:r>
      <w:r>
        <w:rPr>
          <w:rFonts w:ascii="Arial" w:hAnsi="Arial" w:eastAsia="仿宋" w:cs="Arial"/>
          <w:color w:val="auto"/>
          <w:sz w:val="28"/>
          <w:szCs w:val="28"/>
        </w:rPr>
        <w:t>用途土地价格</w:t>
      </w:r>
    </w:p>
    <w:p w14:paraId="015C383F">
      <w:pPr>
        <w:spacing w:before="50" w:after="50" w:line="300" w:lineRule="auto"/>
        <w:ind w:firstLine="600" w:firstLineChars="200"/>
        <w:rPr>
          <w:rFonts w:ascii="Arial" w:hAnsi="Arial" w:eastAsia="仿宋" w:cs="Arial"/>
          <w:color w:val="auto"/>
          <w:spacing w:val="10"/>
          <w:sz w:val="28"/>
          <w:szCs w:val="28"/>
        </w:rPr>
      </w:pPr>
      <w:r>
        <w:rPr>
          <w:rFonts w:ascii="Arial" w:hAnsi="Arial" w:eastAsia="仿宋" w:cs="Arial"/>
          <w:color w:val="auto"/>
          <w:spacing w:val="10"/>
          <w:sz w:val="28"/>
          <w:szCs w:val="28"/>
        </w:rPr>
        <w:t>土地价格（</w:t>
      </w:r>
      <w:r>
        <w:rPr>
          <w:rFonts w:ascii="Arial" w:hAnsi="Arial" w:eastAsia="仿宋" w:cs="Arial"/>
          <w:color w:val="auto"/>
          <w:sz w:val="28"/>
          <w:szCs w:val="28"/>
        </w:rPr>
        <w:t>P</w:t>
      </w:r>
      <w:r>
        <w:rPr>
          <w:rFonts w:ascii="Arial" w:hAnsi="Arial" w:eastAsia="仿宋" w:cs="Arial"/>
          <w:color w:val="auto"/>
          <w:sz w:val="28"/>
          <w:szCs w:val="28"/>
          <w:vertAlign w:val="subscript"/>
        </w:rPr>
        <w:t>土</w:t>
      </w:r>
      <w:r>
        <w:rPr>
          <w:rFonts w:ascii="Arial" w:hAnsi="Arial" w:eastAsia="仿宋" w:cs="Arial"/>
          <w:color w:val="auto"/>
          <w:spacing w:val="10"/>
          <w:sz w:val="28"/>
          <w:szCs w:val="28"/>
        </w:rPr>
        <w:t>）</w:t>
      </w:r>
    </w:p>
    <w:p w14:paraId="1F767C3B">
      <w:pPr>
        <w:spacing w:before="50" w:after="50"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w:t>
      </w:r>
      <w:r>
        <w:rPr>
          <w:rFonts w:ascii="Arial" w:hAnsi="Arial" w:eastAsia="仿宋" w:cs="Arial"/>
          <w:color w:val="auto"/>
          <w:sz w:val="28"/>
          <w:szCs w:val="28"/>
        </w:rPr>
        <w:t>开发完成后的不动产总价</w:t>
      </w:r>
      <w:r>
        <w:rPr>
          <w:rFonts w:hint="eastAsia" w:ascii="Arial" w:hAnsi="Arial" w:eastAsia="仿宋" w:cs="Arial"/>
          <w:color w:val="auto"/>
          <w:sz w:val="28"/>
          <w:szCs w:val="28"/>
        </w:rPr>
        <w:t>－</w:t>
      </w:r>
      <w:r>
        <w:rPr>
          <w:rFonts w:ascii="Arial" w:hAnsi="Arial" w:eastAsia="仿宋" w:cs="Arial"/>
          <w:color w:val="auto"/>
          <w:sz w:val="28"/>
          <w:szCs w:val="28"/>
        </w:rPr>
        <w:t>开发成本</w:t>
      </w:r>
      <w:r>
        <w:rPr>
          <w:rFonts w:hint="eastAsia" w:ascii="Arial" w:hAnsi="Arial" w:eastAsia="仿宋" w:cs="Arial"/>
          <w:color w:val="auto"/>
          <w:sz w:val="28"/>
          <w:szCs w:val="28"/>
        </w:rPr>
        <w:t>－</w:t>
      </w:r>
      <w:r>
        <w:rPr>
          <w:rFonts w:ascii="Arial" w:hAnsi="Arial" w:eastAsia="仿宋" w:cs="Arial"/>
          <w:color w:val="auto"/>
          <w:sz w:val="28"/>
          <w:szCs w:val="28"/>
        </w:rPr>
        <w:t>开发利润</w:t>
      </w:r>
    </w:p>
    <w:p w14:paraId="0AE8906B">
      <w:pPr>
        <w:spacing w:before="50" w:after="50"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＝305.6472－（176.6749＋</w:t>
      </w:r>
      <w:r>
        <w:rPr>
          <w:rFonts w:ascii="Arial" w:hAnsi="Arial" w:eastAsia="仿宋" w:cs="Arial"/>
          <w:color w:val="auto"/>
          <w:sz w:val="28"/>
          <w:szCs w:val="28"/>
        </w:rPr>
        <w:t>0.</w:t>
      </w:r>
      <w:r>
        <w:rPr>
          <w:rFonts w:hint="eastAsia" w:ascii="Arial" w:hAnsi="Arial" w:eastAsia="仿宋" w:cs="Arial"/>
          <w:color w:val="auto"/>
          <w:sz w:val="28"/>
          <w:szCs w:val="28"/>
        </w:rPr>
        <w:t>0434×</w:t>
      </w:r>
      <w:r>
        <w:rPr>
          <w:rFonts w:ascii="Arial" w:hAnsi="Arial" w:eastAsia="仿宋" w:cs="Arial"/>
          <w:color w:val="auto"/>
          <w:sz w:val="28"/>
          <w:szCs w:val="28"/>
        </w:rPr>
        <w:t>P</w:t>
      </w:r>
      <w:r>
        <w:rPr>
          <w:rFonts w:ascii="Arial" w:hAnsi="Arial" w:eastAsia="仿宋" w:cs="Arial"/>
          <w:color w:val="auto"/>
          <w:sz w:val="28"/>
          <w:szCs w:val="28"/>
          <w:vertAlign w:val="subscript"/>
        </w:rPr>
        <w:t>土</w:t>
      </w:r>
      <w:r>
        <w:rPr>
          <w:rFonts w:hint="eastAsia" w:ascii="Arial" w:hAnsi="Arial" w:eastAsia="仿宋" w:cs="Arial"/>
          <w:color w:val="auto"/>
          <w:sz w:val="28"/>
          <w:szCs w:val="28"/>
        </w:rPr>
        <w:t>）－（</w:t>
      </w:r>
      <w:r>
        <w:rPr>
          <w:color w:val="auto"/>
        </w:rPr>
        <w:t xml:space="preserve"> </w:t>
      </w:r>
      <w:r>
        <w:rPr>
          <w:rFonts w:hint="eastAsia" w:ascii="Arial" w:hAnsi="Arial" w:eastAsia="仿宋" w:cs="Arial"/>
          <w:color w:val="auto"/>
          <w:sz w:val="28"/>
          <w:szCs w:val="28"/>
        </w:rPr>
        <w:t>15.4500＋</w:t>
      </w:r>
      <w:r>
        <w:rPr>
          <w:rFonts w:ascii="Arial" w:hAnsi="Arial" w:eastAsia="仿宋" w:cs="Arial"/>
          <w:color w:val="auto"/>
          <w:sz w:val="28"/>
          <w:szCs w:val="28"/>
        </w:rPr>
        <w:t>0.1031</w:t>
      </w:r>
      <w:r>
        <w:rPr>
          <w:rFonts w:hint="eastAsia" w:ascii="Arial" w:hAnsi="Arial" w:eastAsia="仿宋" w:cs="Arial"/>
          <w:color w:val="auto"/>
          <w:sz w:val="28"/>
          <w:szCs w:val="28"/>
        </w:rPr>
        <w:t>×</w:t>
      </w:r>
      <w:r>
        <w:rPr>
          <w:rFonts w:ascii="Arial" w:hAnsi="Arial" w:eastAsia="仿宋" w:cs="Arial"/>
          <w:color w:val="auto"/>
          <w:sz w:val="28"/>
          <w:szCs w:val="28"/>
        </w:rPr>
        <w:t>P</w:t>
      </w:r>
      <w:r>
        <w:rPr>
          <w:rFonts w:ascii="Arial" w:hAnsi="Arial" w:eastAsia="仿宋" w:cs="Arial"/>
          <w:color w:val="auto"/>
          <w:sz w:val="28"/>
          <w:szCs w:val="28"/>
          <w:vertAlign w:val="subscript"/>
        </w:rPr>
        <w:t>土</w:t>
      </w:r>
      <w:r>
        <w:rPr>
          <w:rFonts w:hint="eastAsia" w:ascii="Arial" w:hAnsi="Arial" w:eastAsia="仿宋" w:cs="Arial"/>
          <w:color w:val="auto"/>
          <w:sz w:val="28"/>
          <w:szCs w:val="28"/>
        </w:rPr>
        <w:t>）</w:t>
      </w:r>
    </w:p>
    <w:p w14:paraId="7150FBF8">
      <w:pPr>
        <w:spacing w:before="50" w:after="50" w:line="300" w:lineRule="auto"/>
        <w:ind w:firstLine="560" w:firstLineChars="200"/>
        <w:rPr>
          <w:rFonts w:ascii="Arial" w:hAnsi="Arial" w:eastAsia="仿宋" w:cs="Arial"/>
          <w:color w:val="auto"/>
          <w:sz w:val="28"/>
          <w:szCs w:val="28"/>
        </w:rPr>
      </w:pPr>
      <w:r>
        <w:rPr>
          <w:rFonts w:hint="eastAsia" w:ascii="Arial" w:hAnsi="Arial" w:eastAsia="仿宋" w:cs="Arial"/>
          <w:color w:val="auto"/>
          <w:sz w:val="28"/>
          <w:szCs w:val="28"/>
        </w:rPr>
        <w:t>＝99.0164</w:t>
      </w:r>
      <w:r>
        <w:rPr>
          <w:rFonts w:ascii="Arial" w:hAnsi="Arial" w:eastAsia="仿宋" w:cs="Arial"/>
          <w:color w:val="auto"/>
          <w:sz w:val="28"/>
          <w:szCs w:val="28"/>
        </w:rPr>
        <w:t>（万元）</w:t>
      </w:r>
    </w:p>
    <w:p w14:paraId="5DE9E165">
      <w:pPr>
        <w:spacing w:before="50" w:after="50" w:line="300" w:lineRule="auto"/>
        <w:ind w:firstLine="560" w:firstLineChars="200"/>
        <w:rPr>
          <w:rFonts w:ascii="Arial" w:hAnsi="Arial" w:eastAsia="仿宋" w:cs="Arial"/>
          <w:color w:val="auto"/>
          <w:spacing w:val="10"/>
          <w:sz w:val="28"/>
          <w:szCs w:val="28"/>
        </w:rPr>
      </w:pPr>
      <w:r>
        <w:rPr>
          <w:rFonts w:ascii="Arial" w:hAnsi="Arial" w:eastAsia="仿宋" w:cs="Arial"/>
          <w:color w:val="auto"/>
          <w:sz w:val="28"/>
          <w:szCs w:val="28"/>
          <w:lang w:eastAsia="zh-Hans"/>
        </w:rPr>
        <w:t>公共服务</w:t>
      </w:r>
      <w:r>
        <w:rPr>
          <w:rFonts w:ascii="Arial" w:hAnsi="Arial" w:eastAsia="仿宋" w:cs="Arial"/>
          <w:color w:val="auto"/>
          <w:sz w:val="28"/>
          <w:szCs w:val="28"/>
        </w:rPr>
        <w:t>用房</w:t>
      </w:r>
      <w:r>
        <w:rPr>
          <w:rFonts w:hint="eastAsia" w:ascii="Arial" w:hAnsi="Arial" w:eastAsia="仿宋" w:cs="Arial"/>
          <w:color w:val="auto"/>
          <w:sz w:val="28"/>
          <w:szCs w:val="28"/>
        </w:rPr>
        <w:t>楼面地价＝</w:t>
      </w:r>
      <w:r>
        <w:rPr>
          <w:rFonts w:ascii="Arial" w:hAnsi="Arial" w:eastAsia="仿宋" w:cs="Arial"/>
          <w:color w:val="auto"/>
          <w:spacing w:val="10"/>
          <w:sz w:val="28"/>
          <w:szCs w:val="28"/>
        </w:rPr>
        <w:t>土地价格</w:t>
      </w:r>
      <w:r>
        <w:rPr>
          <w:rFonts w:hint="eastAsia" w:ascii="Arial" w:hAnsi="Arial" w:eastAsia="仿宋" w:cs="Arial"/>
          <w:color w:val="auto"/>
          <w:spacing w:val="10"/>
          <w:sz w:val="28"/>
          <w:szCs w:val="28"/>
        </w:rPr>
        <w:t>÷</w:t>
      </w:r>
      <w:r>
        <w:rPr>
          <w:rFonts w:ascii="Arial" w:hAnsi="Arial" w:eastAsia="仿宋" w:cs="Arial"/>
          <w:color w:val="auto"/>
          <w:spacing w:val="10"/>
          <w:sz w:val="28"/>
          <w:szCs w:val="28"/>
        </w:rPr>
        <w:t>建筑规模</w:t>
      </w:r>
      <w:r>
        <w:rPr>
          <w:rFonts w:hint="eastAsia" w:ascii="Arial" w:hAnsi="Arial" w:eastAsia="仿宋" w:cs="Arial"/>
          <w:color w:val="auto"/>
          <w:spacing w:val="10"/>
          <w:sz w:val="28"/>
          <w:szCs w:val="28"/>
        </w:rPr>
        <w:t>×</w:t>
      </w:r>
      <w:r>
        <w:rPr>
          <w:rFonts w:ascii="Arial" w:hAnsi="Arial" w:eastAsia="仿宋" w:cs="Arial"/>
          <w:color w:val="auto"/>
          <w:spacing w:val="10"/>
          <w:sz w:val="28"/>
          <w:szCs w:val="28"/>
        </w:rPr>
        <w:t>10000</w:t>
      </w:r>
    </w:p>
    <w:p w14:paraId="2E00F0D0">
      <w:pPr>
        <w:spacing w:before="50" w:after="50" w:line="300" w:lineRule="auto"/>
        <w:ind w:firstLine="3360" w:firstLineChars="1200"/>
        <w:rPr>
          <w:rFonts w:ascii="Arial" w:hAnsi="Arial" w:eastAsia="仿宋" w:cs="Arial"/>
          <w:color w:val="auto"/>
          <w:spacing w:val="10"/>
          <w:sz w:val="28"/>
          <w:szCs w:val="28"/>
        </w:rPr>
      </w:pPr>
      <w:r>
        <w:rPr>
          <w:rFonts w:hint="eastAsia" w:ascii="Arial" w:hAnsi="Arial" w:eastAsia="仿宋" w:cs="Arial"/>
          <w:color w:val="auto"/>
          <w:sz w:val="28"/>
          <w:szCs w:val="28"/>
        </w:rPr>
        <w:t>＝99.0164÷</w:t>
      </w:r>
      <w:r>
        <w:rPr>
          <w:rFonts w:hint="eastAsia" w:ascii="Arial" w:hAnsi="Arial" w:eastAsia="仿宋" w:cs="Arial"/>
          <w:color w:val="auto"/>
          <w:spacing w:val="10"/>
          <w:sz w:val="28"/>
          <w:szCs w:val="28"/>
        </w:rPr>
        <w:t>300×</w:t>
      </w:r>
      <w:r>
        <w:rPr>
          <w:rFonts w:ascii="Arial" w:hAnsi="Arial" w:eastAsia="仿宋" w:cs="Arial"/>
          <w:color w:val="auto"/>
          <w:spacing w:val="10"/>
          <w:sz w:val="28"/>
          <w:szCs w:val="28"/>
        </w:rPr>
        <w:t>10000</w:t>
      </w:r>
    </w:p>
    <w:p w14:paraId="068E15BA">
      <w:pPr>
        <w:spacing w:before="50" w:after="50" w:line="300" w:lineRule="auto"/>
        <w:ind w:firstLine="3360" w:firstLineChars="1200"/>
        <w:rPr>
          <w:rFonts w:ascii="Arial" w:hAnsi="Arial" w:eastAsia="仿宋" w:cs="Arial"/>
          <w:color w:val="auto"/>
          <w:sz w:val="28"/>
          <w:szCs w:val="28"/>
        </w:rPr>
      </w:pPr>
      <w:r>
        <w:rPr>
          <w:rFonts w:hint="eastAsia" w:ascii="Arial" w:hAnsi="Arial" w:eastAsia="仿宋" w:cs="Arial"/>
          <w:color w:val="auto"/>
          <w:sz w:val="28"/>
          <w:szCs w:val="28"/>
        </w:rPr>
        <w:t>＝3301</w:t>
      </w:r>
      <w:r>
        <w:rPr>
          <w:rFonts w:ascii="Arial" w:hAnsi="Arial" w:eastAsia="仿宋" w:cs="Arial"/>
          <w:color w:val="auto"/>
          <w:sz w:val="28"/>
          <w:szCs w:val="28"/>
        </w:rPr>
        <w:t>（元/平方米）</w:t>
      </w:r>
    </w:p>
    <w:p w14:paraId="263775DC">
      <w:pPr>
        <w:spacing w:before="50" w:after="50" w:line="300" w:lineRule="auto"/>
        <w:ind w:firstLine="560" w:firstLineChars="200"/>
        <w:jc w:val="center"/>
        <w:rPr>
          <w:rFonts w:ascii="Arial" w:hAnsi="Arial" w:eastAsia="仿宋" w:cs="Arial"/>
          <w:color w:val="auto"/>
          <w:sz w:val="28"/>
          <w:szCs w:val="28"/>
        </w:rPr>
      </w:pPr>
      <w:r>
        <w:rPr>
          <w:rFonts w:ascii="Arial" w:hAnsi="Arial" w:eastAsia="仿宋" w:cs="Arial"/>
          <w:color w:val="auto"/>
          <w:sz w:val="28"/>
          <w:szCs w:val="28"/>
        </w:rPr>
        <w:t>剩余法测算表（</w:t>
      </w:r>
      <w:r>
        <w:rPr>
          <w:rFonts w:hint="eastAsia" w:ascii="Arial" w:hAnsi="Arial" w:eastAsia="仿宋" w:cs="Arial"/>
          <w:color w:val="auto"/>
          <w:sz w:val="28"/>
          <w:szCs w:val="28"/>
        </w:rPr>
        <w:t>公共管理与</w:t>
      </w:r>
      <w:r>
        <w:rPr>
          <w:rFonts w:ascii="Arial" w:hAnsi="Arial" w:eastAsia="仿宋" w:cs="Arial"/>
          <w:color w:val="auto"/>
          <w:sz w:val="28"/>
          <w:szCs w:val="28"/>
        </w:rPr>
        <w:t>公共服务）</w:t>
      </w:r>
    </w:p>
    <w:tbl>
      <w:tblPr>
        <w:tblStyle w:val="34"/>
        <w:tblW w:w="4997"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612"/>
        <w:gridCol w:w="2498"/>
        <w:gridCol w:w="1888"/>
        <w:gridCol w:w="1461"/>
        <w:gridCol w:w="2945"/>
      </w:tblGrid>
      <w:tr w14:paraId="301EF22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blHeader/>
          <w:jc w:val="center"/>
        </w:trPr>
        <w:tc>
          <w:tcPr>
            <w:tcW w:w="325" w:type="pct"/>
            <w:shd w:val="clear" w:color="auto" w:fill="auto"/>
            <w:noWrap/>
            <w:vAlign w:val="center"/>
          </w:tcPr>
          <w:p w14:paraId="50262F5C">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序号</w:t>
            </w:r>
          </w:p>
        </w:tc>
        <w:tc>
          <w:tcPr>
            <w:tcW w:w="1327" w:type="pct"/>
            <w:shd w:val="clear" w:color="auto" w:fill="auto"/>
            <w:noWrap/>
            <w:vAlign w:val="center"/>
          </w:tcPr>
          <w:p w14:paraId="6C394AD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项目名称</w:t>
            </w:r>
          </w:p>
        </w:tc>
        <w:tc>
          <w:tcPr>
            <w:tcW w:w="1004" w:type="pct"/>
            <w:shd w:val="clear" w:color="auto" w:fill="auto"/>
            <w:noWrap/>
            <w:vAlign w:val="center"/>
          </w:tcPr>
          <w:p w14:paraId="3FF7B6D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总额</w:t>
            </w:r>
            <w:r>
              <w:rPr>
                <w:rFonts w:hint="eastAsia" w:ascii="Arial" w:hAnsi="Arial" w:eastAsia="仿宋" w:cs="Arial"/>
                <w:bCs/>
                <w:color w:val="auto"/>
                <w:sz w:val="21"/>
                <w:szCs w:val="21"/>
              </w:rPr>
              <w:t>（万元）</w:t>
            </w:r>
          </w:p>
        </w:tc>
        <w:tc>
          <w:tcPr>
            <w:tcW w:w="777" w:type="pct"/>
            <w:shd w:val="clear" w:color="auto" w:fill="auto"/>
            <w:noWrap/>
            <w:vAlign w:val="center"/>
          </w:tcPr>
          <w:p w14:paraId="7E434A8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单价</w:t>
            </w:r>
            <w:r>
              <w:rPr>
                <w:rFonts w:hint="eastAsia" w:ascii="Arial" w:hAnsi="Arial" w:eastAsia="仿宋" w:cs="Arial"/>
                <w:bCs/>
                <w:color w:val="auto"/>
                <w:sz w:val="21"/>
                <w:szCs w:val="21"/>
              </w:rPr>
              <w:t>（元/㎡）</w:t>
            </w:r>
          </w:p>
        </w:tc>
        <w:tc>
          <w:tcPr>
            <w:tcW w:w="1565" w:type="pct"/>
          </w:tcPr>
          <w:p w14:paraId="7A734E8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备注</w:t>
            </w:r>
          </w:p>
        </w:tc>
      </w:tr>
      <w:tr w14:paraId="35BF30A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32B2DA6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p>
        </w:tc>
        <w:tc>
          <w:tcPr>
            <w:tcW w:w="1327" w:type="pct"/>
            <w:shd w:val="clear" w:color="auto" w:fill="auto"/>
            <w:noWrap/>
            <w:vAlign w:val="center"/>
          </w:tcPr>
          <w:p w14:paraId="42B13D6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开发完成后不动产总价</w:t>
            </w:r>
          </w:p>
        </w:tc>
        <w:tc>
          <w:tcPr>
            <w:tcW w:w="1833" w:type="dxa"/>
            <w:shd w:val="clear" w:color="auto" w:fill="auto"/>
            <w:noWrap/>
            <w:vAlign w:val="center"/>
          </w:tcPr>
          <w:p w14:paraId="507892F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305.6472 </w:t>
            </w:r>
          </w:p>
        </w:tc>
        <w:tc>
          <w:tcPr>
            <w:tcW w:w="1418" w:type="dxa"/>
            <w:shd w:val="clear" w:color="auto" w:fill="auto"/>
            <w:noWrap/>
            <w:vAlign w:val="center"/>
          </w:tcPr>
          <w:p w14:paraId="6D30E732">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10188 </w:t>
            </w:r>
          </w:p>
        </w:tc>
        <w:tc>
          <w:tcPr>
            <w:tcW w:w="1565" w:type="pct"/>
          </w:tcPr>
          <w:p w14:paraId="4ACDC5A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销售价格</w:t>
            </w:r>
            <w:r>
              <w:rPr>
                <w:rFonts w:hint="eastAsia" w:ascii="Arial" w:hAnsi="Arial" w:eastAsia="仿宋" w:cs="Arial"/>
                <w:bCs/>
                <w:color w:val="auto"/>
                <w:sz w:val="21"/>
                <w:szCs w:val="21"/>
              </w:rPr>
              <w:t>×</w:t>
            </w:r>
            <w:r>
              <w:rPr>
                <w:rFonts w:ascii="Arial" w:hAnsi="Arial" w:eastAsia="仿宋" w:cs="Arial"/>
                <w:bCs/>
                <w:color w:val="auto"/>
                <w:sz w:val="21"/>
                <w:szCs w:val="21"/>
              </w:rPr>
              <w:t>可收益建筑面积</w:t>
            </w:r>
          </w:p>
        </w:tc>
      </w:tr>
      <w:tr w14:paraId="69DFFAC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vAlign w:val="center"/>
          </w:tcPr>
          <w:p w14:paraId="3B31536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2</w:t>
            </w:r>
          </w:p>
        </w:tc>
        <w:tc>
          <w:tcPr>
            <w:tcW w:w="1327" w:type="pct"/>
            <w:shd w:val="clear" w:color="auto" w:fill="auto"/>
            <w:noWrap/>
            <w:vAlign w:val="center"/>
          </w:tcPr>
          <w:p w14:paraId="65F8D4B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开发成本</w:t>
            </w:r>
          </w:p>
        </w:tc>
        <w:tc>
          <w:tcPr>
            <w:tcW w:w="1833" w:type="dxa"/>
            <w:shd w:val="clear" w:color="auto" w:fill="auto"/>
            <w:noWrap/>
            <w:vAlign w:val="center"/>
          </w:tcPr>
          <w:p w14:paraId="226D9BD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180.9722 </w:t>
            </w:r>
          </w:p>
        </w:tc>
        <w:tc>
          <w:tcPr>
            <w:tcW w:w="1418" w:type="dxa"/>
            <w:shd w:val="clear" w:color="auto" w:fill="auto"/>
            <w:noWrap/>
            <w:vAlign w:val="center"/>
          </w:tcPr>
          <w:p w14:paraId="6CF3B88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6032 </w:t>
            </w:r>
          </w:p>
        </w:tc>
        <w:tc>
          <w:tcPr>
            <w:tcW w:w="1565" w:type="pct"/>
          </w:tcPr>
          <w:p w14:paraId="6EC0683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r>
              <w:rPr>
                <w:rFonts w:hint="eastAsia" w:ascii="Arial" w:hAnsi="Arial" w:eastAsia="仿宋" w:cs="Arial"/>
                <w:bCs/>
                <w:color w:val="auto"/>
                <w:sz w:val="21"/>
                <w:szCs w:val="21"/>
              </w:rPr>
              <w:t>－</w:t>
            </w:r>
            <w:r>
              <w:rPr>
                <w:rFonts w:ascii="Arial" w:hAnsi="Arial" w:eastAsia="仿宋" w:cs="Arial"/>
                <w:bCs/>
                <w:color w:val="auto"/>
                <w:sz w:val="21"/>
                <w:szCs w:val="21"/>
              </w:rPr>
              <w:t>（</w:t>
            </w:r>
            <w:r>
              <w:rPr>
                <w:rFonts w:hint="eastAsia" w:ascii="Arial" w:hAnsi="Arial" w:eastAsia="仿宋" w:cs="Arial"/>
                <w:bCs/>
                <w:color w:val="auto"/>
                <w:sz w:val="21"/>
                <w:szCs w:val="21"/>
              </w:rPr>
              <w:t>6</w:t>
            </w:r>
            <w:r>
              <w:rPr>
                <w:rFonts w:ascii="Arial" w:hAnsi="Arial" w:eastAsia="仿宋" w:cs="Arial"/>
                <w:bCs/>
                <w:color w:val="auto"/>
                <w:sz w:val="21"/>
                <w:szCs w:val="21"/>
              </w:rPr>
              <w:t>）之和</w:t>
            </w:r>
          </w:p>
        </w:tc>
      </w:tr>
      <w:tr w14:paraId="5C0436F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FECB6DC">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p>
        </w:tc>
        <w:tc>
          <w:tcPr>
            <w:tcW w:w="1327" w:type="pct"/>
            <w:shd w:val="clear" w:color="auto" w:fill="auto"/>
            <w:noWrap/>
            <w:vAlign w:val="center"/>
          </w:tcPr>
          <w:p w14:paraId="1BA7B6AD">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购地税费</w:t>
            </w:r>
          </w:p>
        </w:tc>
        <w:tc>
          <w:tcPr>
            <w:tcW w:w="1833" w:type="dxa"/>
            <w:shd w:val="clear" w:color="auto" w:fill="auto"/>
            <w:noWrap/>
            <w:vAlign w:val="center"/>
          </w:tcPr>
          <w:p w14:paraId="687A714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3.0200 </w:t>
            </w:r>
          </w:p>
        </w:tc>
        <w:tc>
          <w:tcPr>
            <w:tcW w:w="1418" w:type="dxa"/>
            <w:shd w:val="clear" w:color="auto" w:fill="auto"/>
            <w:noWrap/>
            <w:vAlign w:val="center"/>
          </w:tcPr>
          <w:p w14:paraId="002F4AAF">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101 </w:t>
            </w:r>
          </w:p>
        </w:tc>
        <w:tc>
          <w:tcPr>
            <w:tcW w:w="1565" w:type="pct"/>
          </w:tcPr>
          <w:p w14:paraId="2625C7EA">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w:t>
            </w:r>
          </w:p>
        </w:tc>
      </w:tr>
      <w:tr w14:paraId="75D351D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58300BE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2</w:t>
            </w:r>
            <w:r>
              <w:rPr>
                <w:rFonts w:ascii="Arial" w:hAnsi="Arial" w:eastAsia="仿宋" w:cs="Arial"/>
                <w:bCs/>
                <w:color w:val="auto"/>
                <w:sz w:val="21"/>
                <w:szCs w:val="21"/>
              </w:rPr>
              <w:t>）</w:t>
            </w:r>
          </w:p>
        </w:tc>
        <w:tc>
          <w:tcPr>
            <w:tcW w:w="1327" w:type="pct"/>
            <w:shd w:val="clear" w:color="auto" w:fill="auto"/>
            <w:noWrap/>
            <w:vAlign w:val="center"/>
          </w:tcPr>
          <w:p w14:paraId="571DB212">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房屋建设成本</w:t>
            </w:r>
          </w:p>
        </w:tc>
        <w:tc>
          <w:tcPr>
            <w:tcW w:w="1833" w:type="dxa"/>
            <w:shd w:val="clear" w:color="auto" w:fill="auto"/>
            <w:noWrap/>
            <w:vAlign w:val="center"/>
          </w:tcPr>
          <w:p w14:paraId="520A2B3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150.0000 </w:t>
            </w:r>
          </w:p>
        </w:tc>
        <w:tc>
          <w:tcPr>
            <w:tcW w:w="1418" w:type="dxa"/>
            <w:shd w:val="clear" w:color="auto" w:fill="auto"/>
            <w:noWrap/>
            <w:vAlign w:val="center"/>
          </w:tcPr>
          <w:p w14:paraId="0C8141C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5000 </w:t>
            </w:r>
          </w:p>
        </w:tc>
        <w:tc>
          <w:tcPr>
            <w:tcW w:w="1565" w:type="pct"/>
          </w:tcPr>
          <w:p w14:paraId="578755C7">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下述</w:t>
            </w:r>
            <w:r>
              <w:rPr>
                <w:rFonts w:hint="eastAsia" w:ascii="Arial" w:hAnsi="Arial" w:eastAsia="仿宋" w:cs="Arial"/>
                <w:color w:val="auto"/>
                <w:sz w:val="21"/>
                <w:szCs w:val="21"/>
              </w:rPr>
              <w:t>6</w:t>
            </w:r>
            <w:r>
              <w:rPr>
                <w:rFonts w:ascii="Arial" w:hAnsi="Arial" w:eastAsia="仿宋" w:cs="Arial"/>
                <w:color w:val="auto"/>
                <w:sz w:val="21"/>
                <w:szCs w:val="21"/>
              </w:rPr>
              <w:t>项之和</w:t>
            </w:r>
          </w:p>
        </w:tc>
      </w:tr>
      <w:tr w14:paraId="0AFDC17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0AD4D8DC">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1）</w:t>
            </w:r>
          </w:p>
        </w:tc>
        <w:tc>
          <w:tcPr>
            <w:tcW w:w="1327" w:type="pct"/>
            <w:shd w:val="clear" w:color="auto" w:fill="auto"/>
            <w:noWrap/>
            <w:vAlign w:val="center"/>
          </w:tcPr>
          <w:p w14:paraId="79A97D26">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建筑安装工程费</w:t>
            </w:r>
          </w:p>
        </w:tc>
        <w:tc>
          <w:tcPr>
            <w:tcW w:w="1833" w:type="dxa"/>
            <w:shd w:val="clear" w:color="auto" w:fill="auto"/>
            <w:noWrap/>
            <w:vAlign w:val="center"/>
          </w:tcPr>
          <w:p w14:paraId="1207642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120.0000 </w:t>
            </w:r>
          </w:p>
        </w:tc>
        <w:tc>
          <w:tcPr>
            <w:tcW w:w="1418" w:type="dxa"/>
            <w:shd w:val="clear" w:color="auto" w:fill="auto"/>
            <w:noWrap/>
            <w:vAlign w:val="center"/>
          </w:tcPr>
          <w:p w14:paraId="5AA191D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4000 </w:t>
            </w:r>
          </w:p>
        </w:tc>
        <w:tc>
          <w:tcPr>
            <w:tcW w:w="1565" w:type="pct"/>
          </w:tcPr>
          <w:p w14:paraId="5854CD2C">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考虑托幼用地建设成本</w:t>
            </w:r>
          </w:p>
        </w:tc>
      </w:tr>
      <w:tr w14:paraId="750BEBF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83C2232">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2）</w:t>
            </w:r>
          </w:p>
        </w:tc>
        <w:tc>
          <w:tcPr>
            <w:tcW w:w="1327" w:type="pct"/>
            <w:shd w:val="clear" w:color="auto" w:fill="auto"/>
            <w:noWrap/>
            <w:vAlign w:val="center"/>
          </w:tcPr>
          <w:p w14:paraId="43281176">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前期费用</w:t>
            </w:r>
          </w:p>
        </w:tc>
        <w:tc>
          <w:tcPr>
            <w:tcW w:w="1833" w:type="dxa"/>
            <w:shd w:val="clear" w:color="auto" w:fill="auto"/>
            <w:noWrap/>
            <w:vAlign w:val="center"/>
          </w:tcPr>
          <w:p w14:paraId="5F09C653">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9.6000 </w:t>
            </w:r>
          </w:p>
        </w:tc>
        <w:tc>
          <w:tcPr>
            <w:tcW w:w="1418" w:type="dxa"/>
            <w:shd w:val="clear" w:color="auto" w:fill="auto"/>
            <w:noWrap/>
            <w:vAlign w:val="center"/>
          </w:tcPr>
          <w:p w14:paraId="179E449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320 </w:t>
            </w:r>
          </w:p>
        </w:tc>
        <w:tc>
          <w:tcPr>
            <w:tcW w:w="1565" w:type="pct"/>
          </w:tcPr>
          <w:p w14:paraId="18ED3C5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建筑安装工程费×8%</w:t>
            </w:r>
          </w:p>
        </w:tc>
      </w:tr>
      <w:tr w14:paraId="4176E0D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33C1F361">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3）</w:t>
            </w:r>
          </w:p>
        </w:tc>
        <w:tc>
          <w:tcPr>
            <w:tcW w:w="1327" w:type="pct"/>
            <w:shd w:val="clear" w:color="auto" w:fill="auto"/>
            <w:noWrap/>
            <w:vAlign w:val="center"/>
          </w:tcPr>
          <w:p w14:paraId="6398FD79">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基础设施建设费</w:t>
            </w:r>
          </w:p>
        </w:tc>
        <w:tc>
          <w:tcPr>
            <w:tcW w:w="1833" w:type="dxa"/>
            <w:shd w:val="clear" w:color="auto" w:fill="auto"/>
            <w:noWrap/>
            <w:vAlign w:val="center"/>
          </w:tcPr>
          <w:p w14:paraId="16A4782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12.0000 </w:t>
            </w:r>
          </w:p>
        </w:tc>
        <w:tc>
          <w:tcPr>
            <w:tcW w:w="1418" w:type="dxa"/>
            <w:shd w:val="clear" w:color="auto" w:fill="auto"/>
            <w:noWrap/>
            <w:vAlign w:val="center"/>
          </w:tcPr>
          <w:p w14:paraId="675D8572">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400 </w:t>
            </w:r>
          </w:p>
        </w:tc>
        <w:tc>
          <w:tcPr>
            <w:tcW w:w="1565" w:type="pct"/>
          </w:tcPr>
          <w:p w14:paraId="661B00C9">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建筑安装工程费×8%</w:t>
            </w:r>
          </w:p>
        </w:tc>
      </w:tr>
      <w:tr w14:paraId="49B46A7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C8038B4">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4）</w:t>
            </w:r>
          </w:p>
        </w:tc>
        <w:tc>
          <w:tcPr>
            <w:tcW w:w="1327" w:type="pct"/>
            <w:shd w:val="clear" w:color="auto" w:fill="auto"/>
            <w:noWrap/>
            <w:vAlign w:val="center"/>
          </w:tcPr>
          <w:p w14:paraId="5E68EB7C">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公共配套设施费用</w:t>
            </w:r>
          </w:p>
        </w:tc>
        <w:tc>
          <w:tcPr>
            <w:tcW w:w="1833" w:type="dxa"/>
            <w:shd w:val="clear" w:color="auto" w:fill="auto"/>
            <w:noWrap/>
            <w:vAlign w:val="center"/>
          </w:tcPr>
          <w:p w14:paraId="205B4BE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0.0000 </w:t>
            </w:r>
          </w:p>
        </w:tc>
        <w:tc>
          <w:tcPr>
            <w:tcW w:w="1418" w:type="dxa"/>
            <w:shd w:val="clear" w:color="auto" w:fill="auto"/>
            <w:noWrap/>
            <w:vAlign w:val="center"/>
          </w:tcPr>
          <w:p w14:paraId="7658EA8B">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不计取</w:t>
            </w:r>
          </w:p>
        </w:tc>
        <w:tc>
          <w:tcPr>
            <w:tcW w:w="1565" w:type="pct"/>
          </w:tcPr>
          <w:p w14:paraId="53756A98">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建筑安装工程费×10%</w:t>
            </w:r>
          </w:p>
        </w:tc>
      </w:tr>
      <w:tr w14:paraId="63EEB25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311806F8">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5）</w:t>
            </w:r>
          </w:p>
        </w:tc>
        <w:tc>
          <w:tcPr>
            <w:tcW w:w="1327" w:type="pct"/>
            <w:shd w:val="clear" w:color="auto" w:fill="auto"/>
            <w:noWrap/>
            <w:vAlign w:val="center"/>
          </w:tcPr>
          <w:p w14:paraId="55D621B0">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开发期间税费</w:t>
            </w:r>
          </w:p>
        </w:tc>
        <w:tc>
          <w:tcPr>
            <w:tcW w:w="1833" w:type="dxa"/>
            <w:shd w:val="clear" w:color="auto" w:fill="auto"/>
            <w:noWrap/>
            <w:vAlign w:val="center"/>
          </w:tcPr>
          <w:p w14:paraId="7E80D72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2.4000 </w:t>
            </w:r>
          </w:p>
        </w:tc>
        <w:tc>
          <w:tcPr>
            <w:tcW w:w="1418" w:type="dxa"/>
            <w:shd w:val="clear" w:color="auto" w:fill="auto"/>
            <w:noWrap/>
            <w:vAlign w:val="center"/>
          </w:tcPr>
          <w:p w14:paraId="25C5C49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80 </w:t>
            </w:r>
          </w:p>
        </w:tc>
        <w:tc>
          <w:tcPr>
            <w:tcW w:w="1565" w:type="pct"/>
            <w:vAlign w:val="center"/>
          </w:tcPr>
          <w:p w14:paraId="78B0E67B">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bCs/>
                <w:color w:val="auto"/>
                <w:sz w:val="21"/>
                <w:szCs w:val="21"/>
              </w:rPr>
              <w:t>建筑安装工程费×2%</w:t>
            </w:r>
          </w:p>
        </w:tc>
      </w:tr>
      <w:tr w14:paraId="26DEA27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BB5A688">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6）</w:t>
            </w:r>
          </w:p>
        </w:tc>
        <w:tc>
          <w:tcPr>
            <w:tcW w:w="1327" w:type="pct"/>
            <w:shd w:val="clear" w:color="auto" w:fill="auto"/>
            <w:noWrap/>
            <w:vAlign w:val="center"/>
          </w:tcPr>
          <w:p w14:paraId="3B86AEB4">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其他工程费</w:t>
            </w:r>
          </w:p>
        </w:tc>
        <w:tc>
          <w:tcPr>
            <w:tcW w:w="1833" w:type="dxa"/>
            <w:shd w:val="clear" w:color="auto" w:fill="auto"/>
            <w:noWrap/>
            <w:vAlign w:val="center"/>
          </w:tcPr>
          <w:p w14:paraId="4C5635E4">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6.0000 </w:t>
            </w:r>
          </w:p>
        </w:tc>
        <w:tc>
          <w:tcPr>
            <w:tcW w:w="1418" w:type="dxa"/>
            <w:shd w:val="clear" w:color="auto" w:fill="auto"/>
            <w:noWrap/>
            <w:vAlign w:val="center"/>
          </w:tcPr>
          <w:p w14:paraId="02FD56B7">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200 </w:t>
            </w:r>
          </w:p>
        </w:tc>
        <w:tc>
          <w:tcPr>
            <w:tcW w:w="1565" w:type="pct"/>
            <w:vAlign w:val="center"/>
          </w:tcPr>
          <w:p w14:paraId="39E461BF">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bCs/>
                <w:color w:val="auto"/>
                <w:sz w:val="21"/>
                <w:szCs w:val="21"/>
              </w:rPr>
              <w:t>建筑安装工程费×5%</w:t>
            </w:r>
          </w:p>
        </w:tc>
      </w:tr>
      <w:tr w14:paraId="3A732D2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3FE5B73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3</w:t>
            </w:r>
            <w:r>
              <w:rPr>
                <w:rFonts w:ascii="Arial" w:hAnsi="Arial" w:eastAsia="仿宋" w:cs="Arial"/>
                <w:bCs/>
                <w:color w:val="auto"/>
                <w:sz w:val="21"/>
                <w:szCs w:val="21"/>
              </w:rPr>
              <w:t>）</w:t>
            </w:r>
          </w:p>
        </w:tc>
        <w:tc>
          <w:tcPr>
            <w:tcW w:w="1327" w:type="pct"/>
            <w:shd w:val="clear" w:color="auto" w:fill="auto"/>
            <w:noWrap/>
            <w:vAlign w:val="center"/>
          </w:tcPr>
          <w:p w14:paraId="357DF11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管理费用</w:t>
            </w:r>
          </w:p>
        </w:tc>
        <w:tc>
          <w:tcPr>
            <w:tcW w:w="1833" w:type="dxa"/>
            <w:shd w:val="clear" w:color="auto" w:fill="auto"/>
            <w:noWrap/>
            <w:vAlign w:val="center"/>
          </w:tcPr>
          <w:p w14:paraId="626E285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4.5000 </w:t>
            </w:r>
          </w:p>
        </w:tc>
        <w:tc>
          <w:tcPr>
            <w:tcW w:w="1418" w:type="dxa"/>
            <w:shd w:val="clear" w:color="auto" w:fill="auto"/>
            <w:noWrap/>
            <w:vAlign w:val="center"/>
          </w:tcPr>
          <w:p w14:paraId="3EE1EFD1">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150 </w:t>
            </w:r>
          </w:p>
        </w:tc>
        <w:tc>
          <w:tcPr>
            <w:tcW w:w="1565" w:type="pct"/>
          </w:tcPr>
          <w:p w14:paraId="5594F7C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房屋建设成本×3%</w:t>
            </w:r>
          </w:p>
        </w:tc>
      </w:tr>
      <w:tr w14:paraId="793460C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2FDF035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4</w:t>
            </w:r>
            <w:r>
              <w:rPr>
                <w:rFonts w:ascii="Arial" w:hAnsi="Arial" w:eastAsia="仿宋" w:cs="Arial"/>
                <w:bCs/>
                <w:color w:val="auto"/>
                <w:sz w:val="21"/>
                <w:szCs w:val="21"/>
              </w:rPr>
              <w:t>）</w:t>
            </w:r>
          </w:p>
        </w:tc>
        <w:tc>
          <w:tcPr>
            <w:tcW w:w="1327" w:type="pct"/>
            <w:shd w:val="clear" w:color="auto" w:fill="auto"/>
            <w:noWrap/>
            <w:vAlign w:val="center"/>
          </w:tcPr>
          <w:p w14:paraId="103DB525">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销售费用</w:t>
            </w:r>
          </w:p>
        </w:tc>
        <w:tc>
          <w:tcPr>
            <w:tcW w:w="1833" w:type="dxa"/>
            <w:shd w:val="clear" w:color="auto" w:fill="auto"/>
            <w:noWrap/>
            <w:vAlign w:val="center"/>
          </w:tcPr>
          <w:p w14:paraId="4A6D9972">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0.0000 </w:t>
            </w:r>
          </w:p>
        </w:tc>
        <w:tc>
          <w:tcPr>
            <w:tcW w:w="1418" w:type="dxa"/>
            <w:shd w:val="clear" w:color="auto" w:fill="auto"/>
            <w:noWrap/>
            <w:vAlign w:val="center"/>
          </w:tcPr>
          <w:p w14:paraId="5C6DBE83">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不计取</w:t>
            </w:r>
          </w:p>
        </w:tc>
        <w:tc>
          <w:tcPr>
            <w:tcW w:w="1565" w:type="pct"/>
          </w:tcPr>
          <w:p w14:paraId="6B139144">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color w:val="auto"/>
                <w:sz w:val="21"/>
                <w:szCs w:val="21"/>
              </w:rPr>
              <w:t>－</w:t>
            </w:r>
          </w:p>
        </w:tc>
      </w:tr>
      <w:tr w14:paraId="2CCABE1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3A93CBD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5</w:t>
            </w:r>
            <w:r>
              <w:rPr>
                <w:rFonts w:ascii="Arial" w:hAnsi="Arial" w:eastAsia="仿宋" w:cs="Arial"/>
                <w:bCs/>
                <w:color w:val="auto"/>
                <w:sz w:val="21"/>
                <w:szCs w:val="21"/>
              </w:rPr>
              <w:t>）</w:t>
            </w:r>
          </w:p>
        </w:tc>
        <w:tc>
          <w:tcPr>
            <w:tcW w:w="1327" w:type="pct"/>
            <w:shd w:val="clear" w:color="auto" w:fill="auto"/>
            <w:noWrap/>
            <w:vAlign w:val="center"/>
          </w:tcPr>
          <w:p w14:paraId="72FAA30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投资利息</w:t>
            </w:r>
          </w:p>
        </w:tc>
        <w:tc>
          <w:tcPr>
            <w:tcW w:w="1833" w:type="dxa"/>
            <w:shd w:val="clear" w:color="auto" w:fill="auto"/>
            <w:noWrap/>
            <w:vAlign w:val="center"/>
          </w:tcPr>
          <w:p w14:paraId="22CD5E3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17.8706 </w:t>
            </w:r>
          </w:p>
        </w:tc>
        <w:tc>
          <w:tcPr>
            <w:tcW w:w="1418" w:type="dxa"/>
            <w:shd w:val="clear" w:color="auto" w:fill="auto"/>
            <w:noWrap/>
            <w:vAlign w:val="center"/>
          </w:tcPr>
          <w:p w14:paraId="6661104C">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596 </w:t>
            </w:r>
          </w:p>
        </w:tc>
        <w:tc>
          <w:tcPr>
            <w:tcW w:w="1565" w:type="pct"/>
          </w:tcPr>
          <w:p w14:paraId="55D85F9B">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地价款和购地税费全周期计息，房屋建设成本、管理费用、销售费用等预付资本应根据开发周期均匀投入计息，贷款利率取3.25%</w:t>
            </w:r>
          </w:p>
        </w:tc>
      </w:tr>
      <w:tr w14:paraId="08C83A6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2D2F6849">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w:t>
            </w:r>
            <w:r>
              <w:rPr>
                <w:rFonts w:hint="eastAsia" w:ascii="Arial" w:hAnsi="Arial" w:eastAsia="仿宋" w:cs="Arial"/>
                <w:bCs/>
                <w:color w:val="auto"/>
                <w:sz w:val="21"/>
                <w:szCs w:val="21"/>
              </w:rPr>
              <w:t>6</w:t>
            </w:r>
            <w:r>
              <w:rPr>
                <w:rFonts w:ascii="Arial" w:hAnsi="Arial" w:eastAsia="仿宋" w:cs="Arial"/>
                <w:bCs/>
                <w:color w:val="auto"/>
                <w:sz w:val="21"/>
                <w:szCs w:val="21"/>
              </w:rPr>
              <w:t>）</w:t>
            </w:r>
          </w:p>
        </w:tc>
        <w:tc>
          <w:tcPr>
            <w:tcW w:w="1327" w:type="pct"/>
            <w:shd w:val="clear" w:color="auto" w:fill="auto"/>
            <w:noWrap/>
            <w:vAlign w:val="center"/>
          </w:tcPr>
          <w:p w14:paraId="1FA3C1E0">
            <w:pPr>
              <w:widowControl/>
              <w:adjustRightInd/>
              <w:spacing w:line="240" w:lineRule="exact"/>
              <w:textAlignment w:val="auto"/>
              <w:rPr>
                <w:rFonts w:ascii="Arial" w:hAnsi="Arial" w:eastAsia="仿宋" w:cs="Arial"/>
                <w:bCs/>
                <w:color w:val="auto"/>
                <w:sz w:val="21"/>
                <w:szCs w:val="21"/>
              </w:rPr>
            </w:pPr>
            <w:r>
              <w:rPr>
                <w:rFonts w:hint="eastAsia" w:ascii="Arial" w:hAnsi="Arial" w:eastAsia="仿宋" w:cs="Arial"/>
                <w:bCs/>
                <w:color w:val="auto"/>
                <w:sz w:val="21"/>
                <w:szCs w:val="21"/>
              </w:rPr>
              <w:t>销售税费</w:t>
            </w:r>
          </w:p>
        </w:tc>
        <w:tc>
          <w:tcPr>
            <w:tcW w:w="1833" w:type="dxa"/>
            <w:shd w:val="clear" w:color="auto" w:fill="auto"/>
            <w:noWrap/>
            <w:vAlign w:val="center"/>
          </w:tcPr>
          <w:p w14:paraId="559BDA6E">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23.5828 </w:t>
            </w:r>
          </w:p>
        </w:tc>
        <w:tc>
          <w:tcPr>
            <w:tcW w:w="1418" w:type="dxa"/>
            <w:shd w:val="clear" w:color="auto" w:fill="auto"/>
            <w:noWrap/>
            <w:vAlign w:val="center"/>
          </w:tcPr>
          <w:p w14:paraId="66A3C850">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786 </w:t>
            </w:r>
          </w:p>
        </w:tc>
        <w:tc>
          <w:tcPr>
            <w:tcW w:w="1565" w:type="pct"/>
          </w:tcPr>
          <w:p w14:paraId="4A7AB6A3">
            <w:pPr>
              <w:widowControl/>
              <w:adjustRightInd/>
              <w:spacing w:line="240" w:lineRule="exact"/>
              <w:textAlignment w:val="auto"/>
              <w:rPr>
                <w:rFonts w:ascii="Arial" w:hAnsi="Arial" w:eastAsia="仿宋" w:cs="Arial"/>
                <w:color w:val="auto"/>
                <w:sz w:val="21"/>
                <w:szCs w:val="21"/>
              </w:rPr>
            </w:pPr>
            <w:r>
              <w:rPr>
                <w:rFonts w:ascii="Arial" w:hAnsi="Arial" w:eastAsia="仿宋" w:cs="Arial"/>
                <w:color w:val="auto"/>
                <w:sz w:val="21"/>
                <w:szCs w:val="21"/>
              </w:rPr>
              <w:t>以</w:t>
            </w:r>
            <w:r>
              <w:rPr>
                <w:rFonts w:hint="eastAsia" w:ascii="Arial" w:hAnsi="Arial" w:eastAsia="仿宋" w:cs="Arial"/>
                <w:color w:val="auto"/>
                <w:sz w:val="21"/>
                <w:szCs w:val="21"/>
              </w:rPr>
              <w:t>“</w:t>
            </w:r>
            <w:r>
              <w:rPr>
                <w:rFonts w:ascii="Arial" w:hAnsi="Arial" w:eastAsia="仿宋" w:cs="Arial"/>
                <w:color w:val="auto"/>
                <w:sz w:val="21"/>
                <w:szCs w:val="21"/>
              </w:rPr>
              <w:t>开发完成后不动产总价/（1</w:t>
            </w:r>
            <w:r>
              <w:rPr>
                <w:rFonts w:hint="eastAsia" w:ascii="Arial" w:hAnsi="Arial" w:eastAsia="仿宋" w:cs="Arial"/>
                <w:color w:val="auto"/>
                <w:sz w:val="21"/>
                <w:szCs w:val="21"/>
              </w:rPr>
              <w:t>＋</w:t>
            </w:r>
            <w:r>
              <w:rPr>
                <w:rFonts w:ascii="Arial" w:hAnsi="Arial" w:eastAsia="仿宋" w:cs="Arial"/>
                <w:color w:val="auto"/>
                <w:sz w:val="21"/>
                <w:szCs w:val="21"/>
              </w:rPr>
              <w:t>5%）</w:t>
            </w:r>
            <w:r>
              <w:rPr>
                <w:rFonts w:hint="eastAsia" w:ascii="Arial" w:hAnsi="Arial" w:eastAsia="仿宋" w:cs="Arial"/>
                <w:color w:val="auto"/>
                <w:sz w:val="21"/>
                <w:szCs w:val="21"/>
              </w:rPr>
              <w:t>”</w:t>
            </w:r>
            <w:r>
              <w:rPr>
                <w:rFonts w:ascii="Arial" w:hAnsi="Arial" w:eastAsia="仿宋" w:cs="Arial"/>
                <w:color w:val="auto"/>
                <w:sz w:val="21"/>
                <w:szCs w:val="21"/>
              </w:rPr>
              <w:t>为基数计取</w:t>
            </w:r>
          </w:p>
        </w:tc>
      </w:tr>
      <w:tr w14:paraId="30B5FE4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vAlign w:val="center"/>
          </w:tcPr>
          <w:p w14:paraId="590ABCA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3</w:t>
            </w:r>
          </w:p>
        </w:tc>
        <w:tc>
          <w:tcPr>
            <w:tcW w:w="1327" w:type="pct"/>
            <w:shd w:val="clear" w:color="auto" w:fill="auto"/>
            <w:vAlign w:val="center"/>
          </w:tcPr>
          <w:p w14:paraId="14F9319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投资利润</w:t>
            </w:r>
          </w:p>
        </w:tc>
        <w:tc>
          <w:tcPr>
            <w:tcW w:w="1833" w:type="dxa"/>
            <w:shd w:val="clear" w:color="auto" w:fill="auto"/>
            <w:vAlign w:val="center"/>
          </w:tcPr>
          <w:p w14:paraId="289E225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25.6586 </w:t>
            </w:r>
          </w:p>
        </w:tc>
        <w:tc>
          <w:tcPr>
            <w:tcW w:w="1418" w:type="dxa"/>
            <w:shd w:val="clear" w:color="auto" w:fill="auto"/>
            <w:noWrap/>
            <w:vAlign w:val="center"/>
          </w:tcPr>
          <w:p w14:paraId="0D063B2A">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855 </w:t>
            </w:r>
          </w:p>
        </w:tc>
        <w:tc>
          <w:tcPr>
            <w:tcW w:w="1565" w:type="pct"/>
          </w:tcPr>
          <w:p w14:paraId="69238E5D">
            <w:pPr>
              <w:widowControl/>
              <w:adjustRightInd/>
              <w:spacing w:line="240" w:lineRule="exact"/>
              <w:textAlignment w:val="auto"/>
              <w:rPr>
                <w:rFonts w:ascii="Arial" w:hAnsi="Arial" w:eastAsia="仿宋" w:cs="Arial"/>
                <w:color w:val="auto"/>
                <w:sz w:val="21"/>
                <w:szCs w:val="21"/>
              </w:rPr>
            </w:pPr>
            <w:r>
              <w:rPr>
                <w:rFonts w:hint="eastAsia" w:ascii="Arial" w:hAnsi="Arial" w:eastAsia="仿宋" w:cs="Arial"/>
                <w:color w:val="auto"/>
                <w:sz w:val="21"/>
                <w:szCs w:val="21"/>
              </w:rPr>
              <w:t xml:space="preserve">以全部预付资本的一定比例计算，利润率取10% </w:t>
            </w:r>
          </w:p>
        </w:tc>
      </w:tr>
      <w:tr w14:paraId="5CEFF9A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652" w:type="pct"/>
            <w:gridSpan w:val="2"/>
            <w:shd w:val="clear" w:color="auto" w:fill="auto"/>
            <w:noWrap/>
            <w:vAlign w:val="center"/>
          </w:tcPr>
          <w:p w14:paraId="52D4107D">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4 .土地价格</w:t>
            </w:r>
          </w:p>
        </w:tc>
        <w:tc>
          <w:tcPr>
            <w:tcW w:w="1833" w:type="dxa"/>
            <w:shd w:val="clear" w:color="auto" w:fill="auto"/>
            <w:noWrap/>
            <w:vAlign w:val="center"/>
          </w:tcPr>
          <w:p w14:paraId="0EC14098">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99.0164 </w:t>
            </w:r>
          </w:p>
        </w:tc>
        <w:tc>
          <w:tcPr>
            <w:tcW w:w="1418" w:type="dxa"/>
            <w:shd w:val="clear" w:color="auto" w:fill="auto"/>
            <w:noWrap/>
            <w:vAlign w:val="center"/>
          </w:tcPr>
          <w:p w14:paraId="77D427F6">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 xml:space="preserve">3301 </w:t>
            </w:r>
          </w:p>
        </w:tc>
        <w:tc>
          <w:tcPr>
            <w:tcW w:w="1565" w:type="pct"/>
          </w:tcPr>
          <w:p w14:paraId="74A0146B">
            <w:pPr>
              <w:widowControl/>
              <w:adjustRightInd/>
              <w:spacing w:line="240" w:lineRule="exact"/>
              <w:textAlignment w:val="auto"/>
              <w:rPr>
                <w:rFonts w:ascii="Arial" w:hAnsi="Arial" w:eastAsia="仿宋" w:cs="Arial"/>
                <w:bCs/>
                <w:color w:val="auto"/>
                <w:sz w:val="21"/>
                <w:szCs w:val="21"/>
              </w:rPr>
            </w:pPr>
            <w:r>
              <w:rPr>
                <w:rFonts w:ascii="Arial" w:hAnsi="Arial" w:eastAsia="仿宋" w:cs="Arial"/>
                <w:bCs/>
                <w:color w:val="auto"/>
                <w:sz w:val="21"/>
                <w:szCs w:val="21"/>
              </w:rPr>
              <w:t>1</w:t>
            </w:r>
            <w:r>
              <w:rPr>
                <w:rFonts w:hint="eastAsia" w:ascii="Arial" w:hAnsi="Arial" w:eastAsia="仿宋" w:cs="Arial"/>
                <w:bCs/>
                <w:color w:val="auto"/>
                <w:sz w:val="21"/>
                <w:szCs w:val="21"/>
              </w:rPr>
              <w:t>－</w:t>
            </w:r>
            <w:r>
              <w:rPr>
                <w:rFonts w:ascii="Arial" w:hAnsi="Arial" w:eastAsia="仿宋" w:cs="Arial"/>
                <w:bCs/>
                <w:color w:val="auto"/>
                <w:sz w:val="21"/>
                <w:szCs w:val="21"/>
              </w:rPr>
              <w:t>2</w:t>
            </w:r>
            <w:r>
              <w:rPr>
                <w:rFonts w:hint="eastAsia" w:ascii="Arial" w:hAnsi="Arial" w:eastAsia="仿宋" w:cs="Arial"/>
                <w:bCs/>
                <w:color w:val="auto"/>
                <w:sz w:val="21"/>
                <w:szCs w:val="21"/>
              </w:rPr>
              <w:t>－</w:t>
            </w:r>
            <w:r>
              <w:rPr>
                <w:rFonts w:ascii="Arial" w:hAnsi="Arial" w:eastAsia="仿宋" w:cs="Arial"/>
                <w:bCs/>
                <w:color w:val="auto"/>
                <w:sz w:val="21"/>
                <w:szCs w:val="21"/>
              </w:rPr>
              <w:t>3</w:t>
            </w:r>
          </w:p>
        </w:tc>
      </w:tr>
    </w:tbl>
    <w:p w14:paraId="5797052D">
      <w:pPr>
        <w:spacing w:before="50" w:after="50" w:line="300" w:lineRule="auto"/>
        <w:rPr>
          <w:rFonts w:ascii="Arial" w:hAnsi="Arial" w:eastAsia="仿宋_GB2312" w:cs="Arial"/>
          <w:color w:val="auto"/>
          <w:sz w:val="28"/>
        </w:rPr>
      </w:pPr>
      <w:r>
        <w:rPr>
          <w:rFonts w:ascii="Arial" w:hAnsi="Arial" w:eastAsia="仿宋" w:cs="Arial"/>
          <w:color w:val="auto"/>
          <w:sz w:val="21"/>
          <w:szCs w:val="21"/>
        </w:rPr>
        <w:t>单位：万元、元/平方米</w:t>
      </w:r>
    </w:p>
    <w:p w14:paraId="22E88DF8">
      <w:pPr>
        <w:spacing w:line="300" w:lineRule="auto"/>
        <w:ind w:right="14"/>
        <w:rPr>
          <w:rFonts w:ascii="Arial" w:hAnsi="Arial" w:eastAsia="仿宋" w:cs="Arial"/>
          <w:color w:val="auto"/>
          <w:sz w:val="21"/>
          <w:szCs w:val="21"/>
        </w:rPr>
      </w:pPr>
    </w:p>
    <w:p w14:paraId="6C75F547">
      <w:pPr>
        <w:rPr>
          <w:rFonts w:ascii="Arial" w:hAnsi="Arial" w:eastAsia="仿宋_GB2312" w:cs="Arial"/>
          <w:b/>
          <w:color w:val="auto"/>
          <w:sz w:val="28"/>
        </w:rPr>
      </w:pPr>
      <w:bookmarkStart w:id="415" w:name="_Toc132016641"/>
      <w:bookmarkStart w:id="416" w:name="_Toc132016758"/>
      <w:bookmarkStart w:id="417" w:name="_Toc138063039"/>
      <w:r>
        <w:rPr>
          <w:rFonts w:hint="eastAsia" w:ascii="Arial" w:hAnsi="Arial" w:eastAsia="仿宋_GB2312" w:cs="Arial"/>
          <w:b/>
          <w:color w:val="auto"/>
          <w:sz w:val="28"/>
        </w:rPr>
        <w:br w:type="page"/>
      </w:r>
    </w:p>
    <w:p w14:paraId="5653A061">
      <w:pPr>
        <w:spacing w:line="300" w:lineRule="auto"/>
        <w:jc w:val="both"/>
        <w:outlineLvl w:val="1"/>
        <w:rPr>
          <w:rFonts w:ascii="Arial" w:hAnsi="Arial" w:eastAsia="仿宋_GB2312" w:cs="Arial"/>
          <w:b/>
          <w:color w:val="auto"/>
          <w:sz w:val="28"/>
        </w:rPr>
      </w:pPr>
      <w:r>
        <w:rPr>
          <w:rFonts w:hint="eastAsia" w:ascii="Arial" w:hAnsi="Arial" w:eastAsia="仿宋_GB2312" w:cs="Arial"/>
          <w:b/>
          <w:color w:val="auto"/>
          <w:sz w:val="28"/>
        </w:rPr>
        <w:t>三</w:t>
      </w:r>
      <w:r>
        <w:rPr>
          <w:rFonts w:ascii="Arial" w:hAnsi="Arial" w:eastAsia="仿宋_GB2312" w:cs="Arial"/>
          <w:b/>
          <w:color w:val="auto"/>
          <w:sz w:val="28"/>
        </w:rPr>
        <w:t>、求取估价对象各用途</w:t>
      </w:r>
      <w:bookmarkEnd w:id="415"/>
      <w:bookmarkEnd w:id="416"/>
      <w:bookmarkEnd w:id="417"/>
      <w:r>
        <w:rPr>
          <w:rFonts w:hint="eastAsia" w:ascii="Arial" w:hAnsi="Arial" w:eastAsia="仿宋_GB2312" w:cs="Arial"/>
          <w:b/>
          <w:color w:val="auto"/>
          <w:sz w:val="28"/>
        </w:rPr>
        <w:t>楼面地价</w:t>
      </w:r>
    </w:p>
    <w:p w14:paraId="6F796C77">
      <w:pPr>
        <w:spacing w:line="300" w:lineRule="auto"/>
        <w:ind w:firstLine="556"/>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（一）地价的确定方法</w:t>
      </w:r>
    </w:p>
    <w:p w14:paraId="33C95DD3">
      <w:pPr>
        <w:spacing w:line="300" w:lineRule="auto"/>
        <w:ind w:firstLine="556"/>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1.估价结果可信度分析</w:t>
      </w:r>
    </w:p>
    <w:p w14:paraId="7D2B9F7D">
      <w:pPr>
        <w:spacing w:line="300" w:lineRule="auto"/>
        <w:ind w:firstLine="556"/>
        <w:jc w:val="both"/>
        <w:rPr>
          <w:rFonts w:ascii="Arial" w:hAnsi="Arial" w:eastAsia="仿宋_GB2312" w:cs="Arial"/>
          <w:color w:val="auto"/>
          <w:sz w:val="28"/>
          <w:szCs w:val="28"/>
        </w:rPr>
      </w:pPr>
      <w:r>
        <w:rPr>
          <w:rFonts w:hint="eastAsia" w:ascii="Arial" w:hAnsi="Arial" w:eastAsia="仿宋_GB2312" w:cs="Arial"/>
          <w:color w:val="auto"/>
          <w:sz w:val="28"/>
          <w:szCs w:val="28"/>
        </w:rPr>
        <w:t>根据区域土地市场情况，并结合估价对象的具体特点和估价目的，遵循估价原则，按照估价程序，利用科学的估价方法，在认真分析现有资料的基础上，并结合估价经验，详细考虑了影响房地产价格各项因素，本次评估，估价对象采用基准地价系数修正法、剩余法作为此次估价方法。</w:t>
      </w:r>
    </w:p>
    <w:p w14:paraId="6731C25B">
      <w:pPr>
        <w:spacing w:line="300" w:lineRule="auto"/>
        <w:ind w:firstLine="556"/>
        <w:jc w:val="both"/>
        <w:rPr>
          <w:rFonts w:ascii="Arial" w:hAnsi="Arial" w:eastAsia="仿宋_GB2312" w:cs="Arial"/>
          <w:color w:val="auto"/>
          <w:sz w:val="28"/>
          <w:szCs w:val="28"/>
        </w:rPr>
      </w:pPr>
      <w:r>
        <w:rPr>
          <w:rFonts w:hint="eastAsia" w:ascii="Arial" w:hAnsi="Arial" w:eastAsia="仿宋_GB2312" w:cs="Arial"/>
          <w:color w:val="auto"/>
          <w:sz w:val="28"/>
          <w:szCs w:val="28"/>
        </w:rPr>
        <w:t>在确认基准地价系数修正法、剩余法的测算结果无误的情况下，应根据具体情况选用简单算术平均数、加权算术平均数、中位数、众数等数学方法之一求出一个综合的结果。</w:t>
      </w:r>
    </w:p>
    <w:p w14:paraId="62670731">
      <w:pPr>
        <w:spacing w:line="300" w:lineRule="auto"/>
        <w:ind w:firstLine="556"/>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（1）基准地价系数修正法</w:t>
      </w:r>
    </w:p>
    <w:p w14:paraId="3E6FC514">
      <w:pPr>
        <w:snapToGrid w:val="0"/>
        <w:spacing w:before="120" w:beforeLines="50" w:line="288" w:lineRule="auto"/>
        <w:ind w:firstLine="560" w:firstLineChars="200"/>
        <w:jc w:val="both"/>
        <w:rPr>
          <w:rFonts w:ascii="Arial" w:hAnsi="Arial" w:eastAsia="仿宋_GB2312" w:cs="Arial"/>
          <w:color w:val="auto"/>
          <w:sz w:val="28"/>
          <w:szCs w:val="28"/>
        </w:rPr>
      </w:pPr>
      <w:r>
        <w:rPr>
          <w:rFonts w:ascii="Arial" w:hAnsi="Arial" w:eastAsia="仿宋" w:cs="Arial"/>
          <w:color w:val="auto"/>
          <w:sz w:val="28"/>
        </w:rPr>
        <w:t>首先</w:t>
      </w:r>
      <w:r>
        <w:rPr>
          <w:rFonts w:hint="eastAsia" w:ascii="Arial" w:hAnsi="Arial" w:eastAsia="仿宋" w:cs="Arial"/>
          <w:color w:val="auto"/>
          <w:sz w:val="28"/>
        </w:rPr>
        <w:t>，</w:t>
      </w:r>
      <w:r>
        <w:rPr>
          <w:rFonts w:ascii="Arial" w:hAnsi="Arial" w:eastAsia="仿宋" w:cs="Arial"/>
          <w:color w:val="auto"/>
          <w:sz w:val="28"/>
        </w:rPr>
        <w:t>北京市人民政府于2022年3月14日发布了北京市基准地价更 新成果，基准地价基准期日为2021年1月1日。北京市基准地价更新成果作为政府公示价格，在现行土地估价实际工作中起着重要指导意义，是确定国有建设用地使用权出让价格审定、国有建设用地租赁租金审定、企业改制土地资产价格处置等依据之一。本次评估估价目的为出让方通过集体 决策确定土地出让底价提供参考依据，其估价目的与基准地价系数修正法 适用范围完全吻合。其次，估价对象位于</w:t>
      </w:r>
      <w:r>
        <w:rPr>
          <w:rFonts w:hint="eastAsia" w:ascii="Arial" w:hAnsi="Arial" w:eastAsia="仿宋" w:cs="Arial"/>
          <w:color w:val="auto"/>
          <w:sz w:val="28"/>
        </w:rPr>
        <w:t>顺义区高丽营镇</w:t>
      </w:r>
      <w:r>
        <w:rPr>
          <w:rFonts w:ascii="Arial" w:hAnsi="Arial" w:eastAsia="仿宋" w:cs="Arial"/>
          <w:color w:val="auto"/>
          <w:sz w:val="28"/>
        </w:rPr>
        <w:t>，属于北京市基准地价覆盖范围内，可直观获取基准地价系数修正法所需评估参数，基准地价基准期日（2021年1月1日）距本次估价期日时间虽超过五年，但可通过北京市地价动态监测成果公布的地价指数进行修正以确保在客观市场的适用度，且本次估价在已完成更新的基准地价成果基础上，根据估价对象所在区域实际情况及特点，进行相应因素修正得出</w:t>
      </w:r>
      <w:r>
        <w:rPr>
          <w:rFonts w:hint="eastAsia" w:ascii="Arial" w:hAnsi="Arial" w:eastAsia="仿宋" w:cs="Arial"/>
          <w:color w:val="auto"/>
          <w:sz w:val="28"/>
          <w:lang w:eastAsia="zh-CN"/>
        </w:rPr>
        <w:t>基准地价系数修正法</w:t>
      </w:r>
      <w:r>
        <w:rPr>
          <w:rFonts w:ascii="Arial" w:hAnsi="Arial" w:eastAsia="仿宋" w:cs="Arial"/>
          <w:color w:val="auto"/>
          <w:sz w:val="28"/>
        </w:rPr>
        <w:t>结果，其估价结果具有参考性。</w:t>
      </w:r>
    </w:p>
    <w:p w14:paraId="4D126A4E">
      <w:pPr>
        <w:spacing w:line="300" w:lineRule="auto"/>
        <w:ind w:firstLine="556"/>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（2）剩余法</w:t>
      </w:r>
    </w:p>
    <w:p w14:paraId="53CDB828">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剩余法是在预计开发完成后不动产正常交易价格的基础上，扣除预计 的正常开发成本及有关专业费用、利息、利润和税收等，以价格余额来估 算待估土地价格的方法。</w:t>
      </w:r>
    </w:p>
    <w:p w14:paraId="23D001FD">
      <w:pPr>
        <w:spacing w:line="300" w:lineRule="auto"/>
        <w:ind w:firstLine="556"/>
        <w:jc w:val="both"/>
        <w:rPr>
          <w:rFonts w:ascii="Arial" w:hAnsi="Arial" w:eastAsia="仿宋_GB2312" w:cs="Arial"/>
          <w:color w:val="auto"/>
          <w:sz w:val="28"/>
          <w:szCs w:val="28"/>
        </w:rPr>
      </w:pPr>
      <w:r>
        <w:rPr>
          <w:rFonts w:ascii="Arial" w:hAnsi="Arial" w:eastAsia="仿宋" w:cs="Arial"/>
          <w:color w:val="auto"/>
          <w:sz w:val="28"/>
        </w:rPr>
        <w:t>估价对象属于待开发的项目，规划指标明确，符合城市规划要求，与周边环境相协调，估价对象作为</w:t>
      </w:r>
      <w:r>
        <w:rPr>
          <w:rFonts w:hint="eastAsia" w:ascii="Arial" w:hAnsi="Arial" w:eastAsia="仿宋" w:cs="Arial"/>
          <w:color w:val="auto"/>
          <w:sz w:val="28"/>
        </w:rPr>
        <w:t>R2二类居住用地、A334托幼用地</w:t>
      </w:r>
      <w:r>
        <w:rPr>
          <w:rFonts w:ascii="Arial" w:hAnsi="Arial" w:eastAsia="仿宋" w:cs="Arial"/>
          <w:color w:val="auto"/>
          <w:sz w:val="28"/>
        </w:rPr>
        <w:t>属于该宗地土地的最佳利用（最有效利用），且本次评估所需的数据资料和参数都是可以获取和确定的，符合剩余法使用范围。估价人员根据估价目的、遵循估价原则、按照估价工作程序、利用科学的估价方法，在认真分析现有资料的基础上，经过周密的测算，并结合估价经验详细考虑了影响土地价格的各 项因素确定的估价结果是科学可信的</w:t>
      </w:r>
      <w:r>
        <w:rPr>
          <w:rFonts w:hint="eastAsia" w:ascii="Arial" w:hAnsi="Arial" w:eastAsia="仿宋_GB2312" w:cs="Arial"/>
          <w:color w:val="auto"/>
          <w:sz w:val="28"/>
          <w:szCs w:val="28"/>
        </w:rPr>
        <w:t>。</w:t>
      </w:r>
    </w:p>
    <w:p w14:paraId="16F5C074">
      <w:pPr>
        <w:spacing w:line="300" w:lineRule="auto"/>
        <w:ind w:firstLine="556"/>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2、最终地价确定的依据与方法</w:t>
      </w:r>
    </w:p>
    <w:p w14:paraId="2E37B6E7">
      <w:pPr>
        <w:spacing w:line="300" w:lineRule="auto"/>
        <w:ind w:firstLine="556"/>
        <w:jc w:val="both"/>
        <w:rPr>
          <w:rFonts w:ascii="Arial" w:hAnsi="Arial" w:eastAsia="仿宋_GB2312" w:cs="Arial"/>
          <w:b/>
          <w:bCs/>
          <w:color w:val="auto"/>
          <w:sz w:val="28"/>
          <w:szCs w:val="28"/>
        </w:rPr>
      </w:pPr>
      <w:r>
        <w:rPr>
          <w:rFonts w:hint="eastAsia" w:ascii="Arial" w:hAnsi="Arial" w:eastAsia="仿宋_GB2312" w:cs="Arial"/>
          <w:b/>
          <w:bCs/>
          <w:color w:val="auto"/>
          <w:sz w:val="28"/>
          <w:szCs w:val="28"/>
        </w:rPr>
        <w:t>（1）不出让部分对基准地价系数修正法评估结果影响的分析</w:t>
      </w:r>
    </w:p>
    <w:p w14:paraId="3D578385">
      <w:pPr>
        <w:spacing w:line="300" w:lineRule="auto"/>
        <w:ind w:firstLine="556"/>
        <w:jc w:val="both"/>
        <w:rPr>
          <w:rFonts w:ascii="Arial" w:hAnsi="Arial" w:eastAsia="仿宋_GB2312" w:cs="Arial"/>
          <w:color w:val="auto"/>
          <w:sz w:val="28"/>
          <w:szCs w:val="28"/>
        </w:rPr>
      </w:pPr>
      <w:r>
        <w:rPr>
          <w:rFonts w:ascii="Arial" w:hAnsi="Arial" w:eastAsia="仿宋" w:cs="Arial"/>
          <w:color w:val="auto"/>
          <w:sz w:val="28"/>
          <w:szCs w:val="28"/>
        </w:rPr>
        <w:t>根据</w:t>
      </w:r>
      <w:r>
        <w:rPr>
          <w:rFonts w:hint="eastAsia" w:ascii="Arial" w:hAnsi="Arial" w:eastAsia="仿宋" w:cs="Arial"/>
          <w:color w:val="auto"/>
          <w:sz w:val="28"/>
          <w:szCs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color w:val="auto"/>
          <w:sz w:val="28"/>
          <w:szCs w:val="28"/>
        </w:rPr>
        <w:t>,</w:t>
      </w:r>
      <w:r>
        <w:rPr>
          <w:rFonts w:ascii="Arial" w:hAnsi="Arial" w:eastAsia="仿宋_GB2312" w:cs="Arial"/>
          <w:color w:val="auto"/>
          <w:sz w:val="28"/>
        </w:rPr>
        <w:t>估价对象A334托幼用地建筑规模</w:t>
      </w:r>
      <w:r>
        <w:rPr>
          <w:rFonts w:hint="eastAsia" w:ascii="Arial" w:hAnsi="Arial" w:eastAsia="仿宋_GB2312" w:cs="Arial"/>
          <w:color w:val="auto"/>
          <w:sz w:val="28"/>
        </w:rPr>
        <w:t>3359.98</w:t>
      </w:r>
      <w:r>
        <w:rPr>
          <w:rFonts w:ascii="Arial" w:hAnsi="Arial" w:eastAsia="仿宋_GB2312" w:cs="Arial"/>
          <w:color w:val="auto"/>
          <w:sz w:val="28"/>
        </w:rPr>
        <w:t>平方米不出让，</w:t>
      </w:r>
      <w:r>
        <w:rPr>
          <w:rFonts w:hint="eastAsia" w:ascii="Arial" w:hAnsi="Arial" w:eastAsia="仿宋_GB2312" w:cs="Arial"/>
          <w:color w:val="auto"/>
          <w:sz w:val="28"/>
          <w:szCs w:val="28"/>
        </w:rPr>
        <w:t>本次评估采用的基准地价系数修正法中没有关于代建修正的因素，为确保估价结果的准确性和合理性，需充分考虑代建情况对地价的影响。本次评估采用剩余法时，按照考虑代建及不考虑代建两种情况分别测算出估价对象的楼面地价，并将二者之差作为代建修正值，经测算得出两者的差值为284元/平方米,基准地价系数修正法测算的估价结果可按此差值进行代建因素修正。根据上文，城镇住宅用地基准地价系数修正法测算结果楼面地价为6973元/平方米，考虑代建修正因素后估价结果为楼面地价</w:t>
      </w:r>
      <w:r>
        <w:rPr>
          <w:rFonts w:hint="eastAsia" w:ascii="Arial" w:hAnsi="Arial" w:eastAsia="仿宋" w:cs="Arial"/>
          <w:color w:val="auto"/>
          <w:sz w:val="28"/>
        </w:rPr>
        <w:t>6689</w:t>
      </w:r>
      <w:r>
        <w:rPr>
          <w:rFonts w:hint="eastAsia" w:ascii="Arial" w:hAnsi="Arial" w:eastAsia="仿宋_GB2312" w:cs="Arial"/>
          <w:color w:val="auto"/>
          <w:sz w:val="28"/>
          <w:szCs w:val="28"/>
        </w:rPr>
        <w:t>元/平方米（</w:t>
      </w:r>
      <w:r>
        <w:rPr>
          <w:rFonts w:hint="eastAsia" w:ascii="Arial" w:hAnsi="Arial" w:eastAsia="仿宋" w:cs="Arial"/>
          <w:color w:val="auto"/>
          <w:sz w:val="28"/>
        </w:rPr>
        <w:t>6973</w:t>
      </w:r>
      <w:r>
        <w:rPr>
          <w:rFonts w:hint="eastAsia" w:ascii="Arial" w:hAnsi="Arial" w:eastAsia="仿宋_GB2312" w:cs="Arial"/>
          <w:color w:val="auto"/>
          <w:sz w:val="28"/>
          <w:szCs w:val="28"/>
        </w:rPr>
        <w:t>－（13049－12765）=</w:t>
      </w:r>
      <w:r>
        <w:rPr>
          <w:rFonts w:hint="eastAsia" w:ascii="Arial" w:hAnsi="Arial" w:eastAsia="仿宋" w:cs="Arial"/>
          <w:color w:val="auto"/>
          <w:sz w:val="28"/>
        </w:rPr>
        <w:t>6689</w:t>
      </w:r>
      <w:r>
        <w:rPr>
          <w:rFonts w:hint="eastAsia" w:ascii="Arial" w:hAnsi="Arial" w:eastAsia="仿宋_GB2312" w:cs="Arial"/>
          <w:color w:val="auto"/>
          <w:sz w:val="28"/>
          <w:szCs w:val="28"/>
        </w:rPr>
        <w:t>元/平方米）。</w:t>
      </w:r>
    </w:p>
    <w:p w14:paraId="13896984">
      <w:pPr>
        <w:ind w:firstLine="562" w:firstLineChars="200"/>
        <w:rPr>
          <w:rFonts w:ascii="Arial" w:hAnsi="Arial" w:eastAsia="仿宋_GB2312" w:cs="Arial"/>
          <w:b/>
          <w:bCs/>
          <w:color w:val="auto"/>
          <w:sz w:val="28"/>
          <w:szCs w:val="28"/>
        </w:rPr>
      </w:pPr>
      <w:r>
        <w:rPr>
          <w:rFonts w:hint="eastAsia" w:ascii="Arial" w:hAnsi="Arial" w:eastAsia="仿宋_GB2312" w:cs="Arial"/>
          <w:b/>
          <w:bCs/>
          <w:color w:val="auto"/>
          <w:sz w:val="28"/>
          <w:szCs w:val="28"/>
        </w:rPr>
        <w:t>（2）最终地价确定的依据与方法</w:t>
      </w:r>
    </w:p>
    <w:p w14:paraId="612CB59B">
      <w:pPr>
        <w:spacing w:line="300" w:lineRule="auto"/>
        <w:ind w:firstLine="556"/>
        <w:jc w:val="both"/>
        <w:rPr>
          <w:rFonts w:ascii="Arial" w:hAnsi="Arial" w:eastAsia="仿宋_GB2312" w:cs="Arial"/>
          <w:color w:val="auto"/>
          <w:sz w:val="28"/>
          <w:szCs w:val="28"/>
        </w:rPr>
      </w:pPr>
      <w:r>
        <w:rPr>
          <w:rFonts w:hint="eastAsia" w:ascii="Arial" w:hAnsi="Arial" w:eastAsia="仿宋_GB2312" w:cs="Arial"/>
          <w:color w:val="auto"/>
          <w:sz w:val="28"/>
          <w:szCs w:val="28"/>
        </w:rPr>
        <w:t>根据《北京市国有建设用地使用权出让地价评估技术导则》（2026年2月10日实施），各方法估价结果权重建议如下表:</w:t>
      </w:r>
    </w:p>
    <w:p w14:paraId="6A4EAA1A">
      <w:pPr>
        <w:spacing w:line="300" w:lineRule="auto"/>
        <w:ind w:firstLine="2964" w:firstLineChars="1230"/>
        <w:jc w:val="both"/>
        <w:rPr>
          <w:rFonts w:ascii="Arial" w:hAnsi="Arial" w:eastAsia="仿宋_GB2312" w:cs="Arial"/>
          <w:b/>
          <w:bCs/>
          <w:color w:val="auto"/>
          <w:szCs w:val="24"/>
        </w:rPr>
      </w:pPr>
      <w:r>
        <w:rPr>
          <w:rFonts w:hint="eastAsia" w:ascii="Arial" w:hAnsi="Arial" w:eastAsia="仿宋_GB2312" w:cs="Arial"/>
          <w:b/>
          <w:bCs/>
          <w:color w:val="auto"/>
          <w:szCs w:val="24"/>
        </w:rPr>
        <w:t>各方法估价结果权重建议表</w:t>
      </w:r>
    </w:p>
    <w:tbl>
      <w:tblPr>
        <w:tblStyle w:val="35"/>
        <w:tblW w:w="4994"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574"/>
        <w:gridCol w:w="1711"/>
        <w:gridCol w:w="6274"/>
      </w:tblGrid>
      <w:tr w14:paraId="711E6A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7" w:hRule="atLeast"/>
        </w:trPr>
        <w:tc>
          <w:tcPr>
            <w:tcW w:w="823" w:type="pct"/>
            <w:tcMar>
              <w:top w:w="0" w:type="dxa"/>
              <w:left w:w="108" w:type="dxa"/>
              <w:bottom w:w="0" w:type="dxa"/>
              <w:right w:w="108" w:type="dxa"/>
            </w:tcMar>
            <w:vAlign w:val="center"/>
          </w:tcPr>
          <w:p w14:paraId="23F391C8">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各方法测算结果差异率</w:t>
            </w:r>
          </w:p>
        </w:tc>
        <w:tc>
          <w:tcPr>
            <w:tcW w:w="895" w:type="pct"/>
            <w:tcMar>
              <w:top w:w="0" w:type="dxa"/>
              <w:left w:w="108" w:type="dxa"/>
              <w:bottom w:w="0" w:type="dxa"/>
              <w:right w:w="108" w:type="dxa"/>
            </w:tcMar>
            <w:vAlign w:val="center"/>
          </w:tcPr>
          <w:p w14:paraId="73F04794">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估价结果确定可采用的方法</w:t>
            </w:r>
          </w:p>
        </w:tc>
        <w:tc>
          <w:tcPr>
            <w:tcW w:w="3280" w:type="pct"/>
            <w:tcMar>
              <w:top w:w="0" w:type="dxa"/>
              <w:left w:w="108" w:type="dxa"/>
              <w:bottom w:w="0" w:type="dxa"/>
              <w:right w:w="108" w:type="dxa"/>
            </w:tcMar>
            <w:vAlign w:val="center"/>
          </w:tcPr>
          <w:p w14:paraId="70A3AA57">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权重取值可采取比例</w:t>
            </w:r>
          </w:p>
        </w:tc>
      </w:tr>
      <w:tr w14:paraId="680939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823" w:type="pct"/>
            <w:tcMar>
              <w:top w:w="0" w:type="dxa"/>
              <w:left w:w="108" w:type="dxa"/>
              <w:bottom w:w="0" w:type="dxa"/>
              <w:right w:w="108" w:type="dxa"/>
            </w:tcMar>
            <w:vAlign w:val="center"/>
          </w:tcPr>
          <w:p w14:paraId="3E5A02D3">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小于等于10</w:t>
            </w:r>
            <w:r>
              <w:rPr>
                <w:rFonts w:hint="eastAsia" w:ascii="Arial" w:hAnsi="Arial" w:eastAsia="仿宋_GB2312" w:cs="Arial"/>
                <w:color w:val="auto"/>
                <w:sz w:val="21"/>
                <w:szCs w:val="21"/>
              </w:rPr>
              <w:t>%</w:t>
            </w:r>
          </w:p>
        </w:tc>
        <w:tc>
          <w:tcPr>
            <w:tcW w:w="895" w:type="pct"/>
            <w:tcMar>
              <w:top w:w="0" w:type="dxa"/>
              <w:left w:w="108" w:type="dxa"/>
              <w:bottom w:w="0" w:type="dxa"/>
              <w:right w:w="108" w:type="dxa"/>
            </w:tcMar>
            <w:vAlign w:val="center"/>
          </w:tcPr>
          <w:p w14:paraId="26978530">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原则</w:t>
            </w:r>
            <w:r>
              <w:rPr>
                <w:rFonts w:ascii="Arial" w:hAnsi="Arial" w:eastAsia="仿宋_GB2312" w:cs="Arial"/>
                <w:color w:val="auto"/>
                <w:sz w:val="21"/>
                <w:szCs w:val="21"/>
              </w:rPr>
              <w:t>上采用简单算术平均</w:t>
            </w:r>
          </w:p>
        </w:tc>
        <w:tc>
          <w:tcPr>
            <w:tcW w:w="3280" w:type="pct"/>
            <w:tcMar>
              <w:top w:w="0" w:type="dxa"/>
              <w:left w:w="108" w:type="dxa"/>
              <w:bottom w:w="0" w:type="dxa"/>
              <w:right w:w="108" w:type="dxa"/>
            </w:tcMar>
            <w:vAlign w:val="center"/>
          </w:tcPr>
          <w:p w14:paraId="37661D7B">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采用两种</w:t>
            </w:r>
            <w:r>
              <w:rPr>
                <w:rFonts w:hint="eastAsia" w:ascii="Arial" w:hAnsi="Arial" w:eastAsia="仿宋_GB2312" w:cs="Arial"/>
                <w:color w:val="auto"/>
                <w:sz w:val="21"/>
                <w:szCs w:val="21"/>
              </w:rPr>
              <w:t>估价方法</w:t>
            </w:r>
            <w:r>
              <w:rPr>
                <w:rFonts w:ascii="Arial" w:hAnsi="Arial" w:eastAsia="仿宋_GB2312" w:cs="Arial"/>
                <w:color w:val="auto"/>
                <w:sz w:val="21"/>
                <w:szCs w:val="21"/>
              </w:rPr>
              <w:t>时，权重各取50</w:t>
            </w:r>
            <w:r>
              <w:rPr>
                <w:rFonts w:hint="eastAsia" w:ascii="Arial" w:hAnsi="Arial" w:eastAsia="仿宋_GB2312" w:cs="Arial"/>
                <w:color w:val="auto"/>
                <w:sz w:val="21"/>
                <w:szCs w:val="21"/>
              </w:rPr>
              <w:t>%</w:t>
            </w:r>
          </w:p>
        </w:tc>
      </w:tr>
      <w:tr w14:paraId="2DBA9B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823" w:type="pct"/>
            <w:tcMar>
              <w:top w:w="0" w:type="dxa"/>
              <w:left w:w="108" w:type="dxa"/>
              <w:bottom w:w="0" w:type="dxa"/>
              <w:right w:w="108" w:type="dxa"/>
            </w:tcMar>
            <w:vAlign w:val="center"/>
          </w:tcPr>
          <w:p w14:paraId="76612A99">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大于10</w:t>
            </w:r>
            <w:r>
              <w:rPr>
                <w:rFonts w:hint="eastAsia" w:ascii="Arial" w:hAnsi="Arial" w:eastAsia="仿宋_GB2312" w:cs="Arial"/>
                <w:color w:val="auto"/>
                <w:sz w:val="21"/>
                <w:szCs w:val="21"/>
              </w:rPr>
              <w:t>%</w:t>
            </w:r>
            <w:r>
              <w:rPr>
                <w:rFonts w:ascii="Arial" w:hAnsi="Arial" w:eastAsia="仿宋_GB2312" w:cs="Arial"/>
                <w:color w:val="auto"/>
                <w:sz w:val="21"/>
                <w:szCs w:val="21"/>
              </w:rPr>
              <w:t>，小于等于30</w:t>
            </w:r>
            <w:r>
              <w:rPr>
                <w:rFonts w:hint="eastAsia" w:ascii="Arial" w:hAnsi="Arial" w:eastAsia="仿宋_GB2312" w:cs="Arial"/>
                <w:color w:val="auto"/>
                <w:sz w:val="21"/>
                <w:szCs w:val="21"/>
              </w:rPr>
              <w:t>%</w:t>
            </w:r>
          </w:p>
        </w:tc>
        <w:tc>
          <w:tcPr>
            <w:tcW w:w="895" w:type="pct"/>
            <w:tcMar>
              <w:top w:w="0" w:type="dxa"/>
              <w:left w:w="108" w:type="dxa"/>
              <w:bottom w:w="0" w:type="dxa"/>
              <w:right w:w="108" w:type="dxa"/>
            </w:tcMar>
            <w:vAlign w:val="center"/>
          </w:tcPr>
          <w:p w14:paraId="3F7927AA">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原则上采用加权算术平均</w:t>
            </w:r>
            <w:r>
              <w:rPr>
                <w:rFonts w:hint="eastAsia" w:ascii="Arial" w:hAnsi="Arial" w:eastAsia="仿宋_GB2312" w:cs="Arial"/>
                <w:color w:val="auto"/>
                <w:sz w:val="21"/>
                <w:szCs w:val="21"/>
              </w:rPr>
              <w:t>，</w:t>
            </w:r>
            <w:r>
              <w:rPr>
                <w:rFonts w:ascii="Arial" w:hAnsi="Arial" w:eastAsia="仿宋_GB2312" w:cs="Arial"/>
                <w:color w:val="auto"/>
                <w:sz w:val="21"/>
                <w:szCs w:val="21"/>
              </w:rPr>
              <w:t>当采用简单算术平均时</w:t>
            </w:r>
            <w:r>
              <w:rPr>
                <w:rFonts w:hint="eastAsia" w:ascii="Arial" w:hAnsi="Arial" w:eastAsia="仿宋_GB2312" w:cs="Arial"/>
                <w:color w:val="auto"/>
                <w:sz w:val="21"/>
                <w:szCs w:val="21"/>
              </w:rPr>
              <w:t>，</w:t>
            </w:r>
            <w:r>
              <w:rPr>
                <w:rFonts w:ascii="Arial" w:hAnsi="Arial" w:eastAsia="仿宋_GB2312" w:cs="Arial"/>
                <w:color w:val="auto"/>
                <w:sz w:val="21"/>
                <w:szCs w:val="21"/>
              </w:rPr>
              <w:t>应说明理由</w:t>
            </w:r>
          </w:p>
        </w:tc>
        <w:tc>
          <w:tcPr>
            <w:tcW w:w="3280" w:type="pct"/>
            <w:tcMar>
              <w:top w:w="0" w:type="dxa"/>
              <w:left w:w="108" w:type="dxa"/>
              <w:bottom w:w="0" w:type="dxa"/>
              <w:right w:w="108" w:type="dxa"/>
            </w:tcMar>
            <w:vAlign w:val="center"/>
          </w:tcPr>
          <w:p w14:paraId="771B19CA">
            <w:pPr>
              <w:spacing w:line="240" w:lineRule="auto"/>
              <w:ind w:firstLine="420" w:firstLineChars="200"/>
              <w:jc w:val="center"/>
              <w:rPr>
                <w:rFonts w:ascii="Arial" w:hAnsi="Arial" w:eastAsia="仿宋_GB2312" w:cs="Arial"/>
                <w:color w:val="auto"/>
                <w:sz w:val="21"/>
                <w:szCs w:val="21"/>
              </w:rPr>
            </w:pPr>
            <w:r>
              <w:rPr>
                <w:rFonts w:hint="eastAsia" w:ascii="Arial" w:hAnsi="Arial" w:eastAsia="仿宋_GB2312" w:cs="Arial"/>
                <w:color w:val="auto"/>
                <w:sz w:val="21"/>
                <w:szCs w:val="21"/>
              </w:rPr>
              <w:t>采用加权算术平均时，</w:t>
            </w:r>
            <w:r>
              <w:rPr>
                <w:rFonts w:ascii="Arial" w:hAnsi="Arial" w:eastAsia="仿宋_GB2312" w:cs="Arial"/>
                <w:color w:val="auto"/>
                <w:sz w:val="21"/>
                <w:szCs w:val="21"/>
              </w:rPr>
              <w:t>土地估价专业评估师</w:t>
            </w:r>
            <w:r>
              <w:rPr>
                <w:rFonts w:hint="eastAsia" w:ascii="Arial" w:hAnsi="Arial" w:eastAsia="仿宋_GB2312" w:cs="Arial"/>
                <w:color w:val="auto"/>
                <w:sz w:val="21"/>
                <w:szCs w:val="21"/>
              </w:rPr>
              <w:t>要对权重加以分析，</w:t>
            </w:r>
            <w:r>
              <w:rPr>
                <w:rFonts w:ascii="Arial" w:hAnsi="Arial" w:eastAsia="仿宋_GB2312" w:cs="Arial"/>
                <w:color w:val="auto"/>
                <w:sz w:val="21"/>
                <w:szCs w:val="21"/>
              </w:rPr>
              <w:t>在对每种方法的</w:t>
            </w:r>
            <w:r>
              <w:rPr>
                <w:rFonts w:hint="eastAsia" w:ascii="Arial" w:hAnsi="Arial" w:eastAsia="仿宋_GB2312" w:cs="Arial"/>
                <w:color w:val="auto"/>
                <w:sz w:val="21"/>
                <w:szCs w:val="21"/>
              </w:rPr>
              <w:t>测算</w:t>
            </w:r>
            <w:r>
              <w:rPr>
                <w:rFonts w:ascii="Arial" w:hAnsi="Arial" w:eastAsia="仿宋_GB2312" w:cs="Arial"/>
                <w:color w:val="auto"/>
                <w:sz w:val="21"/>
                <w:szCs w:val="21"/>
              </w:rPr>
              <w:t>结果可信度分析基础上，合理确定每种方法的权重，</w:t>
            </w:r>
            <w:r>
              <w:rPr>
                <w:rFonts w:hint="eastAsia" w:ascii="Arial" w:hAnsi="Arial" w:eastAsia="仿宋_GB2312" w:cs="Arial"/>
                <w:color w:val="auto"/>
                <w:sz w:val="21"/>
                <w:szCs w:val="21"/>
              </w:rPr>
              <w:t>任一方法测算结果的权重不宜为0。</w:t>
            </w:r>
          </w:p>
          <w:p w14:paraId="2EC02574">
            <w:pPr>
              <w:spacing w:line="240" w:lineRule="auto"/>
              <w:ind w:firstLine="420" w:firstLineChars="200"/>
              <w:jc w:val="center"/>
              <w:rPr>
                <w:rFonts w:ascii="Arial" w:hAnsi="Arial" w:eastAsia="仿宋_GB2312" w:cs="Arial"/>
                <w:color w:val="auto"/>
                <w:sz w:val="21"/>
                <w:szCs w:val="21"/>
              </w:rPr>
            </w:pPr>
            <w:r>
              <w:rPr>
                <w:rFonts w:hint="eastAsia" w:ascii="Arial" w:hAnsi="Arial" w:eastAsia="仿宋_GB2312" w:cs="Arial"/>
                <w:color w:val="auto"/>
                <w:sz w:val="21"/>
                <w:szCs w:val="21"/>
              </w:rPr>
              <w:t>其中商业类、办公类、公共服务类、工业类用地每种方法的权重不宜低于20%，住宅类用地每种方法的权重不宜低于30%。</w:t>
            </w:r>
          </w:p>
        </w:tc>
      </w:tr>
      <w:tr w14:paraId="7BC350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7" w:hRule="atLeast"/>
        </w:trPr>
        <w:tc>
          <w:tcPr>
            <w:tcW w:w="823" w:type="pct"/>
            <w:tcMar>
              <w:top w:w="0" w:type="dxa"/>
              <w:left w:w="108" w:type="dxa"/>
              <w:bottom w:w="0" w:type="dxa"/>
              <w:right w:w="108" w:type="dxa"/>
            </w:tcMar>
            <w:vAlign w:val="center"/>
          </w:tcPr>
          <w:p w14:paraId="49115486">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大于30</w:t>
            </w:r>
            <w:r>
              <w:rPr>
                <w:rFonts w:hint="eastAsia" w:ascii="Arial" w:hAnsi="Arial" w:eastAsia="仿宋_GB2312" w:cs="Arial"/>
                <w:color w:val="auto"/>
                <w:sz w:val="21"/>
                <w:szCs w:val="21"/>
              </w:rPr>
              <w:t>%</w:t>
            </w:r>
          </w:p>
        </w:tc>
        <w:tc>
          <w:tcPr>
            <w:tcW w:w="895" w:type="pct"/>
            <w:tcMar>
              <w:top w:w="0" w:type="dxa"/>
              <w:left w:w="108" w:type="dxa"/>
              <w:bottom w:w="0" w:type="dxa"/>
              <w:right w:w="108" w:type="dxa"/>
            </w:tcMar>
            <w:vAlign w:val="center"/>
          </w:tcPr>
          <w:p w14:paraId="74131CD3">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w:t>
            </w:r>
          </w:p>
        </w:tc>
        <w:tc>
          <w:tcPr>
            <w:tcW w:w="3280" w:type="pct"/>
            <w:tcMar>
              <w:top w:w="0" w:type="dxa"/>
              <w:left w:w="108" w:type="dxa"/>
              <w:bottom w:w="0" w:type="dxa"/>
              <w:right w:w="108" w:type="dxa"/>
            </w:tcMar>
            <w:vAlign w:val="center"/>
          </w:tcPr>
          <w:p w14:paraId="0A9383D1">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对</w:t>
            </w:r>
            <w:r>
              <w:rPr>
                <w:rFonts w:ascii="Arial" w:hAnsi="Arial" w:eastAsia="仿宋_GB2312" w:cs="Arial"/>
                <w:color w:val="auto"/>
                <w:sz w:val="21"/>
                <w:szCs w:val="21"/>
              </w:rPr>
              <w:t>权重进行充分论证后使用</w:t>
            </w:r>
          </w:p>
        </w:tc>
      </w:tr>
      <w:tr w14:paraId="3CDFF5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823" w:type="pct"/>
            <w:tcMar>
              <w:top w:w="0" w:type="dxa"/>
              <w:left w:w="108" w:type="dxa"/>
              <w:bottom w:w="0" w:type="dxa"/>
              <w:right w:w="108" w:type="dxa"/>
            </w:tcMar>
            <w:vAlign w:val="center"/>
          </w:tcPr>
          <w:p w14:paraId="0F195645">
            <w:pPr>
              <w:spacing w:line="240" w:lineRule="auto"/>
              <w:jc w:val="center"/>
              <w:rPr>
                <w:rFonts w:ascii="Arial" w:hAnsi="Arial" w:eastAsia="仿宋_GB2312" w:cs="Arial"/>
                <w:color w:val="auto"/>
                <w:sz w:val="21"/>
                <w:szCs w:val="21"/>
              </w:rPr>
            </w:pPr>
            <w:r>
              <w:rPr>
                <w:rFonts w:ascii="Arial" w:hAnsi="Arial" w:eastAsia="仿宋_GB2312" w:cs="Arial"/>
                <w:color w:val="auto"/>
                <w:sz w:val="21"/>
                <w:szCs w:val="21"/>
              </w:rPr>
              <w:t>备注</w:t>
            </w:r>
          </w:p>
        </w:tc>
        <w:tc>
          <w:tcPr>
            <w:tcW w:w="4176" w:type="pct"/>
            <w:gridSpan w:val="2"/>
            <w:tcMar>
              <w:top w:w="0" w:type="dxa"/>
              <w:left w:w="108" w:type="dxa"/>
              <w:bottom w:w="0" w:type="dxa"/>
              <w:right w:w="108" w:type="dxa"/>
            </w:tcMar>
            <w:vAlign w:val="center"/>
          </w:tcPr>
          <w:p w14:paraId="04B52D66">
            <w:pPr>
              <w:spacing w:line="240" w:lineRule="auto"/>
              <w:jc w:val="center"/>
              <w:rPr>
                <w:rFonts w:ascii="Arial" w:hAnsi="Arial" w:eastAsia="仿宋_GB2312" w:cs="Arial"/>
                <w:color w:val="auto"/>
                <w:sz w:val="21"/>
                <w:szCs w:val="21"/>
              </w:rPr>
            </w:pPr>
            <w:r>
              <w:rPr>
                <w:rFonts w:hint="eastAsia" w:ascii="Arial" w:hAnsi="Arial" w:eastAsia="仿宋_GB2312" w:cs="Arial"/>
                <w:color w:val="auto"/>
                <w:sz w:val="21"/>
                <w:szCs w:val="21"/>
              </w:rPr>
              <w:t>测算</w:t>
            </w:r>
            <w:r>
              <w:rPr>
                <w:rFonts w:ascii="Arial" w:hAnsi="Arial" w:eastAsia="仿宋_GB2312" w:cs="Arial"/>
                <w:color w:val="auto"/>
                <w:sz w:val="21"/>
                <w:szCs w:val="21"/>
              </w:rPr>
              <w:t>结果差异率=（高值－低值）/低值</w:t>
            </w:r>
          </w:p>
        </w:tc>
      </w:tr>
    </w:tbl>
    <w:p w14:paraId="1ACFB881">
      <w:pPr>
        <w:spacing w:before="240" w:beforeLines="100" w:line="300" w:lineRule="auto"/>
        <w:ind w:firstLine="560" w:firstLineChars="200"/>
        <w:jc w:val="both"/>
        <w:rPr>
          <w:rFonts w:ascii="Arial" w:hAnsi="Arial" w:eastAsia="仿宋" w:cs="Arial"/>
          <w:color w:val="auto"/>
          <w:sz w:val="28"/>
          <w:szCs w:val="28"/>
        </w:rPr>
      </w:pPr>
      <w:r>
        <w:rPr>
          <w:rFonts w:hint="eastAsia" w:ascii="Arial" w:hAnsi="Arial" w:eastAsia="仿宋_GB2312" w:cs="Arial"/>
          <w:color w:val="auto"/>
          <w:sz w:val="28"/>
          <w:szCs w:val="28"/>
        </w:rPr>
        <w:t>根据上述原则，通过测算，本次评估估价对象城镇住宅用地，基准地价系数修正法、剩余法两种评估方法结果差异率为91%，需对权重进行论证；其他商业服务业用地基准地价系数修正法、剩余法两种评估方法结果差异率为16%，需对权重进行论证；公共管理与公共服务用地基准地价系数修正法、剩余法两种评估方法结果差异率为3%，采用简单算术平均法。在确认两种方法的测算结果无误的情况下，各用途方法权重确定过程具体如下：</w:t>
      </w:r>
    </w:p>
    <w:p w14:paraId="5CBC7790">
      <w:pPr>
        <w:spacing w:line="300" w:lineRule="auto"/>
        <w:ind w:left="260" w:leftChars="50" w:hanging="140" w:hangingChars="50"/>
        <w:jc w:val="center"/>
        <w:rPr>
          <w:rFonts w:ascii="Arial" w:hAnsi="Arial" w:eastAsia="仿宋_GB2312" w:cs="Arial"/>
          <w:color w:val="auto"/>
          <w:sz w:val="28"/>
          <w:szCs w:val="28"/>
        </w:rPr>
      </w:pPr>
      <w:r>
        <w:rPr>
          <w:rFonts w:hint="eastAsia" w:ascii="Arial" w:hAnsi="Arial" w:eastAsia="仿宋" w:cs="Arial"/>
          <w:color w:val="auto"/>
          <w:sz w:val="28"/>
          <w:szCs w:val="28"/>
        </w:rPr>
        <w:t>城镇住宅用地、</w:t>
      </w:r>
      <w:r>
        <w:rPr>
          <w:rFonts w:hint="eastAsia" w:ascii="Arial" w:hAnsi="Arial" w:eastAsia="仿宋_GB2312" w:cs="Arial"/>
          <w:color w:val="auto"/>
          <w:sz w:val="28"/>
          <w:szCs w:val="28"/>
        </w:rPr>
        <w:t>其他商业服务业用地</w:t>
      </w:r>
      <w:r>
        <w:rPr>
          <w:rFonts w:ascii="Arial" w:hAnsi="Arial" w:eastAsia="仿宋_GB2312" w:cs="Arial"/>
          <w:color w:val="auto"/>
          <w:sz w:val="28"/>
          <w:szCs w:val="28"/>
        </w:rPr>
        <w:t>用途权重确定打分评价体系</w:t>
      </w:r>
    </w:p>
    <w:tbl>
      <w:tblPr>
        <w:tblStyle w:val="34"/>
        <w:tblW w:w="9072"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990"/>
        <w:gridCol w:w="708"/>
        <w:gridCol w:w="5529"/>
        <w:gridCol w:w="992"/>
        <w:gridCol w:w="853"/>
      </w:tblGrid>
      <w:tr w14:paraId="67114A7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blHeader/>
          <w:jc w:val="center"/>
        </w:trPr>
        <w:tc>
          <w:tcPr>
            <w:tcW w:w="990" w:type="dxa"/>
            <w:vMerge w:val="restart"/>
            <w:shd w:val="clear" w:color="auto" w:fill="auto"/>
            <w:noWrap/>
            <w:vAlign w:val="center"/>
          </w:tcPr>
          <w:p w14:paraId="33C70480">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评价因素</w:t>
            </w:r>
          </w:p>
        </w:tc>
        <w:tc>
          <w:tcPr>
            <w:tcW w:w="708" w:type="dxa"/>
            <w:vMerge w:val="restart"/>
            <w:shd w:val="clear" w:color="auto" w:fill="auto"/>
            <w:noWrap/>
            <w:vAlign w:val="center"/>
          </w:tcPr>
          <w:p w14:paraId="63A25828">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标准分值</w:t>
            </w:r>
          </w:p>
        </w:tc>
        <w:tc>
          <w:tcPr>
            <w:tcW w:w="5529" w:type="dxa"/>
            <w:vMerge w:val="restart"/>
            <w:shd w:val="clear" w:color="auto" w:fill="auto"/>
            <w:noWrap/>
            <w:vAlign w:val="center"/>
          </w:tcPr>
          <w:p w14:paraId="05E0AB0B">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打分考虑因素</w:t>
            </w:r>
          </w:p>
        </w:tc>
        <w:tc>
          <w:tcPr>
            <w:tcW w:w="1845" w:type="dxa"/>
            <w:gridSpan w:val="2"/>
            <w:shd w:val="clear" w:color="auto" w:fill="auto"/>
            <w:noWrap/>
            <w:vAlign w:val="center"/>
          </w:tcPr>
          <w:p w14:paraId="5505C632">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估价对象</w:t>
            </w:r>
          </w:p>
        </w:tc>
      </w:tr>
      <w:tr w14:paraId="2BB7E78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03" w:hRule="atLeast"/>
          <w:tblHeader/>
          <w:jc w:val="center"/>
        </w:trPr>
        <w:tc>
          <w:tcPr>
            <w:tcW w:w="990" w:type="dxa"/>
            <w:vMerge w:val="continue"/>
            <w:vAlign w:val="center"/>
          </w:tcPr>
          <w:p w14:paraId="25555226">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33223D06">
            <w:pPr>
              <w:widowControl/>
              <w:adjustRightInd/>
              <w:spacing w:line="240" w:lineRule="atLeast"/>
              <w:textAlignment w:val="auto"/>
              <w:rPr>
                <w:rFonts w:ascii="Arial" w:hAnsi="Arial" w:eastAsia="仿宋_GB2312" w:cs="Arial"/>
                <w:color w:val="auto"/>
                <w:szCs w:val="24"/>
              </w:rPr>
            </w:pPr>
          </w:p>
        </w:tc>
        <w:tc>
          <w:tcPr>
            <w:tcW w:w="5529" w:type="dxa"/>
            <w:vMerge w:val="continue"/>
            <w:vAlign w:val="center"/>
          </w:tcPr>
          <w:p w14:paraId="34121897">
            <w:pPr>
              <w:widowControl/>
              <w:adjustRightInd/>
              <w:spacing w:line="240" w:lineRule="atLeast"/>
              <w:textAlignment w:val="auto"/>
              <w:rPr>
                <w:rFonts w:ascii="Arial" w:hAnsi="Arial" w:eastAsia="仿宋_GB2312" w:cs="Arial"/>
                <w:color w:val="auto"/>
                <w:szCs w:val="24"/>
              </w:rPr>
            </w:pPr>
          </w:p>
        </w:tc>
        <w:tc>
          <w:tcPr>
            <w:tcW w:w="992" w:type="dxa"/>
            <w:shd w:val="clear" w:color="auto" w:fill="auto"/>
            <w:noWrap/>
            <w:vAlign w:val="center"/>
          </w:tcPr>
          <w:p w14:paraId="46AC2385">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853" w:type="dxa"/>
            <w:shd w:val="clear" w:color="auto" w:fill="auto"/>
            <w:noWrap/>
            <w:vAlign w:val="center"/>
          </w:tcPr>
          <w:p w14:paraId="4E3C4C3A">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剩余法</w:t>
            </w:r>
          </w:p>
        </w:tc>
      </w:tr>
      <w:tr w14:paraId="7520B6F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080225E4">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估价方法的代表性</w:t>
            </w:r>
          </w:p>
        </w:tc>
        <w:tc>
          <w:tcPr>
            <w:tcW w:w="708" w:type="dxa"/>
            <w:vMerge w:val="restart"/>
            <w:shd w:val="clear" w:color="auto" w:fill="auto"/>
            <w:noWrap/>
            <w:vAlign w:val="center"/>
          </w:tcPr>
          <w:p w14:paraId="576EFF78">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25</w:t>
            </w:r>
          </w:p>
        </w:tc>
        <w:tc>
          <w:tcPr>
            <w:tcW w:w="5529" w:type="dxa"/>
            <w:shd w:val="clear" w:color="auto" w:fill="auto"/>
            <w:noWrap/>
            <w:vAlign w:val="center"/>
          </w:tcPr>
          <w:p w14:paraId="43EC7BCA">
            <w:pPr>
              <w:spacing w:line="240" w:lineRule="atLeast"/>
              <w:rPr>
                <w:rFonts w:ascii="Arial" w:hAnsi="Arial" w:eastAsia="仿宋_GB2312" w:cs="Arial"/>
                <w:color w:val="auto"/>
                <w:szCs w:val="24"/>
              </w:rPr>
            </w:pPr>
            <w:r>
              <w:rPr>
                <w:rFonts w:ascii="Arial" w:hAnsi="Arial" w:eastAsia="仿宋_GB2312" w:cs="Arial"/>
                <w:color w:val="auto"/>
                <w:szCs w:val="24"/>
              </w:rPr>
              <w:t>1.估价方法选取分析充分、合理，取20～25分；</w:t>
            </w:r>
          </w:p>
        </w:tc>
        <w:tc>
          <w:tcPr>
            <w:tcW w:w="992" w:type="dxa"/>
            <w:vMerge w:val="restart"/>
            <w:shd w:val="clear" w:color="auto" w:fill="auto"/>
            <w:noWrap/>
            <w:vAlign w:val="center"/>
          </w:tcPr>
          <w:p w14:paraId="570A84D6">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11</w:t>
            </w:r>
          </w:p>
        </w:tc>
        <w:tc>
          <w:tcPr>
            <w:tcW w:w="853" w:type="dxa"/>
            <w:vMerge w:val="restart"/>
            <w:shd w:val="clear" w:color="auto" w:fill="auto"/>
            <w:noWrap/>
            <w:vAlign w:val="center"/>
          </w:tcPr>
          <w:p w14:paraId="5D55709C">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20</w:t>
            </w:r>
          </w:p>
        </w:tc>
      </w:tr>
      <w:tr w14:paraId="10B369A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6095EF92">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5BD20C12">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1745070F">
            <w:pPr>
              <w:spacing w:line="240" w:lineRule="atLeast"/>
              <w:rPr>
                <w:rFonts w:ascii="Arial" w:hAnsi="Arial" w:eastAsia="仿宋_GB2312" w:cs="Arial"/>
                <w:color w:val="auto"/>
                <w:szCs w:val="24"/>
              </w:rPr>
            </w:pPr>
            <w:r>
              <w:rPr>
                <w:rFonts w:ascii="Arial" w:hAnsi="Arial" w:eastAsia="仿宋_GB2312" w:cs="Arial"/>
                <w:color w:val="auto"/>
                <w:szCs w:val="24"/>
              </w:rPr>
              <w:t>2.估价方法选取分析较充分、合理，取10～19分；</w:t>
            </w:r>
          </w:p>
        </w:tc>
        <w:tc>
          <w:tcPr>
            <w:tcW w:w="992" w:type="dxa"/>
            <w:vMerge w:val="continue"/>
            <w:vAlign w:val="center"/>
          </w:tcPr>
          <w:p w14:paraId="370D8649">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5A27CF1D">
            <w:pPr>
              <w:widowControl/>
              <w:adjustRightInd/>
              <w:spacing w:line="240" w:lineRule="atLeast"/>
              <w:textAlignment w:val="auto"/>
              <w:rPr>
                <w:rFonts w:ascii="Arial" w:hAnsi="Arial" w:eastAsia="仿宋_GB2312" w:cs="Arial"/>
                <w:color w:val="auto"/>
                <w:szCs w:val="24"/>
              </w:rPr>
            </w:pPr>
          </w:p>
        </w:tc>
      </w:tr>
      <w:tr w14:paraId="2E4C944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1558E030">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453FB6F9">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4328277D">
            <w:pPr>
              <w:spacing w:line="240" w:lineRule="atLeast"/>
              <w:rPr>
                <w:rFonts w:ascii="Arial" w:hAnsi="Arial" w:eastAsia="仿宋_GB2312" w:cs="Arial"/>
                <w:color w:val="auto"/>
                <w:szCs w:val="24"/>
              </w:rPr>
            </w:pPr>
            <w:r>
              <w:rPr>
                <w:rFonts w:ascii="Arial" w:hAnsi="Arial" w:eastAsia="仿宋_GB2312" w:cs="Arial"/>
                <w:color w:val="auto"/>
                <w:szCs w:val="24"/>
              </w:rPr>
              <w:t>3.估价方法选取分析较不充分，取0～9分；</w:t>
            </w:r>
          </w:p>
        </w:tc>
        <w:tc>
          <w:tcPr>
            <w:tcW w:w="992" w:type="dxa"/>
            <w:vMerge w:val="continue"/>
            <w:vAlign w:val="center"/>
          </w:tcPr>
          <w:p w14:paraId="789D386F">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21C5741D">
            <w:pPr>
              <w:widowControl/>
              <w:adjustRightInd/>
              <w:spacing w:line="240" w:lineRule="atLeast"/>
              <w:textAlignment w:val="auto"/>
              <w:rPr>
                <w:rFonts w:ascii="Arial" w:hAnsi="Arial" w:eastAsia="仿宋_GB2312" w:cs="Arial"/>
                <w:color w:val="auto"/>
                <w:szCs w:val="24"/>
              </w:rPr>
            </w:pPr>
          </w:p>
        </w:tc>
      </w:tr>
      <w:tr w14:paraId="7537EFF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3B44327D">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估价方法所要求的估价资料的完整性</w:t>
            </w:r>
          </w:p>
        </w:tc>
        <w:tc>
          <w:tcPr>
            <w:tcW w:w="708" w:type="dxa"/>
            <w:vMerge w:val="restart"/>
            <w:shd w:val="clear" w:color="auto" w:fill="auto"/>
            <w:vAlign w:val="center"/>
          </w:tcPr>
          <w:p w14:paraId="4D1F61D1">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c>
          <w:tcPr>
            <w:tcW w:w="5529" w:type="dxa"/>
            <w:shd w:val="clear" w:color="auto" w:fill="auto"/>
            <w:noWrap/>
            <w:vAlign w:val="center"/>
          </w:tcPr>
          <w:p w14:paraId="57356CFD">
            <w:pPr>
              <w:spacing w:line="240" w:lineRule="atLeast"/>
              <w:rPr>
                <w:rFonts w:ascii="Arial" w:hAnsi="Arial" w:eastAsia="仿宋_GB2312" w:cs="Arial"/>
                <w:color w:val="auto"/>
                <w:szCs w:val="24"/>
              </w:rPr>
            </w:pPr>
            <w:r>
              <w:rPr>
                <w:rFonts w:ascii="Arial" w:hAnsi="Arial" w:eastAsia="仿宋_GB2312" w:cs="Arial"/>
                <w:color w:val="auto"/>
                <w:szCs w:val="24"/>
              </w:rPr>
              <w:t>1.估价资料完整，来源依据充分，取10～15分；</w:t>
            </w:r>
          </w:p>
        </w:tc>
        <w:tc>
          <w:tcPr>
            <w:tcW w:w="992" w:type="dxa"/>
            <w:vMerge w:val="restart"/>
            <w:shd w:val="clear" w:color="auto" w:fill="auto"/>
            <w:noWrap/>
            <w:vAlign w:val="center"/>
          </w:tcPr>
          <w:p w14:paraId="28C3643F">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7</w:t>
            </w:r>
          </w:p>
        </w:tc>
        <w:tc>
          <w:tcPr>
            <w:tcW w:w="853" w:type="dxa"/>
            <w:vMerge w:val="restart"/>
            <w:shd w:val="clear" w:color="auto" w:fill="auto"/>
            <w:noWrap/>
            <w:vAlign w:val="center"/>
          </w:tcPr>
          <w:p w14:paraId="57293EB7">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r>
      <w:tr w14:paraId="5CFC488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0F920B6F">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59F6E42E">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5F720862">
            <w:pPr>
              <w:spacing w:line="240" w:lineRule="atLeast"/>
              <w:rPr>
                <w:rFonts w:ascii="Arial" w:hAnsi="Arial" w:eastAsia="仿宋_GB2312" w:cs="Arial"/>
                <w:color w:val="auto"/>
                <w:szCs w:val="24"/>
              </w:rPr>
            </w:pPr>
            <w:r>
              <w:rPr>
                <w:rFonts w:ascii="Arial" w:hAnsi="Arial" w:eastAsia="仿宋_GB2312" w:cs="Arial"/>
                <w:color w:val="auto"/>
                <w:szCs w:val="24"/>
              </w:rPr>
              <w:t>2.估价资料有欠缺，来源依据较不充分，取0～9分；</w:t>
            </w:r>
          </w:p>
        </w:tc>
        <w:tc>
          <w:tcPr>
            <w:tcW w:w="992" w:type="dxa"/>
            <w:vMerge w:val="continue"/>
            <w:vAlign w:val="center"/>
          </w:tcPr>
          <w:p w14:paraId="3854D4BF">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435DCFEC">
            <w:pPr>
              <w:widowControl/>
              <w:adjustRightInd/>
              <w:spacing w:line="240" w:lineRule="atLeast"/>
              <w:textAlignment w:val="auto"/>
              <w:rPr>
                <w:rFonts w:ascii="Arial" w:hAnsi="Arial" w:eastAsia="仿宋_GB2312" w:cs="Arial"/>
                <w:color w:val="auto"/>
                <w:szCs w:val="24"/>
              </w:rPr>
            </w:pPr>
          </w:p>
        </w:tc>
      </w:tr>
      <w:tr w14:paraId="75D559A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43CBE19C">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参数选取的客观性</w:t>
            </w:r>
          </w:p>
        </w:tc>
        <w:tc>
          <w:tcPr>
            <w:tcW w:w="708" w:type="dxa"/>
            <w:vMerge w:val="restart"/>
            <w:shd w:val="clear" w:color="auto" w:fill="auto"/>
            <w:vAlign w:val="center"/>
          </w:tcPr>
          <w:p w14:paraId="3A6AB4FD">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c>
          <w:tcPr>
            <w:tcW w:w="5529" w:type="dxa"/>
            <w:shd w:val="clear" w:color="auto" w:fill="auto"/>
            <w:noWrap/>
            <w:vAlign w:val="center"/>
          </w:tcPr>
          <w:p w14:paraId="5A0FEB3B">
            <w:pPr>
              <w:spacing w:line="240" w:lineRule="atLeast"/>
              <w:rPr>
                <w:rFonts w:ascii="Arial" w:hAnsi="Arial" w:eastAsia="仿宋_GB2312" w:cs="Arial"/>
                <w:color w:val="auto"/>
                <w:szCs w:val="24"/>
              </w:rPr>
            </w:pPr>
            <w:r>
              <w:rPr>
                <w:rFonts w:ascii="Arial" w:hAnsi="Arial" w:eastAsia="仿宋_GB2312" w:cs="Arial"/>
                <w:color w:val="auto"/>
                <w:szCs w:val="24"/>
              </w:rPr>
              <w:t>1.参数从市场上获取，或从权威机构发布的信息上获取，取10～15分；</w:t>
            </w:r>
          </w:p>
        </w:tc>
        <w:tc>
          <w:tcPr>
            <w:tcW w:w="992" w:type="dxa"/>
            <w:vMerge w:val="restart"/>
            <w:shd w:val="clear" w:color="auto" w:fill="auto"/>
            <w:noWrap/>
            <w:vAlign w:val="center"/>
          </w:tcPr>
          <w:p w14:paraId="5A6171D8">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8</w:t>
            </w:r>
          </w:p>
        </w:tc>
        <w:tc>
          <w:tcPr>
            <w:tcW w:w="853" w:type="dxa"/>
            <w:vMerge w:val="restart"/>
            <w:shd w:val="clear" w:color="auto" w:fill="auto"/>
            <w:noWrap/>
            <w:vAlign w:val="center"/>
          </w:tcPr>
          <w:p w14:paraId="72A1D932">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r>
      <w:tr w14:paraId="4CA89D4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7398AB88">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27EEDDFC">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6B32C0B0">
            <w:pPr>
              <w:spacing w:line="240" w:lineRule="atLeast"/>
              <w:rPr>
                <w:rFonts w:ascii="Arial" w:hAnsi="Arial" w:eastAsia="仿宋_GB2312" w:cs="Arial"/>
                <w:color w:val="auto"/>
                <w:szCs w:val="24"/>
              </w:rPr>
            </w:pPr>
            <w:r>
              <w:rPr>
                <w:rFonts w:ascii="Arial" w:hAnsi="Arial" w:eastAsia="仿宋_GB2312" w:cs="Arial"/>
                <w:color w:val="auto"/>
                <w:szCs w:val="24"/>
              </w:rPr>
              <w:t>2.部分参数为自行分析取得，理由较充分，取0～9分；</w:t>
            </w:r>
          </w:p>
        </w:tc>
        <w:tc>
          <w:tcPr>
            <w:tcW w:w="992" w:type="dxa"/>
            <w:vMerge w:val="continue"/>
            <w:vAlign w:val="center"/>
          </w:tcPr>
          <w:p w14:paraId="3FA4C950">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79E77113">
            <w:pPr>
              <w:widowControl/>
              <w:adjustRightInd/>
              <w:spacing w:line="240" w:lineRule="atLeast"/>
              <w:textAlignment w:val="auto"/>
              <w:rPr>
                <w:rFonts w:ascii="Arial" w:hAnsi="Arial" w:eastAsia="仿宋_GB2312" w:cs="Arial"/>
                <w:color w:val="auto"/>
                <w:szCs w:val="24"/>
              </w:rPr>
            </w:pPr>
          </w:p>
        </w:tc>
      </w:tr>
      <w:tr w14:paraId="5A0684A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670F6963">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参数确定的时效性</w:t>
            </w:r>
          </w:p>
        </w:tc>
        <w:tc>
          <w:tcPr>
            <w:tcW w:w="708" w:type="dxa"/>
            <w:vMerge w:val="restart"/>
            <w:shd w:val="clear" w:color="auto" w:fill="auto"/>
            <w:vAlign w:val="center"/>
          </w:tcPr>
          <w:p w14:paraId="74122211">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c>
          <w:tcPr>
            <w:tcW w:w="5529" w:type="dxa"/>
            <w:shd w:val="clear" w:color="auto" w:fill="auto"/>
            <w:noWrap/>
            <w:vAlign w:val="center"/>
          </w:tcPr>
          <w:p w14:paraId="5FF05878">
            <w:pPr>
              <w:spacing w:line="240" w:lineRule="atLeast"/>
              <w:rPr>
                <w:rFonts w:ascii="Arial" w:hAnsi="Arial" w:eastAsia="仿宋_GB2312" w:cs="Arial"/>
                <w:color w:val="auto"/>
                <w:szCs w:val="24"/>
              </w:rPr>
            </w:pPr>
            <w:r>
              <w:rPr>
                <w:rFonts w:ascii="Arial" w:hAnsi="Arial" w:eastAsia="仿宋_GB2312" w:cs="Arial"/>
                <w:color w:val="auto"/>
                <w:szCs w:val="24"/>
              </w:rPr>
              <w:t>1.参数在规定的时效范围内，且距估价期日未超过1年，取10～15分；</w:t>
            </w:r>
          </w:p>
        </w:tc>
        <w:tc>
          <w:tcPr>
            <w:tcW w:w="992" w:type="dxa"/>
            <w:vMerge w:val="restart"/>
            <w:shd w:val="clear" w:color="auto" w:fill="auto"/>
            <w:noWrap/>
            <w:vAlign w:val="center"/>
          </w:tcPr>
          <w:p w14:paraId="6175CCC4">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8</w:t>
            </w:r>
          </w:p>
        </w:tc>
        <w:tc>
          <w:tcPr>
            <w:tcW w:w="853" w:type="dxa"/>
            <w:vMerge w:val="restart"/>
            <w:shd w:val="clear" w:color="auto" w:fill="auto"/>
            <w:noWrap/>
            <w:vAlign w:val="center"/>
          </w:tcPr>
          <w:p w14:paraId="15FAF51D">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15</w:t>
            </w:r>
          </w:p>
        </w:tc>
      </w:tr>
      <w:tr w14:paraId="7206C0A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1E288574">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67E1F9AF">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0AB7237F">
            <w:pPr>
              <w:spacing w:line="240" w:lineRule="atLeast"/>
              <w:rPr>
                <w:rFonts w:ascii="Arial" w:hAnsi="Arial" w:eastAsia="仿宋_GB2312" w:cs="Arial"/>
                <w:color w:val="auto"/>
                <w:szCs w:val="24"/>
              </w:rPr>
            </w:pPr>
            <w:r>
              <w:rPr>
                <w:rFonts w:ascii="Arial" w:hAnsi="Arial" w:eastAsia="仿宋_GB2312" w:cs="Arial"/>
                <w:color w:val="auto"/>
                <w:szCs w:val="24"/>
              </w:rPr>
              <w:t>2.参数在规定的时效范围内，但距估价期日超过1年，取0～9分；</w:t>
            </w:r>
          </w:p>
        </w:tc>
        <w:tc>
          <w:tcPr>
            <w:tcW w:w="992" w:type="dxa"/>
            <w:vMerge w:val="continue"/>
            <w:vAlign w:val="center"/>
          </w:tcPr>
          <w:p w14:paraId="47D651E3">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092482E4">
            <w:pPr>
              <w:widowControl/>
              <w:adjustRightInd/>
              <w:spacing w:line="240" w:lineRule="atLeast"/>
              <w:textAlignment w:val="auto"/>
              <w:rPr>
                <w:rFonts w:ascii="Arial" w:hAnsi="Arial" w:eastAsia="仿宋_GB2312" w:cs="Arial"/>
                <w:color w:val="auto"/>
                <w:szCs w:val="24"/>
              </w:rPr>
            </w:pPr>
          </w:p>
        </w:tc>
      </w:tr>
      <w:tr w14:paraId="10A52AD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6FBA073C">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估价结果的现势性</w:t>
            </w:r>
          </w:p>
        </w:tc>
        <w:tc>
          <w:tcPr>
            <w:tcW w:w="708" w:type="dxa"/>
            <w:vMerge w:val="restart"/>
            <w:shd w:val="clear" w:color="auto" w:fill="auto"/>
            <w:noWrap/>
            <w:vAlign w:val="center"/>
          </w:tcPr>
          <w:p w14:paraId="641B7922">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30</w:t>
            </w:r>
          </w:p>
        </w:tc>
        <w:tc>
          <w:tcPr>
            <w:tcW w:w="5529" w:type="dxa"/>
            <w:shd w:val="clear" w:color="auto" w:fill="auto"/>
            <w:noWrap/>
            <w:vAlign w:val="center"/>
          </w:tcPr>
          <w:p w14:paraId="5CD41774">
            <w:pPr>
              <w:spacing w:line="240" w:lineRule="atLeast"/>
              <w:rPr>
                <w:rFonts w:ascii="Arial" w:hAnsi="Arial" w:eastAsia="仿宋_GB2312" w:cs="Arial"/>
                <w:color w:val="auto"/>
                <w:szCs w:val="24"/>
              </w:rPr>
            </w:pPr>
            <w:r>
              <w:rPr>
                <w:rFonts w:ascii="Arial" w:hAnsi="Arial" w:eastAsia="仿宋_GB2312" w:cs="Arial"/>
                <w:color w:val="auto"/>
                <w:szCs w:val="24"/>
              </w:rPr>
              <w:t>1.估价结果与同类用途房地产市场价格水平一致，且考虑了房地产市场发展趋势，取20～30分；</w:t>
            </w:r>
          </w:p>
        </w:tc>
        <w:tc>
          <w:tcPr>
            <w:tcW w:w="992" w:type="dxa"/>
            <w:vMerge w:val="restart"/>
            <w:shd w:val="clear" w:color="auto" w:fill="auto"/>
            <w:noWrap/>
            <w:vAlign w:val="center"/>
          </w:tcPr>
          <w:p w14:paraId="39F45A20">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5</w:t>
            </w:r>
          </w:p>
        </w:tc>
        <w:tc>
          <w:tcPr>
            <w:tcW w:w="853" w:type="dxa"/>
            <w:vMerge w:val="restart"/>
            <w:shd w:val="clear" w:color="auto" w:fill="auto"/>
            <w:noWrap/>
            <w:vAlign w:val="center"/>
          </w:tcPr>
          <w:p w14:paraId="36B062E0">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2</w:t>
            </w:r>
            <w:r>
              <w:rPr>
                <w:rFonts w:hint="eastAsia" w:ascii="Arial" w:hAnsi="Arial" w:eastAsia="仿宋_GB2312" w:cs="Arial"/>
                <w:color w:val="auto"/>
                <w:szCs w:val="24"/>
              </w:rPr>
              <w:t>6</w:t>
            </w:r>
          </w:p>
        </w:tc>
      </w:tr>
      <w:tr w14:paraId="161D0DD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4FD2FBC0">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14FE42E7">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3A049E72">
            <w:pPr>
              <w:spacing w:line="240" w:lineRule="atLeast"/>
              <w:rPr>
                <w:rFonts w:ascii="Arial" w:hAnsi="Arial" w:eastAsia="仿宋_GB2312" w:cs="Arial"/>
                <w:color w:val="auto"/>
                <w:szCs w:val="24"/>
              </w:rPr>
            </w:pPr>
            <w:r>
              <w:rPr>
                <w:rFonts w:ascii="Arial" w:hAnsi="Arial" w:eastAsia="仿宋_GB2312" w:cs="Arial"/>
                <w:color w:val="auto"/>
                <w:szCs w:val="24"/>
              </w:rPr>
              <w:t>2.估价结果与同类用途房地产价格水平基本一致，且适当考虑了房地产市场发展趋势，取10～19分；</w:t>
            </w:r>
          </w:p>
        </w:tc>
        <w:tc>
          <w:tcPr>
            <w:tcW w:w="992" w:type="dxa"/>
            <w:vMerge w:val="continue"/>
            <w:vAlign w:val="center"/>
          </w:tcPr>
          <w:p w14:paraId="3EA1F06A">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78679946">
            <w:pPr>
              <w:widowControl/>
              <w:adjustRightInd/>
              <w:spacing w:line="240" w:lineRule="atLeast"/>
              <w:textAlignment w:val="auto"/>
              <w:rPr>
                <w:rFonts w:ascii="Arial" w:hAnsi="Arial" w:eastAsia="仿宋_GB2312" w:cs="Arial"/>
                <w:color w:val="auto"/>
                <w:szCs w:val="24"/>
              </w:rPr>
            </w:pPr>
          </w:p>
        </w:tc>
      </w:tr>
      <w:tr w14:paraId="287E088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67639010">
            <w:pPr>
              <w:widowControl/>
              <w:adjustRightInd/>
              <w:spacing w:line="240" w:lineRule="atLeast"/>
              <w:textAlignment w:val="auto"/>
              <w:rPr>
                <w:rFonts w:ascii="Arial" w:hAnsi="Arial" w:eastAsia="仿宋_GB2312" w:cs="Arial"/>
                <w:color w:val="auto"/>
                <w:szCs w:val="24"/>
              </w:rPr>
            </w:pPr>
          </w:p>
        </w:tc>
        <w:tc>
          <w:tcPr>
            <w:tcW w:w="708" w:type="dxa"/>
            <w:vMerge w:val="continue"/>
            <w:vAlign w:val="center"/>
          </w:tcPr>
          <w:p w14:paraId="5E795B51">
            <w:pPr>
              <w:widowControl/>
              <w:adjustRightInd/>
              <w:spacing w:line="240" w:lineRule="atLeast"/>
              <w:textAlignment w:val="auto"/>
              <w:rPr>
                <w:rFonts w:ascii="Arial" w:hAnsi="Arial" w:eastAsia="仿宋_GB2312" w:cs="Arial"/>
                <w:color w:val="auto"/>
                <w:szCs w:val="24"/>
              </w:rPr>
            </w:pPr>
          </w:p>
        </w:tc>
        <w:tc>
          <w:tcPr>
            <w:tcW w:w="5529" w:type="dxa"/>
            <w:shd w:val="clear" w:color="auto" w:fill="auto"/>
            <w:noWrap/>
            <w:vAlign w:val="center"/>
          </w:tcPr>
          <w:p w14:paraId="278F86E6">
            <w:pPr>
              <w:spacing w:line="240" w:lineRule="atLeast"/>
              <w:rPr>
                <w:rFonts w:ascii="Arial" w:hAnsi="Arial" w:eastAsia="仿宋_GB2312" w:cs="Arial"/>
                <w:color w:val="auto"/>
                <w:szCs w:val="24"/>
              </w:rPr>
            </w:pPr>
            <w:r>
              <w:rPr>
                <w:rFonts w:ascii="Arial" w:hAnsi="Arial" w:eastAsia="仿宋_GB2312" w:cs="Arial"/>
                <w:color w:val="auto"/>
                <w:szCs w:val="24"/>
              </w:rPr>
              <w:t>3.估价结果与同类用途房地产价格水平有一定差距，且适当考虑房地产市场发展趋势，取0～9分；</w:t>
            </w:r>
          </w:p>
        </w:tc>
        <w:tc>
          <w:tcPr>
            <w:tcW w:w="992" w:type="dxa"/>
            <w:vMerge w:val="continue"/>
            <w:vAlign w:val="center"/>
          </w:tcPr>
          <w:p w14:paraId="60EFD4ED">
            <w:pPr>
              <w:widowControl/>
              <w:adjustRightInd/>
              <w:spacing w:line="240" w:lineRule="atLeast"/>
              <w:textAlignment w:val="auto"/>
              <w:rPr>
                <w:rFonts w:ascii="Arial" w:hAnsi="Arial" w:eastAsia="仿宋_GB2312" w:cs="Arial"/>
                <w:color w:val="auto"/>
                <w:szCs w:val="24"/>
              </w:rPr>
            </w:pPr>
          </w:p>
        </w:tc>
        <w:tc>
          <w:tcPr>
            <w:tcW w:w="853" w:type="dxa"/>
            <w:vMerge w:val="continue"/>
            <w:vAlign w:val="center"/>
          </w:tcPr>
          <w:p w14:paraId="1C4B380E">
            <w:pPr>
              <w:widowControl/>
              <w:adjustRightInd/>
              <w:spacing w:line="240" w:lineRule="atLeast"/>
              <w:textAlignment w:val="auto"/>
              <w:rPr>
                <w:rFonts w:ascii="Arial" w:hAnsi="Arial" w:eastAsia="仿宋_GB2312" w:cs="Arial"/>
                <w:color w:val="auto"/>
                <w:szCs w:val="24"/>
              </w:rPr>
            </w:pPr>
          </w:p>
        </w:tc>
      </w:tr>
      <w:tr w14:paraId="38BD2E2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PrEx>
        <w:trPr>
          <w:cantSplit/>
          <w:jc w:val="center"/>
        </w:trPr>
        <w:tc>
          <w:tcPr>
            <w:tcW w:w="7227" w:type="dxa"/>
            <w:gridSpan w:val="3"/>
            <w:shd w:val="clear" w:color="auto" w:fill="auto"/>
            <w:noWrap/>
            <w:vAlign w:val="center"/>
          </w:tcPr>
          <w:p w14:paraId="7F277A22">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分值</w:t>
            </w:r>
          </w:p>
        </w:tc>
        <w:tc>
          <w:tcPr>
            <w:tcW w:w="992" w:type="dxa"/>
            <w:shd w:val="clear" w:color="auto" w:fill="auto"/>
            <w:noWrap/>
            <w:vAlign w:val="center"/>
          </w:tcPr>
          <w:p w14:paraId="0FD434E0">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39</w:t>
            </w:r>
          </w:p>
        </w:tc>
        <w:tc>
          <w:tcPr>
            <w:tcW w:w="853" w:type="dxa"/>
            <w:shd w:val="clear" w:color="auto" w:fill="auto"/>
            <w:noWrap/>
            <w:vAlign w:val="center"/>
          </w:tcPr>
          <w:p w14:paraId="23A6A243">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9</w:t>
            </w:r>
            <w:r>
              <w:rPr>
                <w:rFonts w:hint="eastAsia" w:ascii="Arial" w:hAnsi="Arial" w:eastAsia="仿宋_GB2312" w:cs="Arial"/>
                <w:color w:val="auto"/>
                <w:szCs w:val="24"/>
              </w:rPr>
              <w:t>1</w:t>
            </w:r>
          </w:p>
        </w:tc>
      </w:tr>
      <w:tr w14:paraId="191F5DF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7227" w:type="dxa"/>
            <w:gridSpan w:val="3"/>
            <w:shd w:val="clear" w:color="auto" w:fill="auto"/>
            <w:noWrap/>
            <w:vAlign w:val="center"/>
          </w:tcPr>
          <w:p w14:paraId="7B0F7210">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权重</w:t>
            </w:r>
          </w:p>
        </w:tc>
        <w:tc>
          <w:tcPr>
            <w:tcW w:w="992" w:type="dxa"/>
            <w:shd w:val="clear" w:color="auto" w:fill="auto"/>
            <w:noWrap/>
            <w:vAlign w:val="center"/>
          </w:tcPr>
          <w:p w14:paraId="12096106">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3</w:t>
            </w:r>
            <w:r>
              <w:rPr>
                <w:rFonts w:ascii="Arial" w:hAnsi="Arial" w:eastAsia="仿宋_GB2312" w:cs="Arial"/>
                <w:color w:val="auto"/>
                <w:szCs w:val="24"/>
              </w:rPr>
              <w:t>0%</w:t>
            </w:r>
          </w:p>
        </w:tc>
        <w:tc>
          <w:tcPr>
            <w:tcW w:w="853" w:type="dxa"/>
            <w:shd w:val="clear" w:color="auto" w:fill="auto"/>
            <w:noWrap/>
            <w:vAlign w:val="center"/>
          </w:tcPr>
          <w:p w14:paraId="5A0C1C83">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7</w:t>
            </w:r>
            <w:r>
              <w:rPr>
                <w:rFonts w:ascii="Arial" w:hAnsi="Arial" w:eastAsia="仿宋_GB2312" w:cs="Arial"/>
                <w:color w:val="auto"/>
                <w:szCs w:val="24"/>
              </w:rPr>
              <w:t>0%</w:t>
            </w:r>
          </w:p>
        </w:tc>
      </w:tr>
    </w:tbl>
    <w:p w14:paraId="738EB7EC">
      <w:pPr>
        <w:spacing w:before="120" w:beforeLines="50" w:line="300" w:lineRule="auto"/>
        <w:jc w:val="center"/>
        <w:rPr>
          <w:rFonts w:ascii="仿宋" w:hAnsi="仿宋" w:eastAsia="仿宋" w:cs="Arial"/>
          <w:color w:val="auto"/>
          <w:sz w:val="28"/>
          <w:szCs w:val="28"/>
        </w:rPr>
      </w:pPr>
      <w:r>
        <w:rPr>
          <w:rFonts w:ascii="Arial" w:hAnsi="Arial" w:eastAsia="仿宋_GB2312" w:cs="Arial"/>
          <w:b/>
          <w:color w:val="auto"/>
          <w:sz w:val="28"/>
        </w:rPr>
        <w:br w:type="page"/>
      </w:r>
      <w:r>
        <w:rPr>
          <w:rFonts w:hint="eastAsia" w:ascii="仿宋" w:hAnsi="仿宋" w:eastAsia="仿宋" w:cs="Arial"/>
          <w:color w:val="auto"/>
          <w:sz w:val="28"/>
          <w:szCs w:val="28"/>
        </w:rPr>
        <w:t>公共管理与公共服务用地</w:t>
      </w:r>
      <w:r>
        <w:rPr>
          <w:rFonts w:ascii="仿宋" w:hAnsi="仿宋" w:eastAsia="仿宋" w:cs="Arial"/>
          <w:color w:val="auto"/>
          <w:sz w:val="28"/>
          <w:szCs w:val="28"/>
        </w:rPr>
        <w:t>权重确定打分评价体系</w:t>
      </w:r>
    </w:p>
    <w:tbl>
      <w:tblPr>
        <w:tblStyle w:val="34"/>
        <w:tblW w:w="9382"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1149"/>
        <w:gridCol w:w="708"/>
        <w:gridCol w:w="5387"/>
        <w:gridCol w:w="1334"/>
        <w:gridCol w:w="804"/>
      </w:tblGrid>
      <w:tr w14:paraId="4BE920E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09" w:hRule="atLeast"/>
          <w:tblHeader/>
          <w:jc w:val="center"/>
        </w:trPr>
        <w:tc>
          <w:tcPr>
            <w:tcW w:w="1149" w:type="dxa"/>
            <w:vMerge w:val="restart"/>
            <w:noWrap/>
            <w:vAlign w:val="center"/>
          </w:tcPr>
          <w:p w14:paraId="6639490E">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评价因素</w:t>
            </w:r>
          </w:p>
        </w:tc>
        <w:tc>
          <w:tcPr>
            <w:tcW w:w="708" w:type="dxa"/>
            <w:vMerge w:val="restart"/>
            <w:noWrap/>
            <w:vAlign w:val="center"/>
          </w:tcPr>
          <w:p w14:paraId="333825E6">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标准分值</w:t>
            </w:r>
          </w:p>
        </w:tc>
        <w:tc>
          <w:tcPr>
            <w:tcW w:w="5387" w:type="dxa"/>
            <w:vMerge w:val="restart"/>
            <w:noWrap/>
            <w:vAlign w:val="center"/>
          </w:tcPr>
          <w:p w14:paraId="64E98A38">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打分考虑因素</w:t>
            </w:r>
          </w:p>
        </w:tc>
        <w:tc>
          <w:tcPr>
            <w:tcW w:w="2138" w:type="dxa"/>
            <w:gridSpan w:val="2"/>
            <w:noWrap/>
            <w:vAlign w:val="center"/>
          </w:tcPr>
          <w:p w14:paraId="2D941B25">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估价对象</w:t>
            </w:r>
          </w:p>
        </w:tc>
      </w:tr>
      <w:tr w14:paraId="19320C2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63" w:hRule="atLeast"/>
          <w:tblHeader/>
          <w:jc w:val="center"/>
        </w:trPr>
        <w:tc>
          <w:tcPr>
            <w:tcW w:w="1149" w:type="dxa"/>
            <w:vMerge w:val="continue"/>
            <w:vAlign w:val="center"/>
          </w:tcPr>
          <w:p w14:paraId="420B84D1">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6B2489B8">
            <w:pPr>
              <w:widowControl/>
              <w:adjustRightInd/>
              <w:spacing w:line="240" w:lineRule="atLeast"/>
              <w:textAlignment w:val="auto"/>
              <w:rPr>
                <w:rFonts w:ascii="Arial" w:hAnsi="Arial" w:eastAsia="仿宋" w:cs="Arial"/>
                <w:color w:val="auto"/>
                <w:szCs w:val="24"/>
              </w:rPr>
            </w:pPr>
          </w:p>
        </w:tc>
        <w:tc>
          <w:tcPr>
            <w:tcW w:w="5387" w:type="dxa"/>
            <w:vMerge w:val="continue"/>
            <w:vAlign w:val="center"/>
          </w:tcPr>
          <w:p w14:paraId="6474F2A9">
            <w:pPr>
              <w:widowControl/>
              <w:adjustRightInd/>
              <w:spacing w:line="240" w:lineRule="atLeast"/>
              <w:textAlignment w:val="auto"/>
              <w:rPr>
                <w:rFonts w:ascii="Arial" w:hAnsi="Arial" w:eastAsia="仿宋" w:cs="Arial"/>
                <w:color w:val="auto"/>
                <w:szCs w:val="24"/>
              </w:rPr>
            </w:pPr>
          </w:p>
        </w:tc>
        <w:tc>
          <w:tcPr>
            <w:tcW w:w="1334" w:type="dxa"/>
            <w:noWrap/>
            <w:vAlign w:val="center"/>
          </w:tcPr>
          <w:p w14:paraId="16FC858F">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基准地价系数修正法</w:t>
            </w:r>
          </w:p>
        </w:tc>
        <w:tc>
          <w:tcPr>
            <w:tcW w:w="804" w:type="dxa"/>
            <w:noWrap/>
            <w:vAlign w:val="center"/>
          </w:tcPr>
          <w:p w14:paraId="6E7C8B2B">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剩余法</w:t>
            </w:r>
          </w:p>
        </w:tc>
      </w:tr>
      <w:tr w14:paraId="254219E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9" w:hRule="atLeast"/>
          <w:jc w:val="center"/>
        </w:trPr>
        <w:tc>
          <w:tcPr>
            <w:tcW w:w="1149" w:type="dxa"/>
            <w:vMerge w:val="restart"/>
            <w:vAlign w:val="center"/>
          </w:tcPr>
          <w:p w14:paraId="02BA842F">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估价方法的代表性</w:t>
            </w:r>
          </w:p>
        </w:tc>
        <w:tc>
          <w:tcPr>
            <w:tcW w:w="708" w:type="dxa"/>
            <w:vMerge w:val="restart"/>
            <w:noWrap/>
            <w:vAlign w:val="center"/>
          </w:tcPr>
          <w:p w14:paraId="4AE61AFA">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25</w:t>
            </w:r>
          </w:p>
        </w:tc>
        <w:tc>
          <w:tcPr>
            <w:tcW w:w="5387" w:type="dxa"/>
            <w:noWrap/>
            <w:vAlign w:val="center"/>
          </w:tcPr>
          <w:p w14:paraId="4E084CD0">
            <w:pPr>
              <w:spacing w:line="240" w:lineRule="atLeast"/>
              <w:rPr>
                <w:rFonts w:ascii="Arial" w:hAnsi="Arial" w:eastAsia="仿宋" w:cs="Arial"/>
                <w:color w:val="auto"/>
                <w:szCs w:val="24"/>
              </w:rPr>
            </w:pPr>
            <w:r>
              <w:rPr>
                <w:rFonts w:ascii="Arial" w:hAnsi="Arial" w:eastAsia="仿宋" w:cs="Arial"/>
                <w:color w:val="auto"/>
                <w:szCs w:val="24"/>
              </w:rPr>
              <w:t>1.估价方法选取分析充分、合理，取20～25分；</w:t>
            </w:r>
          </w:p>
        </w:tc>
        <w:tc>
          <w:tcPr>
            <w:tcW w:w="1334" w:type="dxa"/>
            <w:vMerge w:val="restart"/>
            <w:noWrap/>
            <w:vAlign w:val="center"/>
          </w:tcPr>
          <w:p w14:paraId="074B26AA">
            <w:pPr>
              <w:spacing w:line="240" w:lineRule="atLeast"/>
              <w:jc w:val="center"/>
              <w:rPr>
                <w:rFonts w:ascii="Arial" w:hAnsi="Arial" w:eastAsia="仿宋" w:cs="Arial"/>
                <w:color w:val="auto"/>
                <w:szCs w:val="24"/>
              </w:rPr>
            </w:pPr>
            <w:r>
              <w:rPr>
                <w:rFonts w:hint="eastAsia" w:ascii="Arial" w:hAnsi="Arial" w:eastAsia="仿宋" w:cs="Arial"/>
                <w:color w:val="auto"/>
                <w:szCs w:val="24"/>
              </w:rPr>
              <w:t>20</w:t>
            </w:r>
          </w:p>
        </w:tc>
        <w:tc>
          <w:tcPr>
            <w:tcW w:w="804" w:type="dxa"/>
            <w:vMerge w:val="restart"/>
            <w:noWrap/>
            <w:vAlign w:val="center"/>
          </w:tcPr>
          <w:p w14:paraId="05C87D6D">
            <w:pPr>
              <w:spacing w:line="240" w:lineRule="atLeast"/>
              <w:jc w:val="center"/>
              <w:rPr>
                <w:rFonts w:ascii="Arial" w:hAnsi="Arial" w:eastAsia="仿宋" w:cs="Arial"/>
                <w:color w:val="auto"/>
                <w:szCs w:val="24"/>
              </w:rPr>
            </w:pPr>
            <w:r>
              <w:rPr>
                <w:rFonts w:ascii="Arial" w:hAnsi="Arial" w:eastAsia="仿宋" w:cs="Arial"/>
                <w:color w:val="auto"/>
                <w:szCs w:val="24"/>
              </w:rPr>
              <w:t>20</w:t>
            </w:r>
          </w:p>
        </w:tc>
      </w:tr>
      <w:tr w14:paraId="18B1D1C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432" w:hRule="atLeast"/>
          <w:jc w:val="center"/>
        </w:trPr>
        <w:tc>
          <w:tcPr>
            <w:tcW w:w="1149" w:type="dxa"/>
            <w:vMerge w:val="continue"/>
            <w:vAlign w:val="center"/>
          </w:tcPr>
          <w:p w14:paraId="7D26274C">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5D6E0591">
            <w:pPr>
              <w:widowControl/>
              <w:adjustRightInd/>
              <w:spacing w:line="240" w:lineRule="atLeast"/>
              <w:textAlignment w:val="auto"/>
              <w:rPr>
                <w:rFonts w:ascii="Arial" w:hAnsi="Arial" w:eastAsia="仿宋" w:cs="Arial"/>
                <w:color w:val="auto"/>
                <w:szCs w:val="24"/>
              </w:rPr>
            </w:pPr>
          </w:p>
        </w:tc>
        <w:tc>
          <w:tcPr>
            <w:tcW w:w="5387" w:type="dxa"/>
            <w:noWrap/>
            <w:vAlign w:val="center"/>
          </w:tcPr>
          <w:p w14:paraId="504355FB">
            <w:pPr>
              <w:spacing w:line="240" w:lineRule="atLeast"/>
              <w:rPr>
                <w:rFonts w:ascii="Arial" w:hAnsi="Arial" w:eastAsia="仿宋" w:cs="Arial"/>
                <w:color w:val="auto"/>
                <w:szCs w:val="24"/>
              </w:rPr>
            </w:pPr>
            <w:r>
              <w:rPr>
                <w:rFonts w:ascii="Arial" w:hAnsi="Arial" w:eastAsia="仿宋" w:cs="Arial"/>
                <w:color w:val="auto"/>
                <w:szCs w:val="24"/>
              </w:rPr>
              <w:t>2.估价方法选取分析较充分、合理，取10～19分；</w:t>
            </w:r>
          </w:p>
        </w:tc>
        <w:tc>
          <w:tcPr>
            <w:tcW w:w="1334" w:type="dxa"/>
            <w:vMerge w:val="continue"/>
            <w:vAlign w:val="center"/>
          </w:tcPr>
          <w:p w14:paraId="5542137C">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525ACBDF">
            <w:pPr>
              <w:widowControl/>
              <w:adjustRightInd/>
              <w:spacing w:line="240" w:lineRule="atLeast"/>
              <w:textAlignment w:val="auto"/>
              <w:rPr>
                <w:rFonts w:ascii="Arial" w:hAnsi="Arial" w:eastAsia="仿宋" w:cs="Arial"/>
                <w:color w:val="auto"/>
                <w:szCs w:val="24"/>
              </w:rPr>
            </w:pPr>
          </w:p>
        </w:tc>
      </w:tr>
      <w:tr w14:paraId="748D5AD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432" w:hRule="atLeast"/>
          <w:jc w:val="center"/>
        </w:trPr>
        <w:tc>
          <w:tcPr>
            <w:tcW w:w="1149" w:type="dxa"/>
            <w:vMerge w:val="continue"/>
            <w:vAlign w:val="center"/>
          </w:tcPr>
          <w:p w14:paraId="4F0BE879">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34096933">
            <w:pPr>
              <w:widowControl/>
              <w:adjustRightInd/>
              <w:spacing w:line="240" w:lineRule="atLeast"/>
              <w:textAlignment w:val="auto"/>
              <w:rPr>
                <w:rFonts w:ascii="Arial" w:hAnsi="Arial" w:eastAsia="仿宋" w:cs="Arial"/>
                <w:color w:val="auto"/>
                <w:szCs w:val="24"/>
              </w:rPr>
            </w:pPr>
          </w:p>
        </w:tc>
        <w:tc>
          <w:tcPr>
            <w:tcW w:w="5387" w:type="dxa"/>
            <w:noWrap/>
            <w:vAlign w:val="center"/>
          </w:tcPr>
          <w:p w14:paraId="4241A1CD">
            <w:pPr>
              <w:spacing w:line="240" w:lineRule="atLeast"/>
              <w:rPr>
                <w:rFonts w:ascii="Arial" w:hAnsi="Arial" w:eastAsia="仿宋" w:cs="Arial"/>
                <w:color w:val="auto"/>
                <w:szCs w:val="24"/>
              </w:rPr>
            </w:pPr>
            <w:r>
              <w:rPr>
                <w:rFonts w:ascii="Arial" w:hAnsi="Arial" w:eastAsia="仿宋" w:cs="Arial"/>
                <w:color w:val="auto"/>
                <w:szCs w:val="24"/>
              </w:rPr>
              <w:t>3.估价方法选取分析较不充分，取0～9分；</w:t>
            </w:r>
          </w:p>
        </w:tc>
        <w:tc>
          <w:tcPr>
            <w:tcW w:w="1334" w:type="dxa"/>
            <w:vMerge w:val="continue"/>
            <w:vAlign w:val="center"/>
          </w:tcPr>
          <w:p w14:paraId="4DAAA0B6">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3A392A33">
            <w:pPr>
              <w:widowControl/>
              <w:adjustRightInd/>
              <w:spacing w:line="240" w:lineRule="atLeast"/>
              <w:textAlignment w:val="auto"/>
              <w:rPr>
                <w:rFonts w:ascii="Arial" w:hAnsi="Arial" w:eastAsia="仿宋" w:cs="Arial"/>
                <w:color w:val="auto"/>
                <w:szCs w:val="24"/>
              </w:rPr>
            </w:pPr>
          </w:p>
        </w:tc>
      </w:tr>
      <w:tr w14:paraId="0A80282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09" w:hRule="atLeast"/>
          <w:jc w:val="center"/>
        </w:trPr>
        <w:tc>
          <w:tcPr>
            <w:tcW w:w="1149" w:type="dxa"/>
            <w:vMerge w:val="restart"/>
            <w:vAlign w:val="center"/>
          </w:tcPr>
          <w:p w14:paraId="5C9EDD2C">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估价方法所要求的估价资料的完整性</w:t>
            </w:r>
          </w:p>
        </w:tc>
        <w:tc>
          <w:tcPr>
            <w:tcW w:w="708" w:type="dxa"/>
            <w:vMerge w:val="restart"/>
            <w:vAlign w:val="center"/>
          </w:tcPr>
          <w:p w14:paraId="2B183DCB">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15</w:t>
            </w:r>
          </w:p>
        </w:tc>
        <w:tc>
          <w:tcPr>
            <w:tcW w:w="5387" w:type="dxa"/>
            <w:noWrap/>
            <w:vAlign w:val="center"/>
          </w:tcPr>
          <w:p w14:paraId="1A65A756">
            <w:pPr>
              <w:spacing w:line="240" w:lineRule="atLeast"/>
              <w:rPr>
                <w:rFonts w:ascii="Arial" w:hAnsi="Arial" w:eastAsia="仿宋" w:cs="Arial"/>
                <w:color w:val="auto"/>
                <w:szCs w:val="24"/>
              </w:rPr>
            </w:pPr>
            <w:r>
              <w:rPr>
                <w:rFonts w:ascii="Arial" w:hAnsi="Arial" w:eastAsia="仿宋" w:cs="Arial"/>
                <w:color w:val="auto"/>
                <w:szCs w:val="24"/>
              </w:rPr>
              <w:t>1.估价资料完整，来源依据充分，取10～15分；</w:t>
            </w:r>
          </w:p>
        </w:tc>
        <w:tc>
          <w:tcPr>
            <w:tcW w:w="1334" w:type="dxa"/>
            <w:vMerge w:val="restart"/>
            <w:noWrap/>
            <w:vAlign w:val="center"/>
          </w:tcPr>
          <w:p w14:paraId="4144C734">
            <w:pPr>
              <w:spacing w:line="240" w:lineRule="atLeast"/>
              <w:jc w:val="center"/>
              <w:rPr>
                <w:rFonts w:ascii="Arial" w:hAnsi="Arial" w:eastAsia="仿宋" w:cs="Arial"/>
                <w:color w:val="auto"/>
                <w:szCs w:val="24"/>
              </w:rPr>
            </w:pPr>
            <w:r>
              <w:rPr>
                <w:rFonts w:hint="eastAsia" w:ascii="Arial" w:hAnsi="Arial" w:eastAsia="仿宋" w:cs="Arial"/>
                <w:color w:val="auto"/>
                <w:szCs w:val="24"/>
              </w:rPr>
              <w:t>15</w:t>
            </w:r>
          </w:p>
        </w:tc>
        <w:tc>
          <w:tcPr>
            <w:tcW w:w="804" w:type="dxa"/>
            <w:vMerge w:val="restart"/>
            <w:noWrap/>
            <w:vAlign w:val="center"/>
          </w:tcPr>
          <w:p w14:paraId="69AE1031">
            <w:pPr>
              <w:spacing w:line="240" w:lineRule="atLeast"/>
              <w:jc w:val="center"/>
              <w:rPr>
                <w:rFonts w:ascii="Arial" w:hAnsi="Arial" w:eastAsia="仿宋" w:cs="Arial"/>
                <w:color w:val="auto"/>
                <w:szCs w:val="24"/>
              </w:rPr>
            </w:pPr>
            <w:r>
              <w:rPr>
                <w:rFonts w:ascii="Arial" w:hAnsi="Arial" w:eastAsia="仿宋" w:cs="Arial"/>
                <w:color w:val="auto"/>
                <w:szCs w:val="24"/>
              </w:rPr>
              <w:t>15</w:t>
            </w:r>
          </w:p>
        </w:tc>
      </w:tr>
      <w:tr w14:paraId="6C89D12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732" w:hRule="atLeast"/>
          <w:jc w:val="center"/>
        </w:trPr>
        <w:tc>
          <w:tcPr>
            <w:tcW w:w="1149" w:type="dxa"/>
            <w:vMerge w:val="continue"/>
            <w:vAlign w:val="center"/>
          </w:tcPr>
          <w:p w14:paraId="40F81DEF">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5E29EDE4">
            <w:pPr>
              <w:widowControl/>
              <w:adjustRightInd/>
              <w:spacing w:line="240" w:lineRule="atLeast"/>
              <w:textAlignment w:val="auto"/>
              <w:rPr>
                <w:rFonts w:ascii="Arial" w:hAnsi="Arial" w:eastAsia="仿宋" w:cs="Arial"/>
                <w:color w:val="auto"/>
                <w:szCs w:val="24"/>
              </w:rPr>
            </w:pPr>
          </w:p>
        </w:tc>
        <w:tc>
          <w:tcPr>
            <w:tcW w:w="5387" w:type="dxa"/>
            <w:noWrap/>
            <w:vAlign w:val="center"/>
          </w:tcPr>
          <w:p w14:paraId="2621CE2F">
            <w:pPr>
              <w:spacing w:line="240" w:lineRule="atLeast"/>
              <w:rPr>
                <w:rFonts w:ascii="Arial" w:hAnsi="Arial" w:eastAsia="仿宋" w:cs="Arial"/>
                <w:color w:val="auto"/>
                <w:szCs w:val="24"/>
              </w:rPr>
            </w:pPr>
            <w:r>
              <w:rPr>
                <w:rFonts w:ascii="Arial" w:hAnsi="Arial" w:eastAsia="仿宋" w:cs="Arial"/>
                <w:color w:val="auto"/>
                <w:szCs w:val="24"/>
              </w:rPr>
              <w:t>2.估价资料有欠缺，来源依据较不充分，取0～9分；</w:t>
            </w:r>
          </w:p>
        </w:tc>
        <w:tc>
          <w:tcPr>
            <w:tcW w:w="1334" w:type="dxa"/>
            <w:vMerge w:val="continue"/>
            <w:vAlign w:val="center"/>
          </w:tcPr>
          <w:p w14:paraId="669E484F">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6E871B93">
            <w:pPr>
              <w:widowControl/>
              <w:adjustRightInd/>
              <w:spacing w:line="240" w:lineRule="atLeast"/>
              <w:textAlignment w:val="auto"/>
              <w:rPr>
                <w:rFonts w:ascii="Arial" w:hAnsi="Arial" w:eastAsia="仿宋" w:cs="Arial"/>
                <w:color w:val="auto"/>
                <w:szCs w:val="24"/>
              </w:rPr>
            </w:pPr>
          </w:p>
        </w:tc>
      </w:tr>
      <w:tr w14:paraId="08A5FC9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restart"/>
            <w:vAlign w:val="center"/>
          </w:tcPr>
          <w:p w14:paraId="0CCABAED">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参数选取的客观性</w:t>
            </w:r>
          </w:p>
        </w:tc>
        <w:tc>
          <w:tcPr>
            <w:tcW w:w="708" w:type="dxa"/>
            <w:vMerge w:val="restart"/>
            <w:vAlign w:val="center"/>
          </w:tcPr>
          <w:p w14:paraId="264304D4">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15</w:t>
            </w:r>
          </w:p>
        </w:tc>
        <w:tc>
          <w:tcPr>
            <w:tcW w:w="5387" w:type="dxa"/>
            <w:noWrap/>
            <w:vAlign w:val="center"/>
          </w:tcPr>
          <w:p w14:paraId="5E32C1BE">
            <w:pPr>
              <w:spacing w:line="240" w:lineRule="atLeast"/>
              <w:rPr>
                <w:rFonts w:ascii="Arial" w:hAnsi="Arial" w:eastAsia="仿宋" w:cs="Arial"/>
                <w:color w:val="auto"/>
                <w:szCs w:val="24"/>
              </w:rPr>
            </w:pPr>
            <w:r>
              <w:rPr>
                <w:rFonts w:ascii="Arial" w:hAnsi="Arial" w:eastAsia="仿宋" w:cs="Arial"/>
                <w:color w:val="auto"/>
                <w:szCs w:val="24"/>
              </w:rPr>
              <w:t>1.参数从市场上获取，或从权威机构发布的信息上获取，取10～15分；</w:t>
            </w:r>
          </w:p>
        </w:tc>
        <w:tc>
          <w:tcPr>
            <w:tcW w:w="1334" w:type="dxa"/>
            <w:vMerge w:val="restart"/>
            <w:noWrap/>
            <w:vAlign w:val="center"/>
          </w:tcPr>
          <w:p w14:paraId="27623A6A">
            <w:pPr>
              <w:spacing w:line="240" w:lineRule="atLeast"/>
              <w:jc w:val="center"/>
              <w:rPr>
                <w:rFonts w:ascii="Arial" w:hAnsi="Arial" w:eastAsia="仿宋" w:cs="Arial"/>
                <w:color w:val="auto"/>
                <w:szCs w:val="24"/>
              </w:rPr>
            </w:pPr>
            <w:r>
              <w:rPr>
                <w:rFonts w:hint="eastAsia" w:ascii="Arial" w:hAnsi="Arial" w:eastAsia="仿宋" w:cs="Arial"/>
                <w:color w:val="auto"/>
                <w:szCs w:val="24"/>
              </w:rPr>
              <w:t>15</w:t>
            </w:r>
          </w:p>
        </w:tc>
        <w:tc>
          <w:tcPr>
            <w:tcW w:w="804" w:type="dxa"/>
            <w:vMerge w:val="restart"/>
            <w:noWrap/>
            <w:vAlign w:val="center"/>
          </w:tcPr>
          <w:p w14:paraId="1B56655B">
            <w:pPr>
              <w:spacing w:line="240" w:lineRule="atLeast"/>
              <w:jc w:val="center"/>
              <w:rPr>
                <w:rFonts w:ascii="Arial" w:hAnsi="Arial" w:eastAsia="仿宋" w:cs="Arial"/>
                <w:color w:val="auto"/>
                <w:szCs w:val="24"/>
              </w:rPr>
            </w:pPr>
            <w:r>
              <w:rPr>
                <w:rFonts w:ascii="Arial" w:hAnsi="Arial" w:eastAsia="仿宋" w:cs="Arial"/>
                <w:color w:val="auto"/>
                <w:szCs w:val="24"/>
              </w:rPr>
              <w:t>15</w:t>
            </w:r>
          </w:p>
        </w:tc>
      </w:tr>
      <w:tr w14:paraId="48A66EA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09" w:hRule="atLeast"/>
          <w:jc w:val="center"/>
        </w:trPr>
        <w:tc>
          <w:tcPr>
            <w:tcW w:w="1149" w:type="dxa"/>
            <w:vMerge w:val="continue"/>
            <w:vAlign w:val="center"/>
          </w:tcPr>
          <w:p w14:paraId="75705B24">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60B864A9">
            <w:pPr>
              <w:widowControl/>
              <w:adjustRightInd/>
              <w:spacing w:line="240" w:lineRule="atLeast"/>
              <w:textAlignment w:val="auto"/>
              <w:rPr>
                <w:rFonts w:ascii="Arial" w:hAnsi="Arial" w:eastAsia="仿宋" w:cs="Arial"/>
                <w:color w:val="auto"/>
                <w:szCs w:val="24"/>
              </w:rPr>
            </w:pPr>
          </w:p>
        </w:tc>
        <w:tc>
          <w:tcPr>
            <w:tcW w:w="5387" w:type="dxa"/>
            <w:noWrap/>
            <w:vAlign w:val="center"/>
          </w:tcPr>
          <w:p w14:paraId="4DE38CFE">
            <w:pPr>
              <w:spacing w:line="240" w:lineRule="atLeast"/>
              <w:rPr>
                <w:rFonts w:ascii="Arial" w:hAnsi="Arial" w:eastAsia="仿宋" w:cs="Arial"/>
                <w:color w:val="auto"/>
                <w:szCs w:val="24"/>
              </w:rPr>
            </w:pPr>
            <w:r>
              <w:rPr>
                <w:rFonts w:ascii="Arial" w:hAnsi="Arial" w:eastAsia="仿宋" w:cs="Arial"/>
                <w:color w:val="auto"/>
                <w:szCs w:val="24"/>
              </w:rPr>
              <w:t>2.部分参数为自行分析取得，理由较充分，取0～9分；</w:t>
            </w:r>
          </w:p>
        </w:tc>
        <w:tc>
          <w:tcPr>
            <w:tcW w:w="1334" w:type="dxa"/>
            <w:vMerge w:val="continue"/>
            <w:vAlign w:val="center"/>
          </w:tcPr>
          <w:p w14:paraId="44EF47E6">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189BC075">
            <w:pPr>
              <w:widowControl/>
              <w:adjustRightInd/>
              <w:spacing w:line="240" w:lineRule="atLeast"/>
              <w:textAlignment w:val="auto"/>
              <w:rPr>
                <w:rFonts w:ascii="Arial" w:hAnsi="Arial" w:eastAsia="仿宋" w:cs="Arial"/>
                <w:color w:val="auto"/>
                <w:szCs w:val="24"/>
              </w:rPr>
            </w:pPr>
          </w:p>
        </w:tc>
      </w:tr>
      <w:tr w14:paraId="28D67467">
        <w:tblPrEx>
          <w:tblCellMar>
            <w:top w:w="57" w:type="dxa"/>
            <w:left w:w="28" w:type="dxa"/>
            <w:bottom w:w="57" w:type="dxa"/>
            <w:right w:w="28" w:type="dxa"/>
          </w:tblCellMar>
        </w:tblPrEx>
        <w:trPr>
          <w:cantSplit/>
          <w:trHeight w:val="556" w:hRule="atLeast"/>
          <w:jc w:val="center"/>
        </w:trPr>
        <w:tc>
          <w:tcPr>
            <w:tcW w:w="1149" w:type="dxa"/>
            <w:vMerge w:val="restart"/>
            <w:vAlign w:val="center"/>
          </w:tcPr>
          <w:p w14:paraId="634F7489">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参数确定的时效性</w:t>
            </w:r>
          </w:p>
        </w:tc>
        <w:tc>
          <w:tcPr>
            <w:tcW w:w="708" w:type="dxa"/>
            <w:vMerge w:val="restart"/>
            <w:vAlign w:val="center"/>
          </w:tcPr>
          <w:p w14:paraId="0678590A">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15</w:t>
            </w:r>
          </w:p>
        </w:tc>
        <w:tc>
          <w:tcPr>
            <w:tcW w:w="5387" w:type="dxa"/>
            <w:noWrap/>
            <w:vAlign w:val="center"/>
          </w:tcPr>
          <w:p w14:paraId="684D2672">
            <w:pPr>
              <w:spacing w:line="240" w:lineRule="atLeast"/>
              <w:rPr>
                <w:rFonts w:ascii="Arial" w:hAnsi="Arial" w:eastAsia="仿宋" w:cs="Arial"/>
                <w:color w:val="auto"/>
                <w:szCs w:val="24"/>
              </w:rPr>
            </w:pPr>
            <w:r>
              <w:rPr>
                <w:rFonts w:ascii="Arial" w:hAnsi="Arial" w:eastAsia="仿宋" w:cs="Arial"/>
                <w:color w:val="auto"/>
                <w:szCs w:val="24"/>
              </w:rPr>
              <w:t>1.参数在规定的时效范围内，且距估价期日未超过1年，取10～15分；</w:t>
            </w:r>
          </w:p>
        </w:tc>
        <w:tc>
          <w:tcPr>
            <w:tcW w:w="1334" w:type="dxa"/>
            <w:vMerge w:val="restart"/>
            <w:noWrap/>
            <w:vAlign w:val="center"/>
          </w:tcPr>
          <w:p w14:paraId="776258FA">
            <w:pPr>
              <w:spacing w:line="240" w:lineRule="atLeast"/>
              <w:jc w:val="center"/>
              <w:rPr>
                <w:rFonts w:ascii="Arial" w:hAnsi="Arial" w:eastAsia="仿宋" w:cs="Arial"/>
                <w:color w:val="auto"/>
                <w:szCs w:val="24"/>
              </w:rPr>
            </w:pPr>
            <w:r>
              <w:rPr>
                <w:rFonts w:hint="eastAsia" w:ascii="Arial" w:hAnsi="Arial" w:eastAsia="仿宋" w:cs="Arial"/>
                <w:color w:val="auto"/>
                <w:szCs w:val="24"/>
              </w:rPr>
              <w:t>15</w:t>
            </w:r>
          </w:p>
        </w:tc>
        <w:tc>
          <w:tcPr>
            <w:tcW w:w="804" w:type="dxa"/>
            <w:vMerge w:val="restart"/>
            <w:noWrap/>
            <w:vAlign w:val="center"/>
          </w:tcPr>
          <w:p w14:paraId="53CD6F2E">
            <w:pPr>
              <w:spacing w:line="240" w:lineRule="atLeast"/>
              <w:jc w:val="center"/>
              <w:rPr>
                <w:rFonts w:ascii="Arial" w:hAnsi="Arial" w:eastAsia="仿宋" w:cs="Arial"/>
                <w:color w:val="auto"/>
                <w:szCs w:val="24"/>
              </w:rPr>
            </w:pPr>
            <w:r>
              <w:rPr>
                <w:rFonts w:ascii="Arial" w:hAnsi="Arial" w:eastAsia="仿宋" w:cs="Arial"/>
                <w:color w:val="auto"/>
                <w:szCs w:val="24"/>
              </w:rPr>
              <w:t>15</w:t>
            </w:r>
          </w:p>
        </w:tc>
      </w:tr>
      <w:tr w14:paraId="6FDE142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continue"/>
            <w:vAlign w:val="center"/>
          </w:tcPr>
          <w:p w14:paraId="5CB0BAE1">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5D8E4C6E">
            <w:pPr>
              <w:widowControl/>
              <w:adjustRightInd/>
              <w:spacing w:line="240" w:lineRule="atLeast"/>
              <w:textAlignment w:val="auto"/>
              <w:rPr>
                <w:rFonts w:ascii="Arial" w:hAnsi="Arial" w:eastAsia="仿宋" w:cs="Arial"/>
                <w:color w:val="auto"/>
                <w:szCs w:val="24"/>
              </w:rPr>
            </w:pPr>
          </w:p>
        </w:tc>
        <w:tc>
          <w:tcPr>
            <w:tcW w:w="5387" w:type="dxa"/>
            <w:noWrap/>
            <w:vAlign w:val="center"/>
          </w:tcPr>
          <w:p w14:paraId="42025B11">
            <w:pPr>
              <w:spacing w:line="240" w:lineRule="atLeast"/>
              <w:rPr>
                <w:rFonts w:ascii="Arial" w:hAnsi="Arial" w:eastAsia="仿宋" w:cs="Arial"/>
                <w:color w:val="auto"/>
                <w:szCs w:val="24"/>
              </w:rPr>
            </w:pPr>
            <w:r>
              <w:rPr>
                <w:rFonts w:ascii="Arial" w:hAnsi="Arial" w:eastAsia="仿宋" w:cs="Arial"/>
                <w:color w:val="auto"/>
                <w:szCs w:val="24"/>
              </w:rPr>
              <w:t>2.参数在规定的时效范围内，但距估价期日超过1年，取0～9分；</w:t>
            </w:r>
          </w:p>
        </w:tc>
        <w:tc>
          <w:tcPr>
            <w:tcW w:w="1334" w:type="dxa"/>
            <w:vMerge w:val="continue"/>
            <w:vAlign w:val="center"/>
          </w:tcPr>
          <w:p w14:paraId="6691518A">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38487281">
            <w:pPr>
              <w:widowControl/>
              <w:adjustRightInd/>
              <w:spacing w:line="240" w:lineRule="atLeast"/>
              <w:textAlignment w:val="auto"/>
              <w:rPr>
                <w:rFonts w:ascii="Arial" w:hAnsi="Arial" w:eastAsia="仿宋" w:cs="Arial"/>
                <w:color w:val="auto"/>
                <w:szCs w:val="24"/>
              </w:rPr>
            </w:pPr>
          </w:p>
        </w:tc>
      </w:tr>
      <w:tr w14:paraId="299D4CD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restart"/>
            <w:vAlign w:val="center"/>
          </w:tcPr>
          <w:p w14:paraId="1AF9EAC0">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估价结果的现势性</w:t>
            </w:r>
          </w:p>
        </w:tc>
        <w:tc>
          <w:tcPr>
            <w:tcW w:w="708" w:type="dxa"/>
            <w:vMerge w:val="restart"/>
            <w:noWrap/>
            <w:vAlign w:val="center"/>
          </w:tcPr>
          <w:p w14:paraId="623C1276">
            <w:pPr>
              <w:widowControl/>
              <w:adjustRightInd/>
              <w:spacing w:line="240" w:lineRule="atLeast"/>
              <w:jc w:val="center"/>
              <w:textAlignment w:val="auto"/>
              <w:rPr>
                <w:rFonts w:ascii="Arial" w:hAnsi="Arial" w:eastAsia="仿宋" w:cs="Arial"/>
                <w:color w:val="auto"/>
                <w:szCs w:val="24"/>
              </w:rPr>
            </w:pPr>
            <w:r>
              <w:rPr>
                <w:rFonts w:ascii="Arial" w:hAnsi="Arial" w:eastAsia="仿宋" w:cs="Arial"/>
                <w:color w:val="auto"/>
                <w:szCs w:val="24"/>
              </w:rPr>
              <w:t>30</w:t>
            </w:r>
          </w:p>
        </w:tc>
        <w:tc>
          <w:tcPr>
            <w:tcW w:w="5387" w:type="dxa"/>
            <w:noWrap/>
            <w:vAlign w:val="center"/>
          </w:tcPr>
          <w:p w14:paraId="1FFE220C">
            <w:pPr>
              <w:spacing w:line="240" w:lineRule="atLeast"/>
              <w:rPr>
                <w:rFonts w:ascii="Arial" w:hAnsi="Arial" w:eastAsia="仿宋" w:cs="Arial"/>
                <w:color w:val="auto"/>
                <w:szCs w:val="24"/>
              </w:rPr>
            </w:pPr>
            <w:r>
              <w:rPr>
                <w:rFonts w:ascii="Arial" w:hAnsi="Arial" w:eastAsia="仿宋" w:cs="Arial"/>
                <w:color w:val="auto"/>
                <w:szCs w:val="24"/>
              </w:rPr>
              <w:t>1.估价结果与同类用途房地产市场价格水平一致，且考虑了房地产市场发展趋势，取20～30分；</w:t>
            </w:r>
          </w:p>
        </w:tc>
        <w:tc>
          <w:tcPr>
            <w:tcW w:w="1334" w:type="dxa"/>
            <w:vMerge w:val="restart"/>
            <w:noWrap/>
            <w:vAlign w:val="center"/>
          </w:tcPr>
          <w:p w14:paraId="5E5AE3AF">
            <w:pPr>
              <w:spacing w:line="240" w:lineRule="atLeast"/>
              <w:jc w:val="center"/>
              <w:rPr>
                <w:rFonts w:ascii="Arial" w:hAnsi="Arial" w:eastAsia="仿宋" w:cs="Arial"/>
                <w:color w:val="auto"/>
                <w:szCs w:val="24"/>
              </w:rPr>
            </w:pPr>
            <w:r>
              <w:rPr>
                <w:rFonts w:hint="eastAsia" w:ascii="Arial" w:hAnsi="Arial" w:eastAsia="仿宋" w:cs="Arial"/>
                <w:color w:val="auto"/>
                <w:szCs w:val="24"/>
              </w:rPr>
              <w:t>25</w:t>
            </w:r>
          </w:p>
        </w:tc>
        <w:tc>
          <w:tcPr>
            <w:tcW w:w="804" w:type="dxa"/>
            <w:vMerge w:val="restart"/>
            <w:noWrap/>
            <w:vAlign w:val="center"/>
          </w:tcPr>
          <w:p w14:paraId="67175DB3">
            <w:pPr>
              <w:spacing w:line="240" w:lineRule="atLeast"/>
              <w:jc w:val="center"/>
              <w:rPr>
                <w:rFonts w:ascii="Arial" w:hAnsi="Arial" w:eastAsia="仿宋" w:cs="Arial"/>
                <w:color w:val="auto"/>
                <w:szCs w:val="24"/>
              </w:rPr>
            </w:pPr>
            <w:r>
              <w:rPr>
                <w:rFonts w:ascii="Arial" w:hAnsi="Arial" w:eastAsia="仿宋" w:cs="Arial"/>
                <w:color w:val="auto"/>
                <w:szCs w:val="24"/>
              </w:rPr>
              <w:t>25</w:t>
            </w:r>
          </w:p>
        </w:tc>
      </w:tr>
      <w:tr w14:paraId="343935B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602" w:hRule="atLeast"/>
          <w:jc w:val="center"/>
        </w:trPr>
        <w:tc>
          <w:tcPr>
            <w:tcW w:w="1149" w:type="dxa"/>
            <w:vMerge w:val="continue"/>
            <w:vAlign w:val="center"/>
          </w:tcPr>
          <w:p w14:paraId="7A9441C5">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374EF5AA">
            <w:pPr>
              <w:widowControl/>
              <w:adjustRightInd/>
              <w:spacing w:line="240" w:lineRule="atLeast"/>
              <w:textAlignment w:val="auto"/>
              <w:rPr>
                <w:rFonts w:ascii="Arial" w:hAnsi="Arial" w:eastAsia="仿宋" w:cs="Arial"/>
                <w:color w:val="auto"/>
                <w:szCs w:val="24"/>
              </w:rPr>
            </w:pPr>
          </w:p>
        </w:tc>
        <w:tc>
          <w:tcPr>
            <w:tcW w:w="5387" w:type="dxa"/>
            <w:noWrap/>
            <w:vAlign w:val="center"/>
          </w:tcPr>
          <w:p w14:paraId="5B5CCE6B">
            <w:pPr>
              <w:spacing w:line="240" w:lineRule="atLeast"/>
              <w:rPr>
                <w:rFonts w:ascii="Arial" w:hAnsi="Arial" w:eastAsia="仿宋" w:cs="Arial"/>
                <w:color w:val="auto"/>
                <w:szCs w:val="24"/>
              </w:rPr>
            </w:pPr>
            <w:r>
              <w:rPr>
                <w:rFonts w:ascii="Arial" w:hAnsi="Arial" w:eastAsia="仿宋" w:cs="Arial"/>
                <w:color w:val="auto"/>
                <w:szCs w:val="24"/>
              </w:rPr>
              <w:t>2.估价结果与同类用途房地产价格水平基本一致，且适当考虑了房地产市场发展趋势，取10～19分；</w:t>
            </w:r>
          </w:p>
        </w:tc>
        <w:tc>
          <w:tcPr>
            <w:tcW w:w="1334" w:type="dxa"/>
            <w:vMerge w:val="continue"/>
            <w:vAlign w:val="center"/>
          </w:tcPr>
          <w:p w14:paraId="7823C978">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004D0E6C">
            <w:pPr>
              <w:widowControl/>
              <w:adjustRightInd/>
              <w:spacing w:line="240" w:lineRule="atLeast"/>
              <w:textAlignment w:val="auto"/>
              <w:rPr>
                <w:rFonts w:ascii="Arial" w:hAnsi="Arial" w:eastAsia="仿宋" w:cs="Arial"/>
                <w:color w:val="auto"/>
                <w:szCs w:val="24"/>
              </w:rPr>
            </w:pPr>
          </w:p>
        </w:tc>
      </w:tr>
      <w:tr w14:paraId="01CC420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continue"/>
            <w:vAlign w:val="center"/>
          </w:tcPr>
          <w:p w14:paraId="3AA0DD83">
            <w:pPr>
              <w:widowControl/>
              <w:adjustRightInd/>
              <w:spacing w:line="240" w:lineRule="atLeast"/>
              <w:textAlignment w:val="auto"/>
              <w:rPr>
                <w:rFonts w:ascii="Arial" w:hAnsi="Arial" w:eastAsia="仿宋" w:cs="Arial"/>
                <w:color w:val="auto"/>
                <w:szCs w:val="24"/>
              </w:rPr>
            </w:pPr>
          </w:p>
        </w:tc>
        <w:tc>
          <w:tcPr>
            <w:tcW w:w="708" w:type="dxa"/>
            <w:vMerge w:val="continue"/>
            <w:vAlign w:val="center"/>
          </w:tcPr>
          <w:p w14:paraId="744E89B0">
            <w:pPr>
              <w:widowControl/>
              <w:adjustRightInd/>
              <w:spacing w:line="240" w:lineRule="atLeast"/>
              <w:textAlignment w:val="auto"/>
              <w:rPr>
                <w:rFonts w:ascii="Arial" w:hAnsi="Arial" w:eastAsia="仿宋" w:cs="Arial"/>
                <w:color w:val="auto"/>
                <w:szCs w:val="24"/>
              </w:rPr>
            </w:pPr>
          </w:p>
        </w:tc>
        <w:tc>
          <w:tcPr>
            <w:tcW w:w="5387" w:type="dxa"/>
            <w:noWrap/>
            <w:vAlign w:val="center"/>
          </w:tcPr>
          <w:p w14:paraId="4A7AD588">
            <w:pPr>
              <w:spacing w:line="240" w:lineRule="atLeast"/>
              <w:rPr>
                <w:rFonts w:ascii="Arial" w:hAnsi="Arial" w:eastAsia="仿宋" w:cs="Arial"/>
                <w:color w:val="auto"/>
                <w:szCs w:val="24"/>
              </w:rPr>
            </w:pPr>
            <w:r>
              <w:rPr>
                <w:rFonts w:ascii="Arial" w:hAnsi="Arial" w:eastAsia="仿宋" w:cs="Arial"/>
                <w:color w:val="auto"/>
                <w:szCs w:val="24"/>
              </w:rPr>
              <w:t>3.估价结果与同类用途房地产价格水平有一定差距，且适当考虑房地产市场发展趋势，取0～9分；</w:t>
            </w:r>
          </w:p>
        </w:tc>
        <w:tc>
          <w:tcPr>
            <w:tcW w:w="1334" w:type="dxa"/>
            <w:vMerge w:val="continue"/>
            <w:vAlign w:val="center"/>
          </w:tcPr>
          <w:p w14:paraId="029D5CE0">
            <w:pPr>
              <w:widowControl/>
              <w:adjustRightInd/>
              <w:spacing w:line="240" w:lineRule="atLeast"/>
              <w:textAlignment w:val="auto"/>
              <w:rPr>
                <w:rFonts w:ascii="Arial" w:hAnsi="Arial" w:eastAsia="仿宋" w:cs="Arial"/>
                <w:color w:val="auto"/>
                <w:szCs w:val="24"/>
              </w:rPr>
            </w:pPr>
          </w:p>
        </w:tc>
        <w:tc>
          <w:tcPr>
            <w:tcW w:w="804" w:type="dxa"/>
            <w:vMerge w:val="continue"/>
            <w:vAlign w:val="center"/>
          </w:tcPr>
          <w:p w14:paraId="6D731D34">
            <w:pPr>
              <w:widowControl/>
              <w:adjustRightInd/>
              <w:spacing w:line="240" w:lineRule="atLeast"/>
              <w:textAlignment w:val="auto"/>
              <w:rPr>
                <w:rFonts w:ascii="Arial" w:hAnsi="Arial" w:eastAsia="仿宋" w:cs="Arial"/>
                <w:color w:val="auto"/>
                <w:szCs w:val="24"/>
              </w:rPr>
            </w:pPr>
          </w:p>
        </w:tc>
      </w:tr>
      <w:tr w14:paraId="54D5CB3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247" w:hRule="atLeast"/>
          <w:jc w:val="center"/>
        </w:trPr>
        <w:tc>
          <w:tcPr>
            <w:tcW w:w="7244" w:type="dxa"/>
            <w:gridSpan w:val="3"/>
            <w:noWrap/>
            <w:vAlign w:val="center"/>
          </w:tcPr>
          <w:p w14:paraId="0C8F8821">
            <w:pPr>
              <w:widowControl/>
              <w:adjustRightInd/>
              <w:spacing w:line="240" w:lineRule="atLeast"/>
              <w:jc w:val="center"/>
              <w:textAlignment w:val="auto"/>
              <w:rPr>
                <w:rFonts w:ascii="Arial" w:hAnsi="Arial" w:eastAsia="仿宋" w:cs="Arial"/>
                <w:b/>
                <w:bCs/>
                <w:color w:val="auto"/>
                <w:szCs w:val="24"/>
              </w:rPr>
            </w:pPr>
            <w:r>
              <w:rPr>
                <w:rFonts w:ascii="Arial" w:hAnsi="Arial" w:eastAsia="仿宋" w:cs="Arial"/>
                <w:b/>
                <w:bCs/>
                <w:color w:val="auto"/>
                <w:szCs w:val="24"/>
              </w:rPr>
              <w:t>分值</w:t>
            </w:r>
          </w:p>
        </w:tc>
        <w:tc>
          <w:tcPr>
            <w:tcW w:w="1334" w:type="dxa"/>
            <w:noWrap/>
            <w:vAlign w:val="center"/>
          </w:tcPr>
          <w:p w14:paraId="0B96127B">
            <w:pPr>
              <w:spacing w:line="240" w:lineRule="atLeast"/>
              <w:jc w:val="center"/>
              <w:rPr>
                <w:rFonts w:ascii="Arial" w:hAnsi="Arial" w:eastAsia="仿宋" w:cs="Arial"/>
                <w:color w:val="auto"/>
                <w:szCs w:val="24"/>
              </w:rPr>
            </w:pPr>
            <w:r>
              <w:rPr>
                <w:rFonts w:hint="eastAsia" w:ascii="Arial" w:hAnsi="Arial" w:eastAsia="仿宋" w:cs="Arial"/>
                <w:color w:val="auto"/>
                <w:szCs w:val="24"/>
              </w:rPr>
              <w:t>90</w:t>
            </w:r>
          </w:p>
        </w:tc>
        <w:tc>
          <w:tcPr>
            <w:tcW w:w="804" w:type="dxa"/>
            <w:noWrap/>
            <w:vAlign w:val="center"/>
          </w:tcPr>
          <w:p w14:paraId="0C366F64">
            <w:pPr>
              <w:spacing w:line="240" w:lineRule="atLeast"/>
              <w:jc w:val="center"/>
              <w:rPr>
                <w:rFonts w:ascii="Arial" w:hAnsi="Arial" w:eastAsia="仿宋" w:cs="Arial"/>
                <w:color w:val="auto"/>
                <w:szCs w:val="24"/>
              </w:rPr>
            </w:pPr>
            <w:r>
              <w:rPr>
                <w:rFonts w:ascii="Arial" w:hAnsi="Arial" w:eastAsia="仿宋" w:cs="Arial"/>
                <w:color w:val="auto"/>
                <w:szCs w:val="24"/>
              </w:rPr>
              <w:t>90</w:t>
            </w:r>
          </w:p>
        </w:tc>
      </w:tr>
      <w:tr w14:paraId="53AEF7E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262" w:hRule="atLeast"/>
          <w:jc w:val="center"/>
        </w:trPr>
        <w:tc>
          <w:tcPr>
            <w:tcW w:w="7244" w:type="dxa"/>
            <w:gridSpan w:val="3"/>
            <w:noWrap/>
            <w:vAlign w:val="center"/>
          </w:tcPr>
          <w:p w14:paraId="4DB0DC8E">
            <w:pPr>
              <w:widowControl/>
              <w:adjustRightInd/>
              <w:spacing w:line="240" w:lineRule="atLeast"/>
              <w:jc w:val="center"/>
              <w:textAlignment w:val="auto"/>
              <w:rPr>
                <w:rFonts w:ascii="Arial" w:hAnsi="Arial" w:eastAsia="仿宋" w:cs="Arial"/>
                <w:b/>
                <w:bCs/>
                <w:color w:val="auto"/>
                <w:szCs w:val="24"/>
              </w:rPr>
            </w:pPr>
            <w:r>
              <w:rPr>
                <w:rFonts w:ascii="Arial" w:hAnsi="Arial" w:eastAsia="仿宋" w:cs="Arial"/>
                <w:b/>
                <w:bCs/>
                <w:color w:val="auto"/>
                <w:szCs w:val="24"/>
              </w:rPr>
              <w:t>权重</w:t>
            </w:r>
          </w:p>
        </w:tc>
        <w:tc>
          <w:tcPr>
            <w:tcW w:w="1334" w:type="dxa"/>
            <w:noWrap/>
            <w:vAlign w:val="center"/>
          </w:tcPr>
          <w:p w14:paraId="0B46234B">
            <w:pPr>
              <w:spacing w:line="240" w:lineRule="atLeast"/>
              <w:jc w:val="center"/>
              <w:rPr>
                <w:rFonts w:ascii="Arial" w:hAnsi="Arial" w:eastAsia="仿宋" w:cs="Arial"/>
                <w:color w:val="auto"/>
                <w:szCs w:val="24"/>
              </w:rPr>
            </w:pPr>
            <w:r>
              <w:rPr>
                <w:rFonts w:hint="eastAsia" w:ascii="Arial" w:hAnsi="Arial" w:eastAsia="仿宋" w:cs="Arial"/>
                <w:color w:val="auto"/>
                <w:szCs w:val="24"/>
              </w:rPr>
              <w:t>5</w:t>
            </w:r>
            <w:r>
              <w:rPr>
                <w:rFonts w:ascii="Arial" w:hAnsi="Arial" w:eastAsia="仿宋" w:cs="Arial"/>
                <w:color w:val="auto"/>
                <w:szCs w:val="24"/>
              </w:rPr>
              <w:t>0%</w:t>
            </w:r>
          </w:p>
        </w:tc>
        <w:tc>
          <w:tcPr>
            <w:tcW w:w="804" w:type="dxa"/>
            <w:noWrap/>
            <w:vAlign w:val="center"/>
          </w:tcPr>
          <w:p w14:paraId="584738F7">
            <w:pPr>
              <w:spacing w:line="240" w:lineRule="atLeast"/>
              <w:jc w:val="center"/>
              <w:rPr>
                <w:rFonts w:ascii="Arial" w:hAnsi="Arial" w:eastAsia="仿宋" w:cs="Arial"/>
                <w:color w:val="auto"/>
                <w:szCs w:val="24"/>
              </w:rPr>
            </w:pPr>
            <w:r>
              <w:rPr>
                <w:rFonts w:hint="eastAsia" w:ascii="Arial" w:hAnsi="Arial" w:eastAsia="仿宋" w:cs="Arial"/>
                <w:color w:val="auto"/>
                <w:szCs w:val="24"/>
              </w:rPr>
              <w:t>5</w:t>
            </w:r>
            <w:r>
              <w:rPr>
                <w:rFonts w:ascii="Arial" w:hAnsi="Arial" w:eastAsia="仿宋" w:cs="Arial"/>
                <w:color w:val="auto"/>
                <w:szCs w:val="24"/>
              </w:rPr>
              <w:t>0%</w:t>
            </w:r>
          </w:p>
        </w:tc>
      </w:tr>
    </w:tbl>
    <w:p w14:paraId="3C8DDC57">
      <w:pPr>
        <w:spacing w:before="120" w:beforeLines="50" w:line="300" w:lineRule="auto"/>
        <w:ind w:firstLine="556"/>
        <w:jc w:val="both"/>
        <w:rPr>
          <w:rFonts w:ascii="Arial" w:hAnsi="Arial" w:eastAsia="仿宋_GB2312" w:cs="Arial"/>
          <w:color w:val="auto"/>
          <w:sz w:val="28"/>
          <w:szCs w:val="28"/>
        </w:rPr>
      </w:pPr>
      <w:r>
        <w:rPr>
          <w:rFonts w:hint="eastAsia" w:ascii="Arial" w:hAnsi="Arial" w:eastAsia="仿宋_GB2312" w:cs="Arial"/>
          <w:color w:val="auto"/>
          <w:sz w:val="28"/>
          <w:szCs w:val="28"/>
        </w:rPr>
        <w:t>3、各用途楼面地价的确定</w:t>
      </w:r>
    </w:p>
    <w:p w14:paraId="00B96E3F">
      <w:pPr>
        <w:spacing w:line="300" w:lineRule="auto"/>
        <w:ind w:firstLine="556"/>
        <w:jc w:val="both"/>
        <w:rPr>
          <w:rFonts w:ascii="Arial" w:hAnsi="Arial" w:eastAsia="仿宋_GB2312" w:cs="Arial"/>
          <w:color w:val="auto"/>
          <w:sz w:val="28"/>
        </w:rPr>
      </w:pPr>
      <w:r>
        <w:rPr>
          <w:rFonts w:hint="eastAsia" w:ascii="Arial" w:hAnsi="Arial" w:eastAsia="仿宋_GB2312" w:cs="Arial"/>
          <w:color w:val="auto"/>
          <w:sz w:val="28"/>
          <w:szCs w:val="28"/>
        </w:rPr>
        <w:t>（1）</w:t>
      </w:r>
      <w:r>
        <w:rPr>
          <w:rFonts w:hint="eastAsia" w:ascii="Arial" w:hAnsi="Arial" w:eastAsia="仿宋" w:cs="Arial"/>
          <w:color w:val="auto"/>
          <w:sz w:val="28"/>
        </w:rPr>
        <w:t>城镇住宅用地</w:t>
      </w:r>
      <w:r>
        <w:rPr>
          <w:rFonts w:ascii="Arial" w:hAnsi="Arial" w:eastAsia="仿宋_GB2312" w:cs="Arial"/>
          <w:color w:val="auto"/>
          <w:sz w:val="28"/>
          <w:szCs w:val="28"/>
        </w:rPr>
        <w:t>熟地价</w:t>
      </w:r>
      <w:r>
        <w:rPr>
          <w:rFonts w:hint="eastAsia" w:ascii="Arial" w:hAnsi="Arial" w:eastAsia="仿宋_GB2312" w:cs="Arial"/>
          <w:color w:val="auto"/>
          <w:sz w:val="28"/>
          <w:szCs w:val="28"/>
        </w:rPr>
        <w:t>楼面地价</w:t>
      </w:r>
    </w:p>
    <w:p w14:paraId="39BB25F7">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 w:cs="Arial"/>
          <w:color w:val="auto"/>
          <w:sz w:val="28"/>
        </w:rPr>
        <w:t>城镇住宅用地</w:t>
      </w:r>
      <w:r>
        <w:rPr>
          <w:rFonts w:ascii="Arial" w:hAnsi="Arial" w:eastAsia="仿宋_GB2312" w:cs="Arial"/>
          <w:color w:val="auto"/>
          <w:sz w:val="28"/>
          <w:szCs w:val="28"/>
        </w:rPr>
        <w:t>熟地价</w:t>
      </w:r>
      <w:r>
        <w:rPr>
          <w:rFonts w:hint="eastAsia" w:ascii="Arial" w:hAnsi="Arial" w:eastAsia="仿宋_GB2312" w:cs="Arial"/>
          <w:color w:val="auto"/>
          <w:sz w:val="28"/>
          <w:szCs w:val="28"/>
        </w:rPr>
        <w:t>楼面地价</w:t>
      </w:r>
      <w:r>
        <w:rPr>
          <w:rFonts w:hint="eastAsia" w:ascii="Arial" w:hAnsi="Arial" w:eastAsia="仿宋_GB2312" w:cs="Arial"/>
          <w:color w:val="auto"/>
          <w:sz w:val="28"/>
        </w:rPr>
        <w:t>＝6689</w:t>
      </w:r>
      <w:r>
        <w:rPr>
          <w:rFonts w:hint="eastAsia" w:ascii="Arial" w:hAnsi="Arial" w:eastAsia="仿宋_GB2312" w:cs="Arial"/>
          <w:color w:val="auto"/>
          <w:sz w:val="28"/>
          <w:szCs w:val="28"/>
        </w:rPr>
        <w:t>×</w:t>
      </w:r>
      <w:r>
        <w:rPr>
          <w:rFonts w:ascii="Arial" w:hAnsi="Arial" w:eastAsia="仿宋_GB2312" w:cs="Arial"/>
          <w:color w:val="auto"/>
          <w:sz w:val="28"/>
        </w:rPr>
        <w:t>30</w:t>
      </w:r>
      <w:r>
        <w:rPr>
          <w:rFonts w:ascii="Arial" w:hAnsi="Arial" w:eastAsia="仿宋_GB2312" w:cs="Arial"/>
          <w:color w:val="auto"/>
          <w:sz w:val="28"/>
          <w:szCs w:val="28"/>
        </w:rPr>
        <w:t>%</w:t>
      </w:r>
      <w:r>
        <w:rPr>
          <w:rFonts w:hint="eastAsia" w:ascii="Arial" w:hAnsi="Arial" w:eastAsia="仿宋_GB2312" w:cs="Arial"/>
          <w:color w:val="auto"/>
          <w:sz w:val="28"/>
          <w:szCs w:val="28"/>
        </w:rPr>
        <w:t>＋</w:t>
      </w:r>
      <w:r>
        <w:rPr>
          <w:rFonts w:hint="eastAsia" w:ascii="Arial" w:hAnsi="Arial" w:eastAsia="仿宋_GB2312" w:cs="Arial"/>
          <w:color w:val="auto"/>
          <w:sz w:val="28"/>
        </w:rPr>
        <w:t xml:space="preserve"> 12765</w:t>
      </w:r>
      <w:r>
        <w:rPr>
          <w:rFonts w:hint="eastAsia" w:ascii="Arial" w:hAnsi="Arial" w:eastAsia="仿宋_GB2312" w:cs="Arial"/>
          <w:color w:val="auto"/>
          <w:sz w:val="28"/>
          <w:szCs w:val="28"/>
        </w:rPr>
        <w:t>×</w:t>
      </w:r>
      <w:r>
        <w:rPr>
          <w:rFonts w:ascii="Arial" w:hAnsi="Arial" w:eastAsia="仿宋_GB2312" w:cs="Arial"/>
          <w:color w:val="auto"/>
          <w:sz w:val="28"/>
        </w:rPr>
        <w:t>70</w:t>
      </w:r>
      <w:r>
        <w:rPr>
          <w:rFonts w:ascii="Arial" w:hAnsi="Arial" w:eastAsia="仿宋_GB2312" w:cs="Arial"/>
          <w:color w:val="auto"/>
          <w:sz w:val="28"/>
          <w:szCs w:val="28"/>
        </w:rPr>
        <w:t>%</w:t>
      </w:r>
    </w:p>
    <w:p w14:paraId="04E49C2A">
      <w:pPr>
        <w:adjustRightInd/>
        <w:spacing w:line="300" w:lineRule="auto"/>
        <w:ind w:firstLine="4200" w:firstLineChars="1500"/>
        <w:jc w:val="both"/>
        <w:rPr>
          <w:rFonts w:ascii="Arial" w:hAnsi="Arial" w:eastAsia="仿宋_GB2312" w:cs="Arial"/>
          <w:color w:val="auto"/>
          <w:sz w:val="28"/>
        </w:rPr>
      </w:pPr>
      <w:r>
        <w:rPr>
          <w:rFonts w:hint="eastAsia" w:ascii="Arial" w:hAnsi="Arial" w:eastAsia="仿宋_GB2312" w:cs="Arial"/>
          <w:color w:val="auto"/>
          <w:sz w:val="28"/>
          <w:szCs w:val="28"/>
        </w:rPr>
        <w:t>＝10942</w:t>
      </w:r>
      <w:r>
        <w:rPr>
          <w:rFonts w:ascii="Arial" w:hAnsi="Arial" w:eastAsia="仿宋_GB2312" w:cs="Arial"/>
          <w:color w:val="auto"/>
          <w:sz w:val="28"/>
        </w:rPr>
        <w:t>（元/平方米）</w:t>
      </w:r>
    </w:p>
    <w:p w14:paraId="7F5E3739">
      <w:pPr>
        <w:spacing w:line="300" w:lineRule="auto"/>
        <w:ind w:firstLine="556"/>
        <w:jc w:val="both"/>
        <w:rPr>
          <w:rFonts w:ascii="Arial" w:hAnsi="Arial" w:eastAsia="仿宋_GB2312" w:cs="Arial"/>
          <w:color w:val="auto"/>
          <w:sz w:val="28"/>
        </w:rPr>
      </w:pPr>
      <w:r>
        <w:rPr>
          <w:rFonts w:hint="eastAsia" w:ascii="Arial" w:hAnsi="Arial" w:eastAsia="仿宋_GB2312" w:cs="Arial"/>
          <w:color w:val="auto"/>
          <w:sz w:val="28"/>
          <w:szCs w:val="28"/>
        </w:rPr>
        <w:t>（2）</w:t>
      </w:r>
      <w:r>
        <w:rPr>
          <w:rFonts w:hint="eastAsia" w:ascii="Arial" w:hAnsi="Arial" w:eastAsia="仿宋" w:cs="Arial"/>
          <w:color w:val="auto"/>
          <w:sz w:val="28"/>
        </w:rPr>
        <w:t>其他商业服务业用地</w:t>
      </w:r>
      <w:r>
        <w:rPr>
          <w:rFonts w:ascii="Arial" w:hAnsi="Arial" w:eastAsia="仿宋_GB2312" w:cs="Arial"/>
          <w:color w:val="auto"/>
          <w:sz w:val="28"/>
          <w:szCs w:val="28"/>
        </w:rPr>
        <w:t>熟地价</w:t>
      </w:r>
      <w:r>
        <w:rPr>
          <w:rFonts w:hint="eastAsia" w:ascii="Arial" w:hAnsi="Arial" w:eastAsia="仿宋_GB2312" w:cs="Arial"/>
          <w:color w:val="auto"/>
          <w:sz w:val="28"/>
          <w:szCs w:val="28"/>
        </w:rPr>
        <w:t>楼面地价</w:t>
      </w:r>
    </w:p>
    <w:p w14:paraId="30200024">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 w:cs="Arial"/>
          <w:color w:val="auto"/>
          <w:sz w:val="28"/>
        </w:rPr>
        <w:t>其他商业服务业用地</w:t>
      </w:r>
      <w:r>
        <w:rPr>
          <w:rFonts w:ascii="Arial" w:hAnsi="Arial" w:eastAsia="仿宋_GB2312" w:cs="Arial"/>
          <w:color w:val="auto"/>
          <w:sz w:val="28"/>
          <w:szCs w:val="28"/>
        </w:rPr>
        <w:t>熟地价</w:t>
      </w:r>
      <w:r>
        <w:rPr>
          <w:rFonts w:hint="eastAsia" w:ascii="Arial" w:hAnsi="Arial" w:eastAsia="仿宋_GB2312" w:cs="Arial"/>
          <w:color w:val="auto"/>
          <w:sz w:val="28"/>
          <w:szCs w:val="28"/>
        </w:rPr>
        <w:t>楼面地价</w:t>
      </w:r>
      <w:r>
        <w:rPr>
          <w:rFonts w:hint="eastAsia" w:ascii="Arial" w:hAnsi="Arial" w:eastAsia="仿宋_GB2312" w:cs="Arial"/>
          <w:color w:val="auto"/>
          <w:sz w:val="28"/>
        </w:rPr>
        <w:t>＝4762</w:t>
      </w:r>
      <w:r>
        <w:rPr>
          <w:rFonts w:hint="eastAsia" w:ascii="Arial" w:hAnsi="Arial" w:eastAsia="仿宋_GB2312" w:cs="Arial"/>
          <w:color w:val="auto"/>
          <w:sz w:val="28"/>
          <w:szCs w:val="28"/>
        </w:rPr>
        <w:t>×3</w:t>
      </w:r>
      <w:r>
        <w:rPr>
          <w:rFonts w:ascii="Arial" w:hAnsi="Arial" w:eastAsia="仿宋_GB2312" w:cs="Arial"/>
          <w:color w:val="auto"/>
          <w:sz w:val="28"/>
        </w:rPr>
        <w:t>0</w:t>
      </w:r>
      <w:r>
        <w:rPr>
          <w:rFonts w:ascii="Arial" w:hAnsi="Arial" w:eastAsia="仿宋_GB2312" w:cs="Arial"/>
          <w:color w:val="auto"/>
          <w:sz w:val="28"/>
          <w:szCs w:val="28"/>
        </w:rPr>
        <w:t>%</w:t>
      </w:r>
      <w:r>
        <w:rPr>
          <w:rFonts w:hint="eastAsia" w:ascii="Arial" w:hAnsi="Arial" w:eastAsia="仿宋_GB2312" w:cs="Arial"/>
          <w:color w:val="auto"/>
          <w:sz w:val="28"/>
          <w:szCs w:val="28"/>
        </w:rPr>
        <w:t>＋</w:t>
      </w:r>
      <w:r>
        <w:rPr>
          <w:rFonts w:hint="eastAsia" w:ascii="Arial" w:hAnsi="Arial" w:eastAsia="仿宋_GB2312" w:cs="Arial"/>
          <w:color w:val="auto"/>
          <w:sz w:val="28"/>
        </w:rPr>
        <w:t xml:space="preserve"> 5524</w:t>
      </w:r>
      <w:r>
        <w:rPr>
          <w:rFonts w:hint="eastAsia" w:ascii="Arial" w:hAnsi="Arial" w:eastAsia="仿宋_GB2312" w:cs="Arial"/>
          <w:color w:val="auto"/>
          <w:sz w:val="28"/>
          <w:szCs w:val="28"/>
        </w:rPr>
        <w:t>×7</w:t>
      </w:r>
      <w:r>
        <w:rPr>
          <w:rFonts w:ascii="Arial" w:hAnsi="Arial" w:eastAsia="仿宋_GB2312" w:cs="Arial"/>
          <w:color w:val="auto"/>
          <w:sz w:val="28"/>
        </w:rPr>
        <w:t>0</w:t>
      </w:r>
      <w:r>
        <w:rPr>
          <w:rFonts w:ascii="Arial" w:hAnsi="Arial" w:eastAsia="仿宋_GB2312" w:cs="Arial"/>
          <w:color w:val="auto"/>
          <w:sz w:val="28"/>
          <w:szCs w:val="28"/>
        </w:rPr>
        <w:t>%</w:t>
      </w:r>
    </w:p>
    <w:p w14:paraId="67640141">
      <w:pPr>
        <w:adjustRightInd/>
        <w:spacing w:line="300" w:lineRule="auto"/>
        <w:ind w:firstLine="5040" w:firstLineChars="1800"/>
        <w:jc w:val="both"/>
        <w:rPr>
          <w:rFonts w:ascii="Arial" w:hAnsi="Arial" w:eastAsia="仿宋_GB2312" w:cs="Arial"/>
          <w:color w:val="auto"/>
          <w:sz w:val="28"/>
        </w:rPr>
      </w:pPr>
      <w:r>
        <w:rPr>
          <w:rFonts w:hint="eastAsia" w:ascii="Arial" w:hAnsi="Arial" w:eastAsia="仿宋_GB2312" w:cs="Arial"/>
          <w:color w:val="auto"/>
          <w:sz w:val="28"/>
          <w:szCs w:val="28"/>
        </w:rPr>
        <w:t>＝5295</w:t>
      </w:r>
      <w:r>
        <w:rPr>
          <w:rFonts w:ascii="Arial" w:hAnsi="Arial" w:eastAsia="仿宋_GB2312" w:cs="Arial"/>
          <w:color w:val="auto"/>
          <w:sz w:val="28"/>
        </w:rPr>
        <w:t>（元/平方米）</w:t>
      </w:r>
    </w:p>
    <w:p w14:paraId="06C31CB0">
      <w:pPr>
        <w:spacing w:line="300" w:lineRule="auto"/>
        <w:ind w:firstLine="556"/>
        <w:jc w:val="both"/>
        <w:rPr>
          <w:rFonts w:ascii="Arial" w:hAnsi="Arial" w:eastAsia="仿宋_GB2312" w:cs="Arial"/>
          <w:color w:val="auto"/>
          <w:sz w:val="28"/>
        </w:rPr>
      </w:pPr>
      <w:r>
        <w:rPr>
          <w:rFonts w:hint="eastAsia" w:ascii="Arial" w:hAnsi="Arial" w:eastAsia="仿宋_GB2312" w:cs="Arial"/>
          <w:color w:val="auto"/>
          <w:sz w:val="28"/>
          <w:szCs w:val="28"/>
        </w:rPr>
        <w:t>（3）</w:t>
      </w:r>
      <w:r>
        <w:rPr>
          <w:rFonts w:hint="eastAsia" w:ascii="Arial" w:hAnsi="Arial" w:eastAsia="仿宋" w:cs="Arial"/>
          <w:color w:val="auto"/>
          <w:sz w:val="28"/>
        </w:rPr>
        <w:t>公共管理与公共服务用地</w:t>
      </w:r>
      <w:r>
        <w:rPr>
          <w:rFonts w:ascii="Arial" w:hAnsi="Arial" w:eastAsia="仿宋_GB2312" w:cs="Arial"/>
          <w:color w:val="auto"/>
          <w:sz w:val="28"/>
          <w:szCs w:val="28"/>
        </w:rPr>
        <w:t>熟地价</w:t>
      </w:r>
      <w:r>
        <w:rPr>
          <w:rFonts w:hint="eastAsia" w:ascii="Arial" w:hAnsi="Arial" w:eastAsia="仿宋_GB2312" w:cs="Arial"/>
          <w:color w:val="auto"/>
          <w:sz w:val="28"/>
          <w:szCs w:val="28"/>
        </w:rPr>
        <w:t>楼面地价</w:t>
      </w:r>
    </w:p>
    <w:p w14:paraId="1104B479">
      <w:pPr>
        <w:adjustRightInd/>
        <w:spacing w:line="300" w:lineRule="auto"/>
        <w:ind w:firstLine="560" w:firstLineChars="200"/>
        <w:jc w:val="both"/>
        <w:rPr>
          <w:rFonts w:ascii="Arial" w:hAnsi="Arial" w:eastAsia="仿宋_GB2312" w:cs="Arial"/>
          <w:color w:val="auto"/>
          <w:sz w:val="28"/>
          <w:szCs w:val="28"/>
        </w:rPr>
      </w:pPr>
      <w:r>
        <w:rPr>
          <w:rFonts w:hint="eastAsia" w:ascii="Arial" w:hAnsi="Arial" w:eastAsia="仿宋" w:cs="Arial"/>
          <w:color w:val="auto"/>
          <w:sz w:val="28"/>
        </w:rPr>
        <w:t>公共管理与公共服务用地</w:t>
      </w:r>
      <w:r>
        <w:rPr>
          <w:rFonts w:ascii="Arial" w:hAnsi="Arial" w:eastAsia="仿宋_GB2312" w:cs="Arial"/>
          <w:color w:val="auto"/>
          <w:sz w:val="28"/>
          <w:szCs w:val="28"/>
        </w:rPr>
        <w:t>熟地价</w:t>
      </w:r>
      <w:r>
        <w:rPr>
          <w:rFonts w:hint="eastAsia" w:ascii="Arial" w:hAnsi="Arial" w:eastAsia="仿宋_GB2312" w:cs="Arial"/>
          <w:color w:val="auto"/>
          <w:sz w:val="28"/>
          <w:szCs w:val="28"/>
        </w:rPr>
        <w:t>楼面地价</w:t>
      </w:r>
      <w:r>
        <w:rPr>
          <w:rFonts w:hint="eastAsia" w:ascii="Arial" w:hAnsi="Arial" w:eastAsia="仿宋_GB2312" w:cs="Arial"/>
          <w:color w:val="auto"/>
          <w:sz w:val="28"/>
        </w:rPr>
        <w:t>＝3197</w:t>
      </w:r>
      <w:r>
        <w:rPr>
          <w:rFonts w:hint="eastAsia" w:ascii="Arial" w:hAnsi="Arial" w:eastAsia="仿宋_GB2312" w:cs="Arial"/>
          <w:color w:val="auto"/>
          <w:sz w:val="28"/>
          <w:szCs w:val="28"/>
        </w:rPr>
        <w:t>×5</w:t>
      </w:r>
      <w:r>
        <w:rPr>
          <w:rFonts w:ascii="Arial" w:hAnsi="Arial" w:eastAsia="仿宋_GB2312" w:cs="Arial"/>
          <w:color w:val="auto"/>
          <w:sz w:val="28"/>
        </w:rPr>
        <w:t>0</w:t>
      </w:r>
      <w:r>
        <w:rPr>
          <w:rFonts w:ascii="Arial" w:hAnsi="Arial" w:eastAsia="仿宋_GB2312" w:cs="Arial"/>
          <w:color w:val="auto"/>
          <w:sz w:val="28"/>
          <w:szCs w:val="28"/>
        </w:rPr>
        <w:t>%</w:t>
      </w:r>
      <w:r>
        <w:rPr>
          <w:rFonts w:hint="eastAsia" w:ascii="Arial" w:hAnsi="Arial" w:eastAsia="仿宋_GB2312" w:cs="Arial"/>
          <w:color w:val="auto"/>
          <w:sz w:val="28"/>
          <w:szCs w:val="28"/>
        </w:rPr>
        <w:t>＋</w:t>
      </w:r>
      <w:r>
        <w:rPr>
          <w:rFonts w:hint="eastAsia" w:ascii="Arial" w:hAnsi="Arial" w:eastAsia="仿宋_GB2312" w:cs="Arial"/>
          <w:color w:val="auto"/>
          <w:sz w:val="28"/>
        </w:rPr>
        <w:t xml:space="preserve"> 3301</w:t>
      </w:r>
      <w:r>
        <w:rPr>
          <w:rFonts w:hint="eastAsia" w:ascii="Arial" w:hAnsi="Arial" w:eastAsia="仿宋_GB2312" w:cs="Arial"/>
          <w:color w:val="auto"/>
          <w:sz w:val="28"/>
          <w:szCs w:val="28"/>
        </w:rPr>
        <w:t>×5</w:t>
      </w:r>
      <w:r>
        <w:rPr>
          <w:rFonts w:ascii="Arial" w:hAnsi="Arial" w:eastAsia="仿宋_GB2312" w:cs="Arial"/>
          <w:color w:val="auto"/>
          <w:sz w:val="28"/>
        </w:rPr>
        <w:t>0</w:t>
      </w:r>
      <w:r>
        <w:rPr>
          <w:rFonts w:ascii="Arial" w:hAnsi="Arial" w:eastAsia="仿宋_GB2312" w:cs="Arial"/>
          <w:color w:val="auto"/>
          <w:sz w:val="28"/>
          <w:szCs w:val="28"/>
        </w:rPr>
        <w:t>%</w:t>
      </w:r>
    </w:p>
    <w:p w14:paraId="6F913F08">
      <w:pPr>
        <w:adjustRightInd/>
        <w:spacing w:line="300" w:lineRule="auto"/>
        <w:ind w:firstLine="5600" w:firstLineChars="2000"/>
        <w:jc w:val="both"/>
        <w:rPr>
          <w:rFonts w:ascii="Arial" w:hAnsi="Arial" w:eastAsia="仿宋_GB2312" w:cs="Arial"/>
          <w:color w:val="auto"/>
          <w:sz w:val="28"/>
        </w:rPr>
      </w:pPr>
      <w:r>
        <w:rPr>
          <w:rFonts w:hint="eastAsia" w:ascii="Arial" w:hAnsi="Arial" w:eastAsia="仿宋_GB2312" w:cs="Arial"/>
          <w:color w:val="auto"/>
          <w:sz w:val="28"/>
          <w:szCs w:val="28"/>
        </w:rPr>
        <w:t>＝3249</w:t>
      </w:r>
      <w:r>
        <w:rPr>
          <w:rFonts w:ascii="Arial" w:hAnsi="Arial" w:eastAsia="仿宋_GB2312" w:cs="Arial"/>
          <w:color w:val="auto"/>
          <w:sz w:val="28"/>
        </w:rPr>
        <w:t>（元/平方米）</w:t>
      </w:r>
    </w:p>
    <w:p w14:paraId="10A503FD">
      <w:pPr>
        <w:adjustRightInd/>
        <w:spacing w:line="300" w:lineRule="auto"/>
        <w:ind w:firstLine="560" w:firstLineChars="200"/>
        <w:jc w:val="both"/>
        <w:rPr>
          <w:rFonts w:ascii="Arial" w:hAnsi="Arial" w:eastAsia="仿宋_GB2312" w:cs="Arial"/>
          <w:color w:val="auto"/>
          <w:sz w:val="28"/>
        </w:rPr>
      </w:pPr>
      <w:r>
        <w:rPr>
          <w:rFonts w:ascii="Arial" w:hAnsi="Arial" w:eastAsia="仿宋_GB2312" w:cs="Arial"/>
          <w:color w:val="auto"/>
          <w:sz w:val="28"/>
        </w:rPr>
        <w:t>如下图所示：</w:t>
      </w:r>
    </w:p>
    <w:tbl>
      <w:tblPr>
        <w:tblStyle w:val="34"/>
        <w:tblW w:w="4998" w:type="pct"/>
        <w:jc w:val="center"/>
        <w:tblLayout w:type="autofit"/>
        <w:tblCellMar>
          <w:top w:w="57" w:type="dxa"/>
          <w:left w:w="28" w:type="dxa"/>
          <w:bottom w:w="57" w:type="dxa"/>
          <w:right w:w="28" w:type="dxa"/>
        </w:tblCellMar>
      </w:tblPr>
      <w:tblGrid>
        <w:gridCol w:w="1323"/>
        <w:gridCol w:w="2353"/>
        <w:gridCol w:w="1911"/>
        <w:gridCol w:w="1218"/>
        <w:gridCol w:w="2601"/>
      </w:tblGrid>
      <w:tr w14:paraId="7ECFD5FB">
        <w:tblPrEx>
          <w:tblCellMar>
            <w:top w:w="57" w:type="dxa"/>
            <w:left w:w="28" w:type="dxa"/>
            <w:bottom w:w="57" w:type="dxa"/>
            <w:right w:w="28" w:type="dxa"/>
          </w:tblCellMar>
        </w:tblPrEx>
        <w:trPr>
          <w:cantSplit/>
          <w:jc w:val="center"/>
        </w:trPr>
        <w:tc>
          <w:tcPr>
            <w:tcW w:w="703" w:type="pct"/>
            <w:tcBorders>
              <w:top w:val="single" w:color="auto" w:sz="4" w:space="0"/>
              <w:left w:val="single" w:color="auto" w:sz="4" w:space="0"/>
              <w:bottom w:val="single" w:color="auto" w:sz="4" w:space="0"/>
              <w:right w:val="single" w:color="auto" w:sz="4" w:space="0"/>
            </w:tcBorders>
            <w:shd w:val="clear" w:color="auto" w:fill="auto"/>
            <w:vAlign w:val="center"/>
          </w:tcPr>
          <w:p w14:paraId="77A3529B">
            <w:pPr>
              <w:widowControl/>
              <w:adjustRightInd/>
              <w:spacing w:line="240" w:lineRule="atLeast"/>
              <w:jc w:val="center"/>
              <w:textAlignment w:val="auto"/>
              <w:rPr>
                <w:rFonts w:ascii="Arial" w:hAnsi="Arial" w:cs="Arial"/>
                <w:b/>
                <w:bCs/>
                <w:color w:val="auto"/>
                <w:szCs w:val="24"/>
              </w:rPr>
            </w:pPr>
            <w:r>
              <w:rPr>
                <w:rFonts w:ascii="Arial" w:hAnsi="Arial" w:eastAsia="仿宋_GB2312" w:cs="Arial"/>
                <w:b/>
                <w:bCs/>
                <w:color w:val="auto"/>
                <w:szCs w:val="24"/>
              </w:rPr>
              <w:t>用途</w:t>
            </w:r>
          </w:p>
        </w:tc>
        <w:tc>
          <w:tcPr>
            <w:tcW w:w="1250" w:type="pct"/>
            <w:tcBorders>
              <w:top w:val="single" w:color="auto" w:sz="4" w:space="0"/>
              <w:left w:val="nil"/>
              <w:bottom w:val="single" w:color="auto" w:sz="4" w:space="0"/>
              <w:right w:val="single" w:color="auto" w:sz="4" w:space="0"/>
            </w:tcBorders>
            <w:shd w:val="clear" w:color="auto" w:fill="auto"/>
            <w:vAlign w:val="center"/>
          </w:tcPr>
          <w:p w14:paraId="7062DAC1">
            <w:pPr>
              <w:widowControl/>
              <w:adjustRightInd/>
              <w:spacing w:line="240" w:lineRule="atLeast"/>
              <w:jc w:val="center"/>
              <w:textAlignment w:val="auto"/>
              <w:rPr>
                <w:rFonts w:ascii="Arial" w:hAnsi="Arial" w:cs="Arial"/>
                <w:b/>
                <w:bCs/>
                <w:color w:val="auto"/>
                <w:szCs w:val="24"/>
              </w:rPr>
            </w:pPr>
            <w:r>
              <w:rPr>
                <w:rFonts w:ascii="Arial" w:hAnsi="Arial" w:eastAsia="仿宋_GB2312" w:cs="Arial"/>
                <w:b/>
                <w:bCs/>
                <w:color w:val="auto"/>
                <w:szCs w:val="24"/>
              </w:rPr>
              <w:t>方法</w:t>
            </w:r>
          </w:p>
        </w:tc>
        <w:tc>
          <w:tcPr>
            <w:tcW w:w="1015" w:type="pct"/>
            <w:tcBorders>
              <w:top w:val="single" w:color="auto" w:sz="4" w:space="0"/>
              <w:left w:val="nil"/>
              <w:bottom w:val="single" w:color="auto" w:sz="4" w:space="0"/>
              <w:right w:val="single" w:color="auto" w:sz="4" w:space="0"/>
            </w:tcBorders>
            <w:shd w:val="clear" w:color="auto" w:fill="auto"/>
            <w:vAlign w:val="center"/>
          </w:tcPr>
          <w:p w14:paraId="386A1D9A">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熟地价</w:t>
            </w:r>
            <w:r>
              <w:rPr>
                <w:rFonts w:hint="eastAsia" w:ascii="Arial" w:hAnsi="Arial" w:eastAsia="仿宋_GB2312" w:cs="Arial"/>
                <w:b/>
                <w:bCs/>
                <w:color w:val="auto"/>
                <w:szCs w:val="24"/>
              </w:rPr>
              <w:t>楼面地价</w:t>
            </w:r>
          </w:p>
          <w:p w14:paraId="1CB21F62">
            <w:pPr>
              <w:widowControl/>
              <w:adjustRightInd/>
              <w:spacing w:line="240" w:lineRule="atLeast"/>
              <w:jc w:val="center"/>
              <w:textAlignment w:val="auto"/>
              <w:rPr>
                <w:rFonts w:ascii="Arial" w:hAnsi="Arial" w:cs="Arial"/>
                <w:b/>
                <w:bCs/>
                <w:color w:val="auto"/>
                <w:szCs w:val="24"/>
              </w:rPr>
            </w:pPr>
            <w:r>
              <w:rPr>
                <w:rFonts w:ascii="Arial" w:hAnsi="Arial" w:eastAsia="仿宋_GB2312" w:cs="Arial"/>
                <w:b/>
                <w:bCs/>
                <w:color w:val="auto"/>
                <w:szCs w:val="24"/>
              </w:rPr>
              <w:t>（元/平方米）</w:t>
            </w:r>
          </w:p>
        </w:tc>
        <w:tc>
          <w:tcPr>
            <w:tcW w:w="647" w:type="pct"/>
            <w:tcBorders>
              <w:top w:val="single" w:color="auto" w:sz="4" w:space="0"/>
              <w:left w:val="nil"/>
              <w:bottom w:val="single" w:color="auto" w:sz="4" w:space="0"/>
              <w:right w:val="single" w:color="auto" w:sz="4" w:space="0"/>
            </w:tcBorders>
            <w:shd w:val="clear" w:color="auto" w:fill="auto"/>
            <w:vAlign w:val="center"/>
          </w:tcPr>
          <w:p w14:paraId="24124B75">
            <w:pPr>
              <w:widowControl/>
              <w:adjustRightInd/>
              <w:spacing w:line="240" w:lineRule="atLeast"/>
              <w:jc w:val="center"/>
              <w:textAlignment w:val="auto"/>
              <w:rPr>
                <w:rFonts w:ascii="Arial" w:hAnsi="Arial" w:cs="Arial"/>
                <w:b/>
                <w:bCs/>
                <w:color w:val="auto"/>
                <w:szCs w:val="24"/>
              </w:rPr>
            </w:pPr>
            <w:r>
              <w:rPr>
                <w:rFonts w:ascii="Arial" w:hAnsi="Arial" w:eastAsia="仿宋_GB2312" w:cs="Arial"/>
                <w:b/>
                <w:bCs/>
                <w:color w:val="auto"/>
                <w:szCs w:val="24"/>
              </w:rPr>
              <w:t>权重</w:t>
            </w:r>
          </w:p>
        </w:tc>
        <w:tc>
          <w:tcPr>
            <w:tcW w:w="1382" w:type="pct"/>
            <w:tcBorders>
              <w:top w:val="single" w:color="auto" w:sz="4" w:space="0"/>
              <w:left w:val="nil"/>
              <w:bottom w:val="single" w:color="auto" w:sz="4" w:space="0"/>
              <w:right w:val="single" w:color="auto" w:sz="4" w:space="0"/>
            </w:tcBorders>
            <w:shd w:val="clear" w:color="auto" w:fill="auto"/>
            <w:vAlign w:val="center"/>
          </w:tcPr>
          <w:p w14:paraId="65AE2CB8">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权重后熟地价</w:t>
            </w:r>
            <w:r>
              <w:rPr>
                <w:rFonts w:hint="eastAsia" w:ascii="Arial" w:hAnsi="Arial" w:eastAsia="仿宋_GB2312" w:cs="Arial"/>
                <w:b/>
                <w:bCs/>
                <w:color w:val="auto"/>
                <w:szCs w:val="24"/>
              </w:rPr>
              <w:t>楼面地价</w:t>
            </w:r>
          </w:p>
          <w:p w14:paraId="64B49D03">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（元/平方米）</w:t>
            </w:r>
          </w:p>
        </w:tc>
      </w:tr>
      <w:tr w14:paraId="7A61CE2C">
        <w:tblPrEx>
          <w:tblCellMar>
            <w:top w:w="57" w:type="dxa"/>
            <w:left w:w="28" w:type="dxa"/>
            <w:bottom w:w="57" w:type="dxa"/>
            <w:right w:w="28" w:type="dxa"/>
          </w:tblCellMar>
        </w:tblPrEx>
        <w:trPr>
          <w:cantSplit/>
          <w:jc w:val="center"/>
        </w:trPr>
        <w:tc>
          <w:tcPr>
            <w:tcW w:w="703" w:type="pct"/>
            <w:vMerge w:val="restart"/>
            <w:tcBorders>
              <w:top w:val="nil"/>
              <w:left w:val="single" w:color="auto" w:sz="4" w:space="0"/>
              <w:bottom w:val="single" w:color="auto" w:sz="4" w:space="0"/>
              <w:right w:val="single" w:color="auto" w:sz="4" w:space="0"/>
            </w:tcBorders>
            <w:shd w:val="clear" w:color="auto" w:fill="auto"/>
            <w:vAlign w:val="center"/>
          </w:tcPr>
          <w:p w14:paraId="38472AE8">
            <w:pPr>
              <w:widowControl/>
              <w:adjustRightInd/>
              <w:spacing w:line="240" w:lineRule="atLeast"/>
              <w:jc w:val="center"/>
              <w:textAlignment w:val="auto"/>
              <w:rPr>
                <w:rFonts w:ascii="Arial" w:hAnsi="Arial" w:cs="Arial"/>
                <w:color w:val="auto"/>
                <w:szCs w:val="24"/>
              </w:rPr>
            </w:pPr>
            <w:r>
              <w:rPr>
                <w:rFonts w:hint="eastAsia" w:ascii="Arial" w:hAnsi="Arial" w:eastAsia="仿宋_GB2312" w:cs="Arial"/>
                <w:color w:val="auto"/>
                <w:szCs w:val="24"/>
              </w:rPr>
              <w:t>城镇住宅用地</w:t>
            </w:r>
          </w:p>
        </w:tc>
        <w:tc>
          <w:tcPr>
            <w:tcW w:w="1250" w:type="pct"/>
            <w:tcBorders>
              <w:top w:val="nil"/>
              <w:left w:val="nil"/>
              <w:bottom w:val="single" w:color="auto" w:sz="4" w:space="0"/>
              <w:right w:val="single" w:color="auto" w:sz="4" w:space="0"/>
            </w:tcBorders>
            <w:shd w:val="clear" w:color="auto" w:fill="auto"/>
            <w:vAlign w:val="center"/>
          </w:tcPr>
          <w:p w14:paraId="53C59717">
            <w:pPr>
              <w:widowControl/>
              <w:adjustRightInd/>
              <w:spacing w:line="240" w:lineRule="atLeast"/>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1015" w:type="pct"/>
            <w:tcBorders>
              <w:top w:val="nil"/>
              <w:left w:val="nil"/>
              <w:bottom w:val="single" w:color="auto" w:sz="4" w:space="0"/>
              <w:right w:val="single" w:color="auto" w:sz="4" w:space="0"/>
            </w:tcBorders>
            <w:shd w:val="clear" w:color="auto" w:fill="auto"/>
            <w:vAlign w:val="center"/>
          </w:tcPr>
          <w:p w14:paraId="2CEAB4D2">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6689</w:t>
            </w:r>
          </w:p>
        </w:tc>
        <w:tc>
          <w:tcPr>
            <w:tcW w:w="647" w:type="pct"/>
            <w:tcBorders>
              <w:top w:val="nil"/>
              <w:left w:val="nil"/>
              <w:bottom w:val="single" w:color="auto" w:sz="4" w:space="0"/>
              <w:right w:val="single" w:color="auto" w:sz="4" w:space="0"/>
            </w:tcBorders>
            <w:shd w:val="clear" w:color="auto" w:fill="auto"/>
            <w:vAlign w:val="center"/>
          </w:tcPr>
          <w:p w14:paraId="2CCE9E67">
            <w:pPr>
              <w:widowControl/>
              <w:adjustRightInd/>
              <w:spacing w:line="240" w:lineRule="atLeast"/>
              <w:jc w:val="center"/>
              <w:textAlignment w:val="auto"/>
              <w:rPr>
                <w:rFonts w:ascii="Arial" w:hAnsi="Arial" w:cs="Arial"/>
                <w:color w:val="auto"/>
                <w:szCs w:val="24"/>
              </w:rPr>
            </w:pPr>
            <w:r>
              <w:rPr>
                <w:rFonts w:ascii="Arial" w:hAnsi="Arial" w:cs="Arial"/>
                <w:color w:val="auto"/>
                <w:szCs w:val="24"/>
              </w:rPr>
              <w:t>30.00%</w:t>
            </w:r>
          </w:p>
        </w:tc>
        <w:tc>
          <w:tcPr>
            <w:tcW w:w="1382" w:type="pct"/>
            <w:vMerge w:val="restart"/>
            <w:tcBorders>
              <w:top w:val="nil"/>
              <w:left w:val="single" w:color="auto" w:sz="4" w:space="0"/>
              <w:bottom w:val="single" w:color="000000" w:sz="4" w:space="0"/>
              <w:right w:val="single" w:color="auto" w:sz="4" w:space="0"/>
            </w:tcBorders>
            <w:shd w:val="clear" w:color="auto" w:fill="auto"/>
            <w:vAlign w:val="center"/>
          </w:tcPr>
          <w:p w14:paraId="3278F3FA">
            <w:pPr>
              <w:widowControl/>
              <w:adjustRightInd/>
              <w:spacing w:line="240" w:lineRule="atLeast"/>
              <w:jc w:val="center"/>
              <w:textAlignment w:val="auto"/>
              <w:rPr>
                <w:rFonts w:ascii="Arial" w:hAnsi="Arial" w:cs="Arial"/>
                <w:b/>
                <w:color w:val="auto"/>
                <w:szCs w:val="24"/>
              </w:rPr>
            </w:pPr>
            <w:r>
              <w:rPr>
                <w:rFonts w:hint="eastAsia" w:ascii="Arial" w:hAnsi="Arial" w:cs="Arial"/>
                <w:b/>
                <w:color w:val="auto"/>
                <w:szCs w:val="24"/>
              </w:rPr>
              <w:t>10942</w:t>
            </w:r>
          </w:p>
        </w:tc>
      </w:tr>
      <w:tr w14:paraId="1487C0B7">
        <w:tblPrEx>
          <w:tblCellMar>
            <w:top w:w="57" w:type="dxa"/>
            <w:left w:w="28" w:type="dxa"/>
            <w:bottom w:w="57" w:type="dxa"/>
            <w:right w:w="28" w:type="dxa"/>
          </w:tblCellMar>
        </w:tblPrEx>
        <w:trPr>
          <w:cantSplit/>
          <w:jc w:val="center"/>
        </w:trPr>
        <w:tc>
          <w:tcPr>
            <w:tcW w:w="703" w:type="pct"/>
            <w:vMerge w:val="continue"/>
            <w:tcBorders>
              <w:top w:val="nil"/>
              <w:left w:val="single" w:color="auto" w:sz="4" w:space="0"/>
              <w:bottom w:val="single" w:color="auto" w:sz="4" w:space="0"/>
              <w:right w:val="single" w:color="auto" w:sz="4" w:space="0"/>
            </w:tcBorders>
            <w:vAlign w:val="center"/>
          </w:tcPr>
          <w:p w14:paraId="51156D04">
            <w:pPr>
              <w:widowControl/>
              <w:adjustRightInd/>
              <w:spacing w:line="240" w:lineRule="atLeast"/>
              <w:textAlignment w:val="auto"/>
              <w:rPr>
                <w:rFonts w:ascii="Arial" w:hAnsi="Arial" w:cs="Arial"/>
                <w:color w:val="auto"/>
                <w:szCs w:val="24"/>
              </w:rPr>
            </w:pPr>
          </w:p>
        </w:tc>
        <w:tc>
          <w:tcPr>
            <w:tcW w:w="1250" w:type="pct"/>
            <w:tcBorders>
              <w:top w:val="nil"/>
              <w:left w:val="nil"/>
              <w:bottom w:val="single" w:color="auto" w:sz="4" w:space="0"/>
              <w:right w:val="single" w:color="auto" w:sz="4" w:space="0"/>
            </w:tcBorders>
            <w:shd w:val="clear" w:color="auto" w:fill="auto"/>
            <w:vAlign w:val="center"/>
          </w:tcPr>
          <w:p w14:paraId="6B709BA9">
            <w:pPr>
              <w:widowControl/>
              <w:adjustRightInd/>
              <w:spacing w:line="240" w:lineRule="atLeast"/>
              <w:textAlignment w:val="auto"/>
              <w:rPr>
                <w:rFonts w:ascii="Arial" w:hAnsi="Arial" w:cs="Arial"/>
                <w:color w:val="auto"/>
                <w:szCs w:val="24"/>
              </w:rPr>
            </w:pPr>
            <w:r>
              <w:rPr>
                <w:rFonts w:ascii="Arial" w:hAnsi="Arial" w:eastAsia="仿宋_GB2312" w:cs="Arial"/>
                <w:color w:val="auto"/>
                <w:szCs w:val="24"/>
              </w:rPr>
              <w:t>剩余法</w:t>
            </w:r>
          </w:p>
        </w:tc>
        <w:tc>
          <w:tcPr>
            <w:tcW w:w="1015" w:type="pct"/>
            <w:tcBorders>
              <w:top w:val="nil"/>
              <w:left w:val="nil"/>
              <w:bottom w:val="single" w:color="auto" w:sz="4" w:space="0"/>
              <w:right w:val="single" w:color="auto" w:sz="4" w:space="0"/>
            </w:tcBorders>
            <w:shd w:val="clear" w:color="auto" w:fill="auto"/>
            <w:vAlign w:val="center"/>
          </w:tcPr>
          <w:p w14:paraId="570783A0">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12765</w:t>
            </w:r>
          </w:p>
        </w:tc>
        <w:tc>
          <w:tcPr>
            <w:tcW w:w="647" w:type="pct"/>
            <w:tcBorders>
              <w:top w:val="nil"/>
              <w:left w:val="nil"/>
              <w:bottom w:val="single" w:color="auto" w:sz="4" w:space="0"/>
              <w:right w:val="single" w:color="auto" w:sz="4" w:space="0"/>
            </w:tcBorders>
            <w:shd w:val="clear" w:color="auto" w:fill="auto"/>
            <w:vAlign w:val="center"/>
          </w:tcPr>
          <w:p w14:paraId="5639EFC0">
            <w:pPr>
              <w:widowControl/>
              <w:adjustRightInd/>
              <w:spacing w:line="240" w:lineRule="atLeast"/>
              <w:jc w:val="center"/>
              <w:textAlignment w:val="auto"/>
              <w:rPr>
                <w:rFonts w:ascii="Arial" w:hAnsi="Arial" w:cs="Arial"/>
                <w:color w:val="auto"/>
                <w:szCs w:val="24"/>
              </w:rPr>
            </w:pPr>
            <w:r>
              <w:rPr>
                <w:rFonts w:ascii="Arial" w:hAnsi="Arial" w:cs="Arial"/>
                <w:color w:val="auto"/>
                <w:szCs w:val="24"/>
              </w:rPr>
              <w:t>70.00%</w:t>
            </w:r>
          </w:p>
        </w:tc>
        <w:tc>
          <w:tcPr>
            <w:tcW w:w="1382" w:type="pct"/>
            <w:vMerge w:val="continue"/>
            <w:tcBorders>
              <w:top w:val="nil"/>
              <w:left w:val="single" w:color="auto" w:sz="4" w:space="0"/>
              <w:bottom w:val="single" w:color="000000" w:sz="4" w:space="0"/>
              <w:right w:val="single" w:color="auto" w:sz="4" w:space="0"/>
            </w:tcBorders>
            <w:vAlign w:val="center"/>
          </w:tcPr>
          <w:p w14:paraId="6BBF8A9E">
            <w:pPr>
              <w:widowControl/>
              <w:adjustRightInd/>
              <w:spacing w:line="240" w:lineRule="atLeast"/>
              <w:textAlignment w:val="auto"/>
              <w:rPr>
                <w:rFonts w:ascii="Arial" w:hAnsi="Arial" w:cs="Arial"/>
                <w:b/>
                <w:color w:val="auto"/>
                <w:szCs w:val="24"/>
              </w:rPr>
            </w:pPr>
          </w:p>
        </w:tc>
      </w:tr>
      <w:tr w14:paraId="18495684">
        <w:tblPrEx>
          <w:tblCellMar>
            <w:top w:w="57" w:type="dxa"/>
            <w:left w:w="28" w:type="dxa"/>
            <w:bottom w:w="57" w:type="dxa"/>
            <w:right w:w="28" w:type="dxa"/>
          </w:tblCellMar>
        </w:tblPrEx>
        <w:trPr>
          <w:cantSplit/>
          <w:jc w:val="center"/>
        </w:trPr>
        <w:tc>
          <w:tcPr>
            <w:tcW w:w="703" w:type="pct"/>
            <w:vMerge w:val="restart"/>
            <w:tcBorders>
              <w:top w:val="nil"/>
              <w:left w:val="single" w:color="auto" w:sz="4" w:space="0"/>
              <w:bottom w:val="single" w:color="auto" w:sz="4" w:space="0"/>
              <w:right w:val="single" w:color="auto" w:sz="4" w:space="0"/>
            </w:tcBorders>
            <w:shd w:val="clear" w:color="auto" w:fill="auto"/>
            <w:vAlign w:val="center"/>
          </w:tcPr>
          <w:p w14:paraId="2F50C582">
            <w:pPr>
              <w:widowControl/>
              <w:adjustRightInd/>
              <w:spacing w:line="240" w:lineRule="atLeast"/>
              <w:jc w:val="center"/>
              <w:textAlignment w:val="auto"/>
              <w:rPr>
                <w:rFonts w:ascii="Arial" w:hAnsi="Arial" w:cs="Arial"/>
                <w:color w:val="auto"/>
                <w:szCs w:val="24"/>
              </w:rPr>
            </w:pPr>
            <w:r>
              <w:rPr>
                <w:rFonts w:hint="eastAsia" w:ascii="Arial" w:hAnsi="Arial" w:eastAsia="仿宋_GB2312" w:cs="Arial"/>
                <w:color w:val="auto"/>
                <w:szCs w:val="24"/>
              </w:rPr>
              <w:t>其他商业服务业用地</w:t>
            </w:r>
          </w:p>
        </w:tc>
        <w:tc>
          <w:tcPr>
            <w:tcW w:w="1250" w:type="pct"/>
            <w:tcBorders>
              <w:top w:val="nil"/>
              <w:left w:val="nil"/>
              <w:bottom w:val="single" w:color="auto" w:sz="4" w:space="0"/>
              <w:right w:val="single" w:color="auto" w:sz="4" w:space="0"/>
            </w:tcBorders>
            <w:shd w:val="clear" w:color="auto" w:fill="auto"/>
            <w:vAlign w:val="center"/>
          </w:tcPr>
          <w:p w14:paraId="1B767FB4">
            <w:pPr>
              <w:widowControl/>
              <w:adjustRightInd/>
              <w:spacing w:line="240" w:lineRule="atLeast"/>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1015" w:type="pct"/>
            <w:tcBorders>
              <w:top w:val="nil"/>
              <w:left w:val="nil"/>
              <w:bottom w:val="single" w:color="auto" w:sz="4" w:space="0"/>
              <w:right w:val="single" w:color="auto" w:sz="4" w:space="0"/>
            </w:tcBorders>
            <w:shd w:val="clear" w:color="auto" w:fill="auto"/>
            <w:vAlign w:val="center"/>
          </w:tcPr>
          <w:p w14:paraId="445125BD">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4762</w:t>
            </w:r>
          </w:p>
        </w:tc>
        <w:tc>
          <w:tcPr>
            <w:tcW w:w="647" w:type="pct"/>
            <w:tcBorders>
              <w:top w:val="nil"/>
              <w:left w:val="nil"/>
              <w:bottom w:val="single" w:color="auto" w:sz="4" w:space="0"/>
              <w:right w:val="single" w:color="auto" w:sz="4" w:space="0"/>
            </w:tcBorders>
            <w:shd w:val="clear" w:color="auto" w:fill="auto"/>
            <w:vAlign w:val="center"/>
          </w:tcPr>
          <w:p w14:paraId="3BE94570">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3</w:t>
            </w:r>
            <w:r>
              <w:rPr>
                <w:rFonts w:ascii="Arial" w:hAnsi="Arial" w:cs="Arial"/>
                <w:color w:val="auto"/>
                <w:szCs w:val="24"/>
              </w:rPr>
              <w:t>0.00%</w:t>
            </w:r>
          </w:p>
        </w:tc>
        <w:tc>
          <w:tcPr>
            <w:tcW w:w="1382" w:type="pct"/>
            <w:vMerge w:val="restart"/>
            <w:tcBorders>
              <w:top w:val="nil"/>
              <w:left w:val="single" w:color="auto" w:sz="4" w:space="0"/>
              <w:bottom w:val="single" w:color="000000" w:sz="4" w:space="0"/>
              <w:right w:val="single" w:color="auto" w:sz="4" w:space="0"/>
            </w:tcBorders>
            <w:shd w:val="clear" w:color="auto" w:fill="auto"/>
            <w:vAlign w:val="center"/>
          </w:tcPr>
          <w:p w14:paraId="35D54650">
            <w:pPr>
              <w:widowControl/>
              <w:adjustRightInd/>
              <w:spacing w:line="240" w:lineRule="atLeast"/>
              <w:jc w:val="center"/>
              <w:textAlignment w:val="auto"/>
              <w:rPr>
                <w:rFonts w:ascii="Arial" w:hAnsi="Arial" w:cs="Arial"/>
                <w:b/>
                <w:color w:val="auto"/>
                <w:szCs w:val="24"/>
              </w:rPr>
            </w:pPr>
            <w:r>
              <w:rPr>
                <w:rFonts w:hint="eastAsia" w:ascii="Arial" w:hAnsi="Arial" w:cs="Arial"/>
                <w:b/>
                <w:color w:val="auto"/>
                <w:szCs w:val="24"/>
              </w:rPr>
              <w:t>5295</w:t>
            </w:r>
          </w:p>
        </w:tc>
      </w:tr>
      <w:tr w14:paraId="7DB0915E">
        <w:tblPrEx>
          <w:tblCellMar>
            <w:top w:w="57" w:type="dxa"/>
            <w:left w:w="28" w:type="dxa"/>
            <w:bottom w:w="57" w:type="dxa"/>
            <w:right w:w="28" w:type="dxa"/>
          </w:tblCellMar>
        </w:tblPrEx>
        <w:trPr>
          <w:cantSplit/>
          <w:jc w:val="center"/>
        </w:trPr>
        <w:tc>
          <w:tcPr>
            <w:tcW w:w="703" w:type="pct"/>
            <w:vMerge w:val="continue"/>
            <w:tcBorders>
              <w:top w:val="nil"/>
              <w:left w:val="single" w:color="auto" w:sz="4" w:space="0"/>
              <w:bottom w:val="single" w:color="auto" w:sz="4" w:space="0"/>
              <w:right w:val="single" w:color="auto" w:sz="4" w:space="0"/>
            </w:tcBorders>
            <w:vAlign w:val="center"/>
          </w:tcPr>
          <w:p w14:paraId="58F434B5">
            <w:pPr>
              <w:widowControl/>
              <w:adjustRightInd/>
              <w:spacing w:line="240" w:lineRule="atLeast"/>
              <w:textAlignment w:val="auto"/>
              <w:rPr>
                <w:rFonts w:ascii="Arial" w:hAnsi="Arial" w:cs="Arial"/>
                <w:color w:val="auto"/>
                <w:szCs w:val="24"/>
              </w:rPr>
            </w:pPr>
          </w:p>
        </w:tc>
        <w:tc>
          <w:tcPr>
            <w:tcW w:w="1250" w:type="pct"/>
            <w:tcBorders>
              <w:top w:val="nil"/>
              <w:left w:val="nil"/>
              <w:bottom w:val="single" w:color="auto" w:sz="4" w:space="0"/>
              <w:right w:val="single" w:color="auto" w:sz="4" w:space="0"/>
            </w:tcBorders>
            <w:shd w:val="clear" w:color="auto" w:fill="auto"/>
            <w:vAlign w:val="center"/>
          </w:tcPr>
          <w:p w14:paraId="02DBF4CC">
            <w:pPr>
              <w:widowControl/>
              <w:adjustRightInd/>
              <w:spacing w:line="240" w:lineRule="atLeast"/>
              <w:textAlignment w:val="auto"/>
              <w:rPr>
                <w:rFonts w:ascii="Arial" w:hAnsi="Arial" w:eastAsia="仿宋_GB2312" w:cs="Arial"/>
                <w:color w:val="auto"/>
                <w:szCs w:val="24"/>
              </w:rPr>
            </w:pPr>
            <w:r>
              <w:rPr>
                <w:rFonts w:ascii="Arial" w:hAnsi="Arial" w:eastAsia="仿宋_GB2312" w:cs="Arial"/>
                <w:color w:val="auto"/>
                <w:szCs w:val="24"/>
              </w:rPr>
              <w:t>剩余法</w:t>
            </w:r>
          </w:p>
        </w:tc>
        <w:tc>
          <w:tcPr>
            <w:tcW w:w="1015" w:type="pct"/>
            <w:tcBorders>
              <w:top w:val="nil"/>
              <w:left w:val="nil"/>
              <w:bottom w:val="single" w:color="auto" w:sz="4" w:space="0"/>
              <w:right w:val="single" w:color="auto" w:sz="4" w:space="0"/>
            </w:tcBorders>
            <w:shd w:val="clear" w:color="auto" w:fill="auto"/>
            <w:vAlign w:val="center"/>
          </w:tcPr>
          <w:p w14:paraId="4126AE0E">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5524</w:t>
            </w:r>
          </w:p>
        </w:tc>
        <w:tc>
          <w:tcPr>
            <w:tcW w:w="647" w:type="pct"/>
            <w:tcBorders>
              <w:top w:val="nil"/>
              <w:left w:val="nil"/>
              <w:bottom w:val="single" w:color="auto" w:sz="4" w:space="0"/>
              <w:right w:val="single" w:color="auto" w:sz="4" w:space="0"/>
            </w:tcBorders>
            <w:shd w:val="clear" w:color="auto" w:fill="auto"/>
            <w:vAlign w:val="center"/>
          </w:tcPr>
          <w:p w14:paraId="264BD395">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7</w:t>
            </w:r>
            <w:r>
              <w:rPr>
                <w:rFonts w:ascii="Arial" w:hAnsi="Arial" w:cs="Arial"/>
                <w:color w:val="auto"/>
                <w:szCs w:val="24"/>
              </w:rPr>
              <w:t>0.00%</w:t>
            </w:r>
          </w:p>
        </w:tc>
        <w:tc>
          <w:tcPr>
            <w:tcW w:w="1382" w:type="pct"/>
            <w:vMerge w:val="continue"/>
            <w:tcBorders>
              <w:top w:val="nil"/>
              <w:left w:val="single" w:color="auto" w:sz="4" w:space="0"/>
              <w:bottom w:val="single" w:color="auto" w:sz="4" w:space="0"/>
              <w:right w:val="single" w:color="auto" w:sz="4" w:space="0"/>
            </w:tcBorders>
            <w:vAlign w:val="center"/>
          </w:tcPr>
          <w:p w14:paraId="46CF39C8">
            <w:pPr>
              <w:widowControl/>
              <w:adjustRightInd/>
              <w:spacing w:line="240" w:lineRule="atLeast"/>
              <w:textAlignment w:val="auto"/>
              <w:rPr>
                <w:rFonts w:ascii="Arial" w:hAnsi="Arial" w:cs="Arial"/>
                <w:b/>
                <w:color w:val="auto"/>
                <w:szCs w:val="24"/>
              </w:rPr>
            </w:pPr>
          </w:p>
        </w:tc>
      </w:tr>
      <w:tr w14:paraId="5C2E0F83">
        <w:tblPrEx>
          <w:tblCellMar>
            <w:top w:w="57" w:type="dxa"/>
            <w:left w:w="28" w:type="dxa"/>
            <w:bottom w:w="57" w:type="dxa"/>
            <w:right w:w="28" w:type="dxa"/>
          </w:tblCellMar>
        </w:tblPrEx>
        <w:trPr>
          <w:cantSplit/>
          <w:jc w:val="center"/>
        </w:trPr>
        <w:tc>
          <w:tcPr>
            <w:tcW w:w="703" w:type="pct"/>
            <w:vMerge w:val="restart"/>
            <w:tcBorders>
              <w:top w:val="single" w:color="auto" w:sz="4" w:space="0"/>
              <w:left w:val="single" w:color="auto" w:sz="4" w:space="0"/>
              <w:bottom w:val="single" w:color="auto" w:sz="4" w:space="0"/>
              <w:right w:val="single" w:color="auto" w:sz="4" w:space="0"/>
            </w:tcBorders>
            <w:vAlign w:val="center"/>
          </w:tcPr>
          <w:p w14:paraId="4ED86B0E">
            <w:pPr>
              <w:spacing w:line="240" w:lineRule="atLeast"/>
              <w:jc w:val="center"/>
              <w:rPr>
                <w:rFonts w:ascii="Arial" w:hAnsi="Arial" w:eastAsia="仿宋_GB2312" w:cs="Arial"/>
                <w:color w:val="auto"/>
                <w:szCs w:val="24"/>
              </w:rPr>
            </w:pPr>
            <w:r>
              <w:rPr>
                <w:rFonts w:hint="eastAsia" w:ascii="Arial" w:hAnsi="Arial" w:eastAsia="仿宋_GB2312" w:cs="Arial"/>
                <w:color w:val="auto"/>
                <w:szCs w:val="24"/>
              </w:rPr>
              <w:t>公共管理与公共服务用地</w:t>
            </w:r>
          </w:p>
        </w:tc>
        <w:tc>
          <w:tcPr>
            <w:tcW w:w="1250" w:type="pct"/>
            <w:tcBorders>
              <w:top w:val="single" w:color="auto" w:sz="4" w:space="0"/>
              <w:left w:val="nil"/>
              <w:bottom w:val="single" w:color="auto" w:sz="4" w:space="0"/>
              <w:right w:val="single" w:color="auto" w:sz="4" w:space="0"/>
            </w:tcBorders>
            <w:shd w:val="clear" w:color="auto" w:fill="auto"/>
            <w:vAlign w:val="center"/>
          </w:tcPr>
          <w:p w14:paraId="5BB7564B">
            <w:pPr>
              <w:widowControl/>
              <w:adjustRightInd/>
              <w:spacing w:line="240" w:lineRule="atLeast"/>
              <w:textAlignment w:val="auto"/>
              <w:rPr>
                <w:rFonts w:ascii="Arial" w:hAnsi="Arial" w:eastAsia="仿宋_GB2312" w:cs="Arial"/>
                <w:color w:val="auto"/>
                <w:szCs w:val="24"/>
              </w:rPr>
            </w:pPr>
            <w:r>
              <w:rPr>
                <w:rFonts w:ascii="Arial" w:hAnsi="Arial" w:eastAsia="仿宋_GB2312" w:cs="Arial"/>
                <w:color w:val="auto"/>
                <w:szCs w:val="24"/>
              </w:rPr>
              <w:t>基准地价系数修正法</w:t>
            </w:r>
          </w:p>
        </w:tc>
        <w:tc>
          <w:tcPr>
            <w:tcW w:w="1015" w:type="pct"/>
            <w:tcBorders>
              <w:top w:val="single" w:color="auto" w:sz="4" w:space="0"/>
              <w:left w:val="nil"/>
              <w:bottom w:val="single" w:color="auto" w:sz="4" w:space="0"/>
              <w:right w:val="single" w:color="auto" w:sz="4" w:space="0"/>
            </w:tcBorders>
            <w:shd w:val="clear" w:color="auto" w:fill="auto"/>
            <w:vAlign w:val="center"/>
          </w:tcPr>
          <w:p w14:paraId="11E355E8">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3197</w:t>
            </w:r>
          </w:p>
        </w:tc>
        <w:tc>
          <w:tcPr>
            <w:tcW w:w="647" w:type="pct"/>
            <w:tcBorders>
              <w:top w:val="single" w:color="auto" w:sz="4" w:space="0"/>
              <w:left w:val="nil"/>
              <w:bottom w:val="single" w:color="auto" w:sz="4" w:space="0"/>
              <w:right w:val="single" w:color="auto" w:sz="4" w:space="0"/>
            </w:tcBorders>
            <w:shd w:val="clear" w:color="auto" w:fill="auto"/>
            <w:vAlign w:val="center"/>
          </w:tcPr>
          <w:p w14:paraId="35730E9B">
            <w:pPr>
              <w:widowControl/>
              <w:adjustRightInd/>
              <w:spacing w:line="240" w:lineRule="atLeast"/>
              <w:jc w:val="center"/>
              <w:textAlignment w:val="auto"/>
              <w:rPr>
                <w:rFonts w:ascii="Arial" w:hAnsi="Arial" w:cs="Arial"/>
                <w:color w:val="auto"/>
                <w:szCs w:val="24"/>
              </w:rPr>
            </w:pPr>
            <w:r>
              <w:rPr>
                <w:rFonts w:ascii="Arial" w:hAnsi="Arial" w:cs="Arial"/>
                <w:color w:val="auto"/>
                <w:szCs w:val="24"/>
              </w:rPr>
              <w:t>50.00%</w:t>
            </w:r>
          </w:p>
        </w:tc>
        <w:tc>
          <w:tcPr>
            <w:tcW w:w="1382" w:type="pct"/>
            <w:vMerge w:val="restart"/>
            <w:tcBorders>
              <w:top w:val="single" w:color="auto" w:sz="4" w:space="0"/>
              <w:left w:val="single" w:color="auto" w:sz="4" w:space="0"/>
              <w:bottom w:val="single" w:color="auto" w:sz="4" w:space="0"/>
              <w:right w:val="single" w:color="auto" w:sz="4" w:space="0"/>
            </w:tcBorders>
            <w:vAlign w:val="center"/>
          </w:tcPr>
          <w:p w14:paraId="4DE25C96">
            <w:pPr>
              <w:spacing w:line="240" w:lineRule="atLeast"/>
              <w:jc w:val="center"/>
              <w:rPr>
                <w:rFonts w:ascii="Arial" w:hAnsi="Arial" w:cs="Arial"/>
                <w:b/>
                <w:color w:val="auto"/>
                <w:szCs w:val="24"/>
              </w:rPr>
            </w:pPr>
            <w:r>
              <w:rPr>
                <w:rFonts w:hint="eastAsia" w:ascii="Arial" w:hAnsi="Arial" w:cs="Arial"/>
                <w:b/>
                <w:color w:val="auto"/>
                <w:szCs w:val="24"/>
              </w:rPr>
              <w:t>3249</w:t>
            </w:r>
          </w:p>
        </w:tc>
      </w:tr>
      <w:tr w14:paraId="10B20D07">
        <w:tblPrEx>
          <w:tblCellMar>
            <w:top w:w="57" w:type="dxa"/>
            <w:left w:w="28" w:type="dxa"/>
            <w:bottom w:w="57" w:type="dxa"/>
            <w:right w:w="28" w:type="dxa"/>
          </w:tblCellMar>
        </w:tblPrEx>
        <w:trPr>
          <w:cantSplit/>
          <w:jc w:val="center"/>
        </w:trPr>
        <w:tc>
          <w:tcPr>
            <w:tcW w:w="703" w:type="pct"/>
            <w:vMerge w:val="continue"/>
            <w:tcBorders>
              <w:top w:val="single" w:color="auto" w:sz="4" w:space="0"/>
              <w:left w:val="single" w:color="auto" w:sz="4" w:space="0"/>
              <w:bottom w:val="single" w:color="auto" w:sz="4" w:space="0"/>
              <w:right w:val="single" w:color="auto" w:sz="4" w:space="0"/>
            </w:tcBorders>
            <w:vAlign w:val="center"/>
          </w:tcPr>
          <w:p w14:paraId="16638FC1">
            <w:pPr>
              <w:widowControl/>
              <w:adjustRightInd/>
              <w:spacing w:line="240" w:lineRule="atLeast"/>
              <w:jc w:val="center"/>
              <w:textAlignment w:val="auto"/>
              <w:rPr>
                <w:rFonts w:ascii="Arial" w:hAnsi="Arial" w:eastAsia="仿宋_GB2312" w:cs="Arial"/>
                <w:color w:val="auto"/>
                <w:szCs w:val="24"/>
              </w:rPr>
            </w:pPr>
          </w:p>
        </w:tc>
        <w:tc>
          <w:tcPr>
            <w:tcW w:w="1250" w:type="pct"/>
            <w:tcBorders>
              <w:top w:val="single" w:color="auto" w:sz="4" w:space="0"/>
              <w:left w:val="nil"/>
              <w:bottom w:val="single" w:color="auto" w:sz="4" w:space="0"/>
              <w:right w:val="single" w:color="auto" w:sz="4" w:space="0"/>
            </w:tcBorders>
            <w:shd w:val="clear" w:color="auto" w:fill="auto"/>
            <w:vAlign w:val="center"/>
          </w:tcPr>
          <w:p w14:paraId="417B9F37">
            <w:pPr>
              <w:widowControl/>
              <w:adjustRightInd/>
              <w:spacing w:line="240" w:lineRule="atLeast"/>
              <w:textAlignment w:val="auto"/>
              <w:rPr>
                <w:rFonts w:ascii="Arial" w:hAnsi="Arial" w:eastAsia="仿宋_GB2312" w:cs="Arial"/>
                <w:color w:val="auto"/>
                <w:szCs w:val="24"/>
              </w:rPr>
            </w:pPr>
            <w:r>
              <w:rPr>
                <w:rFonts w:ascii="Arial" w:hAnsi="Arial" w:eastAsia="仿宋_GB2312" w:cs="Arial"/>
                <w:color w:val="auto"/>
                <w:szCs w:val="24"/>
              </w:rPr>
              <w:t>剩余法</w:t>
            </w:r>
          </w:p>
        </w:tc>
        <w:tc>
          <w:tcPr>
            <w:tcW w:w="1015" w:type="pct"/>
            <w:tcBorders>
              <w:top w:val="single" w:color="auto" w:sz="4" w:space="0"/>
              <w:left w:val="nil"/>
              <w:bottom w:val="single" w:color="auto" w:sz="4" w:space="0"/>
              <w:right w:val="single" w:color="auto" w:sz="4" w:space="0"/>
            </w:tcBorders>
            <w:shd w:val="clear" w:color="auto" w:fill="auto"/>
            <w:vAlign w:val="center"/>
          </w:tcPr>
          <w:p w14:paraId="07EA1B18">
            <w:pPr>
              <w:widowControl/>
              <w:adjustRightInd/>
              <w:spacing w:line="240" w:lineRule="atLeast"/>
              <w:jc w:val="center"/>
              <w:textAlignment w:val="auto"/>
              <w:rPr>
                <w:rFonts w:ascii="Arial" w:hAnsi="Arial" w:cs="Arial"/>
                <w:color w:val="auto"/>
                <w:szCs w:val="24"/>
              </w:rPr>
            </w:pPr>
            <w:r>
              <w:rPr>
                <w:rFonts w:hint="eastAsia" w:ascii="Arial" w:hAnsi="Arial" w:cs="Arial"/>
                <w:color w:val="auto"/>
                <w:szCs w:val="24"/>
              </w:rPr>
              <w:t>3301</w:t>
            </w:r>
          </w:p>
        </w:tc>
        <w:tc>
          <w:tcPr>
            <w:tcW w:w="647" w:type="pct"/>
            <w:tcBorders>
              <w:top w:val="single" w:color="auto" w:sz="4" w:space="0"/>
              <w:left w:val="nil"/>
              <w:bottom w:val="single" w:color="auto" w:sz="4" w:space="0"/>
              <w:right w:val="single" w:color="auto" w:sz="4" w:space="0"/>
            </w:tcBorders>
            <w:shd w:val="clear" w:color="auto" w:fill="auto"/>
            <w:vAlign w:val="center"/>
          </w:tcPr>
          <w:p w14:paraId="76DAAD88">
            <w:pPr>
              <w:widowControl/>
              <w:adjustRightInd/>
              <w:spacing w:line="240" w:lineRule="atLeast"/>
              <w:jc w:val="center"/>
              <w:textAlignment w:val="auto"/>
              <w:rPr>
                <w:rFonts w:ascii="Arial" w:hAnsi="Arial" w:cs="Arial"/>
                <w:color w:val="auto"/>
                <w:szCs w:val="24"/>
              </w:rPr>
            </w:pPr>
            <w:r>
              <w:rPr>
                <w:rFonts w:ascii="Arial" w:hAnsi="Arial" w:cs="Arial"/>
                <w:color w:val="auto"/>
                <w:szCs w:val="24"/>
              </w:rPr>
              <w:t>50.00%</w:t>
            </w:r>
          </w:p>
        </w:tc>
        <w:tc>
          <w:tcPr>
            <w:tcW w:w="1382" w:type="pct"/>
            <w:vMerge w:val="continue"/>
            <w:tcBorders>
              <w:top w:val="single" w:color="auto" w:sz="4" w:space="0"/>
              <w:left w:val="single" w:color="auto" w:sz="4" w:space="0"/>
              <w:bottom w:val="single" w:color="auto" w:sz="4" w:space="0"/>
              <w:right w:val="single" w:color="auto" w:sz="4" w:space="0"/>
            </w:tcBorders>
            <w:vAlign w:val="center"/>
          </w:tcPr>
          <w:p w14:paraId="3DEAA174">
            <w:pPr>
              <w:widowControl/>
              <w:adjustRightInd/>
              <w:spacing w:line="240" w:lineRule="atLeast"/>
              <w:textAlignment w:val="auto"/>
              <w:rPr>
                <w:rFonts w:ascii="Arial" w:hAnsi="Arial" w:cs="Arial"/>
                <w:b/>
                <w:color w:val="auto"/>
                <w:szCs w:val="24"/>
              </w:rPr>
            </w:pPr>
          </w:p>
        </w:tc>
      </w:tr>
    </w:tbl>
    <w:p w14:paraId="1BE18351">
      <w:pPr>
        <w:spacing w:before="240" w:beforeLines="100" w:line="300" w:lineRule="auto"/>
        <w:ind w:firstLine="562" w:firstLineChars="200"/>
        <w:jc w:val="both"/>
        <w:rPr>
          <w:rFonts w:ascii="Arial" w:hAnsi="Arial" w:eastAsia="仿宋_GB2312" w:cs="Arial"/>
          <w:b/>
          <w:color w:val="auto"/>
          <w:sz w:val="28"/>
        </w:rPr>
      </w:pPr>
      <w:r>
        <w:rPr>
          <w:rFonts w:hint="eastAsia" w:ascii="Arial" w:hAnsi="Arial" w:eastAsia="仿宋_GB2312" w:cs="Arial"/>
          <w:b/>
          <w:color w:val="auto"/>
          <w:sz w:val="28"/>
        </w:rPr>
        <w:t>城镇住宅用地</w:t>
      </w:r>
      <w:r>
        <w:rPr>
          <w:rFonts w:ascii="Arial" w:hAnsi="Arial" w:eastAsia="仿宋_GB2312" w:cs="Arial"/>
          <w:b/>
          <w:color w:val="auto"/>
          <w:sz w:val="28"/>
        </w:rPr>
        <w:t xml:space="preserve">熟地总价如下： </w:t>
      </w:r>
    </w:p>
    <w:p w14:paraId="113E51D8">
      <w:pPr>
        <w:spacing w:line="300" w:lineRule="auto"/>
        <w:ind w:firstLine="560" w:firstLineChars="200"/>
        <w:jc w:val="both"/>
        <w:rPr>
          <w:rFonts w:ascii="Arial" w:hAnsi="Arial" w:eastAsia="仿宋_GB2312" w:cs="Arial"/>
          <w:color w:val="auto"/>
          <w:sz w:val="28"/>
          <w:szCs w:val="28"/>
        </w:rPr>
      </w:pPr>
      <w:r>
        <w:rPr>
          <w:rFonts w:hint="eastAsia" w:ascii="Arial" w:hAnsi="Arial" w:eastAsia="仿宋_GB2312" w:cs="Arial"/>
          <w:color w:val="auto"/>
          <w:sz w:val="28"/>
          <w:szCs w:val="28"/>
        </w:rPr>
        <w:t>城镇住宅用地</w:t>
      </w:r>
      <w:r>
        <w:rPr>
          <w:rFonts w:ascii="Arial" w:hAnsi="Arial" w:eastAsia="仿宋_GB2312" w:cs="Arial"/>
          <w:color w:val="auto"/>
          <w:sz w:val="28"/>
          <w:szCs w:val="28"/>
        </w:rPr>
        <w:t>熟地总价</w:t>
      </w:r>
      <w:r>
        <w:rPr>
          <w:rFonts w:hint="eastAsia" w:ascii="Arial" w:hAnsi="Arial" w:eastAsia="仿宋_GB2312" w:cs="Arial"/>
          <w:color w:val="auto"/>
          <w:sz w:val="28"/>
        </w:rPr>
        <w:t>＝ 10942</w:t>
      </w:r>
      <w:r>
        <w:rPr>
          <w:rFonts w:hint="eastAsia" w:ascii="Arial" w:hAnsi="Arial" w:eastAsia="仿宋_GB2312" w:cs="Arial"/>
          <w:color w:val="auto"/>
          <w:sz w:val="28"/>
          <w:szCs w:val="28"/>
        </w:rPr>
        <w:t>×</w:t>
      </w:r>
      <w:r>
        <w:rPr>
          <w:rFonts w:ascii="Arial" w:hAnsi="Arial" w:eastAsia="仿宋_GB2312" w:cs="Arial"/>
          <w:color w:val="auto"/>
          <w:sz w:val="28"/>
        </w:rPr>
        <w:t>68148.54</w:t>
      </w:r>
      <w:r>
        <w:rPr>
          <w:rFonts w:hint="eastAsia" w:ascii="Arial" w:hAnsi="Arial" w:eastAsia="仿宋_GB2312" w:cs="Arial"/>
          <w:color w:val="auto"/>
          <w:sz w:val="28"/>
          <w:szCs w:val="28"/>
        </w:rPr>
        <w:t>÷</w:t>
      </w:r>
      <w:r>
        <w:rPr>
          <w:rFonts w:ascii="Arial" w:hAnsi="Arial" w:eastAsia="仿宋_GB2312" w:cs="Arial"/>
          <w:color w:val="auto"/>
          <w:sz w:val="28"/>
          <w:szCs w:val="28"/>
        </w:rPr>
        <w:t>10000</w:t>
      </w:r>
    </w:p>
    <w:p w14:paraId="29DD2A06">
      <w:pPr>
        <w:spacing w:line="300" w:lineRule="auto"/>
        <w:ind w:firstLine="560" w:firstLineChars="200"/>
        <w:jc w:val="both"/>
        <w:rPr>
          <w:rFonts w:ascii="Arial" w:hAnsi="Arial" w:eastAsia="仿宋_GB2312" w:cs="Arial"/>
          <w:color w:val="auto"/>
          <w:sz w:val="28"/>
        </w:rPr>
      </w:pPr>
      <w:r>
        <w:rPr>
          <w:rFonts w:hint="eastAsia" w:ascii="Arial" w:hAnsi="Arial" w:eastAsia="仿宋_GB2312" w:cs="Arial"/>
          <w:color w:val="auto"/>
          <w:sz w:val="28"/>
          <w:szCs w:val="28"/>
        </w:rPr>
        <w:t xml:space="preserve">                    ＝</w:t>
      </w:r>
      <w:r>
        <w:rPr>
          <w:rFonts w:hint="eastAsia" w:ascii="Arial" w:hAnsi="Arial" w:eastAsia="仿宋_GB2312" w:cs="Arial"/>
          <w:color w:val="auto"/>
          <w:sz w:val="28"/>
        </w:rPr>
        <w:t xml:space="preserve"> 74568.1325</w:t>
      </w:r>
      <w:r>
        <w:rPr>
          <w:rFonts w:ascii="Arial" w:hAnsi="Arial" w:eastAsia="仿宋_GB2312" w:cs="Arial"/>
          <w:color w:val="auto"/>
          <w:sz w:val="28"/>
        </w:rPr>
        <w:t>（万元）</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7" w:type="dxa"/>
          <w:left w:w="28" w:type="dxa"/>
          <w:bottom w:w="57" w:type="dxa"/>
          <w:right w:w="28" w:type="dxa"/>
        </w:tblCellMar>
      </w:tblPr>
      <w:tblGrid>
        <w:gridCol w:w="2215"/>
        <w:gridCol w:w="2127"/>
        <w:gridCol w:w="2057"/>
        <w:gridCol w:w="3007"/>
      </w:tblGrid>
      <w:tr w14:paraId="14433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177" w:type="pct"/>
            <w:shd w:val="clear" w:color="auto" w:fill="auto"/>
            <w:vAlign w:val="center"/>
          </w:tcPr>
          <w:p w14:paraId="72A3022D">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用途</w:t>
            </w:r>
          </w:p>
        </w:tc>
        <w:tc>
          <w:tcPr>
            <w:tcW w:w="1130" w:type="pct"/>
            <w:shd w:val="clear" w:color="auto" w:fill="auto"/>
            <w:vAlign w:val="center"/>
          </w:tcPr>
          <w:p w14:paraId="7642BE9A">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出让建筑</w:t>
            </w:r>
          </w:p>
          <w:p w14:paraId="7B8F6ACE">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面积（</w:t>
            </w:r>
            <w:r>
              <w:rPr>
                <w:rFonts w:ascii="Arial" w:hAnsi="Arial" w:eastAsia="华文仿宋" w:cs="Arial"/>
                <w:b/>
                <w:bCs/>
                <w:color w:val="auto"/>
                <w:szCs w:val="24"/>
              </w:rPr>
              <w:t>㎡</w:t>
            </w:r>
            <w:r>
              <w:rPr>
                <w:rFonts w:ascii="Arial" w:hAnsi="Arial" w:eastAsia="仿宋_GB2312" w:cs="Arial"/>
                <w:b/>
                <w:bCs/>
                <w:color w:val="auto"/>
                <w:szCs w:val="24"/>
              </w:rPr>
              <w:t>）</w:t>
            </w:r>
          </w:p>
        </w:tc>
        <w:tc>
          <w:tcPr>
            <w:tcW w:w="1093" w:type="pct"/>
            <w:shd w:val="clear" w:color="auto" w:fill="auto"/>
            <w:vAlign w:val="center"/>
          </w:tcPr>
          <w:p w14:paraId="3E8F2F9D">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熟地</w:t>
            </w:r>
            <w:r>
              <w:rPr>
                <w:rFonts w:hint="eastAsia" w:ascii="Arial" w:hAnsi="Arial" w:eastAsia="仿宋_GB2312" w:cs="Arial"/>
                <w:b/>
                <w:bCs/>
                <w:color w:val="auto"/>
                <w:szCs w:val="24"/>
              </w:rPr>
              <w:t>价楼面地价</w:t>
            </w:r>
          </w:p>
          <w:p w14:paraId="54B4D75D">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（元/</w:t>
            </w:r>
            <w:r>
              <w:rPr>
                <w:rFonts w:ascii="Arial" w:hAnsi="Arial" w:eastAsia="华文仿宋" w:cs="Arial"/>
                <w:b/>
                <w:bCs/>
                <w:color w:val="auto"/>
                <w:szCs w:val="24"/>
              </w:rPr>
              <w:t>㎡</w:t>
            </w:r>
            <w:r>
              <w:rPr>
                <w:rFonts w:ascii="Arial" w:hAnsi="Arial" w:eastAsia="仿宋_GB2312" w:cs="Arial"/>
                <w:b/>
                <w:bCs/>
                <w:color w:val="auto"/>
                <w:szCs w:val="24"/>
              </w:rPr>
              <w:t>）</w:t>
            </w:r>
          </w:p>
        </w:tc>
        <w:tc>
          <w:tcPr>
            <w:tcW w:w="1598" w:type="pct"/>
            <w:shd w:val="clear" w:color="auto" w:fill="auto"/>
            <w:vAlign w:val="center"/>
          </w:tcPr>
          <w:p w14:paraId="70050AC8">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熟地总价</w:t>
            </w:r>
          </w:p>
          <w:p w14:paraId="0294050F">
            <w:pPr>
              <w:widowControl/>
              <w:adjustRightInd/>
              <w:spacing w:line="240" w:lineRule="atLeast"/>
              <w:jc w:val="center"/>
              <w:textAlignment w:val="auto"/>
              <w:rPr>
                <w:rFonts w:ascii="Arial" w:hAnsi="Arial" w:eastAsia="仿宋_GB2312" w:cs="Arial"/>
                <w:b/>
                <w:bCs/>
                <w:color w:val="auto"/>
                <w:szCs w:val="24"/>
              </w:rPr>
            </w:pPr>
            <w:r>
              <w:rPr>
                <w:rFonts w:ascii="Arial" w:hAnsi="Arial" w:eastAsia="仿宋_GB2312" w:cs="Arial"/>
                <w:b/>
                <w:bCs/>
                <w:color w:val="auto"/>
                <w:szCs w:val="24"/>
              </w:rPr>
              <w:t>（万元</w:t>
            </w:r>
            <w:r>
              <w:rPr>
                <w:rFonts w:hint="eastAsia" w:ascii="Arial" w:hAnsi="Arial" w:eastAsia="仿宋_GB2312" w:cs="Arial"/>
                <w:b/>
                <w:bCs/>
                <w:color w:val="auto"/>
                <w:szCs w:val="24"/>
              </w:rPr>
              <w:t>）</w:t>
            </w:r>
          </w:p>
        </w:tc>
      </w:tr>
      <w:tr w14:paraId="39BA1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177" w:type="pct"/>
            <w:shd w:val="clear" w:color="auto" w:fill="auto"/>
            <w:vAlign w:val="center"/>
          </w:tcPr>
          <w:p w14:paraId="71160F9F">
            <w:pPr>
              <w:widowControl/>
              <w:adjustRightInd/>
              <w:spacing w:line="240" w:lineRule="atLeast"/>
              <w:jc w:val="center"/>
              <w:textAlignment w:val="auto"/>
              <w:rPr>
                <w:rFonts w:ascii="Arial" w:hAnsi="Arial" w:eastAsia="仿宋_GB2312" w:cs="Arial"/>
                <w:color w:val="auto"/>
                <w:szCs w:val="24"/>
              </w:rPr>
            </w:pPr>
            <w:r>
              <w:rPr>
                <w:rFonts w:hint="eastAsia" w:ascii="Arial" w:hAnsi="Arial" w:eastAsia="仿宋_GB2312" w:cs="Arial"/>
                <w:color w:val="auto"/>
                <w:szCs w:val="24"/>
              </w:rPr>
              <w:t>城镇住宅用地</w:t>
            </w:r>
          </w:p>
        </w:tc>
        <w:tc>
          <w:tcPr>
            <w:tcW w:w="1130" w:type="pct"/>
            <w:shd w:val="clear" w:color="auto" w:fill="auto"/>
            <w:vAlign w:val="center"/>
          </w:tcPr>
          <w:p w14:paraId="0D06F4B4">
            <w:pPr>
              <w:spacing w:line="240" w:lineRule="atLeast"/>
              <w:jc w:val="center"/>
              <w:rPr>
                <w:rFonts w:ascii="Arial" w:hAnsi="Arial" w:cs="Arial"/>
                <w:color w:val="auto"/>
              </w:rPr>
            </w:pPr>
            <w:r>
              <w:rPr>
                <w:rFonts w:ascii="Arial" w:hAnsi="Arial" w:cs="Arial"/>
                <w:color w:val="auto"/>
              </w:rPr>
              <w:t>68148.54</w:t>
            </w:r>
          </w:p>
        </w:tc>
        <w:tc>
          <w:tcPr>
            <w:tcW w:w="1093" w:type="pct"/>
            <w:shd w:val="clear" w:color="auto" w:fill="auto"/>
            <w:vAlign w:val="center"/>
          </w:tcPr>
          <w:p w14:paraId="693428BA">
            <w:pPr>
              <w:spacing w:line="240" w:lineRule="atLeast"/>
              <w:jc w:val="center"/>
              <w:rPr>
                <w:rFonts w:ascii="Arial" w:hAnsi="Arial" w:cs="Arial"/>
                <w:color w:val="auto"/>
                <w:szCs w:val="24"/>
              </w:rPr>
            </w:pPr>
            <w:r>
              <w:rPr>
                <w:rFonts w:hint="eastAsia" w:ascii="Arial" w:hAnsi="Arial" w:cs="Arial"/>
                <w:color w:val="auto"/>
              </w:rPr>
              <w:t>10942</w:t>
            </w:r>
          </w:p>
        </w:tc>
        <w:tc>
          <w:tcPr>
            <w:tcW w:w="1598" w:type="pct"/>
            <w:shd w:val="clear" w:color="auto" w:fill="auto"/>
            <w:vAlign w:val="center"/>
          </w:tcPr>
          <w:p w14:paraId="7669588C">
            <w:pPr>
              <w:spacing w:line="240" w:lineRule="atLeast"/>
              <w:jc w:val="center"/>
              <w:rPr>
                <w:rFonts w:ascii="Arial" w:hAnsi="Arial" w:cs="Arial"/>
                <w:color w:val="auto"/>
                <w:szCs w:val="24"/>
              </w:rPr>
            </w:pPr>
            <w:r>
              <w:rPr>
                <w:rFonts w:hint="eastAsia" w:ascii="Arial" w:hAnsi="Arial" w:cs="Arial"/>
                <w:color w:val="auto"/>
                <w:szCs w:val="24"/>
              </w:rPr>
              <w:t>74568.1325</w:t>
            </w:r>
          </w:p>
        </w:tc>
      </w:tr>
      <w:tr w14:paraId="02B78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177" w:type="pct"/>
            <w:shd w:val="clear" w:color="auto" w:fill="auto"/>
            <w:vAlign w:val="center"/>
          </w:tcPr>
          <w:p w14:paraId="3C7B6862">
            <w:pPr>
              <w:widowControl/>
              <w:adjustRightInd/>
              <w:spacing w:line="240" w:lineRule="atLeast"/>
              <w:jc w:val="center"/>
              <w:textAlignment w:val="auto"/>
              <w:rPr>
                <w:rFonts w:ascii="Arial" w:hAnsi="Arial" w:cs="Arial"/>
                <w:color w:val="auto"/>
                <w:szCs w:val="24"/>
              </w:rPr>
            </w:pPr>
            <w:r>
              <w:rPr>
                <w:rFonts w:hint="eastAsia" w:ascii="Arial" w:hAnsi="Arial" w:eastAsia="仿宋_GB2312" w:cs="Arial"/>
                <w:color w:val="auto"/>
                <w:szCs w:val="24"/>
              </w:rPr>
              <w:t>其他商业服务业用地</w:t>
            </w:r>
          </w:p>
        </w:tc>
        <w:tc>
          <w:tcPr>
            <w:tcW w:w="1130" w:type="pct"/>
            <w:shd w:val="clear" w:color="auto" w:fill="auto"/>
            <w:vAlign w:val="center"/>
          </w:tcPr>
          <w:p w14:paraId="7917B0C5">
            <w:pPr>
              <w:spacing w:line="240" w:lineRule="atLeast"/>
              <w:jc w:val="center"/>
              <w:rPr>
                <w:rFonts w:ascii="Arial" w:hAnsi="Arial" w:cs="Arial"/>
                <w:color w:val="auto"/>
              </w:rPr>
            </w:pPr>
            <w:r>
              <w:rPr>
                <w:rFonts w:ascii="Arial" w:hAnsi="Arial" w:cs="Arial"/>
                <w:color w:val="auto"/>
                <w:szCs w:val="24"/>
              </w:rPr>
              <w:t>——</w:t>
            </w:r>
          </w:p>
        </w:tc>
        <w:tc>
          <w:tcPr>
            <w:tcW w:w="1093" w:type="pct"/>
            <w:shd w:val="clear" w:color="auto" w:fill="auto"/>
            <w:vAlign w:val="center"/>
          </w:tcPr>
          <w:p w14:paraId="5BB1613B">
            <w:pPr>
              <w:spacing w:line="240" w:lineRule="atLeast"/>
              <w:jc w:val="center"/>
              <w:rPr>
                <w:rFonts w:ascii="Arial" w:hAnsi="Arial" w:cs="Arial"/>
                <w:color w:val="auto"/>
                <w:szCs w:val="24"/>
              </w:rPr>
            </w:pPr>
            <w:r>
              <w:rPr>
                <w:rFonts w:hint="eastAsia" w:ascii="Arial" w:hAnsi="Arial" w:cs="Arial"/>
                <w:color w:val="auto"/>
                <w:szCs w:val="24"/>
              </w:rPr>
              <w:t>5295</w:t>
            </w:r>
          </w:p>
        </w:tc>
        <w:tc>
          <w:tcPr>
            <w:tcW w:w="1598" w:type="pct"/>
            <w:shd w:val="clear" w:color="auto" w:fill="auto"/>
            <w:vAlign w:val="center"/>
          </w:tcPr>
          <w:p w14:paraId="49BE9750">
            <w:pPr>
              <w:spacing w:line="240" w:lineRule="atLeast"/>
              <w:jc w:val="center"/>
              <w:rPr>
                <w:rFonts w:ascii="Arial" w:hAnsi="Arial" w:cs="Arial"/>
                <w:color w:val="auto"/>
                <w:szCs w:val="24"/>
              </w:rPr>
            </w:pPr>
            <w:r>
              <w:rPr>
                <w:rFonts w:ascii="Arial" w:hAnsi="Arial" w:cs="Arial"/>
                <w:color w:val="auto"/>
                <w:szCs w:val="24"/>
              </w:rPr>
              <w:t>——</w:t>
            </w:r>
          </w:p>
        </w:tc>
      </w:tr>
      <w:tr w14:paraId="4B0C2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177" w:type="pct"/>
            <w:shd w:val="clear" w:color="auto" w:fill="auto"/>
            <w:vAlign w:val="center"/>
          </w:tcPr>
          <w:p w14:paraId="38FCA97B">
            <w:pPr>
              <w:spacing w:line="240" w:lineRule="atLeast"/>
              <w:jc w:val="center"/>
              <w:rPr>
                <w:rFonts w:ascii="Arial" w:hAnsi="Arial" w:cs="Arial"/>
                <w:color w:val="auto"/>
                <w:szCs w:val="24"/>
              </w:rPr>
            </w:pPr>
            <w:r>
              <w:rPr>
                <w:rFonts w:hint="eastAsia" w:ascii="Arial" w:hAnsi="Arial" w:eastAsia="仿宋_GB2312" w:cs="Arial"/>
                <w:color w:val="auto"/>
                <w:szCs w:val="24"/>
              </w:rPr>
              <w:t>公共管理与公共服务用地</w:t>
            </w:r>
          </w:p>
        </w:tc>
        <w:tc>
          <w:tcPr>
            <w:tcW w:w="1130" w:type="pct"/>
            <w:shd w:val="clear" w:color="auto" w:fill="auto"/>
            <w:vAlign w:val="center"/>
          </w:tcPr>
          <w:p w14:paraId="2A8CDC1A">
            <w:pPr>
              <w:spacing w:line="240" w:lineRule="atLeast"/>
              <w:jc w:val="center"/>
              <w:rPr>
                <w:rFonts w:ascii="Arial" w:hAnsi="Arial" w:cs="Arial"/>
                <w:color w:val="auto"/>
              </w:rPr>
            </w:pPr>
            <w:r>
              <w:rPr>
                <w:rFonts w:ascii="Arial" w:hAnsi="Arial" w:cs="Arial"/>
                <w:color w:val="auto"/>
                <w:szCs w:val="24"/>
              </w:rPr>
              <w:t>——</w:t>
            </w:r>
          </w:p>
        </w:tc>
        <w:tc>
          <w:tcPr>
            <w:tcW w:w="1093" w:type="pct"/>
            <w:shd w:val="clear" w:color="auto" w:fill="auto"/>
            <w:vAlign w:val="center"/>
          </w:tcPr>
          <w:p w14:paraId="126039CC">
            <w:pPr>
              <w:spacing w:line="240" w:lineRule="atLeast"/>
              <w:jc w:val="center"/>
              <w:rPr>
                <w:rFonts w:ascii="Arial" w:hAnsi="Arial" w:cs="Arial"/>
                <w:color w:val="auto"/>
              </w:rPr>
            </w:pPr>
            <w:r>
              <w:rPr>
                <w:rFonts w:hint="eastAsia" w:ascii="Arial" w:hAnsi="Arial" w:cs="Arial"/>
                <w:color w:val="auto"/>
              </w:rPr>
              <w:t>3249</w:t>
            </w:r>
          </w:p>
        </w:tc>
        <w:tc>
          <w:tcPr>
            <w:tcW w:w="1598" w:type="pct"/>
            <w:shd w:val="clear" w:color="auto" w:fill="auto"/>
            <w:vAlign w:val="center"/>
          </w:tcPr>
          <w:p w14:paraId="225210BF">
            <w:pPr>
              <w:spacing w:line="240" w:lineRule="atLeast"/>
              <w:jc w:val="center"/>
              <w:rPr>
                <w:rFonts w:ascii="Arial" w:hAnsi="Arial" w:cs="Arial"/>
                <w:color w:val="auto"/>
                <w:szCs w:val="24"/>
              </w:rPr>
            </w:pPr>
            <w:r>
              <w:rPr>
                <w:rFonts w:ascii="Arial" w:hAnsi="Arial" w:cs="Arial"/>
                <w:color w:val="auto"/>
                <w:szCs w:val="24"/>
              </w:rPr>
              <w:t>——</w:t>
            </w:r>
          </w:p>
        </w:tc>
      </w:tr>
      <w:tr w14:paraId="76113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177" w:type="pct"/>
            <w:shd w:val="clear" w:color="auto" w:fill="auto"/>
            <w:vAlign w:val="center"/>
          </w:tcPr>
          <w:p w14:paraId="13D4348B">
            <w:pPr>
              <w:widowControl/>
              <w:adjustRightInd/>
              <w:spacing w:line="240" w:lineRule="atLeast"/>
              <w:jc w:val="center"/>
              <w:textAlignment w:val="auto"/>
              <w:rPr>
                <w:rFonts w:ascii="Arial" w:hAnsi="Arial" w:eastAsia="仿宋_GB2312" w:cs="Arial"/>
                <w:color w:val="auto"/>
                <w:szCs w:val="24"/>
              </w:rPr>
            </w:pPr>
            <w:r>
              <w:rPr>
                <w:rFonts w:ascii="Arial" w:hAnsi="Arial" w:eastAsia="仿宋_GB2312" w:cs="Arial"/>
                <w:color w:val="auto"/>
                <w:szCs w:val="24"/>
              </w:rPr>
              <w:t>合计</w:t>
            </w:r>
          </w:p>
        </w:tc>
        <w:tc>
          <w:tcPr>
            <w:tcW w:w="1130" w:type="pct"/>
            <w:shd w:val="clear" w:color="auto" w:fill="auto"/>
            <w:vAlign w:val="center"/>
          </w:tcPr>
          <w:p w14:paraId="3CA98E18">
            <w:pPr>
              <w:spacing w:line="240" w:lineRule="atLeast"/>
              <w:jc w:val="center"/>
              <w:rPr>
                <w:rFonts w:ascii="Arial" w:hAnsi="Arial" w:cs="Arial"/>
                <w:color w:val="auto"/>
              </w:rPr>
            </w:pPr>
            <w:r>
              <w:rPr>
                <w:rFonts w:ascii="Arial" w:hAnsi="Arial" w:cs="Arial"/>
                <w:color w:val="auto"/>
              </w:rPr>
              <w:t>68148.54</w:t>
            </w:r>
          </w:p>
        </w:tc>
        <w:tc>
          <w:tcPr>
            <w:tcW w:w="1093" w:type="pct"/>
            <w:shd w:val="clear" w:color="auto" w:fill="auto"/>
            <w:vAlign w:val="center"/>
          </w:tcPr>
          <w:p w14:paraId="58E5CAFF">
            <w:pPr>
              <w:spacing w:line="240" w:lineRule="atLeast"/>
              <w:jc w:val="center"/>
              <w:rPr>
                <w:rFonts w:ascii="Arial" w:hAnsi="Arial" w:cs="Arial"/>
                <w:color w:val="auto"/>
                <w:szCs w:val="24"/>
              </w:rPr>
            </w:pPr>
            <w:r>
              <w:rPr>
                <w:rFonts w:ascii="Arial" w:hAnsi="Arial" w:cs="Arial"/>
                <w:color w:val="auto"/>
                <w:szCs w:val="24"/>
              </w:rPr>
              <w:t>——</w:t>
            </w:r>
          </w:p>
        </w:tc>
        <w:tc>
          <w:tcPr>
            <w:tcW w:w="1598" w:type="pct"/>
            <w:shd w:val="clear" w:color="auto" w:fill="auto"/>
            <w:vAlign w:val="center"/>
          </w:tcPr>
          <w:p w14:paraId="3DE66DDD">
            <w:pPr>
              <w:spacing w:line="240" w:lineRule="atLeast"/>
              <w:jc w:val="center"/>
              <w:rPr>
                <w:rFonts w:ascii="Arial" w:hAnsi="Arial" w:cs="Arial"/>
                <w:color w:val="auto"/>
                <w:szCs w:val="24"/>
              </w:rPr>
            </w:pPr>
            <w:r>
              <w:rPr>
                <w:rFonts w:hint="eastAsia" w:ascii="Arial" w:hAnsi="Arial" w:cs="Arial"/>
                <w:color w:val="auto"/>
                <w:szCs w:val="24"/>
              </w:rPr>
              <w:t>74568.1325</w:t>
            </w:r>
          </w:p>
        </w:tc>
      </w:tr>
    </w:tbl>
    <w:p w14:paraId="49848663">
      <w:pPr>
        <w:spacing w:line="300" w:lineRule="auto"/>
        <w:jc w:val="both"/>
        <w:rPr>
          <w:rFonts w:ascii="Arial" w:hAnsi="Arial" w:eastAsia="仿宋_GB2312" w:cs="Arial"/>
          <w:b/>
          <w:color w:val="auto"/>
          <w:sz w:val="28"/>
          <w:szCs w:val="28"/>
        </w:rPr>
      </w:pPr>
    </w:p>
    <w:p w14:paraId="396138F8">
      <w:pPr>
        <w:snapToGrid w:val="0"/>
        <w:spacing w:line="300" w:lineRule="auto"/>
        <w:ind w:firstLine="556"/>
        <w:rPr>
          <w:rFonts w:ascii="Arial" w:hAnsi="Arial" w:eastAsia="仿宋_GB2312" w:cs="Arial"/>
          <w:color w:val="auto"/>
          <w:sz w:val="28"/>
        </w:rPr>
        <w:sectPr>
          <w:footerReference r:id="rId33" w:type="default"/>
          <w:type w:val="nextColumn"/>
          <w:pgSz w:w="11906" w:h="16838"/>
          <w:pgMar w:top="1418" w:right="1134" w:bottom="1418" w:left="1418" w:header="851" w:footer="992" w:gutter="0"/>
          <w:cols w:space="720" w:num="1"/>
          <w:docGrid w:linePitch="312" w:charSpace="0"/>
        </w:sectPr>
      </w:pPr>
    </w:p>
    <w:p w14:paraId="23A065F5">
      <w:pPr>
        <w:spacing w:line="300" w:lineRule="auto"/>
        <w:ind w:firstLine="556"/>
        <w:jc w:val="both"/>
        <w:rPr>
          <w:rFonts w:ascii="Arial" w:hAnsi="Arial" w:eastAsia="仿宋" w:cs="Arial"/>
          <w:color w:val="auto"/>
          <w:sz w:val="28"/>
        </w:rPr>
      </w:pPr>
      <w:r>
        <w:rPr>
          <w:rFonts w:hint="eastAsia" w:ascii="Arial" w:hAnsi="Arial" w:eastAsia="仿宋_GB2312" w:cs="Arial"/>
          <w:color w:val="auto"/>
          <w:sz w:val="28"/>
          <w:szCs w:val="28"/>
        </w:rPr>
        <w:t>（二）</w:t>
      </w:r>
      <w:r>
        <w:rPr>
          <w:rFonts w:ascii="Arial" w:hAnsi="Arial" w:eastAsia="仿宋_GB2312" w:cs="Arial"/>
          <w:b/>
          <w:color w:val="auto"/>
          <w:sz w:val="28"/>
        </w:rPr>
        <w:t>估价结果的确定</w:t>
      </w:r>
    </w:p>
    <w:p w14:paraId="5DF82737">
      <w:pPr>
        <w:spacing w:line="300" w:lineRule="auto"/>
        <w:ind w:firstLine="562" w:firstLineChars="200"/>
        <w:jc w:val="both"/>
        <w:rPr>
          <w:rFonts w:ascii="Arial" w:hAnsi="Arial" w:eastAsia="仿宋_GB2312" w:cs="Arial"/>
          <w:color w:val="auto"/>
          <w:kern w:val="2"/>
          <w:sz w:val="28"/>
        </w:rPr>
      </w:pPr>
      <w:bookmarkStart w:id="418" w:name="_Toc132016645"/>
      <w:bookmarkStart w:id="419" w:name="_Toc132016762"/>
      <w:r>
        <w:rPr>
          <w:rFonts w:ascii="黑体" w:hAnsi="黑体" w:eastAsia="黑体" w:cs="Arial"/>
          <w:b/>
          <w:color w:val="auto"/>
          <w:sz w:val="28"/>
        </w:rPr>
        <w:t>估价对象位于北京市基准地价住宅</w:t>
      </w:r>
      <w:r>
        <w:rPr>
          <w:rFonts w:hint="eastAsia" w:ascii="黑体" w:hAnsi="黑体" w:eastAsia="黑体" w:cs="Arial"/>
          <w:b/>
          <w:color w:val="auto"/>
          <w:sz w:val="28"/>
        </w:rPr>
        <w:t>九级（IX－顺5）</w:t>
      </w:r>
      <w:r>
        <w:rPr>
          <w:rFonts w:ascii="黑体" w:hAnsi="黑体" w:eastAsia="黑体" w:cs="Arial"/>
          <w:b/>
          <w:color w:val="auto"/>
          <w:sz w:val="28"/>
        </w:rPr>
        <w:t>、</w:t>
      </w:r>
      <w:r>
        <w:rPr>
          <w:rFonts w:hint="eastAsia" w:ascii="黑体" w:hAnsi="黑体" w:eastAsia="黑体" w:cs="Arial"/>
          <w:b/>
          <w:color w:val="auto"/>
          <w:sz w:val="28"/>
        </w:rPr>
        <w:t>其他商业服务业用地九级（IX－顺5）</w:t>
      </w:r>
      <w:r>
        <w:rPr>
          <w:rFonts w:ascii="黑体" w:hAnsi="黑体" w:eastAsia="黑体" w:cs="Arial"/>
          <w:b/>
          <w:color w:val="auto"/>
          <w:sz w:val="28"/>
        </w:rPr>
        <w:t>、</w:t>
      </w:r>
      <w:r>
        <w:rPr>
          <w:rFonts w:hint="eastAsia" w:ascii="黑体" w:hAnsi="黑体" w:eastAsia="黑体" w:cs="Arial"/>
          <w:b/>
          <w:color w:val="auto"/>
          <w:sz w:val="28"/>
        </w:rPr>
        <w:t>公共服务九级（IX－顺5）</w:t>
      </w:r>
      <w:r>
        <w:rPr>
          <w:rFonts w:ascii="黑体" w:hAnsi="黑体" w:eastAsia="黑体" w:cs="Arial"/>
          <w:b/>
          <w:color w:val="auto"/>
          <w:sz w:val="28"/>
        </w:rPr>
        <w:t>范围内</w:t>
      </w:r>
      <w:r>
        <w:rPr>
          <w:rFonts w:ascii="Arial" w:hAnsi="Arial" w:eastAsia="黑体" w:cs="Arial"/>
          <w:b/>
          <w:color w:val="auto"/>
          <w:sz w:val="28"/>
        </w:rPr>
        <w:t>。</w:t>
      </w:r>
      <w:r>
        <w:rPr>
          <w:rFonts w:ascii="Arial" w:hAnsi="Arial" w:eastAsia="仿宋_GB2312" w:cs="Arial"/>
          <w:color w:val="auto"/>
          <w:kern w:val="2"/>
          <w:sz w:val="28"/>
        </w:rPr>
        <w:t>土地估价专业评估师根据估价的目的，按照估价的程序，采用科学的估价方法（基准地价系数修正法和剩余法），在认真分析现有资料的基础上，通过仔细测算和认真分析各种影响</w:t>
      </w:r>
      <w:r>
        <w:rPr>
          <w:rFonts w:ascii="Arial" w:hAnsi="Arial" w:eastAsia="仿宋_GB2312" w:cs="Arial"/>
          <w:color w:val="auto"/>
          <w:sz w:val="28"/>
        </w:rPr>
        <w:t>土地</w:t>
      </w:r>
      <w:r>
        <w:rPr>
          <w:rFonts w:ascii="Arial" w:hAnsi="Arial" w:eastAsia="仿宋_GB2312" w:cs="Arial"/>
          <w:color w:val="auto"/>
          <w:kern w:val="2"/>
          <w:sz w:val="28"/>
        </w:rPr>
        <w:t>价格的因素，确定</w:t>
      </w:r>
      <w:r>
        <w:rPr>
          <w:rFonts w:ascii="Arial" w:hAnsi="Arial" w:eastAsia="仿宋_GB2312" w:cs="Arial"/>
          <w:color w:val="auto"/>
          <w:sz w:val="28"/>
        </w:rPr>
        <w:t>估价对象于估价期日</w:t>
      </w:r>
      <w:r>
        <w:rPr>
          <w:rFonts w:hint="eastAsia" w:ascii="Arial" w:hAnsi="Arial" w:eastAsia="仿宋_GB2312" w:cs="Arial"/>
          <w:color w:val="auto"/>
          <w:sz w:val="28"/>
        </w:rPr>
        <w:t>2026年3月26日</w:t>
      </w:r>
      <w:r>
        <w:rPr>
          <w:rFonts w:ascii="Arial" w:hAnsi="Arial" w:eastAsia="仿宋_GB2312" w:cs="Arial"/>
          <w:color w:val="auto"/>
          <w:sz w:val="28"/>
        </w:rPr>
        <w:t>的</w:t>
      </w:r>
      <w:r>
        <w:rPr>
          <w:rFonts w:hint="eastAsia" w:ascii="Arial" w:hAnsi="Arial" w:eastAsia="仿宋_GB2312" w:cs="Arial"/>
          <w:color w:val="auto"/>
          <w:kern w:val="2"/>
          <w:sz w:val="28"/>
        </w:rPr>
        <w:t>地价结果</w:t>
      </w:r>
      <w:r>
        <w:rPr>
          <w:rFonts w:ascii="Arial" w:hAnsi="Arial" w:eastAsia="仿宋_GB2312" w:cs="Arial"/>
          <w:color w:val="auto"/>
          <w:kern w:val="2"/>
          <w:sz w:val="28"/>
        </w:rPr>
        <w:t>为：</w:t>
      </w:r>
      <w:r>
        <w:rPr>
          <w:rFonts w:hint="eastAsia" w:ascii="Arial" w:hAnsi="Arial" w:eastAsia="仿宋_GB2312" w:cs="Arial"/>
          <w:color w:val="auto"/>
          <w:kern w:val="2"/>
          <w:sz w:val="28"/>
        </w:rPr>
        <w:t>（币种：人民币）</w:t>
      </w:r>
    </w:p>
    <w:p w14:paraId="3C6E27BD">
      <w:pPr>
        <w:snapToGrid w:val="0"/>
        <w:spacing w:before="120" w:beforeLines="50" w:line="288" w:lineRule="auto"/>
        <w:ind w:firstLine="562" w:firstLineChars="200"/>
        <w:rPr>
          <w:rFonts w:ascii="Arial" w:hAnsi="Arial" w:eastAsia="仿宋_GB2312" w:cs="Arial"/>
          <w:color w:val="auto"/>
          <w:kern w:val="2"/>
          <w:sz w:val="28"/>
        </w:rPr>
      </w:pPr>
      <w:r>
        <w:rPr>
          <w:rFonts w:hint="eastAsia" w:ascii="Arial" w:hAnsi="Arial" w:eastAsia="仿宋_GB2312" w:cs="Arial"/>
          <w:b/>
          <w:bCs/>
          <w:color w:val="auto"/>
          <w:kern w:val="2"/>
          <w:sz w:val="28"/>
        </w:rPr>
        <w:t>规划总建设用地面积：</w:t>
      </w:r>
      <w:r>
        <w:rPr>
          <w:rFonts w:hint="eastAsia" w:ascii="Arial" w:hAnsi="Arial" w:eastAsia="仿宋_GB2312" w:cs="Arial"/>
          <w:color w:val="auto"/>
          <w:kern w:val="2"/>
          <w:sz w:val="28"/>
        </w:rPr>
        <w:t>60990.43平方米</w:t>
      </w:r>
    </w:p>
    <w:p w14:paraId="17E67394">
      <w:pPr>
        <w:snapToGrid w:val="0"/>
        <w:spacing w:before="120" w:beforeLines="50" w:line="288" w:lineRule="auto"/>
        <w:ind w:firstLine="562" w:firstLineChars="200"/>
        <w:rPr>
          <w:rFonts w:ascii="Arial" w:hAnsi="Arial" w:eastAsia="仿宋_GB2312" w:cs="Arial"/>
          <w:color w:val="auto"/>
          <w:kern w:val="2"/>
          <w:sz w:val="28"/>
        </w:rPr>
      </w:pPr>
      <w:r>
        <w:rPr>
          <w:rFonts w:hint="eastAsia" w:ascii="Arial" w:hAnsi="Arial" w:eastAsia="仿宋_GB2312" w:cs="Arial"/>
          <w:b/>
          <w:bCs/>
          <w:color w:val="auto"/>
          <w:kern w:val="2"/>
          <w:sz w:val="28"/>
        </w:rPr>
        <w:t>规划总建筑面积：</w:t>
      </w:r>
      <w:r>
        <w:rPr>
          <w:rFonts w:hint="eastAsia" w:ascii="Arial" w:hAnsi="Arial" w:eastAsia="仿宋_GB2312" w:cs="Arial"/>
          <w:color w:val="auto"/>
          <w:kern w:val="2"/>
          <w:sz w:val="28"/>
        </w:rPr>
        <w:t>71508.52平方米</w:t>
      </w:r>
    </w:p>
    <w:p w14:paraId="13C7398A">
      <w:pPr>
        <w:snapToGrid w:val="0"/>
        <w:spacing w:before="120" w:beforeLines="50" w:line="288" w:lineRule="auto"/>
        <w:ind w:firstLine="840" w:firstLineChars="300"/>
        <w:rPr>
          <w:rFonts w:ascii="Arial" w:hAnsi="Arial" w:eastAsia="仿宋_GB2312" w:cs="Arial"/>
          <w:b/>
          <w:color w:val="auto"/>
          <w:kern w:val="2"/>
          <w:sz w:val="28"/>
        </w:rPr>
      </w:pPr>
      <w:r>
        <w:rPr>
          <w:rFonts w:hint="eastAsia" w:ascii="Arial" w:hAnsi="Arial" w:eastAsia="仿宋_GB2312" w:cs="Arial"/>
          <w:color w:val="auto"/>
          <w:kern w:val="2"/>
          <w:sz w:val="28"/>
        </w:rPr>
        <w:t>其中，经营性建筑面积：68148.54平方米</w:t>
      </w:r>
    </w:p>
    <w:p w14:paraId="3C8B418C">
      <w:pPr>
        <w:snapToGrid w:val="0"/>
        <w:spacing w:line="288" w:lineRule="auto"/>
        <w:ind w:firstLine="562" w:firstLineChars="200"/>
        <w:rPr>
          <w:rFonts w:ascii="Arial" w:hAnsi="Arial" w:eastAsia="仿宋_GB2312" w:cs="Arial"/>
          <w:b/>
          <w:color w:val="auto"/>
          <w:kern w:val="2"/>
          <w:sz w:val="28"/>
        </w:rPr>
      </w:pPr>
      <w:r>
        <w:rPr>
          <w:rFonts w:ascii="Arial" w:hAnsi="Arial" w:eastAsia="仿宋_GB2312" w:cs="Arial"/>
          <w:b/>
          <w:color w:val="auto"/>
          <w:kern w:val="2"/>
          <w:sz w:val="28"/>
        </w:rPr>
        <w:t>熟地</w:t>
      </w:r>
      <w:r>
        <w:rPr>
          <w:rFonts w:hint="eastAsia" w:ascii="Arial" w:hAnsi="Arial" w:eastAsia="仿宋_GB2312" w:cs="Arial"/>
          <w:b/>
          <w:color w:val="auto"/>
          <w:kern w:val="2"/>
          <w:sz w:val="28"/>
        </w:rPr>
        <w:t>总</w:t>
      </w:r>
      <w:r>
        <w:rPr>
          <w:rFonts w:ascii="Arial" w:hAnsi="Arial" w:eastAsia="仿宋_GB2312" w:cs="Arial"/>
          <w:b/>
          <w:color w:val="auto"/>
          <w:kern w:val="2"/>
          <w:sz w:val="28"/>
        </w:rPr>
        <w:t>价：</w:t>
      </w:r>
    </w:p>
    <w:p w14:paraId="5CC48F08">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熟地价总额：</w:t>
      </w:r>
      <w:r>
        <w:rPr>
          <w:rFonts w:hint="eastAsia" w:ascii="Arial" w:hAnsi="Arial" w:eastAsia="仿宋_GB2312" w:cs="Arial"/>
          <w:color w:val="auto"/>
          <w:kern w:val="2"/>
          <w:sz w:val="28"/>
        </w:rPr>
        <w:t>74568.1325</w:t>
      </w:r>
      <w:r>
        <w:rPr>
          <w:rFonts w:ascii="Arial" w:hAnsi="Arial" w:eastAsia="仿宋_GB2312" w:cs="Arial"/>
          <w:color w:val="auto"/>
          <w:kern w:val="2"/>
          <w:sz w:val="28"/>
        </w:rPr>
        <w:t xml:space="preserve"> 万元</w:t>
      </w:r>
    </w:p>
    <w:p w14:paraId="66774600">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大写金额：</w:t>
      </w:r>
      <w:r>
        <w:rPr>
          <w:rFonts w:hint="eastAsia" w:ascii="Arial" w:hAnsi="Arial" w:eastAsia="仿宋_GB2312" w:cs="Arial"/>
          <w:color w:val="auto"/>
          <w:kern w:val="2"/>
          <w:sz w:val="28"/>
        </w:rPr>
        <w:t>柒亿肆仟伍佰陆拾捌万壹仟叁佰贰拾伍</w:t>
      </w:r>
      <w:r>
        <w:rPr>
          <w:rFonts w:ascii="Arial" w:hAnsi="Arial" w:eastAsia="仿宋_GB2312" w:cs="Arial"/>
          <w:color w:val="auto"/>
          <w:kern w:val="2"/>
          <w:sz w:val="28"/>
        </w:rPr>
        <w:t>元整</w:t>
      </w:r>
    </w:p>
    <w:p w14:paraId="627D8745">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楼面地价：10942元/平方米</w:t>
      </w:r>
    </w:p>
    <w:p w14:paraId="24591FFF">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城镇住宅用地：</w:t>
      </w:r>
    </w:p>
    <w:p w14:paraId="6C2684F0">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熟地价总额：</w:t>
      </w:r>
      <w:r>
        <w:rPr>
          <w:rFonts w:hint="eastAsia" w:ascii="Arial" w:hAnsi="Arial" w:eastAsia="仿宋_GB2312" w:cs="Arial"/>
          <w:color w:val="auto"/>
          <w:kern w:val="2"/>
          <w:sz w:val="28"/>
        </w:rPr>
        <w:t>74568.1325</w:t>
      </w:r>
      <w:r>
        <w:rPr>
          <w:rFonts w:ascii="Arial" w:hAnsi="Arial" w:eastAsia="仿宋_GB2312" w:cs="Arial"/>
          <w:color w:val="auto"/>
          <w:kern w:val="2"/>
          <w:sz w:val="28"/>
        </w:rPr>
        <w:t xml:space="preserve"> 万元</w:t>
      </w:r>
    </w:p>
    <w:p w14:paraId="401F78E8">
      <w:pPr>
        <w:snapToGrid w:val="0"/>
        <w:spacing w:before="120" w:beforeLines="50" w:line="288" w:lineRule="auto"/>
        <w:ind w:firstLine="840" w:firstLineChars="300"/>
        <w:rPr>
          <w:rFonts w:ascii="Arial" w:hAnsi="Arial" w:eastAsia="仿宋_GB2312" w:cs="Arial"/>
          <w:color w:val="auto"/>
          <w:kern w:val="2"/>
          <w:sz w:val="28"/>
        </w:rPr>
      </w:pPr>
      <w:r>
        <w:rPr>
          <w:rFonts w:ascii="Arial" w:hAnsi="Arial" w:eastAsia="仿宋_GB2312" w:cs="Arial"/>
          <w:color w:val="auto"/>
          <w:kern w:val="2"/>
          <w:sz w:val="28"/>
        </w:rPr>
        <w:t>大写金额：</w:t>
      </w:r>
      <w:r>
        <w:rPr>
          <w:rFonts w:hint="eastAsia" w:ascii="Arial" w:hAnsi="Arial" w:eastAsia="仿宋_GB2312" w:cs="Arial"/>
          <w:color w:val="auto"/>
          <w:kern w:val="2"/>
          <w:sz w:val="28"/>
        </w:rPr>
        <w:t>柒亿肆仟伍佰陆拾捌万壹仟叁佰贰拾伍</w:t>
      </w:r>
      <w:r>
        <w:rPr>
          <w:rFonts w:ascii="Arial" w:hAnsi="Arial" w:eastAsia="仿宋_GB2312" w:cs="Arial"/>
          <w:color w:val="auto"/>
          <w:kern w:val="2"/>
          <w:sz w:val="28"/>
        </w:rPr>
        <w:t>元整</w:t>
      </w:r>
    </w:p>
    <w:p w14:paraId="7E821031">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楼面地价：10942元/平方米</w:t>
      </w:r>
    </w:p>
    <w:p w14:paraId="3B4CDF15">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其他商业服务业用地</w:t>
      </w:r>
    </w:p>
    <w:p w14:paraId="2DC3CB0E">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楼面地价：5295元/平方米</w:t>
      </w:r>
    </w:p>
    <w:p w14:paraId="7AEE0AC6">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公共管理与公共服务用地</w:t>
      </w:r>
    </w:p>
    <w:p w14:paraId="5CC26A0D">
      <w:pPr>
        <w:snapToGrid w:val="0"/>
        <w:spacing w:before="120" w:beforeLines="50" w:line="288" w:lineRule="auto"/>
        <w:ind w:firstLine="840" w:firstLineChars="300"/>
        <w:rPr>
          <w:rFonts w:ascii="Arial" w:hAnsi="Arial" w:eastAsia="仿宋_GB2312" w:cs="Arial"/>
          <w:color w:val="auto"/>
          <w:kern w:val="2"/>
          <w:sz w:val="28"/>
        </w:rPr>
      </w:pPr>
      <w:r>
        <w:rPr>
          <w:rFonts w:hint="eastAsia" w:ascii="Arial" w:hAnsi="Arial" w:eastAsia="仿宋_GB2312" w:cs="Arial"/>
          <w:color w:val="auto"/>
          <w:kern w:val="2"/>
          <w:sz w:val="28"/>
        </w:rPr>
        <w:t>楼面地价：3249元/平方米</w:t>
      </w:r>
    </w:p>
    <w:p w14:paraId="4F501EC3">
      <w:pPr>
        <w:snapToGrid w:val="0"/>
        <w:spacing w:before="120" w:beforeLines="50" w:line="288" w:lineRule="auto"/>
        <w:ind w:firstLine="560" w:firstLineChars="200"/>
        <w:rPr>
          <w:rFonts w:ascii="Arial" w:hAnsi="Arial" w:eastAsia="仿宋_GB2312" w:cs="Arial"/>
          <w:color w:val="auto"/>
          <w:kern w:val="2"/>
          <w:sz w:val="28"/>
        </w:rPr>
      </w:pPr>
      <w:r>
        <w:rPr>
          <w:rFonts w:ascii="Arial" w:hAnsi="Arial" w:eastAsia="仿宋_GB2312" w:cs="Arial"/>
          <w:color w:val="auto"/>
          <w:kern w:val="2"/>
          <w:sz w:val="28"/>
        </w:rPr>
        <w:t>详见《估价结果汇总表》</w:t>
      </w:r>
    </w:p>
    <w:p w14:paraId="75FF9842">
      <w:pPr>
        <w:snapToGrid w:val="0"/>
        <w:spacing w:before="120" w:beforeLines="50" w:line="300" w:lineRule="auto"/>
        <w:ind w:firstLine="562" w:firstLineChars="200"/>
        <w:rPr>
          <w:rFonts w:ascii="Arial" w:hAnsi="Arial" w:eastAsia="仿宋_GB2312" w:cs="Arial"/>
          <w:b/>
          <w:color w:val="auto"/>
          <w:kern w:val="2"/>
          <w:sz w:val="28"/>
        </w:rPr>
      </w:pPr>
      <w:r>
        <w:rPr>
          <w:rFonts w:hint="eastAsia" w:ascii="Arial" w:hAnsi="Arial" w:eastAsia="仿宋_GB2312" w:cs="Arial"/>
          <w:b/>
          <w:color w:val="auto"/>
          <w:kern w:val="2"/>
          <w:sz w:val="28"/>
        </w:rPr>
        <w:t>根据北京市顺义区人民政府《北京市顺义区人民政府关于顺义区高丽营镇夏县营村棚户区改造土地开发项目01－008、01－016、01－026－1、01－020地块提请地价审核有关事宜的函》，本项目不存在回迁、回购等实物补偿内容。</w:t>
      </w:r>
    </w:p>
    <w:p w14:paraId="12B737BF">
      <w:pPr>
        <w:snapToGrid w:val="0"/>
        <w:spacing w:before="120" w:beforeLines="50" w:line="288" w:lineRule="auto"/>
        <w:ind w:firstLine="560" w:firstLineChars="200"/>
        <w:jc w:val="both"/>
        <w:rPr>
          <w:rFonts w:ascii="Arial" w:hAnsi="Arial" w:eastAsia="仿宋_GB2312" w:cs="Arial"/>
          <w:color w:val="auto"/>
          <w:kern w:val="2"/>
          <w:sz w:val="28"/>
        </w:rPr>
      </w:pPr>
      <w:r>
        <w:rPr>
          <w:rFonts w:hint="eastAsia" w:ascii="Arial" w:hAnsi="Arial" w:eastAsia="仿宋_GB2312" w:cs="Arial"/>
          <w:color w:val="auto"/>
          <w:sz w:val="28"/>
          <w:szCs w:val="28"/>
        </w:rPr>
        <w:t>根据《自然资源部 国家林业和草原局关于进一步做好自然资源要素保障的通知》（自然资办发（2026）38号），通过强化国土空间规划弹性、优化审批流程、优先保障国家重大项目及重点领域新增用地指标，并严格执行耕地占补平衡，旨在提升自然资源要素配置效率。其对新增供地市场的影响在于：在严守资源安全底线前提下，为有效投资和合理建设需求开辟“绿色通道”，推动土地供应更加精准、高效地向高质量发展领域倾斜，促进土地节约集约利用，实现“保护”与“保障”的动态平衡，推动行业从粗放规模扩张转向高质量内涵式发展。</w:t>
      </w:r>
    </w:p>
    <w:p w14:paraId="16A9A8A1">
      <w:pPr>
        <w:snapToGrid w:val="0"/>
        <w:spacing w:before="120" w:beforeLines="50" w:line="288" w:lineRule="auto"/>
        <w:ind w:firstLine="560" w:firstLineChars="200"/>
        <w:rPr>
          <w:rFonts w:ascii="Arial" w:hAnsi="Arial" w:eastAsia="仿宋_GB2312" w:cs="Arial"/>
          <w:color w:val="auto"/>
          <w:sz w:val="28"/>
        </w:rPr>
      </w:pPr>
      <w:r>
        <w:rPr>
          <w:rFonts w:hint="eastAsia" w:ascii="Arial" w:hAnsi="Arial" w:eastAsia="仿宋_GB2312" w:cs="Arial"/>
          <w:color w:val="auto"/>
          <w:kern w:val="2"/>
          <w:sz w:val="28"/>
        </w:rPr>
        <w:t>根据《北京市国有建设用地使用权出让地价评估技术导则》（2026年2月10日实施）</w:t>
      </w:r>
      <w:r>
        <w:rPr>
          <w:rFonts w:hint="eastAsia" w:ascii="Arial" w:hAnsi="Arial" w:eastAsia="仿宋" w:cs="Arial"/>
          <w:color w:val="auto"/>
          <w:sz w:val="28"/>
          <w:szCs w:val="28"/>
        </w:rPr>
        <w:t>相关</w:t>
      </w:r>
      <w:r>
        <w:rPr>
          <w:rFonts w:ascii="Arial" w:hAnsi="Arial" w:eastAsia="仿宋" w:cs="Arial"/>
          <w:color w:val="auto"/>
          <w:sz w:val="28"/>
          <w:szCs w:val="28"/>
        </w:rPr>
        <w:t>规定</w:t>
      </w:r>
      <w:r>
        <w:rPr>
          <w:rFonts w:hint="eastAsia" w:ascii="Arial" w:hAnsi="Arial" w:eastAsia="仿宋" w:cs="Arial"/>
          <w:color w:val="auto"/>
          <w:sz w:val="28"/>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color w:val="auto"/>
          <w:sz w:val="28"/>
        </w:rPr>
        <w:t>。</w:t>
      </w:r>
      <w:r>
        <w:rPr>
          <w:rFonts w:hint="eastAsia" w:ascii="Arial" w:hAnsi="Arial" w:eastAsia="仿宋_GB2312" w:cs="Arial"/>
          <w:color w:val="auto"/>
          <w:kern w:val="2"/>
          <w:sz w:val="28"/>
        </w:rPr>
        <w:t>其他商服、公共服务用途统一地价水平确定其配套服务设施部分的熟地单价，按就高原则确定价格水平，后续也不涉及其他商服及公共服务用途之间地价款调整问题。</w:t>
      </w:r>
      <w:r>
        <w:rPr>
          <w:rFonts w:hint="eastAsia" w:ascii="Arial" w:hAnsi="Arial" w:eastAsia="仿宋" w:cs="Arial"/>
          <w:color w:val="auto"/>
          <w:sz w:val="28"/>
        </w:rPr>
        <w:t>”</w:t>
      </w:r>
    </w:p>
    <w:p w14:paraId="7CB1B46D">
      <w:pPr>
        <w:snapToGrid w:val="0"/>
        <w:spacing w:before="120" w:beforeLines="50" w:line="288" w:lineRule="auto"/>
        <w:ind w:firstLine="560" w:firstLineChars="200"/>
        <w:rPr>
          <w:rFonts w:ascii="Arial" w:hAnsi="Arial" w:eastAsia="仿宋_GB2312" w:cs="Arial"/>
          <w:color w:val="auto"/>
          <w:kern w:val="2"/>
          <w:sz w:val="28"/>
        </w:rPr>
      </w:pPr>
      <w:r>
        <w:rPr>
          <w:rFonts w:hint="eastAsia" w:ascii="Arial" w:hAnsi="Arial" w:eastAsia="仿宋_GB2312" w:cs="Arial"/>
          <w:color w:val="auto"/>
          <w:kern w:val="2"/>
          <w:sz w:val="28"/>
        </w:rPr>
        <w:t>根据本次估价目的和出让评估要求，本次评估估价对象熟地总价时按城镇住宅用地测算结果作为最终估价结果，其他商业服务业用地、公共管理与公共服务用地仅测算列示楼面地价。具体估价结果如下表所示:</w:t>
      </w:r>
    </w:p>
    <w:tbl>
      <w:tblPr>
        <w:tblStyle w:val="34"/>
        <w:tblW w:w="9072" w:type="dxa"/>
        <w:jc w:val="center"/>
        <w:tblLayout w:type="fixed"/>
        <w:tblCellMar>
          <w:top w:w="0" w:type="dxa"/>
          <w:left w:w="108" w:type="dxa"/>
          <w:bottom w:w="0" w:type="dxa"/>
          <w:right w:w="108" w:type="dxa"/>
        </w:tblCellMar>
      </w:tblPr>
      <w:tblGrid>
        <w:gridCol w:w="3749"/>
        <w:gridCol w:w="1788"/>
        <w:gridCol w:w="1968"/>
        <w:gridCol w:w="1567"/>
      </w:tblGrid>
      <w:tr w14:paraId="4CDCE08C">
        <w:tblPrEx>
          <w:tblCellMar>
            <w:top w:w="0" w:type="dxa"/>
            <w:left w:w="108" w:type="dxa"/>
            <w:bottom w:w="0" w:type="dxa"/>
            <w:right w:w="108" w:type="dxa"/>
          </w:tblCellMar>
        </w:tblPrEx>
        <w:trPr>
          <w:trHeight w:val="1125" w:hRule="atLeast"/>
          <w:jc w:val="center"/>
        </w:trPr>
        <w:tc>
          <w:tcPr>
            <w:tcW w:w="9072" w:type="dxa"/>
            <w:gridSpan w:val="4"/>
            <w:tcBorders>
              <w:top w:val="nil"/>
              <w:left w:val="nil"/>
              <w:bottom w:val="single" w:color="auto" w:sz="4" w:space="0"/>
              <w:right w:val="nil"/>
            </w:tcBorders>
            <w:shd w:val="clear" w:color="auto" w:fill="auto"/>
            <w:vAlign w:val="center"/>
          </w:tcPr>
          <w:p w14:paraId="13102FE3">
            <w:pPr>
              <w:widowControl/>
              <w:adjustRightInd/>
              <w:spacing w:line="300" w:lineRule="auto"/>
              <w:jc w:val="center"/>
              <w:textAlignment w:val="auto"/>
              <w:rPr>
                <w:rFonts w:ascii="Arial" w:hAnsi="Arial" w:eastAsia="黑体" w:cs="Arial"/>
                <w:color w:val="auto"/>
                <w:sz w:val="28"/>
                <w:szCs w:val="28"/>
              </w:rPr>
            </w:pPr>
            <w:r>
              <w:rPr>
                <w:rFonts w:hint="eastAsia" w:ascii="Arial" w:hAnsi="Arial" w:eastAsia="仿宋_GB2312" w:cs="Arial"/>
                <w:b/>
                <w:bCs/>
                <w:color w:val="auto"/>
                <w:sz w:val="28"/>
              </w:rPr>
              <w:t>北京市顺义区高丽营镇夏县营村棚户区改造土地开发项目01－008、01－016、01－026－1、01－020地块R2二类居住用地、A334托幼用地国有建设用地使用权</w:t>
            </w:r>
            <w:r>
              <w:rPr>
                <w:rFonts w:ascii="Arial" w:hAnsi="Arial" w:eastAsia="仿宋_GB2312" w:cs="Arial"/>
                <w:b/>
                <w:bCs/>
                <w:color w:val="auto"/>
                <w:sz w:val="28"/>
              </w:rPr>
              <w:t>估价结果汇总表</w:t>
            </w:r>
          </w:p>
        </w:tc>
      </w:tr>
      <w:tr w14:paraId="6867C041">
        <w:tblPrEx>
          <w:tblCellMar>
            <w:top w:w="0" w:type="dxa"/>
            <w:left w:w="108" w:type="dxa"/>
            <w:bottom w:w="0" w:type="dxa"/>
            <w:right w:w="108" w:type="dxa"/>
          </w:tblCellMar>
        </w:tblPrEx>
        <w:trPr>
          <w:trHeight w:val="675" w:hRule="atLeast"/>
          <w:jc w:val="center"/>
        </w:trPr>
        <w:tc>
          <w:tcPr>
            <w:tcW w:w="3749" w:type="dxa"/>
            <w:tcBorders>
              <w:top w:val="nil"/>
              <w:left w:val="single" w:color="auto" w:sz="4" w:space="0"/>
              <w:bottom w:val="single" w:color="auto" w:sz="4" w:space="0"/>
              <w:right w:val="single" w:color="auto" w:sz="4" w:space="0"/>
            </w:tcBorders>
            <w:shd w:val="clear" w:color="auto" w:fill="auto"/>
            <w:vAlign w:val="center"/>
          </w:tcPr>
          <w:p w14:paraId="21E7A26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地价类型</w:t>
            </w:r>
            <w:r>
              <w:rPr>
                <w:rFonts w:ascii="Arial" w:hAnsi="Arial" w:eastAsia="仿宋_GB2312" w:cs="Arial"/>
                <w:color w:val="auto"/>
                <w:szCs w:val="24"/>
              </w:rPr>
              <w:t>　</w:t>
            </w:r>
          </w:p>
        </w:tc>
        <w:tc>
          <w:tcPr>
            <w:tcW w:w="1788" w:type="dxa"/>
            <w:tcBorders>
              <w:top w:val="nil"/>
              <w:left w:val="nil"/>
              <w:bottom w:val="single" w:color="auto" w:sz="4" w:space="0"/>
              <w:right w:val="single" w:color="auto" w:sz="4" w:space="0"/>
            </w:tcBorders>
            <w:shd w:val="clear" w:color="auto" w:fill="auto"/>
            <w:vAlign w:val="center"/>
          </w:tcPr>
          <w:p w14:paraId="1095337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楼面地价</w:t>
            </w:r>
            <w:r>
              <w:rPr>
                <w:rFonts w:ascii="Arial" w:hAnsi="Arial" w:eastAsia="仿宋_GB2312" w:cs="Arial"/>
                <w:color w:val="auto"/>
                <w:szCs w:val="24"/>
              </w:rPr>
              <w:br w:type="textWrapping"/>
            </w:r>
            <w:r>
              <w:rPr>
                <w:rFonts w:ascii="Arial" w:hAnsi="Arial" w:eastAsia="仿宋_GB2312" w:cs="Arial"/>
                <w:color w:val="auto"/>
                <w:szCs w:val="24"/>
              </w:rPr>
              <w:t>（元/平方米）</w:t>
            </w:r>
          </w:p>
        </w:tc>
        <w:tc>
          <w:tcPr>
            <w:tcW w:w="1968" w:type="dxa"/>
            <w:tcBorders>
              <w:top w:val="nil"/>
              <w:left w:val="nil"/>
              <w:bottom w:val="single" w:color="auto" w:sz="4" w:space="0"/>
              <w:right w:val="single" w:color="auto" w:sz="4" w:space="0"/>
            </w:tcBorders>
            <w:shd w:val="clear" w:color="auto" w:fill="auto"/>
            <w:vAlign w:val="center"/>
          </w:tcPr>
          <w:p w14:paraId="3895156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经营性</w:t>
            </w:r>
            <w:r>
              <w:rPr>
                <w:rFonts w:ascii="Arial" w:hAnsi="Arial" w:eastAsia="仿宋_GB2312" w:cs="Arial"/>
                <w:color w:val="auto"/>
                <w:szCs w:val="24"/>
              </w:rPr>
              <w:t>建筑规模</w:t>
            </w:r>
            <w:r>
              <w:rPr>
                <w:rFonts w:ascii="Arial" w:hAnsi="Arial" w:eastAsia="仿宋_GB2312" w:cs="Arial"/>
                <w:color w:val="auto"/>
                <w:szCs w:val="24"/>
              </w:rPr>
              <w:br w:type="textWrapping"/>
            </w:r>
            <w:r>
              <w:rPr>
                <w:rFonts w:ascii="Arial" w:hAnsi="Arial" w:eastAsia="仿宋_GB2312" w:cs="Arial"/>
                <w:color w:val="auto"/>
                <w:szCs w:val="24"/>
              </w:rPr>
              <w:t>（平方米）</w:t>
            </w:r>
          </w:p>
        </w:tc>
        <w:tc>
          <w:tcPr>
            <w:tcW w:w="1567" w:type="dxa"/>
            <w:tcBorders>
              <w:top w:val="nil"/>
              <w:left w:val="nil"/>
              <w:bottom w:val="single" w:color="auto" w:sz="4" w:space="0"/>
              <w:right w:val="single" w:color="auto" w:sz="4" w:space="0"/>
            </w:tcBorders>
            <w:shd w:val="clear" w:color="auto" w:fill="auto"/>
            <w:vAlign w:val="center"/>
          </w:tcPr>
          <w:p w14:paraId="2EFEC28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熟地</w:t>
            </w:r>
            <w:r>
              <w:rPr>
                <w:rFonts w:ascii="Arial" w:hAnsi="Arial" w:eastAsia="仿宋_GB2312" w:cs="Arial"/>
                <w:color w:val="auto"/>
                <w:szCs w:val="24"/>
              </w:rPr>
              <w:t>总价</w:t>
            </w:r>
            <w:r>
              <w:rPr>
                <w:rFonts w:ascii="Arial" w:hAnsi="Arial" w:eastAsia="仿宋_GB2312" w:cs="Arial"/>
                <w:color w:val="auto"/>
                <w:szCs w:val="24"/>
              </w:rPr>
              <w:br w:type="textWrapping"/>
            </w:r>
            <w:r>
              <w:rPr>
                <w:rFonts w:ascii="Arial" w:hAnsi="Arial" w:eastAsia="仿宋_GB2312" w:cs="Arial"/>
                <w:color w:val="auto"/>
                <w:szCs w:val="24"/>
              </w:rPr>
              <w:t>（万元）</w:t>
            </w:r>
          </w:p>
        </w:tc>
      </w:tr>
      <w:tr w14:paraId="2A0907BB">
        <w:tblPrEx>
          <w:tblCellMar>
            <w:top w:w="0" w:type="dxa"/>
            <w:left w:w="108" w:type="dxa"/>
            <w:bottom w:w="0" w:type="dxa"/>
            <w:right w:w="108" w:type="dxa"/>
          </w:tblCellMar>
        </w:tblPrEx>
        <w:trPr>
          <w:trHeight w:val="565" w:hRule="atLeast"/>
          <w:jc w:val="center"/>
        </w:trPr>
        <w:tc>
          <w:tcPr>
            <w:tcW w:w="3749" w:type="dxa"/>
            <w:tcBorders>
              <w:top w:val="nil"/>
              <w:left w:val="single" w:color="auto" w:sz="4" w:space="0"/>
              <w:bottom w:val="single" w:color="auto" w:sz="4" w:space="0"/>
              <w:right w:val="single" w:color="auto" w:sz="4" w:space="0"/>
            </w:tcBorders>
            <w:shd w:val="clear" w:color="auto" w:fill="auto"/>
            <w:vAlign w:val="center"/>
          </w:tcPr>
          <w:p w14:paraId="5789A35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城镇住宅用地熟地价</w:t>
            </w:r>
          </w:p>
        </w:tc>
        <w:tc>
          <w:tcPr>
            <w:tcW w:w="1788" w:type="dxa"/>
            <w:tcBorders>
              <w:top w:val="nil"/>
              <w:left w:val="nil"/>
              <w:bottom w:val="single" w:color="auto" w:sz="4" w:space="0"/>
              <w:right w:val="single" w:color="auto" w:sz="4" w:space="0"/>
            </w:tcBorders>
            <w:shd w:val="clear" w:color="auto" w:fill="auto"/>
            <w:vAlign w:val="center"/>
          </w:tcPr>
          <w:p w14:paraId="5673DB21">
            <w:pPr>
              <w:spacing w:line="300" w:lineRule="auto"/>
              <w:jc w:val="center"/>
              <w:rPr>
                <w:rFonts w:ascii="黑体" w:hAnsi="黑体" w:eastAsia="黑体" w:cs="宋体"/>
                <w:color w:val="auto"/>
                <w:szCs w:val="24"/>
              </w:rPr>
            </w:pPr>
            <w:r>
              <w:rPr>
                <w:rFonts w:hint="eastAsia" w:ascii="黑体" w:hAnsi="黑体" w:eastAsia="黑体" w:cs="宋体"/>
                <w:color w:val="auto"/>
                <w:szCs w:val="24"/>
              </w:rPr>
              <w:t>10942</w:t>
            </w:r>
          </w:p>
        </w:tc>
        <w:tc>
          <w:tcPr>
            <w:tcW w:w="1968" w:type="dxa"/>
            <w:tcBorders>
              <w:top w:val="nil"/>
              <w:left w:val="nil"/>
              <w:bottom w:val="single" w:color="auto" w:sz="4" w:space="0"/>
              <w:right w:val="single" w:color="auto" w:sz="4" w:space="0"/>
            </w:tcBorders>
            <w:shd w:val="clear" w:color="auto" w:fill="auto"/>
            <w:vAlign w:val="center"/>
          </w:tcPr>
          <w:p w14:paraId="1F7D4E63">
            <w:pPr>
              <w:spacing w:line="300" w:lineRule="auto"/>
              <w:jc w:val="center"/>
              <w:rPr>
                <w:rFonts w:ascii="黑体" w:hAnsi="黑体" w:eastAsia="黑体"/>
                <w:color w:val="auto"/>
              </w:rPr>
            </w:pPr>
            <w:r>
              <w:rPr>
                <w:rFonts w:ascii="黑体" w:hAnsi="黑体" w:eastAsia="黑体"/>
                <w:color w:val="auto"/>
              </w:rPr>
              <w:t>68148.54</w:t>
            </w:r>
          </w:p>
        </w:tc>
        <w:tc>
          <w:tcPr>
            <w:tcW w:w="1567" w:type="dxa"/>
            <w:tcBorders>
              <w:top w:val="nil"/>
              <w:left w:val="nil"/>
              <w:bottom w:val="single" w:color="auto" w:sz="4" w:space="0"/>
              <w:right w:val="single" w:color="auto" w:sz="4" w:space="0"/>
            </w:tcBorders>
            <w:shd w:val="clear" w:color="auto" w:fill="auto"/>
            <w:vAlign w:val="center"/>
          </w:tcPr>
          <w:p w14:paraId="6AF5CB64">
            <w:pPr>
              <w:spacing w:line="300" w:lineRule="auto"/>
              <w:jc w:val="center"/>
              <w:rPr>
                <w:rFonts w:ascii="黑体" w:hAnsi="黑体" w:eastAsia="黑体" w:cs="宋体"/>
                <w:color w:val="auto"/>
                <w:szCs w:val="24"/>
              </w:rPr>
            </w:pPr>
            <w:r>
              <w:rPr>
                <w:rFonts w:hint="eastAsia" w:ascii="黑体" w:hAnsi="黑体" w:eastAsia="黑体"/>
                <w:color w:val="auto"/>
              </w:rPr>
              <w:t>74568.1325</w:t>
            </w:r>
            <w:r>
              <w:rPr>
                <w:rFonts w:ascii="黑体" w:hAnsi="黑体" w:eastAsia="黑体"/>
                <w:color w:val="auto"/>
              </w:rPr>
              <w:t xml:space="preserve"> </w:t>
            </w:r>
          </w:p>
        </w:tc>
      </w:tr>
      <w:tr w14:paraId="795FA493">
        <w:tblPrEx>
          <w:tblCellMar>
            <w:top w:w="0" w:type="dxa"/>
            <w:left w:w="108" w:type="dxa"/>
            <w:bottom w:w="0" w:type="dxa"/>
            <w:right w:w="108" w:type="dxa"/>
          </w:tblCellMar>
        </w:tblPrEx>
        <w:trPr>
          <w:trHeight w:val="525" w:hRule="atLeast"/>
          <w:jc w:val="center"/>
        </w:trPr>
        <w:tc>
          <w:tcPr>
            <w:tcW w:w="3749" w:type="dxa"/>
            <w:tcBorders>
              <w:top w:val="nil"/>
              <w:left w:val="single" w:color="auto" w:sz="4" w:space="0"/>
              <w:bottom w:val="single" w:color="auto" w:sz="4" w:space="0"/>
              <w:right w:val="single" w:color="auto" w:sz="4" w:space="0"/>
            </w:tcBorders>
            <w:shd w:val="clear" w:color="auto" w:fill="auto"/>
            <w:vAlign w:val="center"/>
          </w:tcPr>
          <w:p w14:paraId="1384EDE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其他商业服务业用地用途熟地价</w:t>
            </w:r>
          </w:p>
        </w:tc>
        <w:tc>
          <w:tcPr>
            <w:tcW w:w="1788" w:type="dxa"/>
            <w:tcBorders>
              <w:top w:val="nil"/>
              <w:left w:val="nil"/>
              <w:bottom w:val="single" w:color="auto" w:sz="4" w:space="0"/>
              <w:right w:val="single" w:color="auto" w:sz="4" w:space="0"/>
            </w:tcBorders>
            <w:shd w:val="clear" w:color="auto" w:fill="auto"/>
            <w:vAlign w:val="center"/>
          </w:tcPr>
          <w:p w14:paraId="38B355C7">
            <w:pPr>
              <w:spacing w:line="300" w:lineRule="auto"/>
              <w:jc w:val="center"/>
              <w:rPr>
                <w:rFonts w:ascii="黑体" w:hAnsi="黑体" w:eastAsia="黑体" w:cs="宋体"/>
                <w:color w:val="auto"/>
                <w:szCs w:val="24"/>
              </w:rPr>
            </w:pPr>
            <w:r>
              <w:rPr>
                <w:rFonts w:hint="eastAsia" w:ascii="黑体" w:hAnsi="黑体" w:eastAsia="黑体" w:cs="宋体"/>
                <w:color w:val="auto"/>
                <w:szCs w:val="24"/>
              </w:rPr>
              <w:t>5295</w:t>
            </w:r>
          </w:p>
        </w:tc>
        <w:tc>
          <w:tcPr>
            <w:tcW w:w="1968" w:type="dxa"/>
            <w:tcBorders>
              <w:top w:val="nil"/>
              <w:left w:val="nil"/>
              <w:bottom w:val="single" w:color="auto" w:sz="4" w:space="0"/>
              <w:right w:val="single" w:color="auto" w:sz="4" w:space="0"/>
            </w:tcBorders>
            <w:shd w:val="clear" w:color="auto" w:fill="auto"/>
            <w:vAlign w:val="center"/>
          </w:tcPr>
          <w:p w14:paraId="473F0B97">
            <w:pPr>
              <w:spacing w:line="300" w:lineRule="auto"/>
              <w:jc w:val="center"/>
              <w:rPr>
                <w:rFonts w:ascii="黑体" w:hAnsi="黑体" w:eastAsia="黑体"/>
                <w:color w:val="auto"/>
              </w:rPr>
            </w:pPr>
            <w:r>
              <w:rPr>
                <w:rFonts w:hint="eastAsia" w:ascii="黑体" w:hAnsi="黑体" w:eastAsia="黑体"/>
                <w:color w:val="auto"/>
              </w:rPr>
              <w:t>－</w:t>
            </w:r>
          </w:p>
        </w:tc>
        <w:tc>
          <w:tcPr>
            <w:tcW w:w="1567" w:type="dxa"/>
            <w:tcBorders>
              <w:top w:val="nil"/>
              <w:left w:val="nil"/>
              <w:bottom w:val="single" w:color="auto" w:sz="4" w:space="0"/>
              <w:right w:val="single" w:color="auto" w:sz="4" w:space="0"/>
            </w:tcBorders>
            <w:shd w:val="clear" w:color="auto" w:fill="auto"/>
            <w:vAlign w:val="center"/>
          </w:tcPr>
          <w:p w14:paraId="692D1A83">
            <w:pPr>
              <w:spacing w:line="300" w:lineRule="auto"/>
              <w:jc w:val="center"/>
              <w:rPr>
                <w:rFonts w:ascii="黑体" w:hAnsi="黑体" w:eastAsia="黑体" w:cs="宋体"/>
                <w:color w:val="auto"/>
                <w:szCs w:val="24"/>
              </w:rPr>
            </w:pPr>
            <w:r>
              <w:rPr>
                <w:rFonts w:hint="eastAsia" w:ascii="黑体" w:hAnsi="黑体" w:eastAsia="黑体"/>
                <w:color w:val="auto"/>
              </w:rPr>
              <w:t>－</w:t>
            </w:r>
          </w:p>
        </w:tc>
      </w:tr>
      <w:tr w14:paraId="0CA1E9FC">
        <w:tblPrEx>
          <w:tblCellMar>
            <w:top w:w="0" w:type="dxa"/>
            <w:left w:w="108" w:type="dxa"/>
            <w:bottom w:w="0" w:type="dxa"/>
            <w:right w:w="108" w:type="dxa"/>
          </w:tblCellMar>
        </w:tblPrEx>
        <w:trPr>
          <w:trHeight w:val="525" w:hRule="atLeast"/>
          <w:jc w:val="center"/>
        </w:trPr>
        <w:tc>
          <w:tcPr>
            <w:tcW w:w="3749" w:type="dxa"/>
            <w:tcBorders>
              <w:top w:val="nil"/>
              <w:left w:val="single" w:color="auto" w:sz="4" w:space="0"/>
              <w:bottom w:val="nil"/>
              <w:right w:val="single" w:color="auto" w:sz="4" w:space="0"/>
            </w:tcBorders>
            <w:shd w:val="clear" w:color="auto" w:fill="auto"/>
            <w:vAlign w:val="center"/>
          </w:tcPr>
          <w:p w14:paraId="7A80533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公共服务用途熟地价</w:t>
            </w:r>
          </w:p>
        </w:tc>
        <w:tc>
          <w:tcPr>
            <w:tcW w:w="1788" w:type="dxa"/>
            <w:tcBorders>
              <w:top w:val="nil"/>
              <w:left w:val="nil"/>
              <w:bottom w:val="nil"/>
              <w:right w:val="single" w:color="auto" w:sz="4" w:space="0"/>
            </w:tcBorders>
            <w:shd w:val="clear" w:color="auto" w:fill="auto"/>
            <w:vAlign w:val="center"/>
          </w:tcPr>
          <w:p w14:paraId="33C04101">
            <w:pPr>
              <w:spacing w:line="300" w:lineRule="auto"/>
              <w:jc w:val="center"/>
              <w:rPr>
                <w:rFonts w:ascii="黑体" w:hAnsi="黑体" w:eastAsia="黑体" w:cs="宋体"/>
                <w:color w:val="auto"/>
                <w:szCs w:val="24"/>
              </w:rPr>
            </w:pPr>
            <w:r>
              <w:rPr>
                <w:rFonts w:hint="eastAsia" w:ascii="黑体" w:hAnsi="黑体" w:eastAsia="黑体" w:cs="宋体"/>
                <w:color w:val="auto"/>
                <w:szCs w:val="24"/>
              </w:rPr>
              <w:t>3249</w:t>
            </w:r>
          </w:p>
        </w:tc>
        <w:tc>
          <w:tcPr>
            <w:tcW w:w="1968" w:type="dxa"/>
            <w:tcBorders>
              <w:top w:val="nil"/>
              <w:left w:val="nil"/>
              <w:bottom w:val="nil"/>
              <w:right w:val="single" w:color="auto" w:sz="4" w:space="0"/>
            </w:tcBorders>
            <w:shd w:val="clear" w:color="auto" w:fill="auto"/>
            <w:vAlign w:val="center"/>
          </w:tcPr>
          <w:p w14:paraId="335173E4">
            <w:pPr>
              <w:spacing w:line="300" w:lineRule="auto"/>
              <w:jc w:val="center"/>
              <w:rPr>
                <w:rFonts w:ascii="黑体" w:hAnsi="黑体" w:eastAsia="黑体"/>
                <w:color w:val="auto"/>
              </w:rPr>
            </w:pPr>
            <w:r>
              <w:rPr>
                <w:rFonts w:hint="eastAsia" w:ascii="黑体" w:hAnsi="黑体" w:eastAsia="黑体"/>
                <w:color w:val="auto"/>
              </w:rPr>
              <w:t>－</w:t>
            </w:r>
          </w:p>
        </w:tc>
        <w:tc>
          <w:tcPr>
            <w:tcW w:w="1567" w:type="dxa"/>
            <w:tcBorders>
              <w:top w:val="nil"/>
              <w:left w:val="nil"/>
              <w:bottom w:val="nil"/>
              <w:right w:val="single" w:color="auto" w:sz="4" w:space="0"/>
            </w:tcBorders>
            <w:shd w:val="clear" w:color="auto" w:fill="auto"/>
            <w:vAlign w:val="center"/>
          </w:tcPr>
          <w:p w14:paraId="3FAEDA25">
            <w:pPr>
              <w:spacing w:line="300" w:lineRule="auto"/>
              <w:jc w:val="center"/>
              <w:rPr>
                <w:rFonts w:ascii="黑体" w:hAnsi="黑体" w:eastAsia="黑体" w:cs="宋体"/>
                <w:color w:val="auto"/>
                <w:szCs w:val="24"/>
              </w:rPr>
            </w:pPr>
            <w:r>
              <w:rPr>
                <w:rFonts w:hint="eastAsia" w:ascii="黑体" w:hAnsi="黑体" w:eastAsia="黑体"/>
                <w:color w:val="auto"/>
              </w:rPr>
              <w:t>－</w:t>
            </w:r>
          </w:p>
        </w:tc>
      </w:tr>
      <w:tr w14:paraId="6F1D1168">
        <w:tblPrEx>
          <w:tblCellMar>
            <w:top w:w="0" w:type="dxa"/>
            <w:left w:w="108" w:type="dxa"/>
            <w:bottom w:w="0" w:type="dxa"/>
            <w:right w:w="108" w:type="dxa"/>
          </w:tblCellMar>
        </w:tblPrEx>
        <w:trPr>
          <w:trHeight w:val="525" w:hRule="atLeast"/>
          <w:jc w:val="center"/>
        </w:trPr>
        <w:tc>
          <w:tcPr>
            <w:tcW w:w="3749" w:type="dxa"/>
            <w:tcBorders>
              <w:top w:val="nil"/>
              <w:left w:val="single" w:color="auto" w:sz="4" w:space="0"/>
              <w:bottom w:val="single" w:color="auto" w:sz="4" w:space="0"/>
              <w:right w:val="single" w:color="auto" w:sz="4" w:space="0"/>
            </w:tcBorders>
            <w:shd w:val="clear" w:color="auto" w:fill="auto"/>
            <w:vAlign w:val="center"/>
          </w:tcPr>
          <w:p w14:paraId="32E9B89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小计</w:t>
            </w:r>
          </w:p>
        </w:tc>
        <w:tc>
          <w:tcPr>
            <w:tcW w:w="1788" w:type="dxa"/>
            <w:tcBorders>
              <w:top w:val="nil"/>
              <w:left w:val="nil"/>
              <w:bottom w:val="single" w:color="auto" w:sz="4" w:space="0"/>
              <w:right w:val="single" w:color="auto" w:sz="4" w:space="0"/>
            </w:tcBorders>
            <w:shd w:val="clear" w:color="auto" w:fill="auto"/>
            <w:vAlign w:val="center"/>
          </w:tcPr>
          <w:p w14:paraId="7E682CCE">
            <w:pPr>
              <w:spacing w:line="300" w:lineRule="auto"/>
              <w:jc w:val="center"/>
              <w:rPr>
                <w:rFonts w:ascii="黑体" w:hAnsi="黑体" w:eastAsia="黑体"/>
                <w:color w:val="auto"/>
              </w:rPr>
            </w:pPr>
            <w:r>
              <w:rPr>
                <w:rFonts w:hint="eastAsia" w:ascii="黑体" w:hAnsi="黑体" w:eastAsia="黑体"/>
                <w:color w:val="auto"/>
              </w:rPr>
              <w:t>－</w:t>
            </w:r>
          </w:p>
        </w:tc>
        <w:tc>
          <w:tcPr>
            <w:tcW w:w="1968" w:type="dxa"/>
            <w:tcBorders>
              <w:top w:val="nil"/>
              <w:left w:val="nil"/>
              <w:bottom w:val="single" w:color="auto" w:sz="4" w:space="0"/>
              <w:right w:val="single" w:color="auto" w:sz="4" w:space="0"/>
            </w:tcBorders>
            <w:shd w:val="clear" w:color="auto" w:fill="auto"/>
            <w:vAlign w:val="center"/>
          </w:tcPr>
          <w:p w14:paraId="6C0B6A18">
            <w:pPr>
              <w:spacing w:line="300" w:lineRule="auto"/>
              <w:jc w:val="center"/>
              <w:rPr>
                <w:rFonts w:ascii="黑体" w:hAnsi="黑体" w:eastAsia="黑体"/>
                <w:color w:val="auto"/>
              </w:rPr>
            </w:pPr>
            <w:r>
              <w:rPr>
                <w:rFonts w:hint="eastAsia" w:ascii="黑体" w:hAnsi="黑体" w:eastAsia="黑体"/>
                <w:color w:val="auto"/>
              </w:rPr>
              <w:t>68148.54</w:t>
            </w:r>
          </w:p>
        </w:tc>
        <w:tc>
          <w:tcPr>
            <w:tcW w:w="1567" w:type="dxa"/>
            <w:tcBorders>
              <w:top w:val="nil"/>
              <w:left w:val="nil"/>
              <w:bottom w:val="single" w:color="auto" w:sz="4" w:space="0"/>
              <w:right w:val="single" w:color="auto" w:sz="4" w:space="0"/>
            </w:tcBorders>
            <w:shd w:val="clear" w:color="auto" w:fill="auto"/>
            <w:vAlign w:val="center"/>
          </w:tcPr>
          <w:p w14:paraId="32D4295A">
            <w:pPr>
              <w:spacing w:line="300" w:lineRule="auto"/>
              <w:jc w:val="center"/>
              <w:rPr>
                <w:rFonts w:ascii="黑体" w:hAnsi="黑体" w:eastAsia="黑体"/>
                <w:color w:val="auto"/>
              </w:rPr>
            </w:pPr>
            <w:r>
              <w:rPr>
                <w:rFonts w:hint="eastAsia" w:ascii="黑体" w:hAnsi="黑体" w:eastAsia="黑体"/>
                <w:color w:val="auto"/>
              </w:rPr>
              <w:t>74568.1325</w:t>
            </w:r>
            <w:r>
              <w:rPr>
                <w:rFonts w:ascii="黑体" w:hAnsi="黑体" w:eastAsia="黑体"/>
                <w:color w:val="auto"/>
              </w:rPr>
              <w:t xml:space="preserve"> </w:t>
            </w:r>
          </w:p>
        </w:tc>
      </w:tr>
    </w:tbl>
    <w:p w14:paraId="6E408025">
      <w:pPr>
        <w:rPr>
          <w:rFonts w:ascii="Arial" w:hAnsi="Arial" w:eastAsia="仿宋_GB2312" w:cs="Arial"/>
          <w:b/>
          <w:color w:val="auto"/>
          <w:kern w:val="2"/>
          <w:sz w:val="28"/>
        </w:rPr>
      </w:pPr>
      <w:r>
        <w:rPr>
          <w:rFonts w:hint="eastAsia" w:ascii="Arial" w:hAnsi="Arial" w:eastAsia="仿宋_GB2312" w:cs="Arial"/>
          <w:b/>
          <w:color w:val="auto"/>
          <w:kern w:val="2"/>
          <w:sz w:val="28"/>
        </w:rPr>
        <w:br w:type="page"/>
      </w:r>
    </w:p>
    <w:p w14:paraId="5BBA8F53">
      <w:pPr>
        <w:snapToGrid w:val="0"/>
        <w:spacing w:before="240" w:beforeLines="100" w:line="288" w:lineRule="auto"/>
        <w:rPr>
          <w:rFonts w:ascii="Arial" w:hAnsi="Arial" w:eastAsia="仿宋_GB2312" w:cs="Arial"/>
          <w:b/>
          <w:color w:val="auto"/>
          <w:kern w:val="2"/>
          <w:sz w:val="28"/>
        </w:rPr>
      </w:pPr>
      <w:r>
        <w:rPr>
          <w:rFonts w:hint="eastAsia" w:ascii="Arial" w:hAnsi="Arial" w:eastAsia="仿宋_GB2312" w:cs="Arial"/>
          <w:b/>
          <w:color w:val="auto"/>
          <w:kern w:val="2"/>
          <w:sz w:val="28"/>
        </w:rPr>
        <w:t>出让底价建议：</w:t>
      </w:r>
    </w:p>
    <w:p w14:paraId="33648324">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1.估价方法适用性及评估结果可信度分析</w:t>
      </w:r>
    </w:p>
    <w:p w14:paraId="0D9D40B0">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 xml:space="preserve"> （1）估价方法适用性</w:t>
      </w:r>
    </w:p>
    <w:p w14:paraId="25B96F84">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根据《城镇土地估价规程》（以下简称《规程》），地价估价方法有 市场比较法、收益还原法、剩余法、成本逼近法、基准地价系数修正法等。 估价方法的选择应按照《规程》的要求，并依照原国土资源部办公厅关于 发布《国有建设用地使用权出让地价评估技术规范》的通知（国土资厅发 〔2018〕4号）、</w:t>
      </w:r>
      <w:r>
        <w:rPr>
          <w:rFonts w:hint="eastAsia" w:ascii="Arial" w:hAnsi="Arial" w:eastAsia="仿宋" w:cs="Arial"/>
          <w:color w:val="auto"/>
          <w:sz w:val="28"/>
          <w:lang w:eastAsia="zh-CN"/>
        </w:rPr>
        <w:t>《北京市国有建设用地使用权出让地价评估技术导则》（2026年2月10日实施）</w:t>
      </w:r>
      <w:r>
        <w:rPr>
          <w:rFonts w:ascii="Arial" w:hAnsi="Arial" w:eastAsia="仿宋" w:cs="Arial"/>
          <w:color w:val="auto"/>
          <w:sz w:val="28"/>
        </w:rPr>
        <w:t>中规定，出让地价评估，应至少采用两种评估方法，且成本逼近法和基准地价系数修正法选择其一，市场比较法、剩余法、收益还原法选择其一。其中城镇住宅用地、商服类用地宜在成本逼近法和基准地价系数修正法二选一时，优先选用基准地价系数修正法，慎选成本逼近法，在市场比较法、剩余法、收益还原法三选一时，优先选用剩余法，其次选择市场比较法、收益还原法。公共管理与公共服务用地和交通运输用地价格，宜在</w:t>
      </w:r>
      <w:r>
        <w:rPr>
          <w:rFonts w:hint="eastAsia" w:ascii="Arial" w:hAnsi="Arial" w:eastAsia="仿宋" w:cs="Arial"/>
          <w:color w:val="auto"/>
          <w:sz w:val="28"/>
        </w:rPr>
        <w:t>“</w:t>
      </w:r>
      <w:r>
        <w:rPr>
          <w:rFonts w:ascii="Arial" w:hAnsi="Arial" w:eastAsia="仿宋" w:cs="Arial"/>
          <w:color w:val="auto"/>
          <w:sz w:val="28"/>
        </w:rPr>
        <w:t>二选一</w:t>
      </w:r>
      <w:r>
        <w:rPr>
          <w:rFonts w:hint="eastAsia" w:ascii="Arial" w:hAnsi="Arial" w:eastAsia="仿宋" w:cs="Arial"/>
          <w:color w:val="auto"/>
          <w:sz w:val="28"/>
        </w:rPr>
        <w:t>”</w:t>
      </w:r>
      <w:r>
        <w:rPr>
          <w:rFonts w:ascii="Arial" w:hAnsi="Arial" w:eastAsia="仿宋" w:cs="Arial"/>
          <w:color w:val="auto"/>
          <w:sz w:val="28"/>
        </w:rPr>
        <w:t>时，优先选择基准地价系数修正法，慎选成本逼近法</w:t>
      </w:r>
      <w:r>
        <w:rPr>
          <w:rFonts w:hint="eastAsia" w:ascii="Arial" w:hAnsi="Arial" w:eastAsia="仿宋" w:cs="Arial"/>
          <w:color w:val="auto"/>
          <w:sz w:val="28"/>
        </w:rPr>
        <w:t>；</w:t>
      </w:r>
      <w:r>
        <w:rPr>
          <w:rFonts w:ascii="Arial" w:hAnsi="Arial" w:eastAsia="仿宋" w:cs="Arial"/>
          <w:color w:val="auto"/>
          <w:sz w:val="28"/>
        </w:rPr>
        <w:t>在</w:t>
      </w:r>
      <w:r>
        <w:rPr>
          <w:rFonts w:hint="eastAsia" w:ascii="Arial" w:hAnsi="Arial" w:eastAsia="仿宋" w:cs="Arial"/>
          <w:color w:val="auto"/>
          <w:sz w:val="28"/>
        </w:rPr>
        <w:t>“</w:t>
      </w:r>
      <w:r>
        <w:rPr>
          <w:rFonts w:ascii="Arial" w:hAnsi="Arial" w:eastAsia="仿宋" w:cs="Arial"/>
          <w:color w:val="auto"/>
          <w:sz w:val="28"/>
        </w:rPr>
        <w:t>三选一</w:t>
      </w:r>
      <w:r>
        <w:rPr>
          <w:rFonts w:hint="eastAsia" w:ascii="Arial" w:hAnsi="Arial" w:eastAsia="仿宋" w:cs="Arial"/>
          <w:color w:val="auto"/>
          <w:sz w:val="28"/>
        </w:rPr>
        <w:t>”</w:t>
      </w:r>
      <w:r>
        <w:rPr>
          <w:rFonts w:ascii="Arial" w:hAnsi="Arial" w:eastAsia="仿宋" w:cs="Arial"/>
          <w:color w:val="auto"/>
          <w:sz w:val="28"/>
        </w:rPr>
        <w:t>时，优先选择市场比较法，如缺少市场可比案例，可酌情选用剩余法、收益还原法。</w:t>
      </w:r>
    </w:p>
    <w:p w14:paraId="452BA8A0">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 xml:space="preserve">本次估价为土地出让价格评估，估价目的为出让方通过集体决策确定土地出让底价提供参考依据，根据估价对象当地地产市场情况，并根据估价对象的具体特点和估价目的，本次评估选择采用基准地价系数修正法、剩余法评估得出估价对象出让土地使用权价格，方法应用符合相关政策、标准要求。 </w:t>
      </w:r>
    </w:p>
    <w:p w14:paraId="04B5CE99">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（2）评估结果可信度分析</w:t>
      </w:r>
    </w:p>
    <w:p w14:paraId="167AF0FB">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1）基准地价系数修正法</w:t>
      </w:r>
    </w:p>
    <w:p w14:paraId="4C15137A">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首先</w:t>
      </w:r>
      <w:r>
        <w:rPr>
          <w:rFonts w:hint="eastAsia" w:ascii="Arial" w:hAnsi="Arial" w:eastAsia="仿宋" w:cs="Arial"/>
          <w:color w:val="auto"/>
          <w:sz w:val="28"/>
        </w:rPr>
        <w:t>，</w:t>
      </w:r>
      <w:r>
        <w:rPr>
          <w:rFonts w:ascii="Arial" w:hAnsi="Arial" w:eastAsia="仿宋" w:cs="Arial"/>
          <w:color w:val="auto"/>
          <w:sz w:val="28"/>
        </w:rPr>
        <w:t>北京市人民政府于2022年3月14日发布了北京市基准地价更 新成果，基准地价基准期日为2021年1月1日。北京市基准地价更新成果作为政府公示价格，在现行土地估价实际工作中起着重要指导意义，是确定国有建设用地使用权出让价格审定、国有建设用地租赁租金审定、企业改制土地资产价格处置等依据之一。本次评估估价目的为出让方通过集体 决策确定土地出让底价提供参考依据，其估价目的与基准地价系数修正法 适用范围完全吻合。其次，估价对象位于</w:t>
      </w:r>
      <w:r>
        <w:rPr>
          <w:rFonts w:hint="eastAsia" w:ascii="Arial" w:hAnsi="Arial" w:eastAsia="仿宋" w:cs="Arial"/>
          <w:color w:val="auto"/>
          <w:sz w:val="28"/>
        </w:rPr>
        <w:t>顺义区高丽营镇</w:t>
      </w:r>
      <w:r>
        <w:rPr>
          <w:rFonts w:ascii="Arial" w:hAnsi="Arial" w:eastAsia="仿宋" w:cs="Arial"/>
          <w:color w:val="auto"/>
          <w:sz w:val="28"/>
        </w:rPr>
        <w:t>，属于北京市基准地价覆盖范围内，可直观获取基准地价系数修正法所需评估参数，基准地价基准期日（2021年1月1日）距本次估价期日时间虽超过五年，但可通过北京市地价动态监测成果公布的地价指数进行修正以确保在客观市场的适用度，且本次估价在已完成更新的基准地价成果基础上，根据估价对象所在区域实际情况及特点，进行相应因素修正得出</w:t>
      </w:r>
      <w:r>
        <w:rPr>
          <w:rFonts w:hint="eastAsia" w:ascii="Arial" w:hAnsi="Arial" w:eastAsia="仿宋" w:cs="Arial"/>
          <w:color w:val="auto"/>
          <w:sz w:val="28"/>
          <w:lang w:eastAsia="zh-CN"/>
        </w:rPr>
        <w:t>基准地价系数修正法</w:t>
      </w:r>
      <w:r>
        <w:rPr>
          <w:rFonts w:ascii="Arial" w:hAnsi="Arial" w:eastAsia="仿宋" w:cs="Arial"/>
          <w:color w:val="auto"/>
          <w:sz w:val="28"/>
        </w:rPr>
        <w:t>结果，其估价结果具有参考性。</w:t>
      </w:r>
    </w:p>
    <w:p w14:paraId="6BFD9642">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2）剩余法</w:t>
      </w:r>
    </w:p>
    <w:p w14:paraId="3EB96159">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剩余法是在预计开发完成后不动产正常交易价格的基础上，扣除预计 的正常开发成本及有关专业费用、利息、利润和税收等，以价格余额来估 算待估土地价格的方法。</w:t>
      </w:r>
    </w:p>
    <w:p w14:paraId="7E09A0CC">
      <w:pPr>
        <w:snapToGrid w:val="0"/>
        <w:spacing w:before="120" w:beforeLines="50" w:line="288" w:lineRule="auto"/>
        <w:ind w:firstLine="560" w:firstLineChars="200"/>
        <w:jc w:val="both"/>
        <w:rPr>
          <w:rFonts w:ascii="Arial" w:hAnsi="Arial" w:eastAsia="仿宋" w:cs="Arial"/>
          <w:color w:val="auto"/>
          <w:sz w:val="28"/>
        </w:rPr>
      </w:pPr>
      <w:r>
        <w:rPr>
          <w:rFonts w:ascii="Arial" w:hAnsi="Arial" w:eastAsia="仿宋" w:cs="Arial"/>
          <w:color w:val="auto"/>
          <w:sz w:val="28"/>
        </w:rPr>
        <w:t>估价对象属于待开发的项目，规划指标明确，符合城市规划要求，与周边环境相协调，估价对象作为</w:t>
      </w:r>
      <w:r>
        <w:rPr>
          <w:rFonts w:hint="eastAsia" w:ascii="Arial" w:hAnsi="Arial" w:eastAsia="仿宋" w:cs="Arial"/>
          <w:color w:val="auto"/>
          <w:sz w:val="28"/>
        </w:rPr>
        <w:t>R2二类居住用地、A334托幼用地</w:t>
      </w:r>
      <w:r>
        <w:rPr>
          <w:rFonts w:ascii="Arial" w:hAnsi="Arial" w:eastAsia="仿宋" w:cs="Arial"/>
          <w:color w:val="auto"/>
          <w:sz w:val="28"/>
        </w:rPr>
        <w:t>属于该宗地土地的最佳利用（最有效利用），且本次评估所需的数据资料和参数都是可以获取和确定的，符合剩余法使用范围。估价人员根据估价目的、遵循估价原则、按照估价工作程序、利用科学的估价方法，在认真分析现有资料的基础上，经过周密的测算，并结合估价经验详细考虑了影响土地价格的各 项因素确定的估价结果是科学可信的。</w:t>
      </w:r>
    </w:p>
    <w:p w14:paraId="7CCE34D6">
      <w:pPr>
        <w:snapToGrid w:val="0"/>
        <w:spacing w:before="120" w:beforeLines="50" w:line="288" w:lineRule="auto"/>
        <w:ind w:firstLine="562" w:firstLineChars="200"/>
        <w:jc w:val="both"/>
        <w:rPr>
          <w:rFonts w:ascii="Arial" w:hAnsi="Arial" w:eastAsia="仿宋" w:cs="Arial"/>
          <w:b/>
          <w:bCs/>
          <w:color w:val="auto"/>
          <w:sz w:val="28"/>
        </w:rPr>
      </w:pPr>
      <w:r>
        <w:rPr>
          <w:rFonts w:ascii="Arial" w:hAnsi="Arial" w:eastAsia="仿宋" w:cs="Arial"/>
          <w:b/>
          <w:bCs/>
          <w:color w:val="auto"/>
          <w:sz w:val="28"/>
        </w:rPr>
        <w:t>2</w:t>
      </w:r>
      <w:r>
        <w:rPr>
          <w:rFonts w:hint="eastAsia" w:ascii="Arial" w:hAnsi="Arial" w:eastAsia="仿宋" w:cs="Arial"/>
          <w:b/>
          <w:bCs/>
          <w:color w:val="auto"/>
          <w:sz w:val="28"/>
        </w:rPr>
        <w:t>.</w:t>
      </w:r>
      <w:r>
        <w:rPr>
          <w:rFonts w:ascii="Arial" w:hAnsi="Arial" w:eastAsia="仿宋" w:cs="Arial"/>
          <w:b/>
          <w:bCs/>
          <w:color w:val="auto"/>
          <w:sz w:val="28"/>
        </w:rPr>
        <w:t>评估熟地价与级别基准地价的70%比较分析</w:t>
      </w:r>
    </w:p>
    <w:p w14:paraId="642912BF">
      <w:pPr>
        <w:snapToGrid w:val="0"/>
        <w:spacing w:before="120" w:beforeLines="50" w:line="288" w:lineRule="auto"/>
        <w:ind w:firstLine="560" w:firstLineChars="200"/>
        <w:jc w:val="both"/>
        <w:rPr>
          <w:rFonts w:ascii="Arial" w:hAnsi="Arial" w:eastAsia="仿宋" w:cs="Arial"/>
          <w:color w:val="auto"/>
          <w:sz w:val="28"/>
        </w:rPr>
      </w:pPr>
      <w:r>
        <w:rPr>
          <w:rFonts w:hint="eastAsia" w:ascii="Arial" w:hAnsi="Arial" w:eastAsia="仿宋" w:cs="Arial"/>
          <w:color w:val="auto"/>
          <w:sz w:val="28"/>
        </w:rPr>
        <w:t>根据国土资源部办公厅《关于印发&lt;国有建设用地使用权出让底价评估技术规范&gt;的通知》（国土资厅发（2018）4号）文中相关规定：对应当实行有偿使用，且可以不采用招标拍卖挂牌方式出让的。应按本规范评估其在设定开发建设条件下的正常市场价格，并提出建议的出让底价。同时还应在土地估价报告中测算并对比说明该建议出让底价是否符合当地的协议出让最低价标准。</w:t>
      </w:r>
    </w:p>
    <w:p w14:paraId="7AE8255C">
      <w:pPr>
        <w:snapToGrid w:val="0"/>
        <w:spacing w:before="120" w:beforeLines="50" w:line="288" w:lineRule="auto"/>
        <w:ind w:firstLine="560" w:firstLineChars="200"/>
        <w:jc w:val="both"/>
        <w:rPr>
          <w:rFonts w:ascii="Arial" w:hAnsi="Arial" w:eastAsia="仿宋" w:cs="Arial"/>
          <w:b/>
          <w:bCs/>
          <w:color w:val="auto"/>
          <w:sz w:val="28"/>
        </w:rPr>
      </w:pPr>
      <w:r>
        <w:rPr>
          <w:rFonts w:ascii="Arial" w:hAnsi="Arial" w:eastAsia="仿宋" w:cs="Arial"/>
          <w:color w:val="auto"/>
          <w:sz w:val="28"/>
        </w:rPr>
        <w:t>根据《北京市国有建设用地使用权出让地价评估技术导则》 （</w:t>
      </w:r>
      <w:r>
        <w:rPr>
          <w:rFonts w:hint="eastAsia" w:ascii="Arial" w:hAnsi="Arial" w:eastAsia="仿宋" w:cs="Arial"/>
          <w:color w:val="auto"/>
          <w:sz w:val="28"/>
        </w:rPr>
        <w:t>2026年2月10日实施</w:t>
      </w:r>
      <w:r>
        <w:rPr>
          <w:rFonts w:ascii="Arial" w:hAnsi="Arial" w:eastAsia="仿宋" w:cs="Arial"/>
          <w:color w:val="auto"/>
          <w:sz w:val="28"/>
        </w:rPr>
        <w:t>），</w:t>
      </w:r>
      <w:r>
        <w:rPr>
          <w:rFonts w:hint="eastAsia" w:ascii="Arial" w:hAnsi="Arial" w:eastAsia="仿宋" w:cs="Arial"/>
          <w:color w:val="auto"/>
          <w:sz w:val="28"/>
        </w:rPr>
        <w:t>“本市出让最低价标准：地上、地下国有建设用地使用权出让地价水平不得低于该宗地所在级别基准地价经除因素修正以外的其他因素修正后的70%”</w:t>
      </w:r>
      <w:r>
        <w:rPr>
          <w:rFonts w:ascii="Arial" w:hAnsi="Arial" w:eastAsia="仿宋" w:cs="Arial"/>
          <w:color w:val="auto"/>
          <w:sz w:val="28"/>
        </w:rPr>
        <w:t>；同时《协议出让国有土地使用权规定》（中华人民共和国国土资源部21号令，2003年8月1日实施）规定，</w:t>
      </w:r>
      <w:r>
        <w:rPr>
          <w:rFonts w:hint="eastAsia" w:ascii="Arial" w:hAnsi="Arial" w:eastAsia="仿宋" w:cs="Arial"/>
          <w:color w:val="auto"/>
          <w:sz w:val="28"/>
        </w:rPr>
        <w:t>“</w:t>
      </w:r>
      <w:r>
        <w:rPr>
          <w:rFonts w:ascii="Arial" w:hAnsi="Arial" w:eastAsia="仿宋" w:cs="Arial"/>
          <w:color w:val="auto"/>
          <w:sz w:val="28"/>
        </w:rPr>
        <w:t>有基准地价的地区，协议出让最低价不得低于出让地块所在级别基准地价的70%。</w:t>
      </w:r>
      <w:r>
        <w:rPr>
          <w:rFonts w:hint="eastAsia" w:ascii="Arial" w:hAnsi="Arial" w:eastAsia="仿宋" w:cs="Arial"/>
          <w:color w:val="auto"/>
          <w:sz w:val="28"/>
        </w:rPr>
        <w:t>”</w:t>
      </w:r>
      <w:r>
        <w:rPr>
          <w:rFonts w:ascii="Arial" w:hAnsi="Arial" w:eastAsia="仿宋" w:cs="Arial"/>
          <w:color w:val="auto"/>
          <w:sz w:val="28"/>
        </w:rPr>
        <w:t>北京市已公布基准地价，未公布协议出让最低价标准， 因此，本次估价将熟地价与</w:t>
      </w:r>
      <w:r>
        <w:rPr>
          <w:rFonts w:hint="eastAsia" w:ascii="Arial" w:hAnsi="Arial" w:eastAsia="仿宋" w:cs="Arial"/>
          <w:color w:val="auto"/>
          <w:sz w:val="28"/>
        </w:rPr>
        <w:t>所在级别基准地价经除因素修正以外的其他因素修正后的70%</w:t>
      </w:r>
      <w:r>
        <w:rPr>
          <w:rFonts w:ascii="Arial" w:hAnsi="Arial" w:eastAsia="仿宋" w:cs="Arial"/>
          <w:color w:val="auto"/>
          <w:sz w:val="28"/>
        </w:rPr>
        <w:t>进行对比分析。</w:t>
      </w:r>
    </w:p>
    <w:p w14:paraId="4150431A">
      <w:pPr>
        <w:snapToGrid w:val="0"/>
        <w:spacing w:before="120" w:beforeLines="50" w:line="288" w:lineRule="auto"/>
        <w:ind w:firstLine="562" w:firstLineChars="200"/>
        <w:jc w:val="both"/>
        <w:rPr>
          <w:rFonts w:ascii="Arial" w:hAnsi="Arial" w:eastAsia="仿宋" w:cs="Arial"/>
          <w:b/>
          <w:bCs/>
          <w:color w:val="auto"/>
          <w:sz w:val="28"/>
        </w:rPr>
      </w:pPr>
      <w:r>
        <w:rPr>
          <w:rFonts w:hint="eastAsia" w:ascii="Arial" w:hAnsi="Arial" w:eastAsia="仿宋" w:cs="Arial"/>
          <w:b/>
          <w:bCs/>
          <w:color w:val="auto"/>
          <w:sz w:val="28"/>
        </w:rPr>
        <w:t>估价对象所在地区属于北京市基准地价住宅、商业、</w:t>
      </w:r>
      <w:r>
        <w:rPr>
          <w:rFonts w:hint="eastAsia" w:ascii="Arial" w:hAnsi="Arial" w:eastAsia="仿宋" w:cs="Arial"/>
          <w:b/>
          <w:bCs/>
          <w:color w:val="auto"/>
          <w:sz w:val="28"/>
          <w:lang w:eastAsia="zh-CN"/>
        </w:rPr>
        <w:t>公共服务类九级</w:t>
      </w:r>
      <w:r>
        <w:rPr>
          <w:rFonts w:hint="eastAsia" w:ascii="Arial" w:hAnsi="Arial" w:eastAsia="仿宋" w:cs="Arial"/>
          <w:b/>
          <w:bCs/>
          <w:color w:val="auto"/>
          <w:sz w:val="28"/>
        </w:rPr>
        <w:t>地价区，具体计算公式如下:</w:t>
      </w:r>
    </w:p>
    <w:p w14:paraId="4731DF29">
      <w:pPr>
        <w:snapToGrid w:val="0"/>
        <w:spacing w:before="120" w:beforeLines="50" w:line="288" w:lineRule="auto"/>
        <w:ind w:firstLine="560" w:firstLineChars="200"/>
        <w:rPr>
          <w:rFonts w:ascii="Arial" w:hAnsi="Arial" w:eastAsia="仿宋" w:cs="Arial"/>
          <w:color w:val="auto"/>
          <w:sz w:val="28"/>
        </w:rPr>
      </w:pPr>
      <w:r>
        <w:rPr>
          <w:rFonts w:hint="eastAsia" w:ascii="Arial" w:hAnsi="Arial" w:eastAsia="仿宋" w:cs="Arial"/>
          <w:color w:val="auto"/>
          <w:sz w:val="28"/>
        </w:rPr>
        <w:t>楼面地价（所在级别基准地价经除因素修正以外的其他因素修正后的70%）＝适用的基准地价×用途修正系数×期日修正系数×年期修正系数×容积率修正系数×70%</w:t>
      </w:r>
    </w:p>
    <w:p w14:paraId="5E6D4686">
      <w:pPr>
        <w:snapToGrid w:val="0"/>
        <w:spacing w:before="120" w:beforeLines="50" w:line="288" w:lineRule="auto"/>
        <w:ind w:firstLine="560" w:firstLineChars="200"/>
        <w:rPr>
          <w:rFonts w:ascii="Arial" w:hAnsi="Arial" w:eastAsia="仿宋" w:cs="Arial"/>
          <w:color w:val="auto"/>
          <w:sz w:val="28"/>
        </w:rPr>
      </w:pPr>
      <w:r>
        <w:rPr>
          <w:rFonts w:hint="eastAsia" w:ascii="Arial" w:hAnsi="Arial" w:eastAsia="仿宋" w:cs="Arial"/>
          <w:color w:val="auto"/>
          <w:sz w:val="28"/>
        </w:rPr>
        <w:t>各用途估价结果详见下表:</w:t>
      </w:r>
    </w:p>
    <w:tbl>
      <w:tblPr>
        <w:tblStyle w:val="34"/>
        <w:tblW w:w="0" w:type="auto"/>
        <w:tblInd w:w="96" w:type="dxa"/>
        <w:tblLayout w:type="autofit"/>
        <w:tblCellMar>
          <w:top w:w="0" w:type="dxa"/>
          <w:left w:w="108" w:type="dxa"/>
          <w:bottom w:w="0" w:type="dxa"/>
          <w:right w:w="108" w:type="dxa"/>
        </w:tblCellMar>
      </w:tblPr>
      <w:tblGrid>
        <w:gridCol w:w="696"/>
        <w:gridCol w:w="2220"/>
        <w:gridCol w:w="2050"/>
        <w:gridCol w:w="1964"/>
        <w:gridCol w:w="2106"/>
      </w:tblGrid>
      <w:tr w14:paraId="632293C0">
        <w:tblPrEx>
          <w:tblCellMar>
            <w:top w:w="0" w:type="dxa"/>
            <w:left w:w="108" w:type="dxa"/>
            <w:bottom w:w="0" w:type="dxa"/>
            <w:right w:w="108" w:type="dxa"/>
          </w:tblCellMar>
        </w:tblPrEx>
        <w:trPr>
          <w:trHeight w:val="864"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A9CE7A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序号</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160B0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项目名称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B301F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住宅</w:t>
            </w:r>
          </w:p>
          <w:p w14:paraId="6FD66FE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13E9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商业</w:t>
            </w:r>
          </w:p>
          <w:p w14:paraId="5BE6F8C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C4AB6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公共服务</w:t>
            </w:r>
          </w:p>
          <w:p w14:paraId="727AB5E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（元/平方米）</w:t>
            </w:r>
          </w:p>
        </w:tc>
      </w:tr>
      <w:tr w14:paraId="5553BE87">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38B78F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5A17D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级别基准地价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86931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6160</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E0CB6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5320</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4CCF0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3170</w:t>
            </w:r>
          </w:p>
        </w:tc>
      </w:tr>
      <w:tr w14:paraId="079AFF26">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04FD31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C37C0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开发程度修正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C82EA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46.67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1B6EB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7674E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46.67</w:t>
            </w:r>
          </w:p>
        </w:tc>
      </w:tr>
      <w:tr w14:paraId="65DD21AE">
        <w:tblPrEx>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987DB7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626B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自持限制修正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4A13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4F646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08EE2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42D39948">
        <w:tblPrEx>
          <w:tblCellMar>
            <w:top w:w="0" w:type="dxa"/>
            <w:left w:w="108" w:type="dxa"/>
            <w:bottom w:w="0" w:type="dxa"/>
            <w:right w:w="108" w:type="dxa"/>
          </w:tblCellMar>
        </w:tblPrEx>
        <w:trPr>
          <w:trHeight w:val="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87EA33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56879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特殊情况修正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2B851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1.05</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C4C3F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AEDEC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2335B285">
        <w:tblPrEx>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639D944">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AA61F">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用途修正系数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2119B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7671C9">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6B14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0189529B">
        <w:tblPrEx>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C40473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66075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期日修正系数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E89F7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1.0049</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6B4C4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0.9723</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51ADB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0.9388</w:t>
            </w:r>
          </w:p>
        </w:tc>
      </w:tr>
      <w:tr w14:paraId="60EF1560">
        <w:tblPrEx>
          <w:tblCellMar>
            <w:top w:w="0" w:type="dxa"/>
            <w:left w:w="108" w:type="dxa"/>
            <w:bottom w:w="0" w:type="dxa"/>
            <w:right w:w="108" w:type="dxa"/>
          </w:tblCellMar>
        </w:tblPrEx>
        <w:trPr>
          <w:trHeight w:val="38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E54C22C">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AFD43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年期修正系数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0F9FF1">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C2857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3F772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w:t>
            </w:r>
          </w:p>
        </w:tc>
      </w:tr>
      <w:tr w14:paraId="63D10908">
        <w:tblPrEx>
          <w:tblCellMar>
            <w:top w:w="0" w:type="dxa"/>
            <w:left w:w="108" w:type="dxa"/>
            <w:bottom w:w="0" w:type="dxa"/>
            <w:right w:w="108" w:type="dxa"/>
          </w:tblCellMar>
        </w:tblPrEx>
        <w:trPr>
          <w:trHeight w:val="374"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35C72BA">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BE575">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容积率修正系数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CA8B58">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1.0597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5D080D">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1.1528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1468A3">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1.0678</w:t>
            </w:r>
          </w:p>
        </w:tc>
      </w:tr>
      <w:tr w14:paraId="2BCDA309">
        <w:tblPrEx>
          <w:tblCellMar>
            <w:top w:w="0" w:type="dxa"/>
            <w:left w:w="108" w:type="dxa"/>
            <w:bottom w:w="0" w:type="dxa"/>
            <w:right w:w="108" w:type="dxa"/>
          </w:tblCellMar>
        </w:tblPrEx>
        <w:trPr>
          <w:trHeight w:val="41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503B9A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3A8DA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基准地价修正结果</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4CC48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6937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1AED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4802</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480D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3225</w:t>
            </w:r>
          </w:p>
        </w:tc>
      </w:tr>
      <w:tr w14:paraId="455C32FD">
        <w:tblPrEx>
          <w:tblCellMar>
            <w:top w:w="0" w:type="dxa"/>
            <w:left w:w="108" w:type="dxa"/>
            <w:bottom w:w="0" w:type="dxa"/>
            <w:right w:w="108" w:type="dxa"/>
          </w:tblCellMar>
        </w:tblPrEx>
        <w:trPr>
          <w:trHeight w:val="8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5BD7A3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7</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15378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级别基准地价修正结果的70%</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61D9C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4856</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192FF0">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3361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5605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2258</w:t>
            </w:r>
          </w:p>
        </w:tc>
      </w:tr>
      <w:tr w14:paraId="0E1BA756">
        <w:tblPrEx>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2F33F3E">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8</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1AFDB6">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熟地价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45F897">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10942</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FB528B">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5295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B5E412">
            <w:pPr>
              <w:widowControl/>
              <w:adjustRightInd/>
              <w:spacing w:line="300" w:lineRule="auto"/>
              <w:jc w:val="center"/>
              <w:textAlignment w:val="auto"/>
              <w:rPr>
                <w:rFonts w:ascii="Arial" w:hAnsi="Arial" w:eastAsia="仿宋_GB2312" w:cs="Arial"/>
                <w:color w:val="auto"/>
                <w:szCs w:val="24"/>
              </w:rPr>
            </w:pPr>
            <w:r>
              <w:rPr>
                <w:rFonts w:hint="eastAsia" w:ascii="Arial" w:hAnsi="Arial" w:eastAsia="仿宋_GB2312" w:cs="Arial"/>
                <w:color w:val="auto"/>
                <w:szCs w:val="24"/>
              </w:rPr>
              <w:t>3249</w:t>
            </w:r>
          </w:p>
        </w:tc>
      </w:tr>
    </w:tbl>
    <w:p w14:paraId="6E1144D3">
      <w:pPr>
        <w:snapToGrid w:val="0"/>
        <w:spacing w:before="120" w:beforeLines="50" w:line="288" w:lineRule="auto"/>
        <w:ind w:firstLine="560" w:firstLineChars="200"/>
        <w:jc w:val="both"/>
        <w:rPr>
          <w:rFonts w:ascii="Arial" w:hAnsi="Arial" w:eastAsia="仿宋" w:cs="Arial"/>
          <w:color w:val="auto"/>
          <w:sz w:val="28"/>
        </w:rPr>
      </w:pPr>
      <w:r>
        <w:rPr>
          <w:rFonts w:hint="eastAsia" w:ascii="Arial" w:hAnsi="Arial" w:eastAsia="仿宋" w:cs="Arial"/>
          <w:color w:val="auto"/>
          <w:sz w:val="28"/>
        </w:rPr>
        <w:t>经测算，本次估价求取估价对象各用途熟地价均高于协议出让最低价标准（所在级别基准地价经除因素修正以外的其他因素修正后的70%），因此建议该宗地以评估熟地价作为入市底价，即74568.1325万元，建议出让楼面地价为10942元/平方米（折合经营性建筑面积）。</w:t>
      </w:r>
    </w:p>
    <w:p w14:paraId="7B5E9651">
      <w:pPr>
        <w:snapToGrid w:val="0"/>
        <w:spacing w:before="120" w:beforeLines="50" w:line="288" w:lineRule="auto"/>
        <w:ind w:firstLine="562" w:firstLineChars="200"/>
        <w:rPr>
          <w:rFonts w:ascii="Arial" w:hAnsi="Arial" w:eastAsia="仿宋" w:cs="Arial"/>
          <w:b/>
          <w:bCs/>
          <w:color w:val="auto"/>
          <w:sz w:val="28"/>
        </w:rPr>
      </w:pPr>
      <w:r>
        <w:rPr>
          <w:rFonts w:hint="eastAsia" w:ascii="Arial" w:hAnsi="Arial" w:eastAsia="仿宋" w:cs="Arial"/>
          <w:b/>
          <w:bCs/>
          <w:color w:val="auto"/>
          <w:sz w:val="28"/>
        </w:rPr>
        <w:t>建议出让底价：74568.1325万元</w:t>
      </w:r>
    </w:p>
    <w:p w14:paraId="17C1514D">
      <w:pPr>
        <w:snapToGrid w:val="0"/>
        <w:spacing w:before="120" w:beforeLines="50" w:line="288" w:lineRule="auto"/>
        <w:ind w:firstLine="562" w:firstLineChars="200"/>
        <w:rPr>
          <w:rFonts w:ascii="Arial" w:hAnsi="Arial" w:eastAsia="仿宋" w:cs="Arial"/>
          <w:b/>
          <w:bCs/>
          <w:color w:val="auto"/>
          <w:sz w:val="28"/>
        </w:rPr>
      </w:pPr>
      <w:r>
        <w:rPr>
          <w:rFonts w:hint="eastAsia" w:ascii="Arial" w:hAnsi="Arial" w:eastAsia="仿宋" w:cs="Arial"/>
          <w:b/>
          <w:bCs/>
          <w:color w:val="auto"/>
          <w:sz w:val="28"/>
        </w:rPr>
        <w:t>大写金额：柒亿肆仟伍佰陆拾捌万壹仟叁佰贰拾伍元整</w:t>
      </w:r>
    </w:p>
    <w:p w14:paraId="20EFAC51">
      <w:pPr>
        <w:snapToGrid w:val="0"/>
        <w:spacing w:before="120" w:beforeLines="50" w:line="288" w:lineRule="auto"/>
        <w:ind w:firstLine="562" w:firstLineChars="200"/>
        <w:rPr>
          <w:rFonts w:ascii="Arial" w:hAnsi="Arial" w:eastAsia="仿宋_GB2312" w:cs="Arial"/>
          <w:b/>
          <w:color w:val="auto"/>
          <w:kern w:val="2"/>
          <w:sz w:val="28"/>
        </w:rPr>
      </w:pPr>
      <w:r>
        <w:rPr>
          <w:rFonts w:hint="eastAsia" w:ascii="Arial" w:hAnsi="Arial" w:eastAsia="仿宋" w:cs="Arial"/>
          <w:b/>
          <w:bCs/>
          <w:color w:val="auto"/>
          <w:sz w:val="28"/>
        </w:rPr>
        <w:t>折合经营性建筑面积楼面地价：10942元/平方米。</w:t>
      </w:r>
    </w:p>
    <w:p w14:paraId="7C3BB893">
      <w:pPr>
        <w:snapToGrid w:val="0"/>
        <w:spacing w:before="120" w:beforeLines="50" w:line="300" w:lineRule="auto"/>
        <w:ind w:firstLine="560" w:firstLineChars="200"/>
        <w:rPr>
          <w:rFonts w:ascii="Arial" w:hAnsi="Arial" w:eastAsia="仿宋_GB2312" w:cs="Arial"/>
          <w:color w:val="auto"/>
          <w:kern w:val="2"/>
          <w:sz w:val="28"/>
        </w:rPr>
      </w:pPr>
    </w:p>
    <w:p w14:paraId="4CA40871">
      <w:pPr>
        <w:snapToGrid w:val="0"/>
        <w:spacing w:before="120" w:beforeLines="50" w:line="300" w:lineRule="auto"/>
        <w:ind w:firstLine="560" w:firstLineChars="200"/>
        <w:rPr>
          <w:rFonts w:ascii="Arial" w:hAnsi="Arial" w:eastAsia="仿宋_GB2312" w:cs="Arial"/>
          <w:color w:val="auto"/>
          <w:kern w:val="2"/>
          <w:sz w:val="28"/>
        </w:rPr>
      </w:pPr>
      <w:r>
        <w:rPr>
          <w:rFonts w:ascii="Arial" w:hAnsi="Arial" w:eastAsia="仿宋_GB2312" w:cs="Arial"/>
          <w:color w:val="auto"/>
          <w:kern w:val="2"/>
          <w:sz w:val="28"/>
        </w:rPr>
        <w:br w:type="page"/>
      </w:r>
    </w:p>
    <w:p w14:paraId="5CD54050">
      <w:pPr>
        <w:spacing w:line="300" w:lineRule="auto"/>
        <w:jc w:val="center"/>
        <w:outlineLvl w:val="0"/>
        <w:rPr>
          <w:rFonts w:ascii="Arial" w:hAnsi="Arial" w:cs="Arial"/>
          <w:b/>
          <w:color w:val="auto"/>
          <w:sz w:val="32"/>
        </w:rPr>
      </w:pPr>
      <w:bookmarkStart w:id="420" w:name="_Toc138063043"/>
      <w:r>
        <w:rPr>
          <w:rFonts w:ascii="Arial" w:hAnsi="Arial" w:cs="Arial"/>
          <w:b/>
          <w:color w:val="auto"/>
          <w:sz w:val="32"/>
        </w:rPr>
        <w:t>第四部分</w:t>
      </w:r>
      <w:r>
        <w:rPr>
          <w:rFonts w:ascii="Arial" w:hAnsi="Arial" w:eastAsia="仿宋_GB2312" w:cs="Arial"/>
          <w:b/>
          <w:color w:val="auto"/>
          <w:sz w:val="32"/>
        </w:rPr>
        <w:t xml:space="preserve">  </w:t>
      </w:r>
      <w:r>
        <w:rPr>
          <w:rFonts w:ascii="Arial" w:hAnsi="Arial" w:cs="Arial"/>
          <w:b/>
          <w:color w:val="auto"/>
          <w:sz w:val="32"/>
        </w:rPr>
        <w:t>附</w:t>
      </w:r>
      <w:r>
        <w:rPr>
          <w:rFonts w:ascii="Arial" w:hAnsi="Arial" w:eastAsia="仿宋_GB2312" w:cs="Arial"/>
          <w:b/>
          <w:color w:val="auto"/>
          <w:sz w:val="32"/>
        </w:rPr>
        <w:t xml:space="preserve">  </w:t>
      </w:r>
      <w:r>
        <w:rPr>
          <w:rFonts w:ascii="Arial" w:hAnsi="Arial" w:cs="Arial"/>
          <w:b/>
          <w:color w:val="auto"/>
          <w:sz w:val="32"/>
        </w:rPr>
        <w:t>件</w:t>
      </w:r>
      <w:bookmarkEnd w:id="418"/>
      <w:bookmarkEnd w:id="419"/>
      <w:bookmarkEnd w:id="420"/>
    </w:p>
    <w:p w14:paraId="782CA3CA">
      <w:pPr>
        <w:numPr>
          <w:ilvl w:val="0"/>
          <w:numId w:val="13"/>
        </w:numPr>
        <w:spacing w:line="300" w:lineRule="auto"/>
        <w:jc w:val="both"/>
        <w:rPr>
          <w:rFonts w:ascii="Arial" w:hAnsi="Arial" w:eastAsia="仿宋_GB2312" w:cs="Arial"/>
          <w:color w:val="auto"/>
          <w:sz w:val="28"/>
        </w:rPr>
      </w:pPr>
      <w:r>
        <w:rPr>
          <w:rFonts w:ascii="Arial" w:hAnsi="Arial" w:eastAsia="仿宋_GB2312" w:cs="Arial"/>
          <w:color w:val="auto"/>
          <w:sz w:val="28"/>
        </w:rPr>
        <w:t xml:space="preserve"> 《国有建设用地使用权出让地价评估委托书》复印件</w:t>
      </w:r>
    </w:p>
    <w:p w14:paraId="7D438AD9">
      <w:pPr>
        <w:numPr>
          <w:ilvl w:val="0"/>
          <w:numId w:val="13"/>
        </w:numPr>
        <w:spacing w:line="300" w:lineRule="auto"/>
        <w:jc w:val="both"/>
        <w:rPr>
          <w:rFonts w:ascii="Arial" w:hAnsi="Arial" w:eastAsia="仿宋_GB2312" w:cs="Arial"/>
          <w:color w:val="auto"/>
          <w:sz w:val="28"/>
        </w:rPr>
      </w:pPr>
      <w:r>
        <w:rPr>
          <w:rFonts w:ascii="Arial" w:hAnsi="Arial" w:eastAsia="仿宋_GB2312" w:cs="Arial"/>
          <w:color w:val="auto"/>
          <w:sz w:val="28"/>
        </w:rPr>
        <w:t xml:space="preserve"> 估价对象所在位置示意图</w:t>
      </w:r>
    </w:p>
    <w:p w14:paraId="18273DD3">
      <w:pPr>
        <w:numPr>
          <w:ilvl w:val="0"/>
          <w:numId w:val="13"/>
        </w:numPr>
        <w:spacing w:line="300" w:lineRule="auto"/>
        <w:jc w:val="both"/>
        <w:rPr>
          <w:rFonts w:ascii="Arial" w:hAnsi="Arial" w:eastAsia="仿宋_GB2312" w:cs="Arial"/>
          <w:color w:val="auto"/>
          <w:sz w:val="28"/>
        </w:rPr>
      </w:pPr>
      <w:r>
        <w:rPr>
          <w:rFonts w:ascii="Arial" w:hAnsi="Arial" w:eastAsia="仿宋_GB2312" w:cs="Arial"/>
          <w:color w:val="auto"/>
          <w:sz w:val="28"/>
        </w:rPr>
        <w:t xml:space="preserve"> 估价对象实地勘察情况和相关照片</w:t>
      </w:r>
    </w:p>
    <w:p w14:paraId="07B95BBD">
      <w:pPr>
        <w:numPr>
          <w:ilvl w:val="0"/>
          <w:numId w:val="13"/>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《北京市</w:t>
      </w:r>
      <w:r>
        <w:rPr>
          <w:rFonts w:ascii="Arial" w:hAnsi="Arial" w:eastAsia="仿宋_GB2312" w:cs="Arial"/>
          <w:color w:val="auto"/>
          <w:sz w:val="28"/>
        </w:rPr>
        <w:t>规划和</w:t>
      </w:r>
      <w:r>
        <w:rPr>
          <w:rFonts w:hint="eastAsia" w:ascii="Arial" w:hAnsi="Arial" w:eastAsia="仿宋_GB2312" w:cs="Arial"/>
          <w:color w:val="auto"/>
          <w:sz w:val="28"/>
        </w:rPr>
        <w:t>国土</w:t>
      </w:r>
      <w:r>
        <w:rPr>
          <w:rFonts w:ascii="Arial" w:hAnsi="Arial" w:eastAsia="仿宋_GB2312" w:cs="Arial"/>
          <w:color w:val="auto"/>
          <w:sz w:val="28"/>
        </w:rPr>
        <w:t>资源管理委员会建设项目规划条件（</w:t>
      </w:r>
      <w:r>
        <w:rPr>
          <w:rFonts w:hint="eastAsia" w:ascii="Arial" w:hAnsi="Arial" w:eastAsia="仿宋_GB2312" w:cs="Arial"/>
          <w:color w:val="auto"/>
          <w:sz w:val="28"/>
        </w:rPr>
        <w:t>土地</w:t>
      </w:r>
      <w:r>
        <w:rPr>
          <w:rFonts w:ascii="Arial" w:hAnsi="Arial" w:eastAsia="仿宋_GB2312" w:cs="Arial"/>
          <w:color w:val="auto"/>
          <w:sz w:val="28"/>
        </w:rPr>
        <w:t>储备</w:t>
      </w:r>
      <w:r>
        <w:rPr>
          <w:rFonts w:hint="eastAsia" w:ascii="Arial" w:hAnsi="Arial" w:eastAsia="仿宋_GB2312" w:cs="Arial"/>
          <w:color w:val="auto"/>
          <w:sz w:val="28"/>
        </w:rPr>
        <w:t>前期</w:t>
      </w:r>
      <w:r>
        <w:rPr>
          <w:rFonts w:ascii="Arial" w:hAnsi="Arial" w:eastAsia="仿宋_GB2312" w:cs="Arial"/>
          <w:color w:val="auto"/>
          <w:sz w:val="28"/>
        </w:rPr>
        <w:t>整理）</w:t>
      </w:r>
      <w:r>
        <w:rPr>
          <w:rFonts w:hint="eastAsia" w:ascii="Arial" w:hAnsi="Arial" w:eastAsia="仿宋_GB2312" w:cs="Arial"/>
          <w:color w:val="auto"/>
          <w:sz w:val="28"/>
        </w:rPr>
        <w:t>》（2017规</w:t>
      </w:r>
      <w:r>
        <w:rPr>
          <w:rFonts w:ascii="Arial" w:hAnsi="Arial" w:eastAsia="仿宋_GB2312" w:cs="Arial"/>
          <w:color w:val="auto"/>
          <w:sz w:val="28"/>
        </w:rPr>
        <w:t>（</w:t>
      </w:r>
      <w:r>
        <w:rPr>
          <w:rFonts w:hint="eastAsia" w:ascii="Arial" w:hAnsi="Arial" w:eastAsia="仿宋_GB2312" w:cs="Arial"/>
          <w:color w:val="auto"/>
          <w:sz w:val="28"/>
        </w:rPr>
        <w:t>顺</w:t>
      </w:r>
      <w:r>
        <w:rPr>
          <w:rFonts w:ascii="Arial" w:hAnsi="Arial" w:eastAsia="仿宋_GB2312" w:cs="Arial"/>
          <w:color w:val="auto"/>
          <w:sz w:val="28"/>
        </w:rPr>
        <w:t>）</w:t>
      </w:r>
      <w:r>
        <w:rPr>
          <w:rFonts w:hint="eastAsia" w:ascii="Arial" w:hAnsi="Arial" w:eastAsia="仿宋_GB2312" w:cs="Arial"/>
          <w:color w:val="auto"/>
          <w:sz w:val="28"/>
        </w:rPr>
        <w:t>条</w:t>
      </w:r>
      <w:r>
        <w:rPr>
          <w:rFonts w:ascii="Arial" w:hAnsi="Arial" w:eastAsia="仿宋_GB2312" w:cs="Arial"/>
          <w:color w:val="auto"/>
          <w:sz w:val="28"/>
        </w:rPr>
        <w:t>整字</w:t>
      </w:r>
      <w:r>
        <w:rPr>
          <w:rFonts w:hint="eastAsia" w:ascii="Arial" w:hAnsi="Arial" w:eastAsia="仿宋_GB2312" w:cs="Arial"/>
          <w:color w:val="auto"/>
          <w:sz w:val="28"/>
        </w:rPr>
        <w:t>0006号）复印件</w:t>
      </w:r>
    </w:p>
    <w:p w14:paraId="381EE92B">
      <w:pPr>
        <w:numPr>
          <w:ilvl w:val="0"/>
          <w:numId w:val="13"/>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《北京市</w:t>
      </w:r>
      <w:r>
        <w:rPr>
          <w:rFonts w:ascii="Arial" w:hAnsi="Arial" w:eastAsia="仿宋_GB2312" w:cs="Arial"/>
          <w:color w:val="auto"/>
          <w:sz w:val="28"/>
        </w:rPr>
        <w:t>规划和自然资源会员会顺义分局关于顺义区高丽营镇夏县营村棚户区改造土地</w:t>
      </w:r>
      <w:r>
        <w:rPr>
          <w:rFonts w:hint="eastAsia" w:ascii="Arial" w:hAnsi="Arial" w:eastAsia="仿宋_GB2312" w:cs="Arial"/>
          <w:color w:val="auto"/>
          <w:sz w:val="28"/>
        </w:rPr>
        <w:t>开发</w:t>
      </w:r>
      <w:r>
        <w:rPr>
          <w:rFonts w:ascii="Arial" w:hAnsi="Arial" w:eastAsia="仿宋_GB2312" w:cs="Arial"/>
          <w:color w:val="auto"/>
          <w:sz w:val="28"/>
        </w:rPr>
        <w:t>项目调整建设项目规划条件的复函</w:t>
      </w:r>
      <w:r>
        <w:rPr>
          <w:rFonts w:hint="eastAsia" w:ascii="Arial" w:hAnsi="Arial" w:eastAsia="仿宋_GB2312" w:cs="Arial"/>
          <w:color w:val="auto"/>
          <w:sz w:val="28"/>
        </w:rPr>
        <w:t>》（京</w:t>
      </w:r>
      <w:r>
        <w:rPr>
          <w:rFonts w:ascii="Arial" w:hAnsi="Arial" w:eastAsia="仿宋_GB2312" w:cs="Arial"/>
          <w:color w:val="auto"/>
          <w:sz w:val="28"/>
        </w:rPr>
        <w:t>规自顺</w:t>
      </w:r>
      <w:r>
        <w:rPr>
          <w:rFonts w:hint="eastAsia" w:ascii="Arial" w:hAnsi="Arial" w:eastAsia="仿宋_GB2312" w:cs="Arial"/>
          <w:color w:val="auto"/>
          <w:sz w:val="28"/>
        </w:rPr>
        <w:t>函</w:t>
      </w:r>
      <w:r>
        <w:rPr>
          <w:rFonts w:ascii="Arial" w:hAnsi="Arial" w:eastAsia="仿宋_GB2312" w:cs="Arial"/>
          <w:color w:val="auto"/>
          <w:sz w:val="28"/>
        </w:rPr>
        <w:t>【</w:t>
      </w:r>
      <w:r>
        <w:rPr>
          <w:rFonts w:hint="eastAsia" w:ascii="Arial" w:hAnsi="Arial" w:eastAsia="仿宋_GB2312" w:cs="Arial"/>
          <w:color w:val="auto"/>
          <w:sz w:val="28"/>
        </w:rPr>
        <w:t>2019</w:t>
      </w:r>
      <w:r>
        <w:rPr>
          <w:rFonts w:ascii="Arial" w:hAnsi="Arial" w:eastAsia="仿宋_GB2312" w:cs="Arial"/>
          <w:color w:val="auto"/>
          <w:sz w:val="28"/>
        </w:rPr>
        <w:t>】</w:t>
      </w:r>
      <w:r>
        <w:rPr>
          <w:rFonts w:hint="eastAsia" w:ascii="Arial" w:hAnsi="Arial" w:eastAsia="仿宋_GB2312" w:cs="Arial"/>
          <w:color w:val="auto"/>
          <w:sz w:val="28"/>
        </w:rPr>
        <w:t>153号）复印件</w:t>
      </w:r>
    </w:p>
    <w:p w14:paraId="79C4B1FD">
      <w:pPr>
        <w:numPr>
          <w:ilvl w:val="0"/>
          <w:numId w:val="13"/>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《北京市人民政府关于顺义区二</w:t>
      </w:r>
      <w:r>
        <w:rPr>
          <w:rFonts w:hint="eastAsia" w:ascii="微软雅黑" w:hAnsi="微软雅黑" w:eastAsia="微软雅黑" w:cs="微软雅黑"/>
          <w:color w:val="auto"/>
          <w:sz w:val="28"/>
        </w:rPr>
        <w:t>〇</w:t>
      </w:r>
      <w:r>
        <w:rPr>
          <w:rFonts w:hint="eastAsia" w:ascii="Arial" w:hAnsi="Arial" w:eastAsia="仿宋_GB2312" w:cs="Arial"/>
          <w:color w:val="auto"/>
          <w:sz w:val="28"/>
        </w:rPr>
        <w:t>二</w:t>
      </w:r>
      <w:r>
        <w:rPr>
          <w:rFonts w:hint="eastAsia" w:ascii="微软雅黑" w:hAnsi="微软雅黑" w:eastAsia="微软雅黑" w:cs="微软雅黑"/>
          <w:color w:val="auto"/>
          <w:sz w:val="28"/>
        </w:rPr>
        <w:t>〇</w:t>
      </w:r>
      <w:r>
        <w:rPr>
          <w:rFonts w:hint="eastAsia" w:ascii="Arial" w:hAnsi="Arial" w:eastAsia="仿宋_GB2312" w:cs="Arial"/>
          <w:color w:val="auto"/>
          <w:sz w:val="28"/>
        </w:rPr>
        <w:t>年度批次建设用地的批复》（</w:t>
      </w:r>
      <w:r>
        <w:rPr>
          <w:rFonts w:hint="eastAsia" w:ascii="仿宋_GB2312" w:hAnsi="仿宋_GB2312" w:eastAsia="仿宋_GB2312" w:cs="仿宋_GB2312"/>
          <w:color w:val="auto"/>
          <w:spacing w:val="-6"/>
          <w:sz w:val="28"/>
        </w:rPr>
        <w:t>京政地字【</w:t>
      </w:r>
      <w:r>
        <w:rPr>
          <w:rFonts w:hint="eastAsia" w:ascii="Arial" w:hAnsi="Arial" w:eastAsia="仿宋_GB2312" w:cs="Arial"/>
          <w:color w:val="auto"/>
          <w:sz w:val="28"/>
        </w:rPr>
        <w:t>2020】121</w:t>
      </w:r>
      <w:r>
        <w:rPr>
          <w:rFonts w:hint="eastAsia" w:ascii="仿宋_GB2312" w:hAnsi="仿宋_GB2312" w:eastAsia="仿宋_GB2312" w:cs="仿宋_GB2312"/>
          <w:color w:val="auto"/>
          <w:spacing w:val="-6"/>
          <w:sz w:val="28"/>
        </w:rPr>
        <w:t>号）</w:t>
      </w:r>
      <w:r>
        <w:rPr>
          <w:rFonts w:hint="eastAsia" w:ascii="Arial" w:hAnsi="Arial" w:eastAsia="仿宋_GB2312" w:cs="Arial"/>
          <w:color w:val="auto"/>
          <w:spacing w:val="-6"/>
          <w:sz w:val="28"/>
        </w:rPr>
        <w:t>复印件</w:t>
      </w:r>
    </w:p>
    <w:p w14:paraId="0C6A174D">
      <w:pPr>
        <w:numPr>
          <w:ilvl w:val="0"/>
          <w:numId w:val="13"/>
        </w:numPr>
        <w:spacing w:line="300" w:lineRule="auto"/>
        <w:jc w:val="both"/>
        <w:rPr>
          <w:rFonts w:ascii="Arial" w:hAnsi="Arial" w:eastAsia="仿宋_GB2312" w:cs="Arial"/>
          <w:color w:val="auto"/>
          <w:sz w:val="28"/>
        </w:rPr>
      </w:pPr>
      <w:r>
        <w:rPr>
          <w:rFonts w:ascii="Arial" w:hAnsi="Arial" w:eastAsia="仿宋_GB2312" w:cs="Arial"/>
          <w:color w:val="auto"/>
          <w:sz w:val="28"/>
        </w:rPr>
        <w:t>《北京市顺义区人民政府关于顺义区高丽营镇夏县营村棚户区改造土地开发项目01</w:t>
      </w:r>
      <w:r>
        <w:rPr>
          <w:rFonts w:hint="eastAsia" w:ascii="Arial" w:hAnsi="Arial" w:eastAsia="仿宋_GB2312" w:cs="Arial"/>
          <w:color w:val="auto"/>
          <w:sz w:val="28"/>
        </w:rPr>
        <w:t>－</w:t>
      </w:r>
      <w:r>
        <w:rPr>
          <w:rFonts w:ascii="Arial" w:hAnsi="Arial" w:eastAsia="仿宋_GB2312" w:cs="Arial"/>
          <w:color w:val="auto"/>
          <w:sz w:val="28"/>
        </w:rPr>
        <w:t>008、01</w:t>
      </w:r>
      <w:r>
        <w:rPr>
          <w:rFonts w:hint="eastAsia" w:ascii="Arial" w:hAnsi="Arial" w:eastAsia="仿宋_GB2312" w:cs="Arial"/>
          <w:color w:val="auto"/>
          <w:sz w:val="28"/>
        </w:rPr>
        <w:t>－</w:t>
      </w:r>
      <w:r>
        <w:rPr>
          <w:rFonts w:ascii="Arial" w:hAnsi="Arial" w:eastAsia="仿宋_GB2312" w:cs="Arial"/>
          <w:color w:val="auto"/>
          <w:sz w:val="28"/>
        </w:rPr>
        <w:t>016、01</w:t>
      </w:r>
      <w:r>
        <w:rPr>
          <w:rFonts w:hint="eastAsia" w:ascii="Arial" w:hAnsi="Arial" w:eastAsia="仿宋_GB2312" w:cs="Arial"/>
          <w:color w:val="auto"/>
          <w:sz w:val="28"/>
        </w:rPr>
        <w:t>－</w:t>
      </w:r>
      <w:r>
        <w:rPr>
          <w:rFonts w:ascii="Arial" w:hAnsi="Arial" w:eastAsia="仿宋_GB2312" w:cs="Arial"/>
          <w:color w:val="auto"/>
          <w:sz w:val="28"/>
        </w:rPr>
        <w:t>026</w:t>
      </w:r>
      <w:r>
        <w:rPr>
          <w:rFonts w:hint="eastAsia" w:ascii="Arial" w:hAnsi="Arial" w:eastAsia="仿宋_GB2312" w:cs="Arial"/>
          <w:color w:val="auto"/>
          <w:sz w:val="28"/>
        </w:rPr>
        <w:t>－</w:t>
      </w:r>
      <w:r>
        <w:rPr>
          <w:rFonts w:ascii="Arial" w:hAnsi="Arial" w:eastAsia="仿宋_GB2312" w:cs="Arial"/>
          <w:color w:val="auto"/>
          <w:sz w:val="28"/>
        </w:rPr>
        <w:t>1、01</w:t>
      </w:r>
      <w:r>
        <w:rPr>
          <w:rFonts w:hint="eastAsia" w:ascii="Arial" w:hAnsi="Arial" w:eastAsia="仿宋_GB2312" w:cs="Arial"/>
          <w:color w:val="auto"/>
          <w:sz w:val="28"/>
        </w:rPr>
        <w:t>－</w:t>
      </w:r>
      <w:r>
        <w:rPr>
          <w:rFonts w:ascii="Arial" w:hAnsi="Arial" w:eastAsia="仿宋_GB2312" w:cs="Arial"/>
          <w:color w:val="auto"/>
          <w:sz w:val="28"/>
        </w:rPr>
        <w:t>020地块提请地价审核有关事宜的函》（顺政函【2023】151号）复印件</w:t>
      </w:r>
    </w:p>
    <w:p w14:paraId="0478290F">
      <w:pPr>
        <w:numPr>
          <w:ilvl w:val="0"/>
          <w:numId w:val="13"/>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及规划意见附图</w:t>
      </w:r>
      <w:r>
        <w:rPr>
          <w:rFonts w:ascii="Arial" w:hAnsi="Arial" w:eastAsia="仿宋_GB2312" w:cs="Arial"/>
          <w:color w:val="auto"/>
          <w:sz w:val="28"/>
        </w:rPr>
        <w:t>复印件</w:t>
      </w:r>
    </w:p>
    <w:p w14:paraId="4785F0C7">
      <w:pPr>
        <w:numPr>
          <w:ilvl w:val="0"/>
          <w:numId w:val="13"/>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《建设工程规划用地测量成果报告书》（2021规自（顺）测字0008号）</w:t>
      </w:r>
      <w:r>
        <w:rPr>
          <w:rFonts w:ascii="Arial" w:hAnsi="Arial" w:eastAsia="仿宋_GB2312" w:cs="Arial"/>
          <w:color w:val="auto"/>
          <w:sz w:val="28"/>
        </w:rPr>
        <w:t>复印件</w:t>
      </w:r>
    </w:p>
    <w:p w14:paraId="4129CEAF">
      <w:pPr>
        <w:numPr>
          <w:ilvl w:val="0"/>
          <w:numId w:val="13"/>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《关于顺义区高丽营镇夏县营村棚户区改造土地开发项目0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008</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016</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026</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020</w:t>
      </w:r>
      <w:r>
        <w:rPr>
          <w:rFonts w:hint="eastAsia" w:ascii="Arial" w:hAnsi="Arial" w:eastAsia="仿宋_GB2312" w:cs="Arial"/>
          <w:color w:val="auto"/>
          <w:sz w:val="28"/>
        </w:rPr>
        <w:t>地块实物补偿内容的说明》复印件</w:t>
      </w:r>
    </w:p>
    <w:p w14:paraId="67908221">
      <w:pPr>
        <w:numPr>
          <w:ilvl w:val="0"/>
          <w:numId w:val="13"/>
        </w:numPr>
        <w:spacing w:line="300" w:lineRule="auto"/>
        <w:jc w:val="both"/>
        <w:rPr>
          <w:rFonts w:ascii="Arial" w:hAnsi="Arial" w:eastAsia="仿宋_GB2312" w:cs="Arial"/>
          <w:color w:val="auto"/>
          <w:sz w:val="28"/>
        </w:rPr>
      </w:pPr>
      <w:r>
        <w:rPr>
          <w:rFonts w:hint="eastAsia" w:ascii="Arial" w:hAnsi="Arial" w:eastAsia="仿宋_GB2312" w:cs="Arial"/>
          <w:color w:val="auto"/>
          <w:sz w:val="28"/>
        </w:rPr>
        <w:t>《关于顺义区高丽营镇夏县营村棚户区改造土地开发项目0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008</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016</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026</w:t>
      </w:r>
      <w:r>
        <w:rPr>
          <w:rFonts w:hint="eastAsia" w:ascii="Arial" w:hAnsi="Arial" w:eastAsia="仿宋_GB2312" w:cs="Arial"/>
          <w:color w:val="auto"/>
          <w:sz w:val="28"/>
        </w:rPr>
        <w:t>－</w:t>
      </w:r>
      <w:r>
        <w:rPr>
          <w:rFonts w:ascii="Arial" w:hAnsi="Arial" w:eastAsia="仿宋_GB2312" w:cs="Arial"/>
          <w:color w:val="auto"/>
          <w:sz w:val="28"/>
        </w:rPr>
        <w:t>1</w:t>
      </w:r>
      <w:r>
        <w:rPr>
          <w:rFonts w:hint="eastAsia" w:ascii="Arial" w:hAnsi="Arial" w:eastAsia="仿宋_GB2312" w:cs="Arial"/>
          <w:color w:val="auto"/>
          <w:sz w:val="28"/>
        </w:rPr>
        <w:t>、0</w:t>
      </w:r>
      <w:r>
        <w:rPr>
          <w:rFonts w:ascii="Arial" w:hAnsi="Arial" w:eastAsia="仿宋_GB2312" w:cs="Arial"/>
          <w:color w:val="auto"/>
          <w:sz w:val="28"/>
        </w:rPr>
        <w:t>1</w:t>
      </w:r>
      <w:r>
        <w:rPr>
          <w:rFonts w:hint="eastAsia" w:ascii="Arial" w:hAnsi="Arial" w:eastAsia="仿宋_GB2312" w:cs="Arial"/>
          <w:color w:val="auto"/>
          <w:sz w:val="28"/>
        </w:rPr>
        <w:t>－</w:t>
      </w:r>
      <w:r>
        <w:rPr>
          <w:rFonts w:ascii="Arial" w:hAnsi="Arial" w:eastAsia="仿宋_GB2312" w:cs="Arial"/>
          <w:color w:val="auto"/>
          <w:sz w:val="28"/>
        </w:rPr>
        <w:t>020</w:t>
      </w:r>
      <w:r>
        <w:rPr>
          <w:rFonts w:hint="eastAsia" w:ascii="Arial" w:hAnsi="Arial" w:eastAsia="仿宋_GB2312" w:cs="Arial"/>
          <w:color w:val="auto"/>
          <w:sz w:val="28"/>
        </w:rPr>
        <w:t>地块市政条件的说明》复印件</w:t>
      </w:r>
    </w:p>
    <w:p w14:paraId="2A0572A6">
      <w:pPr>
        <w:numPr>
          <w:ilvl w:val="0"/>
          <w:numId w:val="13"/>
        </w:numPr>
        <w:spacing w:line="300" w:lineRule="auto"/>
        <w:jc w:val="both"/>
        <w:rPr>
          <w:rFonts w:ascii="Arial" w:hAnsi="Arial" w:eastAsia="仿宋_GB2312" w:cs="Arial"/>
          <w:color w:val="auto"/>
          <w:sz w:val="28"/>
        </w:rPr>
      </w:pPr>
      <w:r>
        <w:rPr>
          <w:rFonts w:ascii="Arial" w:hAnsi="Arial" w:eastAsia="仿宋_GB2312" w:cs="Arial"/>
          <w:color w:val="auto"/>
          <w:sz w:val="28"/>
          <w:szCs w:val="28"/>
        </w:rPr>
        <w:t>估价机构《营业执照（</w:t>
      </w:r>
      <w:r>
        <w:rPr>
          <w:rFonts w:ascii="Arial" w:hAnsi="Arial" w:eastAsia="仿宋_GB2312" w:cs="Arial"/>
          <w:color w:val="auto"/>
          <w:sz w:val="28"/>
        </w:rPr>
        <w:t>副本）》复印件</w:t>
      </w:r>
    </w:p>
    <w:p w14:paraId="3E30669F">
      <w:pPr>
        <w:numPr>
          <w:ilvl w:val="0"/>
          <w:numId w:val="13"/>
        </w:numPr>
        <w:spacing w:line="300" w:lineRule="auto"/>
        <w:jc w:val="both"/>
        <w:rPr>
          <w:rFonts w:ascii="Arial" w:hAnsi="Arial" w:eastAsia="仿宋_GB2312" w:cs="Arial"/>
          <w:color w:val="auto"/>
          <w:sz w:val="28"/>
        </w:rPr>
      </w:pPr>
      <w:r>
        <w:rPr>
          <w:rFonts w:ascii="Arial" w:hAnsi="Arial" w:eastAsia="仿宋_GB2312" w:cs="Arial"/>
          <w:color w:val="auto"/>
          <w:sz w:val="28"/>
        </w:rPr>
        <w:t>估价机构评估资质复印件</w:t>
      </w:r>
    </w:p>
    <w:p w14:paraId="4E8640EC">
      <w:pPr>
        <w:numPr>
          <w:ilvl w:val="0"/>
          <w:numId w:val="13"/>
        </w:numPr>
        <w:spacing w:line="300" w:lineRule="auto"/>
        <w:jc w:val="both"/>
        <w:rPr>
          <w:rFonts w:ascii="Arial" w:hAnsi="Arial" w:eastAsia="仿宋_GB2312" w:cs="Arial"/>
          <w:color w:val="auto"/>
          <w:sz w:val="28"/>
        </w:rPr>
      </w:pPr>
      <w:r>
        <w:rPr>
          <w:rFonts w:ascii="Arial" w:hAnsi="Arial" w:eastAsia="仿宋_GB2312" w:cs="Arial"/>
          <w:color w:val="auto"/>
          <w:sz w:val="28"/>
        </w:rPr>
        <w:t>土地估价专业评估师资质证书复印件</w:t>
      </w:r>
    </w:p>
    <w:sectPr>
      <w:headerReference r:id="rId34" w:type="first"/>
      <w:footerReference r:id="rId35" w:type="default"/>
      <w:pgSz w:w="11907" w:h="16840"/>
      <w:pgMar w:top="1418" w:right="1418" w:bottom="1134" w:left="1418" w:header="794" w:footer="907" w:gutter="0"/>
      <w:cols w:space="425"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 w:name="Modern">
    <w:altName w:val="Modern No. 20"/>
    <w:panose1 w:val="00000000000000000000"/>
    <w:charset w:val="00"/>
    <w:family w:val="roman"/>
    <w:pitch w:val="default"/>
    <w:sig w:usb0="00000000" w:usb1="00000000" w:usb2="00000000" w:usb3="00000000" w:csb0="00000001" w:csb1="00000000"/>
  </w:font>
  <w:font w:name="Modern No. 20">
    <w:panose1 w:val="02070704070505020303"/>
    <w:charset w:val="00"/>
    <w:family w:val="auto"/>
    <w:pitch w:val="default"/>
    <w:sig w:usb0="00000003" w:usb1="00000000" w:usb2="00000000" w:usb3="00000000" w:csb0="2000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Arial Unicode MS">
    <w:panose1 w:val="020B0604020202020204"/>
    <w:charset w:val="86"/>
    <w:family w:val="swiss"/>
    <w:pitch w:val="default"/>
    <w:sig w:usb0="FFFFFFFF" w:usb1="E9FFFFFF" w:usb2="0000003F" w:usb3="00000000" w:csb0="603F01FF" w:csb1="FFFF0000"/>
  </w:font>
  <w:font w:name="Arial Narrow">
    <w:panose1 w:val="020B0606020202030204"/>
    <w:charset w:val="00"/>
    <w:family w:val="swiss"/>
    <w:pitch w:val="default"/>
    <w:sig w:usb0="00000287" w:usb1="00000800" w:usb2="00000000" w:usb3="00000000" w:csb0="2000009F" w:csb1="DFD70000"/>
  </w:font>
  <w:font w:name="长城粗隶书">
    <w:altName w:val="宋体"/>
    <w:panose1 w:val="00000000000000000000"/>
    <w:charset w:val="86"/>
    <w:family w:val="modern"/>
    <w:pitch w:val="default"/>
    <w:sig w:usb0="00000000" w:usb1="00000000" w:usb2="00000010" w:usb3="00000000" w:csb0="00040000" w:csb1="00000000"/>
  </w:font>
  <w:font w:name="华文细黑碙..">
    <w:altName w:val="仿宋"/>
    <w:panose1 w:val="00000000000000000000"/>
    <w:charset w:val="86"/>
    <w:family w:val="swiss"/>
    <w:pitch w:val="default"/>
    <w:sig w:usb0="00000000" w:usb1="00000000" w:usb2="00000010" w:usb3="00000000" w:csb0="00040000" w:csb1="00000000"/>
  </w:font>
  <w:font w:name="黑体萄">
    <w:altName w:val="方正舒体"/>
    <w:panose1 w:val="00000000000000000000"/>
    <w:charset w:val="86"/>
    <w:family w:val="swiss"/>
    <w:pitch w:val="default"/>
    <w:sig w:usb0="00000000" w:usb1="00000000" w:usb2="00000010" w:usb3="00000000" w:csb0="00040000" w:csb1="00000000"/>
  </w:font>
  <w:font w:name="方正舒体">
    <w:panose1 w:val="02010601030101010101"/>
    <w:charset w:val="86"/>
    <w:family w:val="auto"/>
    <w:pitch w:val="default"/>
    <w:sig w:usb0="00000003" w:usb1="080E0000" w:usb2="00000000" w:usb3="00000000" w:csb0="00040000" w:csb1="00000000"/>
  </w:font>
  <w:font w:name="昆仑仿宋">
    <w:altName w:val="宋体"/>
    <w:panose1 w:val="00000000000000000000"/>
    <w:charset w:val="86"/>
    <w:family w:val="modern"/>
    <w:pitch w:val="default"/>
    <w:sig w:usb0="00000000" w:usb1="00000000" w:usb2="00000010" w:usb3="00000000" w:csb0="00040000"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华文行楷">
    <w:panose1 w:val="02010800040101010101"/>
    <w:charset w:val="86"/>
    <w:family w:val="auto"/>
    <w:pitch w:val="default"/>
    <w:sig w:usb0="00000001" w:usb1="080F0000" w:usb2="00000000" w:usb3="00000000" w:csb0="00040000" w:csb1="00000000"/>
  </w:font>
  <w:font w:name="Arial">
    <w:panose1 w:val="020B0604020202020204"/>
    <w:charset w:val="00"/>
    <w:family w:val="swiss"/>
    <w:pitch w:val="default"/>
    <w:sig w:usb0="E0002EFF" w:usb1="C000785B" w:usb2="00000009" w:usb3="00000000" w:csb0="400001FF" w:csb1="FFFF0000"/>
  </w:font>
  <w:font w:name="华文细黑">
    <w:panose1 w:val="02010600040101010101"/>
    <w:charset w:val="86"/>
    <w:family w:val="auto"/>
    <w:pitch w:val="default"/>
    <w:sig w:usb0="00000287" w:usb1="080F0000" w:usb2="00000000" w:usb3="00000000" w:csb0="0004009F" w:csb1="DFD70000"/>
  </w:font>
  <w:font w:name="Cambria Math">
    <w:panose1 w:val="02040503050406030204"/>
    <w:charset w:val="00"/>
    <w:family w:val="roman"/>
    <w:pitch w:val="default"/>
    <w:sig w:usb0="E00006FF" w:usb1="420024FF" w:usb2="02000000" w:usb3="00000000" w:csb0="2000019F" w:csb1="00000000"/>
  </w:font>
  <w:font w:name="汉仪中黑 197">
    <w:altName w:val="黑体"/>
    <w:panose1 w:val="00020600040101010101"/>
    <w:charset w:val="86"/>
    <w:family w:val="swiss"/>
    <w:pitch w:val="fixed"/>
    <w:sig w:usb0="00000000" w:usb1="00000000" w:usb2="00000000" w:usb3="00000000" w:csb0="00000000" w:csb1="00000000"/>
  </w:font>
  <w:font w:name="方正黑体简体">
    <w:altName w:val="微软雅黑"/>
    <w:panose1 w:val="00000000000000000000"/>
    <w:charset w:val="86"/>
    <w:family w:val="auto"/>
    <w:pitch w:val="default"/>
    <w:sig w:usb0="00000000" w:usb1="00000000" w:usb2="00000010" w:usb3="00000000" w:csb0="00040000" w:csb1="00000000"/>
  </w:font>
  <w:font w:name="华文仿宋">
    <w:panose1 w:val="02010600040101010101"/>
    <w:charset w:val="86"/>
    <w:family w:val="auto"/>
    <w:pitch w:val="default"/>
    <w:sig w:usb0="00000287" w:usb1="080F0000" w:usb2="00000000" w:usb3="00000000" w:csb0="0004009F" w:csb1="DFD70000"/>
  </w:font>
  <w:font w:name="KSOFE44F9426">
    <w:panose1 w:val="02010609060101010101"/>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3A4A7E">
    <w:pPr>
      <w:pStyle w:val="20"/>
      <w:rPr>
        <w:rStyle w:val="38"/>
        <w:sz w:val="21"/>
      </w:rPr>
    </w:pPr>
    <w:r>
      <w:rPr>
        <w:sz w:val="21"/>
        <w:lang w:val="en-US"/>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35D066">
                          <w:pPr>
                            <w:pStyle w:val="20"/>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UMwDbKwIAAFcEAAAOAAAAAAAAAAEAIAAAAB8BAABkcnMvZTJvRG9jLnhtbFBLBQYAAAAABgAG&#10;AFkBAAC8BQAAAAA=&#10;">
              <v:fill on="f" focussize="0,0"/>
              <v:stroke on="f" weight="0.5pt"/>
              <v:imagedata o:title=""/>
              <o:lock v:ext="edit" aspectratio="f"/>
              <v:textbox inset="0mm,0mm,0mm,0mm" style="mso-fit-shape-to-text:t;">
                <w:txbxContent>
                  <w:p w14:paraId="3F35D066">
                    <w:pPr>
                      <w:pStyle w:val="20"/>
                    </w:pPr>
                    <w:r>
                      <w:fldChar w:fldCharType="begin"/>
                    </w:r>
                    <w:r>
                      <w:instrText xml:space="preserve"> PAGE  \* MERGEFORMAT </w:instrText>
                    </w:r>
                    <w:r>
                      <w:fldChar w:fldCharType="separate"/>
                    </w:r>
                    <w:r>
                      <w:t>0</w:t>
                    </w:r>
                    <w:r>
                      <w:fldChar w:fldCharType="end"/>
                    </w:r>
                  </w:p>
                </w:txbxContent>
              </v:textbox>
            </v:shape>
          </w:pict>
        </mc:Fallback>
      </mc:AlternateContent>
    </w:r>
  </w:p>
  <w:p w14:paraId="5E7CE332">
    <w:pPr>
      <w:pStyle w:val="20"/>
      <w:tabs>
        <w:tab w:val="left" w:pos="4890"/>
        <w:tab w:val="clear" w:pos="4153"/>
        <w:tab w:val="clear" w:pos="8306"/>
      </w:tabs>
    </w:pPr>
    <w:r>
      <w:tab/>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6F9E13">
    <w:pPr>
      <w:pStyle w:val="20"/>
      <w:pBdr>
        <w:top w:val="single" w:color="auto" w:sz="4" w:space="1"/>
      </w:pBdr>
      <w:jc w:val="center"/>
      <w:rPr>
        <w:rFonts w:ascii="Arial" w:hAnsi="Arial" w:cs="Arial"/>
      </w:rPr>
    </w:pPr>
    <w:r>
      <w:rPr>
        <w:lang w:val="en-US"/>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28B628">
                          <w:pPr>
                            <w:pStyle w:val="20"/>
                            <w:pBdr>
                              <w:top w:val="single" w:color="auto" w:sz="4" w:space="1"/>
                            </w:pBdr>
                            <w:jc w:val="center"/>
                          </w:pPr>
                          <w:r>
                            <w:rPr>
                              <w:rFonts w:ascii="Arial" w:hAnsi="Arial" w:cs="Arial"/>
                            </w:rPr>
                            <w:fldChar w:fldCharType="begin"/>
                          </w:r>
                          <w:r>
                            <w:rPr>
                              <w:rFonts w:ascii="Arial" w:hAnsi="Arial" w:cs="Arial"/>
                            </w:rPr>
                            <w:instrText xml:space="preserve">PAGE   \* MERGEFORMAT</w:instrText>
                          </w:r>
                          <w:r>
                            <w:rPr>
                              <w:rFonts w:ascii="Arial" w:hAnsi="Arial" w:cs="Arial"/>
                            </w:rPr>
                            <w:fldChar w:fldCharType="separate"/>
                          </w:r>
                          <w:r>
                            <w:rPr>
                              <w:rFonts w:ascii="Arial" w:hAnsi="Arial" w:cs="Arial"/>
                            </w:rPr>
                            <w:t>58</w:t>
                          </w:r>
                          <w:r>
                            <w:rPr>
                              <w:rFonts w:ascii="Arial" w:hAnsi="Arial" w:cs="Arial"/>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Vab3I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9VpvciwCAABXBAAADgAAAAAAAAABACAAAAAfAQAAZHJzL2Uyb0RvYy54bWxQSwUGAAAAAAYA&#10;BgBZAQAAvQUAAAAA&#10;">
              <v:fill on="f" focussize="0,0"/>
              <v:stroke on="f" weight="0.5pt"/>
              <v:imagedata o:title=""/>
              <o:lock v:ext="edit" aspectratio="f"/>
              <v:textbox inset="0mm,0mm,0mm,0mm" style="mso-fit-shape-to-text:t;">
                <w:txbxContent>
                  <w:p w14:paraId="2028B628">
                    <w:pPr>
                      <w:pStyle w:val="20"/>
                      <w:pBdr>
                        <w:top w:val="single" w:color="auto" w:sz="4" w:space="1"/>
                      </w:pBdr>
                      <w:jc w:val="center"/>
                    </w:pPr>
                    <w:r>
                      <w:rPr>
                        <w:rFonts w:ascii="Arial" w:hAnsi="Arial" w:cs="Arial"/>
                      </w:rPr>
                      <w:fldChar w:fldCharType="begin"/>
                    </w:r>
                    <w:r>
                      <w:rPr>
                        <w:rFonts w:ascii="Arial" w:hAnsi="Arial" w:cs="Arial"/>
                      </w:rPr>
                      <w:instrText xml:space="preserve">PAGE   \* MERGEFORMAT</w:instrText>
                    </w:r>
                    <w:r>
                      <w:rPr>
                        <w:rFonts w:ascii="Arial" w:hAnsi="Arial" w:cs="Arial"/>
                      </w:rPr>
                      <w:fldChar w:fldCharType="separate"/>
                    </w:r>
                    <w:r>
                      <w:rPr>
                        <w:rFonts w:ascii="Arial" w:hAnsi="Arial" w:cs="Arial"/>
                      </w:rPr>
                      <w:t>58</w:t>
                    </w:r>
                    <w:r>
                      <w:rPr>
                        <w:rFonts w:ascii="Arial" w:hAnsi="Arial" w:cs="Arial"/>
                      </w:rP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C1BB31">
    <w:pPr>
      <w:pStyle w:val="20"/>
      <w:pBdr>
        <w:top w:val="single" w:color="auto" w:sz="4" w:space="1"/>
      </w:pBdr>
      <w:jc w:val="center"/>
    </w:pPr>
    <w:r>
      <w:rPr>
        <w:lang w:val="en-US"/>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CE870C">
                          <w:pPr>
                            <w:pStyle w:val="20"/>
                          </w:pPr>
                          <w:r>
                            <w:fldChar w:fldCharType="begin"/>
                          </w:r>
                          <w:r>
                            <w:instrText xml:space="preserve"> PAGE  \* MERGEFORMAT </w:instrText>
                          </w:r>
                          <w:r>
                            <w:fldChar w:fldCharType="separate"/>
                          </w:r>
                          <w:r>
                            <w:t>84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brwc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v268HKwIAAFcEAAAOAAAAAAAAAAEAIAAAAB8BAABkcnMvZTJvRG9jLnhtbFBLBQYAAAAABgAG&#10;AFkBAAC8BQAAAAA=&#10;">
              <v:fill on="f" focussize="0,0"/>
              <v:stroke on="f" weight="0.5pt"/>
              <v:imagedata o:title=""/>
              <o:lock v:ext="edit" aspectratio="f"/>
              <v:textbox inset="0mm,0mm,0mm,0mm" style="mso-fit-shape-to-text:t;">
                <w:txbxContent>
                  <w:p w14:paraId="64CE870C">
                    <w:pPr>
                      <w:pStyle w:val="20"/>
                    </w:pPr>
                    <w:r>
                      <w:fldChar w:fldCharType="begin"/>
                    </w:r>
                    <w:r>
                      <w:instrText xml:space="preserve"> PAGE  \* MERGEFORMAT </w:instrText>
                    </w:r>
                    <w:r>
                      <w:fldChar w:fldCharType="separate"/>
                    </w:r>
                    <w:r>
                      <w:t>84</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54114D">
    <w:pPr>
      <w:pStyle w:val="20"/>
    </w:pPr>
    <w:r>
      <w:rPr>
        <w:lang w:val="en-US"/>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399759">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57ZuItAgAAVwQAAA4AAABkcnMvZTJvRG9jLnhtbK1UzY7TMBC+I/EO&#10;lu80adGuSt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57ZuItAgAAVwQAAA4AAAAAAAAAAQAgAAAAHwEAAGRycy9lMm9Eb2MueG1sUEsFBgAAAAAG&#10;AAYAWQEAAL4FAAAAAA==&#10;">
              <v:fill on="f" focussize="0,0"/>
              <v:stroke on="f" weight="0.5pt"/>
              <v:imagedata o:title=""/>
              <o:lock v:ext="edit" aspectratio="f"/>
              <v:textbox inset="0mm,0mm,0mm,0mm" style="mso-fit-shape-to-text:t;">
                <w:txbxContent>
                  <w:p w14:paraId="37399759">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709D1C">
    <w:pPr>
      <w:pStyle w:val="20"/>
      <w:pBdr>
        <w:top w:val="single" w:color="auto" w:sz="4" w:space="1"/>
      </w:pBdr>
      <w:jc w:val="center"/>
    </w:pPr>
    <w:r>
      <w:rPr>
        <w:lang w:val="en-US"/>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497F31">
                          <w:pPr>
                            <w:pStyle w:val="20"/>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RhABc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tGEAFywCAABXBAAADgAAAAAAAAABACAAAAAfAQAAZHJzL2Uyb0RvYy54bWxQSwUGAAAAAAYA&#10;BgBZAQAAvQUAAAAA&#10;">
              <v:fill on="f" focussize="0,0"/>
              <v:stroke on="f" weight="0.5pt"/>
              <v:imagedata o:title=""/>
              <o:lock v:ext="edit" aspectratio="f"/>
              <v:textbox inset="0mm,0mm,0mm,0mm" style="mso-fit-shape-to-text:t;">
                <w:txbxContent>
                  <w:p w14:paraId="5A497F31">
                    <w:pPr>
                      <w:pStyle w:val="20"/>
                    </w:pPr>
                    <w:r>
                      <w:fldChar w:fldCharType="begin"/>
                    </w:r>
                    <w:r>
                      <w:instrText xml:space="preserve"> PAGE  \* MERGEFORMAT </w:instrText>
                    </w:r>
                    <w:r>
                      <w:fldChar w:fldCharType="separate"/>
                    </w:r>
                    <w:r>
                      <w:t>0</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B2D84E">
    <w:pPr>
      <w:pStyle w:val="20"/>
      <w:pBdr>
        <w:top w:val="single" w:color="auto" w:sz="8" w:space="15"/>
      </w:pBdr>
    </w:pPr>
    <w:r>
      <w:rPr>
        <w:lang w:val="en-US"/>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8EEC0B">
                          <w:pPr>
                            <w:pStyle w:val="20"/>
                            <w:jc w:val="center"/>
                            <w:rPr>
                              <w:rStyle w:val="38"/>
                              <w:sz w:val="21"/>
                            </w:rPr>
                          </w:pPr>
                          <w:r>
                            <w:rPr>
                              <w:rStyle w:val="38"/>
                              <w:sz w:val="21"/>
                              <w:szCs w:val="21"/>
                            </w:rPr>
                            <w:t xml:space="preserve"> </w:t>
                          </w:r>
                          <w:r>
                            <w:rPr>
                              <w:rStyle w:val="38"/>
                              <w:szCs w:val="18"/>
                            </w:rPr>
                            <w:fldChar w:fldCharType="begin"/>
                          </w:r>
                          <w:r>
                            <w:rPr>
                              <w:rStyle w:val="38"/>
                              <w:szCs w:val="18"/>
                            </w:rPr>
                            <w:instrText xml:space="preserve"> PAGE </w:instrText>
                          </w:r>
                          <w:r>
                            <w:rPr>
                              <w:rStyle w:val="38"/>
                              <w:szCs w:val="18"/>
                            </w:rPr>
                            <w:fldChar w:fldCharType="separate"/>
                          </w:r>
                          <w:r>
                            <w:rPr>
                              <w:rStyle w:val="38"/>
                              <w:szCs w:val="18"/>
                            </w:rPr>
                            <w:t>19</w:t>
                          </w:r>
                          <w:r>
                            <w:rPr>
                              <w:rStyle w:val="38"/>
                              <w:szCs w:val="18"/>
                            </w:rPr>
                            <w:fldChar w:fldCharType="end"/>
                          </w:r>
                          <w:r>
                            <w:rPr>
                              <w:rStyle w:val="38"/>
                              <w:sz w:val="21"/>
                              <w:szCs w:val="21"/>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kc4SYtAgAAWQ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Ekc4SYtAgAAWQQAAA4AAAAAAAAAAQAgAAAAHwEAAGRycy9lMm9Eb2MueG1sUEsFBgAAAAAG&#10;AAYAWQEAAL4FAAAAAA==&#10;">
              <v:fill on="f" focussize="0,0"/>
              <v:stroke on="f" weight="0.5pt"/>
              <v:imagedata o:title=""/>
              <o:lock v:ext="edit" aspectratio="f"/>
              <v:textbox inset="0mm,0mm,0mm,0mm" style="mso-fit-shape-to-text:t;">
                <w:txbxContent>
                  <w:p w14:paraId="478EEC0B">
                    <w:pPr>
                      <w:pStyle w:val="20"/>
                      <w:jc w:val="center"/>
                      <w:rPr>
                        <w:rStyle w:val="38"/>
                        <w:sz w:val="21"/>
                      </w:rPr>
                    </w:pPr>
                    <w:r>
                      <w:rPr>
                        <w:rStyle w:val="38"/>
                        <w:sz w:val="21"/>
                        <w:szCs w:val="21"/>
                      </w:rPr>
                      <w:t xml:space="preserve"> </w:t>
                    </w:r>
                    <w:r>
                      <w:rPr>
                        <w:rStyle w:val="38"/>
                        <w:szCs w:val="18"/>
                      </w:rPr>
                      <w:fldChar w:fldCharType="begin"/>
                    </w:r>
                    <w:r>
                      <w:rPr>
                        <w:rStyle w:val="38"/>
                        <w:szCs w:val="18"/>
                      </w:rPr>
                      <w:instrText xml:space="preserve"> PAGE </w:instrText>
                    </w:r>
                    <w:r>
                      <w:rPr>
                        <w:rStyle w:val="38"/>
                        <w:szCs w:val="18"/>
                      </w:rPr>
                      <w:fldChar w:fldCharType="separate"/>
                    </w:r>
                    <w:r>
                      <w:rPr>
                        <w:rStyle w:val="38"/>
                        <w:szCs w:val="18"/>
                      </w:rPr>
                      <w:t>19</w:t>
                    </w:r>
                    <w:r>
                      <w:rPr>
                        <w:rStyle w:val="38"/>
                        <w:szCs w:val="18"/>
                      </w:rPr>
                      <w:fldChar w:fldCharType="end"/>
                    </w:r>
                    <w:r>
                      <w:rPr>
                        <w:rStyle w:val="38"/>
                        <w:sz w:val="21"/>
                        <w:szCs w:val="21"/>
                      </w:rPr>
                      <w:t xml:space="preserve"> </w:t>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ECD4CC">
    <w:pPr>
      <w:pStyle w:val="20"/>
      <w:pBdr>
        <w:top w:val="single" w:color="auto" w:sz="4" w:space="1"/>
      </w:pBdr>
      <w:jc w:val="both"/>
    </w:pPr>
    <w:r>
      <w:rPr>
        <w:lang w:val="en-US"/>
      </w:rPr>
      <mc:AlternateContent>
        <mc:Choice Requires="wps">
          <w:drawing>
            <wp:anchor distT="0" distB="0" distL="114300" distR="114300" simplePos="0" relativeHeight="251676672" behindDoc="0" locked="0" layoutInCell="1" allowOverlap="1">
              <wp:simplePos x="0" y="0"/>
              <wp:positionH relativeFrom="margin">
                <wp:posOffset>3122930</wp:posOffset>
              </wp:positionH>
              <wp:positionV relativeFrom="paragraph">
                <wp:posOffset>-7620</wp:posOffset>
              </wp:positionV>
              <wp:extent cx="1828800" cy="1828800"/>
              <wp:effectExtent l="0" t="0" r="0" b="0"/>
              <wp:wrapNone/>
              <wp:docPr id="105" name="文本框 10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6A7078">
                          <w:pPr>
                            <w:pStyle w:val="20"/>
                            <w:pBdr>
                              <w:top w:val="none" w:color="auto" w:sz="0" w:space="1"/>
                            </w:pBdr>
                            <w:jc w:val="center"/>
                          </w:pPr>
                          <w:r>
                            <w:fldChar w:fldCharType="begin"/>
                          </w:r>
                          <w:r>
                            <w:instrText xml:space="preserve">PAGE   \* MERGEFORMAT</w:instrText>
                          </w:r>
                          <w:r>
                            <w:fldChar w:fldCharType="separate"/>
                          </w:r>
                          <w:r>
                            <w:t>171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245.9pt;margin-top:-0.6pt;height:144pt;width:144pt;mso-position-horizontal-relative:margin;mso-wrap-style:none;z-index:251676672;mso-width-relative:page;mso-height-relative:page;" filled="f" stroked="f" coordsize="21600,21600" o:gfxdata="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xiBl42AAAAAoBAAAPAAAAAAAAAAEAIAAAACIAAABkcnMvZG93bnJldi54bWxQSwEC&#10;FAAUAAAACACHTuJAp0PNey0CAABZBAAADgAAAAAAAAABACAAAAAnAQAAZHJzL2Uyb0RvYy54bWxQ&#10;SwUGAAAAAAYABgBZAQAAxgUAAAAA&#10;">
              <v:fill on="f" focussize="0,0"/>
              <v:stroke on="f" weight="0.5pt"/>
              <v:imagedata o:title=""/>
              <o:lock v:ext="edit" aspectratio="f"/>
              <v:textbox inset="0mm,0mm,0mm,0mm" style="mso-fit-shape-to-text:t;">
                <w:txbxContent>
                  <w:p w14:paraId="2D6A7078">
                    <w:pPr>
                      <w:pStyle w:val="20"/>
                      <w:pBdr>
                        <w:top w:val="none" w:color="auto" w:sz="0" w:space="1"/>
                      </w:pBdr>
                      <w:jc w:val="center"/>
                    </w:pPr>
                    <w:r>
                      <w:fldChar w:fldCharType="begin"/>
                    </w:r>
                    <w:r>
                      <w:instrText xml:space="preserve">PAGE   \* MERGEFORMAT</w:instrText>
                    </w:r>
                    <w:r>
                      <w:fldChar w:fldCharType="separate"/>
                    </w:r>
                    <w:r>
                      <w:t>171</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51B413">
    <w:pPr>
      <w:pStyle w:val="20"/>
      <w:pBdr>
        <w:top w:val="single" w:color="auto" w:sz="4" w:space="1"/>
      </w:pBdr>
      <w:jc w:val="center"/>
      <w:rPr>
        <w:rFonts w:ascii="Arial" w:hAnsi="Arial" w:cs="Arial"/>
      </w:rPr>
    </w:pPr>
    <w:r>
      <w:rPr>
        <w:lang w:val="en-US"/>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EE17E6">
                          <w:pPr>
                            <w:pStyle w:val="20"/>
                            <w:pBdr>
                              <w:top w:val="none" w:color="auto" w:sz="0" w:space="1"/>
                            </w:pBdr>
                            <w:jc w:val="center"/>
                          </w:pPr>
                          <w:r>
                            <w:rPr>
                              <w:rFonts w:ascii="Arial" w:hAnsi="Arial" w:cs="Arial"/>
                            </w:rPr>
                            <w:fldChar w:fldCharType="begin"/>
                          </w:r>
                          <w:r>
                            <w:rPr>
                              <w:rFonts w:ascii="Arial" w:hAnsi="Arial" w:cs="Arial"/>
                            </w:rPr>
                            <w:instrText xml:space="preserve">PAGE   \* MERGEFORMAT</w:instrText>
                          </w:r>
                          <w:r>
                            <w:rPr>
                              <w:rFonts w:ascii="Arial" w:hAnsi="Arial" w:cs="Arial"/>
                            </w:rPr>
                            <w:fldChar w:fldCharType="separate"/>
                          </w:r>
                          <w:r>
                            <w:rPr>
                              <w:rFonts w:ascii="Arial" w:hAnsi="Arial" w:cs="Arial"/>
                            </w:rPr>
                            <w:t>178</w:t>
                          </w:r>
                          <w:r>
                            <w:rPr>
                              <w:rFonts w:ascii="Arial" w:hAnsi="Arial" w:cs="Arial"/>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laO5nCwCAABZBAAADgAAAAAAAAABACAAAAAfAQAAZHJzL2Uyb0RvYy54bWxQSwUGAAAAAAYA&#10;BgBZAQAAvQUAAAAA&#10;">
              <v:fill on="f" focussize="0,0"/>
              <v:stroke on="f" weight="0.5pt"/>
              <v:imagedata o:title=""/>
              <o:lock v:ext="edit" aspectratio="f"/>
              <v:textbox inset="0mm,0mm,0mm,0mm" style="mso-fit-shape-to-text:t;">
                <w:txbxContent>
                  <w:p w14:paraId="2CEE17E6">
                    <w:pPr>
                      <w:pStyle w:val="20"/>
                      <w:pBdr>
                        <w:top w:val="none" w:color="auto" w:sz="0" w:space="1"/>
                      </w:pBdr>
                      <w:jc w:val="center"/>
                    </w:pPr>
                    <w:r>
                      <w:rPr>
                        <w:rFonts w:ascii="Arial" w:hAnsi="Arial" w:cs="Arial"/>
                      </w:rPr>
                      <w:fldChar w:fldCharType="begin"/>
                    </w:r>
                    <w:r>
                      <w:rPr>
                        <w:rFonts w:ascii="Arial" w:hAnsi="Arial" w:cs="Arial"/>
                      </w:rPr>
                      <w:instrText xml:space="preserve">PAGE   \* MERGEFORMAT</w:instrText>
                    </w:r>
                    <w:r>
                      <w:rPr>
                        <w:rFonts w:ascii="Arial" w:hAnsi="Arial" w:cs="Arial"/>
                      </w:rPr>
                      <w:fldChar w:fldCharType="separate"/>
                    </w:r>
                    <w:r>
                      <w:rPr>
                        <w:rFonts w:ascii="Arial" w:hAnsi="Arial" w:cs="Arial"/>
                      </w:rPr>
                      <w:t>178</w:t>
                    </w:r>
                    <w:r>
                      <w:rPr>
                        <w:rFonts w:ascii="Arial" w:hAnsi="Arial" w:cs="Arial"/>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990105">
    <w:pPr>
      <w:pStyle w:val="20"/>
      <w:framePr w:wrap="around" w:vAnchor="text" w:hAnchor="margin" w:xAlign="center" w:y="1"/>
      <w:rPr>
        <w:rStyle w:val="38"/>
      </w:rPr>
    </w:pPr>
    <w:r>
      <w:rPr>
        <w:rStyle w:val="38"/>
      </w:rPr>
      <w:fldChar w:fldCharType="begin"/>
    </w:r>
    <w:r>
      <w:rPr>
        <w:rStyle w:val="38"/>
      </w:rPr>
      <w:instrText xml:space="preserve">PAGE  </w:instrText>
    </w:r>
    <w:r>
      <w:rPr>
        <w:rStyle w:val="38"/>
      </w:rPr>
      <w:fldChar w:fldCharType="end"/>
    </w:r>
  </w:p>
  <w:p w14:paraId="77DA7B33">
    <w:pPr>
      <w:pStyle w:val="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318A38">
    <w:pPr>
      <w:pStyle w:val="20"/>
      <w:jc w:val="both"/>
    </w:pPr>
    <w:r>
      <w:rPr>
        <w:lang w:val="en-US"/>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EC1072">
                          <w:pPr>
                            <w:pStyle w:val="2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RqU6g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UalOoKwIAAFcEAAAOAAAAAAAAAAEAIAAAAB8BAABkcnMvZTJvRG9jLnhtbFBLBQYAAAAABgAG&#10;AFkBAAC8BQAAAAA=&#10;">
              <v:fill on="f" focussize="0,0"/>
              <v:stroke on="f" weight="0.5pt"/>
              <v:imagedata o:title=""/>
              <o:lock v:ext="edit" aspectratio="f"/>
              <v:textbox inset="0mm,0mm,0mm,0mm" style="mso-fit-shape-to-text:t;">
                <w:txbxContent>
                  <w:p w14:paraId="0FEC1072">
                    <w:pPr>
                      <w:pStyle w:val="20"/>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2AF839">
    <w:pPr>
      <w:pStyle w:val="20"/>
      <w:pBdr>
        <w:top w:val="single" w:color="auto" w:sz="4" w:space="1"/>
      </w:pBdr>
      <w:jc w:val="center"/>
      <w:rPr>
        <w:rStyle w:val="38"/>
      </w:rPr>
    </w:pPr>
    <w:r>
      <w:rPr>
        <w:lang w:val="en-US"/>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DDE283">
                          <w:pPr>
                            <w:pStyle w:val="20"/>
                            <w:pBdr>
                              <w:top w:val="none" w:color="auto" w:sz="0" w:space="1"/>
                            </w:pBdr>
                            <w:jc w:val="center"/>
                          </w:pPr>
                          <w:r>
                            <w:rPr>
                              <w:rStyle w:val="38"/>
                            </w:rPr>
                            <w:fldChar w:fldCharType="begin"/>
                          </w:r>
                          <w:r>
                            <w:rPr>
                              <w:rStyle w:val="38"/>
                            </w:rPr>
                            <w:instrText xml:space="preserve">PAGE   \* MERGEFORMAT</w:instrText>
                          </w:r>
                          <w:r>
                            <w:rPr>
                              <w:rStyle w:val="38"/>
                            </w:rPr>
                            <w:fldChar w:fldCharType="separate"/>
                          </w:r>
                          <w:r>
                            <w:rPr>
                              <w:rStyle w:val="38"/>
                            </w:rPr>
                            <w:t>13</w:t>
                          </w:r>
                          <w:r>
                            <w:rPr>
                              <w:rStyle w:val="3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B+RKA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gfkSgKwIAAFcEAAAOAAAAAAAAAAEAIAAAAB8BAABkcnMvZTJvRG9jLnhtbFBLBQYAAAAABgAG&#10;AFkBAAC8BQAAAAA=&#10;">
              <v:fill on="f" focussize="0,0"/>
              <v:stroke on="f" weight="0.5pt"/>
              <v:imagedata o:title=""/>
              <o:lock v:ext="edit" aspectratio="f"/>
              <v:textbox inset="0mm,0mm,0mm,0mm" style="mso-fit-shape-to-text:t;">
                <w:txbxContent>
                  <w:p w14:paraId="2FDDE283">
                    <w:pPr>
                      <w:pStyle w:val="20"/>
                      <w:pBdr>
                        <w:top w:val="none" w:color="auto" w:sz="0" w:space="1"/>
                      </w:pBdr>
                      <w:jc w:val="center"/>
                    </w:pPr>
                    <w:r>
                      <w:rPr>
                        <w:rStyle w:val="38"/>
                      </w:rPr>
                      <w:fldChar w:fldCharType="begin"/>
                    </w:r>
                    <w:r>
                      <w:rPr>
                        <w:rStyle w:val="38"/>
                      </w:rPr>
                      <w:instrText xml:space="preserve">PAGE   \* MERGEFORMAT</w:instrText>
                    </w:r>
                    <w:r>
                      <w:rPr>
                        <w:rStyle w:val="38"/>
                      </w:rPr>
                      <w:fldChar w:fldCharType="separate"/>
                    </w:r>
                    <w:r>
                      <w:rPr>
                        <w:rStyle w:val="38"/>
                      </w:rPr>
                      <w:t>13</w:t>
                    </w:r>
                    <w:r>
                      <w:rPr>
                        <w:rStyle w:val="38"/>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DCFDE2">
    <w:pPr>
      <w:pStyle w:val="20"/>
      <w:framePr w:wrap="around" w:vAnchor="text" w:hAnchor="margin" w:xAlign="center" w:y="1"/>
      <w:rPr>
        <w:rStyle w:val="38"/>
      </w:rPr>
    </w:pPr>
    <w:r>
      <w:rPr>
        <w:rStyle w:val="38"/>
      </w:rPr>
      <w:fldChar w:fldCharType="begin"/>
    </w:r>
    <w:r>
      <w:rPr>
        <w:rStyle w:val="38"/>
      </w:rPr>
      <w:instrText xml:space="preserve">PAGE  </w:instrText>
    </w:r>
    <w:r>
      <w:rPr>
        <w:rStyle w:val="38"/>
      </w:rPr>
      <w:fldChar w:fldCharType="end"/>
    </w:r>
  </w:p>
  <w:p w14:paraId="67B503CE">
    <w:pPr>
      <w:pStyle w:val="2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56F490">
    <w:pPr>
      <w:pStyle w:val="20"/>
    </w:pPr>
    <w:r>
      <w:rPr>
        <w:lang w:val="en-US"/>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BBAB9A">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kDKzo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Z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kDKzotAgAAVwQAAA4AAAAAAAAAAQAgAAAAHwEAAGRycy9lMm9Eb2MueG1sUEsFBgAAAAAG&#10;AAYAWQEAAL4FAAAAAA==&#10;">
              <v:fill on="f" focussize="0,0"/>
              <v:stroke on="f" weight="0.5pt"/>
              <v:imagedata o:title=""/>
              <o:lock v:ext="edit" aspectratio="f"/>
              <v:textbox inset="0mm,0mm,0mm,0mm" style="mso-fit-shape-to-text:t;">
                <w:txbxContent>
                  <w:p w14:paraId="65BBAB9A">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2720E6">
    <w:pPr>
      <w:pStyle w:val="20"/>
      <w:pBdr>
        <w:top w:val="single" w:color="auto" w:sz="4" w:space="1"/>
      </w:pBdr>
      <w:jc w:val="center"/>
    </w:pPr>
    <w:r>
      <w:rPr>
        <w:lang w:val="en-US"/>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F9E9BB">
                          <w:pPr>
                            <w:pStyle w:val="20"/>
                            <w:pBdr>
                              <w:top w:val="single" w:color="auto" w:sz="4" w:space="1"/>
                            </w:pBdr>
                            <w:jc w:val="center"/>
                          </w:pPr>
                          <w:r>
                            <w:fldChar w:fldCharType="begin"/>
                          </w:r>
                          <w:r>
                            <w:instrText xml:space="preserve">PAGE   \* MERGEFORMAT</w:instrText>
                          </w:r>
                          <w:r>
                            <w:fldChar w:fldCharType="separate"/>
                          </w:r>
                          <w:r>
                            <w:t>15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MZTc8s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IxlNzywCAABXBAAADgAAAAAAAAABACAAAAAfAQAAZHJzL2Uyb0RvYy54bWxQSwUGAAAAAAYA&#10;BgBZAQAAvQUAAAAA&#10;">
              <v:fill on="f" focussize="0,0"/>
              <v:stroke on="f" weight="0.5pt"/>
              <v:imagedata o:title=""/>
              <o:lock v:ext="edit" aspectratio="f"/>
              <v:textbox inset="0mm,0mm,0mm,0mm" style="mso-fit-shape-to-text:t;">
                <w:txbxContent>
                  <w:p w14:paraId="6EF9E9BB">
                    <w:pPr>
                      <w:pStyle w:val="20"/>
                      <w:pBdr>
                        <w:top w:val="single" w:color="auto" w:sz="4" w:space="1"/>
                      </w:pBdr>
                      <w:jc w:val="center"/>
                    </w:pPr>
                    <w:r>
                      <w:fldChar w:fldCharType="begin"/>
                    </w:r>
                    <w:r>
                      <w:instrText xml:space="preserve">PAGE   \* MERGEFORMAT</w:instrText>
                    </w:r>
                    <w:r>
                      <w:fldChar w:fldCharType="separate"/>
                    </w:r>
                    <w:r>
                      <w:t>15</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C964EE">
    <w:pPr>
      <w:pStyle w:val="20"/>
      <w:pBdr>
        <w:top w:val="single" w:color="auto" w:sz="8" w:space="15"/>
      </w:pBdr>
    </w:pPr>
    <w:r>
      <w:rPr>
        <w:lang w:val="en-US"/>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F13130">
                          <w:pPr>
                            <w:pStyle w:val="20"/>
                            <w:jc w:val="center"/>
                            <w:rPr>
                              <w:rStyle w:val="38"/>
                              <w:sz w:val="21"/>
                            </w:rPr>
                          </w:pPr>
                          <w:r>
                            <w:rPr>
                              <w:rStyle w:val="38"/>
                              <w:rFonts w:hint="eastAsia"/>
                              <w:sz w:val="21"/>
                              <w:szCs w:val="21"/>
                            </w:rPr>
                            <w:t>－</w:t>
                          </w:r>
                          <w:r>
                            <w:rPr>
                              <w:rStyle w:val="38"/>
                              <w:sz w:val="21"/>
                              <w:szCs w:val="21"/>
                            </w:rPr>
                            <w:t xml:space="preserve"> </w:t>
                          </w:r>
                          <w:r>
                            <w:rPr>
                              <w:rStyle w:val="38"/>
                              <w:sz w:val="21"/>
                              <w:szCs w:val="21"/>
                            </w:rPr>
                            <w:fldChar w:fldCharType="begin"/>
                          </w:r>
                          <w:r>
                            <w:rPr>
                              <w:rStyle w:val="38"/>
                              <w:sz w:val="21"/>
                              <w:szCs w:val="21"/>
                            </w:rPr>
                            <w:instrText xml:space="preserve"> PAGE </w:instrText>
                          </w:r>
                          <w:r>
                            <w:rPr>
                              <w:rStyle w:val="38"/>
                              <w:sz w:val="21"/>
                              <w:szCs w:val="21"/>
                            </w:rPr>
                            <w:fldChar w:fldCharType="separate"/>
                          </w:r>
                          <w:r>
                            <w:rPr>
                              <w:rStyle w:val="38"/>
                              <w:sz w:val="21"/>
                              <w:szCs w:val="21"/>
                            </w:rPr>
                            <w:t>8</w:t>
                          </w:r>
                          <w:r>
                            <w:rPr>
                              <w:rStyle w:val="38"/>
                              <w:sz w:val="21"/>
                              <w:szCs w:val="21"/>
                            </w:rPr>
                            <w:fldChar w:fldCharType="end"/>
                          </w:r>
                          <w:r>
                            <w:rPr>
                              <w:rStyle w:val="38"/>
                              <w:sz w:val="21"/>
                              <w:szCs w:val="21"/>
                            </w:rPr>
                            <w:t xml:space="preserve"> </w:t>
                          </w:r>
                          <w:r>
                            <w:rPr>
                              <w:rStyle w:val="38"/>
                              <w:rFonts w:hint="eastAsia"/>
                              <w:sz w:val="21"/>
                              <w:szCs w:val="21"/>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LgtAgAAVwQAAA4AAABkcnMvZTJvRG9jLnhtbK1UzY7TMBC+I/EO&#10;lu80aVesSt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b56n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Q/LgtAgAAVwQAAA4AAAAAAAAAAQAgAAAAHwEAAGRycy9lMm9Eb2MueG1sUEsFBgAAAAAG&#10;AAYAWQEAAL4FAAAAAA==&#10;">
              <v:fill on="f" focussize="0,0"/>
              <v:stroke on="f" weight="0.5pt"/>
              <v:imagedata o:title=""/>
              <o:lock v:ext="edit" aspectratio="f"/>
              <v:textbox inset="0mm,0mm,0mm,0mm" style="mso-fit-shape-to-text:t;">
                <w:txbxContent>
                  <w:p w14:paraId="48F13130">
                    <w:pPr>
                      <w:pStyle w:val="20"/>
                      <w:jc w:val="center"/>
                      <w:rPr>
                        <w:rStyle w:val="38"/>
                        <w:sz w:val="21"/>
                      </w:rPr>
                    </w:pPr>
                    <w:r>
                      <w:rPr>
                        <w:rStyle w:val="38"/>
                        <w:rFonts w:hint="eastAsia"/>
                        <w:sz w:val="21"/>
                        <w:szCs w:val="21"/>
                      </w:rPr>
                      <w:t>－</w:t>
                    </w:r>
                    <w:r>
                      <w:rPr>
                        <w:rStyle w:val="38"/>
                        <w:sz w:val="21"/>
                        <w:szCs w:val="21"/>
                      </w:rPr>
                      <w:t xml:space="preserve"> </w:t>
                    </w:r>
                    <w:r>
                      <w:rPr>
                        <w:rStyle w:val="38"/>
                        <w:sz w:val="21"/>
                        <w:szCs w:val="21"/>
                      </w:rPr>
                      <w:fldChar w:fldCharType="begin"/>
                    </w:r>
                    <w:r>
                      <w:rPr>
                        <w:rStyle w:val="38"/>
                        <w:sz w:val="21"/>
                        <w:szCs w:val="21"/>
                      </w:rPr>
                      <w:instrText xml:space="preserve"> PAGE </w:instrText>
                    </w:r>
                    <w:r>
                      <w:rPr>
                        <w:rStyle w:val="38"/>
                        <w:sz w:val="21"/>
                        <w:szCs w:val="21"/>
                      </w:rPr>
                      <w:fldChar w:fldCharType="separate"/>
                    </w:r>
                    <w:r>
                      <w:rPr>
                        <w:rStyle w:val="38"/>
                        <w:sz w:val="21"/>
                        <w:szCs w:val="21"/>
                      </w:rPr>
                      <w:t>8</w:t>
                    </w:r>
                    <w:r>
                      <w:rPr>
                        <w:rStyle w:val="38"/>
                        <w:sz w:val="21"/>
                        <w:szCs w:val="21"/>
                      </w:rPr>
                      <w:fldChar w:fldCharType="end"/>
                    </w:r>
                    <w:r>
                      <w:rPr>
                        <w:rStyle w:val="38"/>
                        <w:sz w:val="21"/>
                        <w:szCs w:val="21"/>
                      </w:rPr>
                      <w:t xml:space="preserve"> </w:t>
                    </w:r>
                    <w:r>
                      <w:rPr>
                        <w:rStyle w:val="38"/>
                        <w:rFonts w:hint="eastAsia"/>
                        <w:sz w:val="21"/>
                        <w:szCs w:val="21"/>
                      </w:rPr>
                      <w:t>－</w:t>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C05083">
    <w:pPr>
      <w:pStyle w:val="20"/>
      <w:pBdr>
        <w:top w:val="single" w:color="auto" w:sz="4" w:space="1"/>
      </w:pBdr>
      <w:jc w:val="center"/>
      <w:rPr>
        <w:rFonts w:ascii="Arial" w:hAnsi="Arial" w:cs="Arial"/>
      </w:rPr>
    </w:pPr>
    <w:r>
      <w:rPr>
        <w:lang w:val="en-US"/>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8CE6EB">
                          <w:pPr>
                            <w:pStyle w:val="20"/>
                            <w:pBdr>
                              <w:top w:val="none" w:color="auto" w:sz="0" w:space="1"/>
                            </w:pBdr>
                            <w:jc w:val="center"/>
                          </w:pPr>
                          <w:r>
                            <w:rPr>
                              <w:rFonts w:ascii="Arial" w:hAnsi="Arial" w:cs="Arial"/>
                            </w:rPr>
                            <w:fldChar w:fldCharType="begin"/>
                          </w:r>
                          <w:r>
                            <w:rPr>
                              <w:rFonts w:ascii="Arial" w:hAnsi="Arial" w:cs="Arial"/>
                            </w:rPr>
                            <w:instrText xml:space="preserve">PAGE   \* MERGEFORMAT</w:instrText>
                          </w:r>
                          <w:r>
                            <w:rPr>
                              <w:rFonts w:ascii="Arial" w:hAnsi="Arial" w:cs="Arial"/>
                            </w:rPr>
                            <w:fldChar w:fldCharType="separate"/>
                          </w:r>
                          <w:r>
                            <w:rPr>
                              <w:rFonts w:ascii="Arial" w:hAnsi="Arial" w:cs="Arial"/>
                            </w:rPr>
                            <w:t>83</w:t>
                          </w:r>
                          <w:r>
                            <w:rPr>
                              <w:rFonts w:ascii="Arial" w:hAnsi="Arial" w:cs="Arial"/>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NY2NaItAgAAVwQAAA4AAAAAAAAAAQAgAAAAHwEAAGRycy9lMm9Eb2MueG1sUEsFBgAAAAAG&#10;AAYAWQEAAL4FAAAAAA==&#10;">
              <v:fill on="f" focussize="0,0"/>
              <v:stroke on="f" weight="0.5pt"/>
              <v:imagedata o:title=""/>
              <o:lock v:ext="edit" aspectratio="f"/>
              <v:textbox inset="0mm,0mm,0mm,0mm" style="mso-fit-shape-to-text:t;">
                <w:txbxContent>
                  <w:p w14:paraId="3D8CE6EB">
                    <w:pPr>
                      <w:pStyle w:val="20"/>
                      <w:pBdr>
                        <w:top w:val="none" w:color="auto" w:sz="0" w:space="1"/>
                      </w:pBdr>
                      <w:jc w:val="center"/>
                    </w:pPr>
                    <w:r>
                      <w:rPr>
                        <w:rFonts w:ascii="Arial" w:hAnsi="Arial" w:cs="Arial"/>
                      </w:rPr>
                      <w:fldChar w:fldCharType="begin"/>
                    </w:r>
                    <w:r>
                      <w:rPr>
                        <w:rFonts w:ascii="Arial" w:hAnsi="Arial" w:cs="Arial"/>
                      </w:rPr>
                      <w:instrText xml:space="preserve">PAGE   \* MERGEFORMAT</w:instrText>
                    </w:r>
                    <w:r>
                      <w:rPr>
                        <w:rFonts w:ascii="Arial" w:hAnsi="Arial" w:cs="Arial"/>
                      </w:rPr>
                      <w:fldChar w:fldCharType="separate"/>
                    </w:r>
                    <w:r>
                      <w:rPr>
                        <w:rFonts w:ascii="Arial" w:hAnsi="Arial" w:cs="Arial"/>
                      </w:rPr>
                      <w:t>83</w:t>
                    </w:r>
                    <w:r>
                      <w:rPr>
                        <w:rFonts w:ascii="Arial" w:hAnsi="Arial" w:cs="Arial"/>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7DBBC9">
    <w:pPr>
      <w:pStyle w:val="21"/>
      <w:pBdr>
        <w:bottom w:val="none" w:color="auto" w:sz="0" w:space="0"/>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BD0708">
    <w:pPr>
      <w:pStyle w:val="21"/>
      <w:pBdr>
        <w:bottom w:val="none" w:color="auto" w:sz="0" w:space="0"/>
      </w:pBdr>
      <w:jc w:val="both"/>
    </w:pPr>
    <w:r>
      <w:rPr>
        <w:lang w:val="en-US"/>
      </w:rPr>
      <w:drawing>
        <wp:inline distT="0" distB="0" distL="0" distR="0">
          <wp:extent cx="5497195" cy="276225"/>
          <wp:effectExtent l="0" t="0" r="0" b="3175"/>
          <wp:docPr id="58" name="图片 0" descr="评估报告内页页眉.jpg"/>
          <wp:cNvGraphicFramePr/>
          <a:graphic xmlns:a="http://schemas.openxmlformats.org/drawingml/2006/main">
            <a:graphicData uri="http://schemas.openxmlformats.org/drawingml/2006/picture">
              <pic:pic xmlns:pic="http://schemas.openxmlformats.org/drawingml/2006/picture">
                <pic:nvPicPr>
                  <pic:cNvPr id="58" name="图片 0" descr="评估报告内页页眉.jpg"/>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497195" cy="276225"/>
                  </a:xfrm>
                  <a:prstGeom prst="rect">
                    <a:avLst/>
                  </a:prstGeom>
                  <a:noFill/>
                  <a:ln>
                    <a:noFill/>
                  </a:ln>
                </pic:spPr>
              </pic:pic>
            </a:graphicData>
          </a:graphic>
        </wp:inline>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6EFE9B">
    <w:pPr>
      <w:pStyle w:val="21"/>
      <w:pBdr>
        <w:bottom w:val="none" w:color="auto" w:sz="0" w:space="0"/>
      </w:pBdr>
      <w:jc w:val="both"/>
    </w:pPr>
    <w:r>
      <w:rPr>
        <w:lang w:val="en-US"/>
      </w:rPr>
      <w:drawing>
        <wp:inline distT="0" distB="0" distL="0" distR="0">
          <wp:extent cx="5901055" cy="287020"/>
          <wp:effectExtent l="0" t="0" r="0" b="0"/>
          <wp:docPr id="59" name="图片 0" descr="评估报告内页页眉.jpg"/>
          <wp:cNvGraphicFramePr/>
          <a:graphic xmlns:a="http://schemas.openxmlformats.org/drawingml/2006/main">
            <a:graphicData uri="http://schemas.openxmlformats.org/drawingml/2006/picture">
              <pic:pic xmlns:pic="http://schemas.openxmlformats.org/drawingml/2006/picture">
                <pic:nvPicPr>
                  <pic:cNvPr id="59" name="图片 0" descr="评估报告内页页眉.jpg"/>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901055" cy="287020"/>
                  </a:xfrm>
                  <a:prstGeom prst="rect">
                    <a:avLst/>
                  </a:prstGeom>
                  <a:noFill/>
                  <a:ln>
                    <a:noFill/>
                  </a:ln>
                </pic:spPr>
              </pic:pic>
            </a:graphicData>
          </a:graphic>
        </wp:inline>
      </w:drawing>
    </w:r>
  </w:p>
  <w:p w14:paraId="2BA47D8E">
    <w:pPr>
      <w:pStyle w:val="21"/>
      <w:pBdr>
        <w:bottom w:val="none" w:color="auto" w:sz="0" w:space="0"/>
      </w:pBdr>
      <w:jc w:val="both"/>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0DF642">
    <w:pPr>
      <w:pStyle w:val="21"/>
      <w:pBdr>
        <w:bottom w:val="none" w:color="auto" w:sz="0" w:space="0"/>
      </w:pBdr>
      <w:jc w:val="both"/>
    </w:pPr>
    <w:r>
      <w:rPr>
        <w:lang w:val="en-US"/>
      </w:rPr>
      <w:drawing>
        <wp:inline distT="0" distB="0" distL="0" distR="0">
          <wp:extent cx="5901055" cy="287020"/>
          <wp:effectExtent l="0" t="0" r="0" b="0"/>
          <wp:docPr id="60" name="图片 0" descr="评估报告内页页眉.jpg"/>
          <wp:cNvGraphicFramePr/>
          <a:graphic xmlns:a="http://schemas.openxmlformats.org/drawingml/2006/main">
            <a:graphicData uri="http://schemas.openxmlformats.org/drawingml/2006/picture">
              <pic:pic xmlns:pic="http://schemas.openxmlformats.org/drawingml/2006/picture">
                <pic:nvPicPr>
                  <pic:cNvPr id="60" name="图片 0" descr="评估报告内页页眉.jpg"/>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901055" cy="287020"/>
                  </a:xfrm>
                  <a:prstGeom prst="rect">
                    <a:avLst/>
                  </a:prstGeom>
                  <a:noFill/>
                  <a:ln>
                    <a:noFill/>
                  </a:ln>
                </pic:spPr>
              </pic:pic>
            </a:graphicData>
          </a:graphic>
        </wp:inline>
      </w:drawing>
    </w:r>
  </w:p>
  <w:p w14:paraId="07D6AB0B">
    <w:pPr>
      <w:pStyle w:val="21"/>
      <w:pBdr>
        <w:bottom w:val="none" w:color="auto" w:sz="0" w:space="0"/>
      </w:pBdr>
      <w:jc w:val="both"/>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A78566">
    <w:pPr>
      <w:pStyle w:val="21"/>
      <w:pBdr>
        <w:bottom w:val="none" w:color="auto" w:sz="0" w:space="0"/>
      </w:pBdr>
      <w:jc w:val="both"/>
      <w:rPr>
        <w:rFonts w:ascii="Arial" w:hAnsi="Arial" w:eastAsia="华文行楷"/>
      </w:rPr>
    </w:pPr>
    <w:r>
      <w:rPr>
        <w:rFonts w:hint="eastAsia" w:ascii="楷体_GB2312" w:eastAsia="楷体_GB2312"/>
        <w:spacing w:val="-20"/>
        <w:sz w:val="24"/>
        <w:lang w:val="en-US"/>
      </w:rPr>
      <w:drawing>
        <wp:inline distT="0" distB="0" distL="0" distR="0">
          <wp:extent cx="5873750" cy="287020"/>
          <wp:effectExtent l="0" t="0" r="8890" b="2540"/>
          <wp:docPr id="97" name="图片 97" descr="评估报告内页页眉-马甸-横版"/>
          <wp:cNvGraphicFramePr/>
          <a:graphic xmlns:a="http://schemas.openxmlformats.org/drawingml/2006/main">
            <a:graphicData uri="http://schemas.openxmlformats.org/drawingml/2006/picture">
              <pic:pic xmlns:pic="http://schemas.openxmlformats.org/drawingml/2006/picture">
                <pic:nvPicPr>
                  <pic:cNvPr id="97" name="图片 97" descr="评估报告内页页眉-马甸-横版"/>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873750" cy="287020"/>
                  </a:xfrm>
                  <a:prstGeom prst="rect">
                    <a:avLst/>
                  </a:prstGeom>
                  <a:noFill/>
                  <a:ln>
                    <a:noFill/>
                  </a:ln>
                </pic:spPr>
              </pic:pic>
            </a:graphicData>
          </a:graphic>
        </wp:inline>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A30FAD">
    <w:pPr>
      <w:jc w:val="center"/>
    </w:pPr>
    <w:r>
      <w:drawing>
        <wp:inline distT="0" distB="0" distL="0" distR="0">
          <wp:extent cx="5752465" cy="276225"/>
          <wp:effectExtent l="0" t="0" r="8255" b="13335"/>
          <wp:docPr id="96" name="图片 0" descr="评估报告内页页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0" descr="评估报告内页页眉.jpg"/>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752465" cy="276225"/>
                  </a:xfrm>
                  <a:prstGeom prst="rect">
                    <a:avLst/>
                  </a:prstGeom>
                  <a:noFill/>
                  <a:ln>
                    <a:noFill/>
                  </a:ln>
                </pic:spPr>
              </pic:pic>
            </a:graphicData>
          </a:graphic>
        </wp:inline>
      </w:drawing>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4D8E65">
    <w:pPr>
      <w:pStyle w:val="21"/>
      <w:pBdr>
        <w:bottom w:val="none" w:color="auto" w:sz="0" w:space="0"/>
      </w:pBdr>
      <w:rPr>
        <w:rFonts w:ascii="楷体_GB2312" w:eastAsia="楷体_GB2312"/>
        <w:spacing w:val="-20"/>
        <w:sz w:val="24"/>
      </w:rPr>
    </w:pPr>
    <w:r>
      <w:rPr>
        <w:lang w:val="en-US"/>
      </w:rPr>
      <w:drawing>
        <wp:inline distT="0" distB="0" distL="0" distR="0">
          <wp:extent cx="5901055" cy="287020"/>
          <wp:effectExtent l="0" t="0" r="0" b="0"/>
          <wp:docPr id="62" name="图片 0" descr="评估报告内页页眉.jpg"/>
          <wp:cNvGraphicFramePr/>
          <a:graphic xmlns:a="http://schemas.openxmlformats.org/drawingml/2006/main">
            <a:graphicData uri="http://schemas.openxmlformats.org/drawingml/2006/picture">
              <pic:pic xmlns:pic="http://schemas.openxmlformats.org/drawingml/2006/picture">
                <pic:nvPicPr>
                  <pic:cNvPr id="62" name="图片 0" descr="评估报告内页页眉.jpg"/>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901055" cy="287020"/>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BA6880">
    <w:pPr>
      <w:pStyle w:val="21"/>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0243B6">
    <w:pPr>
      <w:pStyle w:val="21"/>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141323">
    <w:pPr>
      <w:pStyle w:val="21"/>
      <w:pBdr>
        <w:bottom w:val="none" w:color="auto" w:sz="0" w:space="0"/>
      </w:pBdr>
      <w:jc w:val="both"/>
    </w:pPr>
    <w:r>
      <w:rPr>
        <w:lang w:val="en-US"/>
      </w:rPr>
      <w:drawing>
        <wp:inline distT="0" distB="0" distL="0" distR="0">
          <wp:extent cx="5752465" cy="276225"/>
          <wp:effectExtent l="0" t="0" r="0" b="3175"/>
          <wp:docPr id="51" name="图片 0" descr="评估报告内页页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0" descr="评估报告内页页眉.jpg"/>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752465" cy="276225"/>
                  </a:xfrm>
                  <a:prstGeom prst="rect">
                    <a:avLst/>
                  </a:prstGeom>
                  <a:noFill/>
                  <a:ln>
                    <a:noFill/>
                  </a:ln>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83868F">
    <w:pPr>
      <w:pStyle w:val="21"/>
      <w:pBdr>
        <w:bottom w:val="none" w:color="auto" w:sz="0" w:space="0"/>
      </w:pBdr>
    </w:pPr>
    <w:r>
      <w:rPr>
        <w:lang w:val="en-US"/>
      </w:rPr>
      <w:drawing>
        <wp:inline distT="0" distB="0" distL="0" distR="0">
          <wp:extent cx="5752465" cy="276225"/>
          <wp:effectExtent l="0" t="0" r="0" b="3175"/>
          <wp:docPr id="52" name="图片 0" descr="评估报告内页页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0" descr="评估报告内页页眉.jpg"/>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752465" cy="276225"/>
                  </a:xfrm>
                  <a:prstGeom prst="rect">
                    <a:avLst/>
                  </a:prstGeom>
                  <a:noFill/>
                  <a:ln>
                    <a:noFill/>
                  </a:ln>
                </pic:spPr>
              </pic:pic>
            </a:graphicData>
          </a:graphic>
        </wp:inline>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6F2B96">
    <w:pPr>
      <w:pStyle w:val="21"/>
      <w:pBdr>
        <w:bottom w:val="none" w:color="auto" w:sz="0" w:space="0"/>
      </w:pBdr>
      <w:jc w:val="both"/>
      <w:rPr>
        <w:rFonts w:ascii="Arial" w:hAnsi="Arial" w:eastAsia="华文行楷"/>
      </w:rPr>
    </w:pPr>
    <w:r>
      <w:rPr>
        <w:rFonts w:hint="eastAsia" w:ascii="楷体_GB2312" w:eastAsia="楷体_GB2312"/>
        <w:spacing w:val="-20"/>
        <w:sz w:val="24"/>
        <w:lang w:val="en-US"/>
      </w:rPr>
      <w:drawing>
        <wp:inline distT="0" distB="0" distL="0" distR="0">
          <wp:extent cx="8867775" cy="393700"/>
          <wp:effectExtent l="0" t="0" r="0" b="12700"/>
          <wp:docPr id="53" name="图片 53" descr="评估报告内页页眉-马甸-横版"/>
          <wp:cNvGraphicFramePr/>
          <a:graphic xmlns:a="http://schemas.openxmlformats.org/drawingml/2006/main">
            <a:graphicData uri="http://schemas.openxmlformats.org/drawingml/2006/picture">
              <pic:pic xmlns:pic="http://schemas.openxmlformats.org/drawingml/2006/picture">
                <pic:nvPicPr>
                  <pic:cNvPr id="53" name="图片 53" descr="评估报告内页页眉-马甸-横版"/>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8867775" cy="393700"/>
                  </a:xfrm>
                  <a:prstGeom prst="rect">
                    <a:avLst/>
                  </a:prstGeom>
                  <a:noFill/>
                  <a:ln>
                    <a:noFill/>
                  </a:ln>
                </pic:spPr>
              </pic:pic>
            </a:graphicData>
          </a:graphic>
        </wp:inline>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E97017">
    <w:pPr>
      <w:jc w:val="center"/>
    </w:pPr>
    <w:r>
      <w:drawing>
        <wp:inline distT="0" distB="0" distL="0" distR="0">
          <wp:extent cx="5752465" cy="276225"/>
          <wp:effectExtent l="0" t="0" r="0" b="3175"/>
          <wp:docPr id="54" name="图片 0" descr="评估报告内页页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0" descr="评估报告内页页眉.jpg"/>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752465" cy="276225"/>
                  </a:xfrm>
                  <a:prstGeom prst="rect">
                    <a:avLst/>
                  </a:prstGeom>
                  <a:noFill/>
                  <a:ln>
                    <a:noFill/>
                  </a:ln>
                </pic:spPr>
              </pic:pic>
            </a:graphicData>
          </a:graphic>
        </wp:inline>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593AF1">
    <w:pPr>
      <w:pStyle w:val="21"/>
      <w:pBdr>
        <w:bottom w:val="none" w:color="auto" w:sz="0" w:space="0"/>
      </w:pBdr>
      <w:rPr>
        <w:rFonts w:ascii="楷体_GB2312" w:eastAsia="楷体_GB2312"/>
        <w:spacing w:val="-20"/>
        <w:sz w:val="24"/>
      </w:rPr>
    </w:pPr>
    <w:r>
      <w:rPr>
        <w:lang w:val="en-US"/>
      </w:rPr>
      <w:drawing>
        <wp:inline distT="0" distB="0" distL="0" distR="0">
          <wp:extent cx="5901055" cy="287020"/>
          <wp:effectExtent l="0" t="0" r="0" b="0"/>
          <wp:docPr id="55" name="图片 0" descr="评估报告内页页眉.jpg"/>
          <wp:cNvGraphicFramePr/>
          <a:graphic xmlns:a="http://schemas.openxmlformats.org/drawingml/2006/main">
            <a:graphicData uri="http://schemas.openxmlformats.org/drawingml/2006/picture">
              <pic:pic xmlns:pic="http://schemas.openxmlformats.org/drawingml/2006/picture">
                <pic:nvPicPr>
                  <pic:cNvPr id="55" name="图片 0" descr="评估报告内页页眉.jpg"/>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901055" cy="287020"/>
                  </a:xfrm>
                  <a:prstGeom prst="rect">
                    <a:avLst/>
                  </a:prstGeom>
                  <a:noFill/>
                  <a:ln>
                    <a:noFill/>
                  </a:ln>
                </pic:spPr>
              </pic:pic>
            </a:graphicData>
          </a:graphic>
        </wp:inline>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778D2F">
    <w:pPr>
      <w:pStyle w:val="21"/>
      <w:pBdr>
        <w:bottom w:val="none" w:color="auto" w:sz="0" w:space="0"/>
      </w:pBdr>
    </w:pPr>
    <w:r>
      <w:rPr>
        <w:lang w:val="en-US"/>
      </w:rPr>
      <w:drawing>
        <wp:inline distT="0" distB="0" distL="0" distR="0">
          <wp:extent cx="5752465" cy="276225"/>
          <wp:effectExtent l="0" t="0" r="0" b="3175"/>
          <wp:docPr id="57" name="图片 0" descr="评估报告内页页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0" descr="评估报告内页页眉.jpg"/>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752465" cy="27622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8054A2F"/>
    <w:multiLevelType w:val="multilevel"/>
    <w:tmpl w:val="08054A2F"/>
    <w:lvl w:ilvl="0" w:tentative="0">
      <w:start w:val="1"/>
      <w:numFmt w:val="decimal"/>
      <w:lvlText w:val="%1."/>
      <w:lvlJc w:val="left"/>
      <w:pPr>
        <w:ind w:left="1540" w:hanging="420"/>
      </w:pPr>
      <w:rPr>
        <w:rFonts w:hint="eastAsia"/>
      </w:rPr>
    </w:lvl>
    <w:lvl w:ilvl="1" w:tentative="0">
      <w:start w:val="1"/>
      <w:numFmt w:val="decimal"/>
      <w:lvlText w:val="%2."/>
      <w:lvlJc w:val="left"/>
      <w:pPr>
        <w:ind w:left="0" w:firstLine="980"/>
      </w:pPr>
      <w:rPr>
        <w:rFonts w:hint="eastAsia"/>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
    <w:nsid w:val="0CC7B1C1"/>
    <w:multiLevelType w:val="multilevel"/>
    <w:tmpl w:val="0CC7B1C1"/>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
    <w:nsid w:val="11163656"/>
    <w:multiLevelType w:val="multilevel"/>
    <w:tmpl w:val="11163656"/>
    <w:lvl w:ilvl="0" w:tentative="0">
      <w:start w:val="3"/>
      <w:numFmt w:val="decimal"/>
      <w:lvlText w:val="（%1）"/>
      <w:lvlJc w:val="left"/>
      <w:pPr>
        <w:tabs>
          <w:tab w:val="left" w:pos="1320"/>
        </w:tabs>
        <w:ind w:left="1320" w:hanging="720"/>
      </w:pPr>
      <w:rPr>
        <w:rFonts w:hint="eastAsia"/>
      </w:rPr>
    </w:lvl>
    <w:lvl w:ilvl="1" w:tentative="0">
      <w:start w:val="1"/>
      <w:numFmt w:val="upperLetter"/>
      <w:pStyle w:val="4"/>
      <w:lvlText w:val="%2、"/>
      <w:lvlJc w:val="left"/>
      <w:pPr>
        <w:tabs>
          <w:tab w:val="left" w:pos="1740"/>
        </w:tabs>
        <w:ind w:left="1740" w:hanging="720"/>
      </w:pPr>
      <w:rPr>
        <w:rFonts w:hint="eastAsia"/>
      </w:rPr>
    </w:lvl>
    <w:lvl w:ilvl="2" w:tentative="0">
      <w:start w:val="1"/>
      <w:numFmt w:val="lowerRoman"/>
      <w:lvlText w:val="%3."/>
      <w:lvlJc w:val="right"/>
      <w:pPr>
        <w:tabs>
          <w:tab w:val="left" w:pos="1860"/>
        </w:tabs>
        <w:ind w:left="1860" w:hanging="420"/>
      </w:pPr>
    </w:lvl>
    <w:lvl w:ilvl="3" w:tentative="0">
      <w:start w:val="1"/>
      <w:numFmt w:val="decimal"/>
      <w:lvlText w:val="%4."/>
      <w:lvlJc w:val="left"/>
      <w:pPr>
        <w:tabs>
          <w:tab w:val="left" w:pos="2280"/>
        </w:tabs>
        <w:ind w:left="2280" w:hanging="420"/>
      </w:pPr>
    </w:lvl>
    <w:lvl w:ilvl="4" w:tentative="0">
      <w:start w:val="1"/>
      <w:numFmt w:val="lowerLetter"/>
      <w:lvlText w:val="%5)"/>
      <w:lvlJc w:val="left"/>
      <w:pPr>
        <w:tabs>
          <w:tab w:val="left" w:pos="2700"/>
        </w:tabs>
        <w:ind w:left="2700" w:hanging="420"/>
      </w:pPr>
    </w:lvl>
    <w:lvl w:ilvl="5" w:tentative="0">
      <w:start w:val="1"/>
      <w:numFmt w:val="lowerRoman"/>
      <w:lvlText w:val="%6."/>
      <w:lvlJc w:val="right"/>
      <w:pPr>
        <w:tabs>
          <w:tab w:val="left" w:pos="3120"/>
        </w:tabs>
        <w:ind w:left="3120" w:hanging="420"/>
      </w:pPr>
    </w:lvl>
    <w:lvl w:ilvl="6" w:tentative="0">
      <w:start w:val="1"/>
      <w:numFmt w:val="decimal"/>
      <w:lvlText w:val="%7."/>
      <w:lvlJc w:val="left"/>
      <w:pPr>
        <w:tabs>
          <w:tab w:val="left" w:pos="3540"/>
        </w:tabs>
        <w:ind w:left="3540" w:hanging="420"/>
      </w:pPr>
    </w:lvl>
    <w:lvl w:ilvl="7" w:tentative="0">
      <w:start w:val="1"/>
      <w:numFmt w:val="lowerLetter"/>
      <w:lvlText w:val="%8)"/>
      <w:lvlJc w:val="left"/>
      <w:pPr>
        <w:tabs>
          <w:tab w:val="left" w:pos="3960"/>
        </w:tabs>
        <w:ind w:left="3960" w:hanging="420"/>
      </w:pPr>
    </w:lvl>
    <w:lvl w:ilvl="8" w:tentative="0">
      <w:start w:val="1"/>
      <w:numFmt w:val="lowerRoman"/>
      <w:lvlText w:val="%9."/>
      <w:lvlJc w:val="right"/>
      <w:pPr>
        <w:tabs>
          <w:tab w:val="left" w:pos="4380"/>
        </w:tabs>
        <w:ind w:left="4380" w:hanging="420"/>
      </w:pPr>
    </w:lvl>
  </w:abstractNum>
  <w:abstractNum w:abstractNumId="3">
    <w:nsid w:val="298A5976"/>
    <w:multiLevelType w:val="multilevel"/>
    <w:tmpl w:val="298A5976"/>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4">
    <w:nsid w:val="2D832380"/>
    <w:multiLevelType w:val="multilevel"/>
    <w:tmpl w:val="2D832380"/>
    <w:lvl w:ilvl="0" w:tentative="0">
      <w:start w:val="1"/>
      <w:numFmt w:val="decimal"/>
      <w:lvlText w:val="%1."/>
      <w:lvlJc w:val="left"/>
      <w:pPr>
        <w:ind w:left="846"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
    <w:nsid w:val="3F305BA7"/>
    <w:multiLevelType w:val="multilevel"/>
    <w:tmpl w:val="3F305BA7"/>
    <w:lvl w:ilvl="0" w:tentative="0">
      <w:start w:val="1"/>
      <w:numFmt w:val="decimal"/>
      <w:lvlText w:val="%1."/>
      <w:lvlJc w:val="left"/>
      <w:pPr>
        <w:ind w:left="1540" w:hanging="420"/>
      </w:pPr>
      <w:rPr>
        <w:rFonts w:hint="eastAsia"/>
      </w:rPr>
    </w:lvl>
    <w:lvl w:ilvl="1" w:tentative="0">
      <w:start w:val="1"/>
      <w:numFmt w:val="decimal"/>
      <w:lvlText w:val="%2."/>
      <w:lvlJc w:val="left"/>
      <w:pPr>
        <w:ind w:left="0" w:firstLine="980"/>
      </w:pPr>
      <w:rPr>
        <w:rFonts w:hint="eastAsia"/>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6">
    <w:nsid w:val="59D45B07"/>
    <w:multiLevelType w:val="multilevel"/>
    <w:tmpl w:val="59D45B07"/>
    <w:lvl w:ilvl="0" w:tentative="0">
      <w:start w:val="1"/>
      <w:numFmt w:val="decimal"/>
      <w:lvlText w:val="%1."/>
      <w:lvlJc w:val="left"/>
      <w:pPr>
        <w:ind w:left="980"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7">
    <w:nsid w:val="5F6A3DC4"/>
    <w:multiLevelType w:val="multilevel"/>
    <w:tmpl w:val="5F6A3DC4"/>
    <w:lvl w:ilvl="0" w:tentative="0">
      <w:start w:val="1"/>
      <w:numFmt w:val="upperRoman"/>
      <w:pStyle w:val="5"/>
      <w:lvlText w:val="%1、"/>
      <w:lvlJc w:val="left"/>
      <w:pPr>
        <w:tabs>
          <w:tab w:val="left" w:pos="1605"/>
        </w:tabs>
        <w:ind w:left="1605" w:hanging="1080"/>
      </w:pPr>
      <w:rPr>
        <w:rFonts w:hint="eastAsia"/>
      </w:rPr>
    </w:lvl>
    <w:lvl w:ilvl="1" w:tentative="0">
      <w:start w:val="1"/>
      <w:numFmt w:val="lowerLetter"/>
      <w:lvlText w:val="%2)"/>
      <w:lvlJc w:val="left"/>
      <w:pPr>
        <w:tabs>
          <w:tab w:val="left" w:pos="1365"/>
        </w:tabs>
        <w:ind w:left="1365" w:hanging="420"/>
      </w:pPr>
    </w:lvl>
    <w:lvl w:ilvl="2" w:tentative="0">
      <w:start w:val="1"/>
      <w:numFmt w:val="lowerRoman"/>
      <w:lvlText w:val="%3."/>
      <w:lvlJc w:val="right"/>
      <w:pPr>
        <w:tabs>
          <w:tab w:val="left" w:pos="1785"/>
        </w:tabs>
        <w:ind w:left="1785" w:hanging="420"/>
      </w:pPr>
    </w:lvl>
    <w:lvl w:ilvl="3" w:tentative="0">
      <w:start w:val="1"/>
      <w:numFmt w:val="decimal"/>
      <w:lvlText w:val="%4."/>
      <w:lvlJc w:val="left"/>
      <w:pPr>
        <w:tabs>
          <w:tab w:val="left" w:pos="2205"/>
        </w:tabs>
        <w:ind w:left="2205" w:hanging="420"/>
      </w:pPr>
    </w:lvl>
    <w:lvl w:ilvl="4" w:tentative="0">
      <w:start w:val="1"/>
      <w:numFmt w:val="lowerLetter"/>
      <w:lvlText w:val="%5)"/>
      <w:lvlJc w:val="left"/>
      <w:pPr>
        <w:tabs>
          <w:tab w:val="left" w:pos="2625"/>
        </w:tabs>
        <w:ind w:left="2625" w:hanging="420"/>
      </w:pPr>
    </w:lvl>
    <w:lvl w:ilvl="5" w:tentative="0">
      <w:start w:val="1"/>
      <w:numFmt w:val="lowerRoman"/>
      <w:lvlText w:val="%6."/>
      <w:lvlJc w:val="right"/>
      <w:pPr>
        <w:tabs>
          <w:tab w:val="left" w:pos="3045"/>
        </w:tabs>
        <w:ind w:left="3045" w:hanging="420"/>
      </w:pPr>
    </w:lvl>
    <w:lvl w:ilvl="6" w:tentative="0">
      <w:start w:val="1"/>
      <w:numFmt w:val="decimal"/>
      <w:lvlText w:val="%7."/>
      <w:lvlJc w:val="left"/>
      <w:pPr>
        <w:tabs>
          <w:tab w:val="left" w:pos="3465"/>
        </w:tabs>
        <w:ind w:left="3465" w:hanging="420"/>
      </w:pPr>
    </w:lvl>
    <w:lvl w:ilvl="7" w:tentative="0">
      <w:start w:val="1"/>
      <w:numFmt w:val="lowerLetter"/>
      <w:lvlText w:val="%8)"/>
      <w:lvlJc w:val="left"/>
      <w:pPr>
        <w:tabs>
          <w:tab w:val="left" w:pos="3885"/>
        </w:tabs>
        <w:ind w:left="3885" w:hanging="420"/>
      </w:pPr>
    </w:lvl>
    <w:lvl w:ilvl="8" w:tentative="0">
      <w:start w:val="1"/>
      <w:numFmt w:val="lowerRoman"/>
      <w:lvlText w:val="%9."/>
      <w:lvlJc w:val="right"/>
      <w:pPr>
        <w:tabs>
          <w:tab w:val="left" w:pos="4305"/>
        </w:tabs>
        <w:ind w:left="4305" w:hanging="420"/>
      </w:pPr>
    </w:lvl>
  </w:abstractNum>
  <w:abstractNum w:abstractNumId="8">
    <w:nsid w:val="6476AEBB"/>
    <w:multiLevelType w:val="multilevel"/>
    <w:tmpl w:val="6476AEBB"/>
    <w:lvl w:ilvl="0" w:tentative="0">
      <w:start w:val="1"/>
      <w:numFmt w:val="decimal"/>
      <w:lvlText w:val="%1."/>
      <w:lvlJc w:val="left"/>
      <w:pPr>
        <w:ind w:left="98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6F015446"/>
    <w:multiLevelType w:val="multilevel"/>
    <w:tmpl w:val="6F015446"/>
    <w:lvl w:ilvl="0" w:tentative="0">
      <w:start w:val="1"/>
      <w:numFmt w:val="decimal"/>
      <w:lvlText w:val="%1."/>
      <w:lvlJc w:val="left"/>
      <w:pPr>
        <w:ind w:left="846"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0">
    <w:nsid w:val="6F880C65"/>
    <w:multiLevelType w:val="multilevel"/>
    <w:tmpl w:val="6F880C65"/>
    <w:lvl w:ilvl="0" w:tentative="0">
      <w:start w:val="1"/>
      <w:numFmt w:val="decimal"/>
      <w:lvlText w:val="%1."/>
      <w:lvlJc w:val="left"/>
      <w:pPr>
        <w:ind w:left="98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75A04673"/>
    <w:multiLevelType w:val="multilevel"/>
    <w:tmpl w:val="75A04673"/>
    <w:lvl w:ilvl="0" w:tentative="0">
      <w:start w:val="1"/>
      <w:numFmt w:val="upperLetter"/>
      <w:pStyle w:val="3"/>
      <w:lvlText w:val="%1."/>
      <w:lvlJc w:val="left"/>
      <w:pPr>
        <w:tabs>
          <w:tab w:val="left" w:pos="360"/>
        </w:tabs>
        <w:ind w:left="360" w:hanging="360"/>
      </w:pPr>
      <w:rPr>
        <w:rFonts w:hint="eastAsia"/>
        <w:b w:val="0"/>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2">
    <w:nsid w:val="7906362E"/>
    <w:multiLevelType w:val="multilevel"/>
    <w:tmpl w:val="7906362E"/>
    <w:lvl w:ilvl="0" w:tentative="0">
      <w:start w:val="1"/>
      <w:numFmt w:val="upperLetter"/>
      <w:pStyle w:val="2"/>
      <w:lvlText w:val="%1．"/>
      <w:lvlJc w:val="left"/>
      <w:pPr>
        <w:tabs>
          <w:tab w:val="left" w:pos="720"/>
        </w:tabs>
        <w:ind w:left="720" w:hanging="720"/>
      </w:pPr>
      <w:rPr>
        <w:rFonts w:hint="eastAsia"/>
      </w:rPr>
    </w:lvl>
    <w:lvl w:ilvl="1" w:tentative="0">
      <w:start w:val="1"/>
      <w:numFmt w:val="japaneseCounting"/>
      <w:lvlText w:val="（%2）"/>
      <w:lvlJc w:val="left"/>
      <w:pPr>
        <w:tabs>
          <w:tab w:val="left" w:pos="1275"/>
        </w:tabs>
        <w:ind w:left="1275" w:hanging="855"/>
      </w:pPr>
      <w:rPr>
        <w:rFonts w:hint="eastAsia"/>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12"/>
  </w:num>
  <w:num w:numId="2">
    <w:abstractNumId w:val="11"/>
  </w:num>
  <w:num w:numId="3">
    <w:abstractNumId w:val="2"/>
  </w:num>
  <w:num w:numId="4">
    <w:abstractNumId w:val="7"/>
  </w:num>
  <w:num w:numId="5">
    <w:abstractNumId w:val="6"/>
  </w:num>
  <w:num w:numId="6">
    <w:abstractNumId w:val="3"/>
  </w:num>
  <w:num w:numId="7">
    <w:abstractNumId w:val="10"/>
  </w:num>
  <w:num w:numId="8">
    <w:abstractNumId w:val="0"/>
  </w:num>
  <w:num w:numId="9">
    <w:abstractNumId w:val="9"/>
  </w:num>
  <w:num w:numId="10">
    <w:abstractNumId w:val="1"/>
  </w:num>
  <w:num w:numId="11">
    <w:abstractNumId w:val="8"/>
  </w:num>
  <w:num w:numId="12">
    <w:abstractNumId w:val="5"/>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hideSpellingErrors/>
  <w:hideGrammaticalErrors/>
  <w:documentProtection w:enforcement="0"/>
  <w:defaultTabStop w:val="420"/>
  <w:drawingGridHorizontalSpacing w:val="120"/>
  <w:drawingGridVerticalSpacing w:val="163"/>
  <w:noPunctuationKerning w:val="1"/>
  <w:characterSpacingControl w:val="doNotCompres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M2ZjVlM2VmNjAwMmNmMzg0MTcxOTI1ODA5M2MyOGEifQ=="/>
  </w:docVars>
  <w:rsids>
    <w:rsidRoot w:val="000001B0"/>
    <w:rsid w:val="000001B0"/>
    <w:rsid w:val="00000385"/>
    <w:rsid w:val="00000B0E"/>
    <w:rsid w:val="00000F3D"/>
    <w:rsid w:val="000014F3"/>
    <w:rsid w:val="0000160F"/>
    <w:rsid w:val="00001705"/>
    <w:rsid w:val="000020FA"/>
    <w:rsid w:val="00002460"/>
    <w:rsid w:val="000029BA"/>
    <w:rsid w:val="00002D13"/>
    <w:rsid w:val="00002EA6"/>
    <w:rsid w:val="00003069"/>
    <w:rsid w:val="0000377F"/>
    <w:rsid w:val="00004316"/>
    <w:rsid w:val="00004A11"/>
    <w:rsid w:val="0000540D"/>
    <w:rsid w:val="0000552E"/>
    <w:rsid w:val="00006FDF"/>
    <w:rsid w:val="000070FE"/>
    <w:rsid w:val="00007BAB"/>
    <w:rsid w:val="00010109"/>
    <w:rsid w:val="00010B65"/>
    <w:rsid w:val="00010EAA"/>
    <w:rsid w:val="00011141"/>
    <w:rsid w:val="0001115C"/>
    <w:rsid w:val="00011558"/>
    <w:rsid w:val="00011835"/>
    <w:rsid w:val="000123F7"/>
    <w:rsid w:val="00012421"/>
    <w:rsid w:val="00013298"/>
    <w:rsid w:val="00013C78"/>
    <w:rsid w:val="00014067"/>
    <w:rsid w:val="0001436A"/>
    <w:rsid w:val="000146DB"/>
    <w:rsid w:val="00014C8C"/>
    <w:rsid w:val="00014DA6"/>
    <w:rsid w:val="00014E20"/>
    <w:rsid w:val="00016DDE"/>
    <w:rsid w:val="000173D9"/>
    <w:rsid w:val="000174DD"/>
    <w:rsid w:val="0001759E"/>
    <w:rsid w:val="00017627"/>
    <w:rsid w:val="000201B0"/>
    <w:rsid w:val="00020655"/>
    <w:rsid w:val="000206D2"/>
    <w:rsid w:val="000209C6"/>
    <w:rsid w:val="00020E16"/>
    <w:rsid w:val="00020F24"/>
    <w:rsid w:val="0002117A"/>
    <w:rsid w:val="00022A81"/>
    <w:rsid w:val="00022AEF"/>
    <w:rsid w:val="00022C9C"/>
    <w:rsid w:val="00022E09"/>
    <w:rsid w:val="00023655"/>
    <w:rsid w:val="00023994"/>
    <w:rsid w:val="00023A9D"/>
    <w:rsid w:val="000246BB"/>
    <w:rsid w:val="00024A2A"/>
    <w:rsid w:val="00024D48"/>
    <w:rsid w:val="000252F7"/>
    <w:rsid w:val="00025447"/>
    <w:rsid w:val="0002583D"/>
    <w:rsid w:val="00031515"/>
    <w:rsid w:val="00031A2A"/>
    <w:rsid w:val="0003261A"/>
    <w:rsid w:val="0003311A"/>
    <w:rsid w:val="00033433"/>
    <w:rsid w:val="000335C0"/>
    <w:rsid w:val="00033E17"/>
    <w:rsid w:val="00035D39"/>
    <w:rsid w:val="0003601C"/>
    <w:rsid w:val="00036421"/>
    <w:rsid w:val="00036A93"/>
    <w:rsid w:val="00036F92"/>
    <w:rsid w:val="000378BE"/>
    <w:rsid w:val="0004037C"/>
    <w:rsid w:val="00040501"/>
    <w:rsid w:val="00041021"/>
    <w:rsid w:val="0004160E"/>
    <w:rsid w:val="00041BED"/>
    <w:rsid w:val="00042272"/>
    <w:rsid w:val="0004246B"/>
    <w:rsid w:val="00044B78"/>
    <w:rsid w:val="00044D14"/>
    <w:rsid w:val="00045097"/>
    <w:rsid w:val="000453CE"/>
    <w:rsid w:val="0004637F"/>
    <w:rsid w:val="00046536"/>
    <w:rsid w:val="00047314"/>
    <w:rsid w:val="00047988"/>
    <w:rsid w:val="00050B46"/>
    <w:rsid w:val="00050DE4"/>
    <w:rsid w:val="000515F1"/>
    <w:rsid w:val="00051792"/>
    <w:rsid w:val="00052093"/>
    <w:rsid w:val="00052E12"/>
    <w:rsid w:val="00052FC0"/>
    <w:rsid w:val="00053869"/>
    <w:rsid w:val="0005412C"/>
    <w:rsid w:val="0005420E"/>
    <w:rsid w:val="0005458B"/>
    <w:rsid w:val="00054E3F"/>
    <w:rsid w:val="0005516C"/>
    <w:rsid w:val="00055233"/>
    <w:rsid w:val="00055277"/>
    <w:rsid w:val="000556C5"/>
    <w:rsid w:val="00055712"/>
    <w:rsid w:val="00055D46"/>
    <w:rsid w:val="000561F2"/>
    <w:rsid w:val="000567F2"/>
    <w:rsid w:val="00060139"/>
    <w:rsid w:val="000601EE"/>
    <w:rsid w:val="00061106"/>
    <w:rsid w:val="00061D36"/>
    <w:rsid w:val="00061F17"/>
    <w:rsid w:val="000622DC"/>
    <w:rsid w:val="00062CA3"/>
    <w:rsid w:val="00062CAF"/>
    <w:rsid w:val="00062FEC"/>
    <w:rsid w:val="000631E3"/>
    <w:rsid w:val="00063483"/>
    <w:rsid w:val="000634D6"/>
    <w:rsid w:val="00064140"/>
    <w:rsid w:val="000652D5"/>
    <w:rsid w:val="000661C2"/>
    <w:rsid w:val="000664A6"/>
    <w:rsid w:val="0006677E"/>
    <w:rsid w:val="00066B9F"/>
    <w:rsid w:val="00066D8D"/>
    <w:rsid w:val="000678BD"/>
    <w:rsid w:val="00067A30"/>
    <w:rsid w:val="00067B58"/>
    <w:rsid w:val="00070276"/>
    <w:rsid w:val="000702FB"/>
    <w:rsid w:val="0007071A"/>
    <w:rsid w:val="0007098B"/>
    <w:rsid w:val="00072B8B"/>
    <w:rsid w:val="00074664"/>
    <w:rsid w:val="00074CD2"/>
    <w:rsid w:val="0007570B"/>
    <w:rsid w:val="00075C27"/>
    <w:rsid w:val="00075DF4"/>
    <w:rsid w:val="00075E74"/>
    <w:rsid w:val="00076922"/>
    <w:rsid w:val="00077757"/>
    <w:rsid w:val="00080BCA"/>
    <w:rsid w:val="00080C3C"/>
    <w:rsid w:val="000823BB"/>
    <w:rsid w:val="00083887"/>
    <w:rsid w:val="000847D5"/>
    <w:rsid w:val="0008487F"/>
    <w:rsid w:val="00084977"/>
    <w:rsid w:val="000849A1"/>
    <w:rsid w:val="00084DA6"/>
    <w:rsid w:val="00085169"/>
    <w:rsid w:val="00085336"/>
    <w:rsid w:val="0008571D"/>
    <w:rsid w:val="00085EDD"/>
    <w:rsid w:val="00086670"/>
    <w:rsid w:val="000874F1"/>
    <w:rsid w:val="00087A1B"/>
    <w:rsid w:val="00090057"/>
    <w:rsid w:val="00090D05"/>
    <w:rsid w:val="00090F6E"/>
    <w:rsid w:val="00090F7F"/>
    <w:rsid w:val="000911A1"/>
    <w:rsid w:val="00091897"/>
    <w:rsid w:val="0009241E"/>
    <w:rsid w:val="000924F6"/>
    <w:rsid w:val="0009253E"/>
    <w:rsid w:val="00094171"/>
    <w:rsid w:val="00094478"/>
    <w:rsid w:val="0009472A"/>
    <w:rsid w:val="000955AC"/>
    <w:rsid w:val="00095710"/>
    <w:rsid w:val="000961E0"/>
    <w:rsid w:val="00097626"/>
    <w:rsid w:val="00097642"/>
    <w:rsid w:val="000A02EB"/>
    <w:rsid w:val="000A174F"/>
    <w:rsid w:val="000A1CB0"/>
    <w:rsid w:val="000A316C"/>
    <w:rsid w:val="000A34DA"/>
    <w:rsid w:val="000A3619"/>
    <w:rsid w:val="000A37F3"/>
    <w:rsid w:val="000A3974"/>
    <w:rsid w:val="000A410B"/>
    <w:rsid w:val="000A5413"/>
    <w:rsid w:val="000A645F"/>
    <w:rsid w:val="000A6C40"/>
    <w:rsid w:val="000A76BD"/>
    <w:rsid w:val="000A7977"/>
    <w:rsid w:val="000A79FF"/>
    <w:rsid w:val="000A7BA3"/>
    <w:rsid w:val="000B0985"/>
    <w:rsid w:val="000B2161"/>
    <w:rsid w:val="000B264E"/>
    <w:rsid w:val="000B32A5"/>
    <w:rsid w:val="000B374C"/>
    <w:rsid w:val="000B3AC4"/>
    <w:rsid w:val="000B494D"/>
    <w:rsid w:val="000B55A0"/>
    <w:rsid w:val="000B5F9D"/>
    <w:rsid w:val="000B66B5"/>
    <w:rsid w:val="000B73DD"/>
    <w:rsid w:val="000B7865"/>
    <w:rsid w:val="000B7EFB"/>
    <w:rsid w:val="000C07B6"/>
    <w:rsid w:val="000C2A8C"/>
    <w:rsid w:val="000C3729"/>
    <w:rsid w:val="000C3808"/>
    <w:rsid w:val="000C3D3D"/>
    <w:rsid w:val="000C461F"/>
    <w:rsid w:val="000C488A"/>
    <w:rsid w:val="000C48BA"/>
    <w:rsid w:val="000C4DE1"/>
    <w:rsid w:val="000C52A6"/>
    <w:rsid w:val="000C6389"/>
    <w:rsid w:val="000C68E8"/>
    <w:rsid w:val="000C6F13"/>
    <w:rsid w:val="000C71EB"/>
    <w:rsid w:val="000C7456"/>
    <w:rsid w:val="000C798D"/>
    <w:rsid w:val="000C7EE5"/>
    <w:rsid w:val="000D00FC"/>
    <w:rsid w:val="000D0141"/>
    <w:rsid w:val="000D04CC"/>
    <w:rsid w:val="000D07F5"/>
    <w:rsid w:val="000D0C1F"/>
    <w:rsid w:val="000D0EB9"/>
    <w:rsid w:val="000D1305"/>
    <w:rsid w:val="000D169E"/>
    <w:rsid w:val="000D2261"/>
    <w:rsid w:val="000D2476"/>
    <w:rsid w:val="000D289F"/>
    <w:rsid w:val="000D2CED"/>
    <w:rsid w:val="000D32B9"/>
    <w:rsid w:val="000D3D4A"/>
    <w:rsid w:val="000D462D"/>
    <w:rsid w:val="000D5028"/>
    <w:rsid w:val="000D5EBB"/>
    <w:rsid w:val="000D6A35"/>
    <w:rsid w:val="000D7FD2"/>
    <w:rsid w:val="000E15A5"/>
    <w:rsid w:val="000E1680"/>
    <w:rsid w:val="000E16D2"/>
    <w:rsid w:val="000E18A3"/>
    <w:rsid w:val="000E1F0D"/>
    <w:rsid w:val="000E2DB8"/>
    <w:rsid w:val="000E30A7"/>
    <w:rsid w:val="000E38E9"/>
    <w:rsid w:val="000E3B78"/>
    <w:rsid w:val="000E3EBB"/>
    <w:rsid w:val="000E4173"/>
    <w:rsid w:val="000E4236"/>
    <w:rsid w:val="000E4DAA"/>
    <w:rsid w:val="000E5165"/>
    <w:rsid w:val="000E5232"/>
    <w:rsid w:val="000E560B"/>
    <w:rsid w:val="000E568C"/>
    <w:rsid w:val="000E5BA0"/>
    <w:rsid w:val="000E67F1"/>
    <w:rsid w:val="000E68A1"/>
    <w:rsid w:val="000E693C"/>
    <w:rsid w:val="000E6A27"/>
    <w:rsid w:val="000E6A71"/>
    <w:rsid w:val="000E705E"/>
    <w:rsid w:val="000E78B4"/>
    <w:rsid w:val="000E7CD8"/>
    <w:rsid w:val="000F027C"/>
    <w:rsid w:val="000F0517"/>
    <w:rsid w:val="000F23FF"/>
    <w:rsid w:val="000F4961"/>
    <w:rsid w:val="000F4A93"/>
    <w:rsid w:val="000F4BC7"/>
    <w:rsid w:val="000F4BD7"/>
    <w:rsid w:val="000F4D50"/>
    <w:rsid w:val="000F4DB2"/>
    <w:rsid w:val="000F4DEE"/>
    <w:rsid w:val="000F52D9"/>
    <w:rsid w:val="000F53BD"/>
    <w:rsid w:val="000F55A4"/>
    <w:rsid w:val="000F5C18"/>
    <w:rsid w:val="000F5E70"/>
    <w:rsid w:val="000F6922"/>
    <w:rsid w:val="000F7526"/>
    <w:rsid w:val="000F75AF"/>
    <w:rsid w:val="000F78F6"/>
    <w:rsid w:val="000F7CE9"/>
    <w:rsid w:val="000F7E39"/>
    <w:rsid w:val="001001D5"/>
    <w:rsid w:val="00100A2C"/>
    <w:rsid w:val="001010B5"/>
    <w:rsid w:val="00101A70"/>
    <w:rsid w:val="001027E5"/>
    <w:rsid w:val="0010295F"/>
    <w:rsid w:val="00102CF4"/>
    <w:rsid w:val="001030E5"/>
    <w:rsid w:val="001035EA"/>
    <w:rsid w:val="00103BB1"/>
    <w:rsid w:val="00103C31"/>
    <w:rsid w:val="00103E0E"/>
    <w:rsid w:val="001052D6"/>
    <w:rsid w:val="00105368"/>
    <w:rsid w:val="001058BF"/>
    <w:rsid w:val="00105CE1"/>
    <w:rsid w:val="0010624D"/>
    <w:rsid w:val="00106393"/>
    <w:rsid w:val="00106671"/>
    <w:rsid w:val="001066AB"/>
    <w:rsid w:val="00106A81"/>
    <w:rsid w:val="001077F0"/>
    <w:rsid w:val="00107A81"/>
    <w:rsid w:val="00107B1B"/>
    <w:rsid w:val="00110BDD"/>
    <w:rsid w:val="00111921"/>
    <w:rsid w:val="001119D8"/>
    <w:rsid w:val="00113B26"/>
    <w:rsid w:val="001142D5"/>
    <w:rsid w:val="00114318"/>
    <w:rsid w:val="00114D8E"/>
    <w:rsid w:val="001159FF"/>
    <w:rsid w:val="00115A3F"/>
    <w:rsid w:val="00120689"/>
    <w:rsid w:val="00120A72"/>
    <w:rsid w:val="00120C20"/>
    <w:rsid w:val="00120EF6"/>
    <w:rsid w:val="00120FB9"/>
    <w:rsid w:val="0012236F"/>
    <w:rsid w:val="001224D0"/>
    <w:rsid w:val="001225D4"/>
    <w:rsid w:val="00122917"/>
    <w:rsid w:val="001231C1"/>
    <w:rsid w:val="001233C9"/>
    <w:rsid w:val="001248ED"/>
    <w:rsid w:val="001252F8"/>
    <w:rsid w:val="00125547"/>
    <w:rsid w:val="0012612F"/>
    <w:rsid w:val="001264F3"/>
    <w:rsid w:val="00126E72"/>
    <w:rsid w:val="00127B62"/>
    <w:rsid w:val="00130705"/>
    <w:rsid w:val="001310CA"/>
    <w:rsid w:val="001316B6"/>
    <w:rsid w:val="00132061"/>
    <w:rsid w:val="00132078"/>
    <w:rsid w:val="001326A2"/>
    <w:rsid w:val="001330DF"/>
    <w:rsid w:val="001334DC"/>
    <w:rsid w:val="00133657"/>
    <w:rsid w:val="001336BA"/>
    <w:rsid w:val="00133D47"/>
    <w:rsid w:val="00133E61"/>
    <w:rsid w:val="00134B7C"/>
    <w:rsid w:val="00134C7C"/>
    <w:rsid w:val="00134D60"/>
    <w:rsid w:val="001352C1"/>
    <w:rsid w:val="00135EF3"/>
    <w:rsid w:val="0013600F"/>
    <w:rsid w:val="001360A3"/>
    <w:rsid w:val="00136729"/>
    <w:rsid w:val="00137CC6"/>
    <w:rsid w:val="00137E12"/>
    <w:rsid w:val="00140155"/>
    <w:rsid w:val="00140697"/>
    <w:rsid w:val="001407BE"/>
    <w:rsid w:val="00140DF7"/>
    <w:rsid w:val="00141212"/>
    <w:rsid w:val="001412D0"/>
    <w:rsid w:val="001421D2"/>
    <w:rsid w:val="001421FE"/>
    <w:rsid w:val="001427F3"/>
    <w:rsid w:val="00142E1D"/>
    <w:rsid w:val="00143890"/>
    <w:rsid w:val="0014421E"/>
    <w:rsid w:val="001443C8"/>
    <w:rsid w:val="00144CCC"/>
    <w:rsid w:val="001454D3"/>
    <w:rsid w:val="00145624"/>
    <w:rsid w:val="00145CD8"/>
    <w:rsid w:val="00145CF7"/>
    <w:rsid w:val="0014698B"/>
    <w:rsid w:val="00146A69"/>
    <w:rsid w:val="00146C03"/>
    <w:rsid w:val="00146C65"/>
    <w:rsid w:val="001472FB"/>
    <w:rsid w:val="00147E23"/>
    <w:rsid w:val="00150A15"/>
    <w:rsid w:val="00150D85"/>
    <w:rsid w:val="00150DA3"/>
    <w:rsid w:val="00151572"/>
    <w:rsid w:val="00151812"/>
    <w:rsid w:val="00151D94"/>
    <w:rsid w:val="00152BCA"/>
    <w:rsid w:val="00152BE0"/>
    <w:rsid w:val="00152E9C"/>
    <w:rsid w:val="001532E0"/>
    <w:rsid w:val="00153CC7"/>
    <w:rsid w:val="00153F5F"/>
    <w:rsid w:val="001549DD"/>
    <w:rsid w:val="001552B4"/>
    <w:rsid w:val="00155558"/>
    <w:rsid w:val="00156342"/>
    <w:rsid w:val="00156953"/>
    <w:rsid w:val="00156A47"/>
    <w:rsid w:val="00157153"/>
    <w:rsid w:val="00157CE1"/>
    <w:rsid w:val="00157DD9"/>
    <w:rsid w:val="0016047A"/>
    <w:rsid w:val="00160E04"/>
    <w:rsid w:val="00161D4E"/>
    <w:rsid w:val="00161FF8"/>
    <w:rsid w:val="001632D8"/>
    <w:rsid w:val="00163358"/>
    <w:rsid w:val="0016345B"/>
    <w:rsid w:val="0016366E"/>
    <w:rsid w:val="00164354"/>
    <w:rsid w:val="00164DD0"/>
    <w:rsid w:val="0016536F"/>
    <w:rsid w:val="0016546F"/>
    <w:rsid w:val="00165735"/>
    <w:rsid w:val="00165EAB"/>
    <w:rsid w:val="00166117"/>
    <w:rsid w:val="001662FD"/>
    <w:rsid w:val="001665BC"/>
    <w:rsid w:val="001672EE"/>
    <w:rsid w:val="001675CA"/>
    <w:rsid w:val="00167DB5"/>
    <w:rsid w:val="00170095"/>
    <w:rsid w:val="001703A0"/>
    <w:rsid w:val="00170A33"/>
    <w:rsid w:val="00170CBB"/>
    <w:rsid w:val="001710D5"/>
    <w:rsid w:val="00171DE2"/>
    <w:rsid w:val="00171F78"/>
    <w:rsid w:val="00171F94"/>
    <w:rsid w:val="001731EA"/>
    <w:rsid w:val="0017355C"/>
    <w:rsid w:val="001739BC"/>
    <w:rsid w:val="0017469E"/>
    <w:rsid w:val="00174815"/>
    <w:rsid w:val="00174981"/>
    <w:rsid w:val="00174AF5"/>
    <w:rsid w:val="00175460"/>
    <w:rsid w:val="001757DF"/>
    <w:rsid w:val="001769D7"/>
    <w:rsid w:val="00177B96"/>
    <w:rsid w:val="00177F3D"/>
    <w:rsid w:val="00177F4C"/>
    <w:rsid w:val="00180C81"/>
    <w:rsid w:val="00180D5D"/>
    <w:rsid w:val="00181861"/>
    <w:rsid w:val="00181C4A"/>
    <w:rsid w:val="00182186"/>
    <w:rsid w:val="00182700"/>
    <w:rsid w:val="00182B70"/>
    <w:rsid w:val="0018333E"/>
    <w:rsid w:val="001835BA"/>
    <w:rsid w:val="001838C3"/>
    <w:rsid w:val="0018515C"/>
    <w:rsid w:val="0018524F"/>
    <w:rsid w:val="001855B8"/>
    <w:rsid w:val="00185C38"/>
    <w:rsid w:val="001860A7"/>
    <w:rsid w:val="001869E6"/>
    <w:rsid w:val="00186BB0"/>
    <w:rsid w:val="0018781B"/>
    <w:rsid w:val="00187AA5"/>
    <w:rsid w:val="00187B9D"/>
    <w:rsid w:val="0019030D"/>
    <w:rsid w:val="00190C4C"/>
    <w:rsid w:val="00190F32"/>
    <w:rsid w:val="001919F3"/>
    <w:rsid w:val="00191A67"/>
    <w:rsid w:val="00191BB5"/>
    <w:rsid w:val="00192533"/>
    <w:rsid w:val="00192B76"/>
    <w:rsid w:val="00193555"/>
    <w:rsid w:val="001942A4"/>
    <w:rsid w:val="001943BA"/>
    <w:rsid w:val="00194452"/>
    <w:rsid w:val="0019457C"/>
    <w:rsid w:val="00194C16"/>
    <w:rsid w:val="00194C21"/>
    <w:rsid w:val="00194CC6"/>
    <w:rsid w:val="001951E9"/>
    <w:rsid w:val="00195908"/>
    <w:rsid w:val="0019650E"/>
    <w:rsid w:val="00196A9D"/>
    <w:rsid w:val="00196F58"/>
    <w:rsid w:val="00197A5E"/>
    <w:rsid w:val="00197C81"/>
    <w:rsid w:val="001A029C"/>
    <w:rsid w:val="001A059E"/>
    <w:rsid w:val="001A0B0D"/>
    <w:rsid w:val="001A10B5"/>
    <w:rsid w:val="001A138A"/>
    <w:rsid w:val="001A2ADE"/>
    <w:rsid w:val="001A35E8"/>
    <w:rsid w:val="001A4CB5"/>
    <w:rsid w:val="001A6D5A"/>
    <w:rsid w:val="001A7889"/>
    <w:rsid w:val="001B010C"/>
    <w:rsid w:val="001B0307"/>
    <w:rsid w:val="001B0B57"/>
    <w:rsid w:val="001B0DCD"/>
    <w:rsid w:val="001B19F9"/>
    <w:rsid w:val="001B2396"/>
    <w:rsid w:val="001B24AC"/>
    <w:rsid w:val="001B25EC"/>
    <w:rsid w:val="001B32E6"/>
    <w:rsid w:val="001B363D"/>
    <w:rsid w:val="001B3D44"/>
    <w:rsid w:val="001B4136"/>
    <w:rsid w:val="001B4602"/>
    <w:rsid w:val="001B47B8"/>
    <w:rsid w:val="001B53FF"/>
    <w:rsid w:val="001B583A"/>
    <w:rsid w:val="001B6796"/>
    <w:rsid w:val="001B6DFF"/>
    <w:rsid w:val="001B7DD4"/>
    <w:rsid w:val="001C076D"/>
    <w:rsid w:val="001C08CD"/>
    <w:rsid w:val="001C0D47"/>
    <w:rsid w:val="001C100B"/>
    <w:rsid w:val="001C1329"/>
    <w:rsid w:val="001C1959"/>
    <w:rsid w:val="001C1AC5"/>
    <w:rsid w:val="001C29E7"/>
    <w:rsid w:val="001C2A88"/>
    <w:rsid w:val="001C3012"/>
    <w:rsid w:val="001C335E"/>
    <w:rsid w:val="001C362D"/>
    <w:rsid w:val="001C39B5"/>
    <w:rsid w:val="001C4940"/>
    <w:rsid w:val="001C4E44"/>
    <w:rsid w:val="001C4F43"/>
    <w:rsid w:val="001C5267"/>
    <w:rsid w:val="001C528B"/>
    <w:rsid w:val="001C5BE0"/>
    <w:rsid w:val="001C6371"/>
    <w:rsid w:val="001C6BA5"/>
    <w:rsid w:val="001C77B0"/>
    <w:rsid w:val="001D0253"/>
    <w:rsid w:val="001D159D"/>
    <w:rsid w:val="001D1F2E"/>
    <w:rsid w:val="001D2376"/>
    <w:rsid w:val="001D3FE8"/>
    <w:rsid w:val="001D41D4"/>
    <w:rsid w:val="001D515B"/>
    <w:rsid w:val="001D5467"/>
    <w:rsid w:val="001D61BE"/>
    <w:rsid w:val="001D6617"/>
    <w:rsid w:val="001D66E5"/>
    <w:rsid w:val="001D727E"/>
    <w:rsid w:val="001E0220"/>
    <w:rsid w:val="001E045E"/>
    <w:rsid w:val="001E0749"/>
    <w:rsid w:val="001E0908"/>
    <w:rsid w:val="001E09AD"/>
    <w:rsid w:val="001E1032"/>
    <w:rsid w:val="001E1188"/>
    <w:rsid w:val="001E1887"/>
    <w:rsid w:val="001E2004"/>
    <w:rsid w:val="001E369A"/>
    <w:rsid w:val="001E3B08"/>
    <w:rsid w:val="001E3D8E"/>
    <w:rsid w:val="001E4531"/>
    <w:rsid w:val="001E4E5D"/>
    <w:rsid w:val="001E4FA0"/>
    <w:rsid w:val="001E5843"/>
    <w:rsid w:val="001E5DD9"/>
    <w:rsid w:val="001E65D1"/>
    <w:rsid w:val="001E6C6E"/>
    <w:rsid w:val="001E6F64"/>
    <w:rsid w:val="001E71E1"/>
    <w:rsid w:val="001E7695"/>
    <w:rsid w:val="001F07B3"/>
    <w:rsid w:val="001F0E0C"/>
    <w:rsid w:val="001F1291"/>
    <w:rsid w:val="001F1676"/>
    <w:rsid w:val="001F1854"/>
    <w:rsid w:val="001F19E5"/>
    <w:rsid w:val="001F1AF4"/>
    <w:rsid w:val="001F1D45"/>
    <w:rsid w:val="001F1F22"/>
    <w:rsid w:val="001F2814"/>
    <w:rsid w:val="001F40BF"/>
    <w:rsid w:val="001F427E"/>
    <w:rsid w:val="001F4FBD"/>
    <w:rsid w:val="001F5298"/>
    <w:rsid w:val="001F5529"/>
    <w:rsid w:val="001F6F74"/>
    <w:rsid w:val="001F713D"/>
    <w:rsid w:val="001F757C"/>
    <w:rsid w:val="001F780D"/>
    <w:rsid w:val="00200A8B"/>
    <w:rsid w:val="00200D45"/>
    <w:rsid w:val="00200D69"/>
    <w:rsid w:val="00200F4E"/>
    <w:rsid w:val="00201E18"/>
    <w:rsid w:val="00202C3A"/>
    <w:rsid w:val="00202EC5"/>
    <w:rsid w:val="002030E3"/>
    <w:rsid w:val="002032D8"/>
    <w:rsid w:val="0020390D"/>
    <w:rsid w:val="002048E0"/>
    <w:rsid w:val="00204944"/>
    <w:rsid w:val="0020512A"/>
    <w:rsid w:val="0020553A"/>
    <w:rsid w:val="00205CDA"/>
    <w:rsid w:val="00205E2A"/>
    <w:rsid w:val="002060F6"/>
    <w:rsid w:val="0020629B"/>
    <w:rsid w:val="002076DA"/>
    <w:rsid w:val="00207AC4"/>
    <w:rsid w:val="0021207E"/>
    <w:rsid w:val="00212432"/>
    <w:rsid w:val="002131D5"/>
    <w:rsid w:val="002148A7"/>
    <w:rsid w:val="0021562A"/>
    <w:rsid w:val="0021589A"/>
    <w:rsid w:val="00215A31"/>
    <w:rsid w:val="00215F4F"/>
    <w:rsid w:val="00216279"/>
    <w:rsid w:val="00216413"/>
    <w:rsid w:val="00216B0F"/>
    <w:rsid w:val="00217068"/>
    <w:rsid w:val="0021724D"/>
    <w:rsid w:val="00220E17"/>
    <w:rsid w:val="00220E88"/>
    <w:rsid w:val="00221088"/>
    <w:rsid w:val="0022151B"/>
    <w:rsid w:val="0022157D"/>
    <w:rsid w:val="00221B39"/>
    <w:rsid w:val="00221E8A"/>
    <w:rsid w:val="00222030"/>
    <w:rsid w:val="00222221"/>
    <w:rsid w:val="0022512A"/>
    <w:rsid w:val="002252F5"/>
    <w:rsid w:val="002254C5"/>
    <w:rsid w:val="00225B95"/>
    <w:rsid w:val="0022721B"/>
    <w:rsid w:val="00227D28"/>
    <w:rsid w:val="00227E8D"/>
    <w:rsid w:val="00230F3E"/>
    <w:rsid w:val="0023167B"/>
    <w:rsid w:val="002316DB"/>
    <w:rsid w:val="0023225E"/>
    <w:rsid w:val="00232A30"/>
    <w:rsid w:val="00232BC5"/>
    <w:rsid w:val="00232D19"/>
    <w:rsid w:val="00233168"/>
    <w:rsid w:val="0023355D"/>
    <w:rsid w:val="002336AF"/>
    <w:rsid w:val="00233B6E"/>
    <w:rsid w:val="00234AD8"/>
    <w:rsid w:val="00234CE0"/>
    <w:rsid w:val="00234E28"/>
    <w:rsid w:val="00235642"/>
    <w:rsid w:val="00235676"/>
    <w:rsid w:val="00235889"/>
    <w:rsid w:val="00235ACC"/>
    <w:rsid w:val="00235BD2"/>
    <w:rsid w:val="00236537"/>
    <w:rsid w:val="002373DA"/>
    <w:rsid w:val="0023787C"/>
    <w:rsid w:val="002379DD"/>
    <w:rsid w:val="00237DCE"/>
    <w:rsid w:val="00240329"/>
    <w:rsid w:val="002419BD"/>
    <w:rsid w:val="00241A3D"/>
    <w:rsid w:val="002429C2"/>
    <w:rsid w:val="00242A93"/>
    <w:rsid w:val="00242FD8"/>
    <w:rsid w:val="002448E3"/>
    <w:rsid w:val="00244AC9"/>
    <w:rsid w:val="0024531A"/>
    <w:rsid w:val="00245CB5"/>
    <w:rsid w:val="002469D5"/>
    <w:rsid w:val="00246B21"/>
    <w:rsid w:val="002474D3"/>
    <w:rsid w:val="00250F82"/>
    <w:rsid w:val="00251110"/>
    <w:rsid w:val="0025183F"/>
    <w:rsid w:val="00251CF0"/>
    <w:rsid w:val="002532C4"/>
    <w:rsid w:val="002539B8"/>
    <w:rsid w:val="00253A2B"/>
    <w:rsid w:val="002546C6"/>
    <w:rsid w:val="002559BB"/>
    <w:rsid w:val="0025641F"/>
    <w:rsid w:val="00256420"/>
    <w:rsid w:val="00257C17"/>
    <w:rsid w:val="00257DCE"/>
    <w:rsid w:val="002605F1"/>
    <w:rsid w:val="002609C3"/>
    <w:rsid w:val="00260DBA"/>
    <w:rsid w:val="00261064"/>
    <w:rsid w:val="00261AA1"/>
    <w:rsid w:val="00261C3B"/>
    <w:rsid w:val="00261D6C"/>
    <w:rsid w:val="00262E25"/>
    <w:rsid w:val="00263684"/>
    <w:rsid w:val="0026407E"/>
    <w:rsid w:val="0026430E"/>
    <w:rsid w:val="002647DB"/>
    <w:rsid w:val="002649CE"/>
    <w:rsid w:val="00264B54"/>
    <w:rsid w:val="00264B79"/>
    <w:rsid w:val="00264C28"/>
    <w:rsid w:val="00264EB2"/>
    <w:rsid w:val="00265C9F"/>
    <w:rsid w:val="00265F5D"/>
    <w:rsid w:val="00267F49"/>
    <w:rsid w:val="0027002E"/>
    <w:rsid w:val="002702D4"/>
    <w:rsid w:val="00271275"/>
    <w:rsid w:val="00271376"/>
    <w:rsid w:val="002717C6"/>
    <w:rsid w:val="002718AF"/>
    <w:rsid w:val="00271B49"/>
    <w:rsid w:val="00271F45"/>
    <w:rsid w:val="00272AE5"/>
    <w:rsid w:val="002736D2"/>
    <w:rsid w:val="00273DE0"/>
    <w:rsid w:val="00273FA3"/>
    <w:rsid w:val="00275313"/>
    <w:rsid w:val="00275EAB"/>
    <w:rsid w:val="002763D9"/>
    <w:rsid w:val="00276A1A"/>
    <w:rsid w:val="00276BB2"/>
    <w:rsid w:val="00276F7E"/>
    <w:rsid w:val="0027714F"/>
    <w:rsid w:val="00277188"/>
    <w:rsid w:val="0027775C"/>
    <w:rsid w:val="002777AB"/>
    <w:rsid w:val="002777E4"/>
    <w:rsid w:val="002800F4"/>
    <w:rsid w:val="00280229"/>
    <w:rsid w:val="00280F8F"/>
    <w:rsid w:val="0028121B"/>
    <w:rsid w:val="0028137D"/>
    <w:rsid w:val="00281750"/>
    <w:rsid w:val="00281CB1"/>
    <w:rsid w:val="00282105"/>
    <w:rsid w:val="00282942"/>
    <w:rsid w:val="00282B19"/>
    <w:rsid w:val="0028380A"/>
    <w:rsid w:val="00283A14"/>
    <w:rsid w:val="00283B94"/>
    <w:rsid w:val="00283D4F"/>
    <w:rsid w:val="00283F25"/>
    <w:rsid w:val="00284E77"/>
    <w:rsid w:val="00285479"/>
    <w:rsid w:val="0028590E"/>
    <w:rsid w:val="0028666F"/>
    <w:rsid w:val="00287334"/>
    <w:rsid w:val="002876D1"/>
    <w:rsid w:val="002878DF"/>
    <w:rsid w:val="00287EDA"/>
    <w:rsid w:val="002908E0"/>
    <w:rsid w:val="00290BC0"/>
    <w:rsid w:val="00291E12"/>
    <w:rsid w:val="00292192"/>
    <w:rsid w:val="00293169"/>
    <w:rsid w:val="00293ABA"/>
    <w:rsid w:val="002942E8"/>
    <w:rsid w:val="0029535A"/>
    <w:rsid w:val="002955AE"/>
    <w:rsid w:val="00296CBD"/>
    <w:rsid w:val="002977A8"/>
    <w:rsid w:val="002A0435"/>
    <w:rsid w:val="002A0E6F"/>
    <w:rsid w:val="002A0F54"/>
    <w:rsid w:val="002A13AE"/>
    <w:rsid w:val="002A13D0"/>
    <w:rsid w:val="002A148B"/>
    <w:rsid w:val="002A1AAF"/>
    <w:rsid w:val="002A1F6D"/>
    <w:rsid w:val="002A29BD"/>
    <w:rsid w:val="002A2D5C"/>
    <w:rsid w:val="002A3AB4"/>
    <w:rsid w:val="002A3AE5"/>
    <w:rsid w:val="002A42A5"/>
    <w:rsid w:val="002A44CE"/>
    <w:rsid w:val="002A52B6"/>
    <w:rsid w:val="002A53B5"/>
    <w:rsid w:val="002A5CC8"/>
    <w:rsid w:val="002A6AA9"/>
    <w:rsid w:val="002A71B6"/>
    <w:rsid w:val="002A7288"/>
    <w:rsid w:val="002A749A"/>
    <w:rsid w:val="002B0053"/>
    <w:rsid w:val="002B04E5"/>
    <w:rsid w:val="002B105C"/>
    <w:rsid w:val="002B138E"/>
    <w:rsid w:val="002B1ED0"/>
    <w:rsid w:val="002B3037"/>
    <w:rsid w:val="002B380C"/>
    <w:rsid w:val="002B3FEF"/>
    <w:rsid w:val="002B41E3"/>
    <w:rsid w:val="002B4288"/>
    <w:rsid w:val="002B4691"/>
    <w:rsid w:val="002B4725"/>
    <w:rsid w:val="002B47CF"/>
    <w:rsid w:val="002B51E0"/>
    <w:rsid w:val="002B5A0B"/>
    <w:rsid w:val="002B5CCC"/>
    <w:rsid w:val="002B62BA"/>
    <w:rsid w:val="002B6325"/>
    <w:rsid w:val="002B67C8"/>
    <w:rsid w:val="002B6CFE"/>
    <w:rsid w:val="002B73FC"/>
    <w:rsid w:val="002B7582"/>
    <w:rsid w:val="002C07CC"/>
    <w:rsid w:val="002C1F9C"/>
    <w:rsid w:val="002C2105"/>
    <w:rsid w:val="002C2309"/>
    <w:rsid w:val="002C236A"/>
    <w:rsid w:val="002C3188"/>
    <w:rsid w:val="002C3B1E"/>
    <w:rsid w:val="002C3F6F"/>
    <w:rsid w:val="002C4651"/>
    <w:rsid w:val="002C4D07"/>
    <w:rsid w:val="002C5656"/>
    <w:rsid w:val="002C5D8A"/>
    <w:rsid w:val="002C6C39"/>
    <w:rsid w:val="002D0DA9"/>
    <w:rsid w:val="002D0E5B"/>
    <w:rsid w:val="002D0E82"/>
    <w:rsid w:val="002D0E9B"/>
    <w:rsid w:val="002D0F98"/>
    <w:rsid w:val="002D1955"/>
    <w:rsid w:val="002D19A5"/>
    <w:rsid w:val="002D1DA2"/>
    <w:rsid w:val="002D1E6A"/>
    <w:rsid w:val="002D2502"/>
    <w:rsid w:val="002D27C3"/>
    <w:rsid w:val="002D3B81"/>
    <w:rsid w:val="002D3F93"/>
    <w:rsid w:val="002D5684"/>
    <w:rsid w:val="002D6449"/>
    <w:rsid w:val="002D74A4"/>
    <w:rsid w:val="002D7BDC"/>
    <w:rsid w:val="002D7E69"/>
    <w:rsid w:val="002E0834"/>
    <w:rsid w:val="002E1EA7"/>
    <w:rsid w:val="002E301D"/>
    <w:rsid w:val="002E3695"/>
    <w:rsid w:val="002E4847"/>
    <w:rsid w:val="002E54A6"/>
    <w:rsid w:val="002E5745"/>
    <w:rsid w:val="002E69F7"/>
    <w:rsid w:val="002E6E46"/>
    <w:rsid w:val="002E769F"/>
    <w:rsid w:val="002E7880"/>
    <w:rsid w:val="002E7A5B"/>
    <w:rsid w:val="002F0328"/>
    <w:rsid w:val="002F0EA1"/>
    <w:rsid w:val="002F0F6A"/>
    <w:rsid w:val="002F1264"/>
    <w:rsid w:val="002F130A"/>
    <w:rsid w:val="002F1863"/>
    <w:rsid w:val="002F1F02"/>
    <w:rsid w:val="002F216B"/>
    <w:rsid w:val="002F2461"/>
    <w:rsid w:val="002F246F"/>
    <w:rsid w:val="002F2B90"/>
    <w:rsid w:val="002F2E86"/>
    <w:rsid w:val="002F43F5"/>
    <w:rsid w:val="002F4573"/>
    <w:rsid w:val="002F4903"/>
    <w:rsid w:val="002F49F8"/>
    <w:rsid w:val="002F53AB"/>
    <w:rsid w:val="002F53EB"/>
    <w:rsid w:val="002F6CD0"/>
    <w:rsid w:val="002F6FD8"/>
    <w:rsid w:val="002F709D"/>
    <w:rsid w:val="003001A8"/>
    <w:rsid w:val="0030102F"/>
    <w:rsid w:val="003011B9"/>
    <w:rsid w:val="00301381"/>
    <w:rsid w:val="00301791"/>
    <w:rsid w:val="003025EC"/>
    <w:rsid w:val="00302BED"/>
    <w:rsid w:val="0030312A"/>
    <w:rsid w:val="00303655"/>
    <w:rsid w:val="00303703"/>
    <w:rsid w:val="00304D70"/>
    <w:rsid w:val="00304D85"/>
    <w:rsid w:val="00304DF3"/>
    <w:rsid w:val="00305B0D"/>
    <w:rsid w:val="00305B3F"/>
    <w:rsid w:val="00305FAA"/>
    <w:rsid w:val="003061D0"/>
    <w:rsid w:val="00306649"/>
    <w:rsid w:val="003067EC"/>
    <w:rsid w:val="00306D21"/>
    <w:rsid w:val="00307247"/>
    <w:rsid w:val="003074CA"/>
    <w:rsid w:val="003103CC"/>
    <w:rsid w:val="00310B11"/>
    <w:rsid w:val="00312F5D"/>
    <w:rsid w:val="00313C22"/>
    <w:rsid w:val="00314512"/>
    <w:rsid w:val="00314F8D"/>
    <w:rsid w:val="00315B54"/>
    <w:rsid w:val="00315B92"/>
    <w:rsid w:val="00315D0F"/>
    <w:rsid w:val="003161E4"/>
    <w:rsid w:val="00316DD4"/>
    <w:rsid w:val="00317440"/>
    <w:rsid w:val="00317619"/>
    <w:rsid w:val="00317EA7"/>
    <w:rsid w:val="00320176"/>
    <w:rsid w:val="00320214"/>
    <w:rsid w:val="0032056A"/>
    <w:rsid w:val="0032078F"/>
    <w:rsid w:val="0032092C"/>
    <w:rsid w:val="003211D1"/>
    <w:rsid w:val="0032174A"/>
    <w:rsid w:val="00322252"/>
    <w:rsid w:val="0032242C"/>
    <w:rsid w:val="00323758"/>
    <w:rsid w:val="00323DDF"/>
    <w:rsid w:val="003246D6"/>
    <w:rsid w:val="003252DF"/>
    <w:rsid w:val="003262DC"/>
    <w:rsid w:val="00326CFB"/>
    <w:rsid w:val="00327283"/>
    <w:rsid w:val="00327893"/>
    <w:rsid w:val="00327B61"/>
    <w:rsid w:val="0033093B"/>
    <w:rsid w:val="00330A6F"/>
    <w:rsid w:val="00330E56"/>
    <w:rsid w:val="00331607"/>
    <w:rsid w:val="00331C9F"/>
    <w:rsid w:val="00332CBE"/>
    <w:rsid w:val="00333409"/>
    <w:rsid w:val="00333CE6"/>
    <w:rsid w:val="003340F6"/>
    <w:rsid w:val="003353B0"/>
    <w:rsid w:val="003354A2"/>
    <w:rsid w:val="00335BFD"/>
    <w:rsid w:val="00336B3B"/>
    <w:rsid w:val="003375E2"/>
    <w:rsid w:val="00340679"/>
    <w:rsid w:val="00340A4E"/>
    <w:rsid w:val="003417D7"/>
    <w:rsid w:val="00341A91"/>
    <w:rsid w:val="00342E49"/>
    <w:rsid w:val="0034317C"/>
    <w:rsid w:val="003437FB"/>
    <w:rsid w:val="00343F11"/>
    <w:rsid w:val="00343FA8"/>
    <w:rsid w:val="00344BE6"/>
    <w:rsid w:val="003454FF"/>
    <w:rsid w:val="00345D1A"/>
    <w:rsid w:val="00345EFE"/>
    <w:rsid w:val="003461ED"/>
    <w:rsid w:val="0034689C"/>
    <w:rsid w:val="00347E8F"/>
    <w:rsid w:val="00350291"/>
    <w:rsid w:val="00350F79"/>
    <w:rsid w:val="003518C4"/>
    <w:rsid w:val="00352789"/>
    <w:rsid w:val="00352B6D"/>
    <w:rsid w:val="00352B7B"/>
    <w:rsid w:val="00353704"/>
    <w:rsid w:val="00354770"/>
    <w:rsid w:val="00354DD7"/>
    <w:rsid w:val="00354E7A"/>
    <w:rsid w:val="003559EF"/>
    <w:rsid w:val="003564AB"/>
    <w:rsid w:val="00356C67"/>
    <w:rsid w:val="0036002F"/>
    <w:rsid w:val="00361861"/>
    <w:rsid w:val="00361B6D"/>
    <w:rsid w:val="00361D48"/>
    <w:rsid w:val="00362360"/>
    <w:rsid w:val="003626D7"/>
    <w:rsid w:val="003634F1"/>
    <w:rsid w:val="00363838"/>
    <w:rsid w:val="00364114"/>
    <w:rsid w:val="00365228"/>
    <w:rsid w:val="00365B1F"/>
    <w:rsid w:val="00365D97"/>
    <w:rsid w:val="0036680A"/>
    <w:rsid w:val="00366BB6"/>
    <w:rsid w:val="00367135"/>
    <w:rsid w:val="003671A9"/>
    <w:rsid w:val="003672A9"/>
    <w:rsid w:val="003674DF"/>
    <w:rsid w:val="0037060C"/>
    <w:rsid w:val="00370E22"/>
    <w:rsid w:val="003717A2"/>
    <w:rsid w:val="0037203A"/>
    <w:rsid w:val="00372252"/>
    <w:rsid w:val="003727EA"/>
    <w:rsid w:val="00372FCA"/>
    <w:rsid w:val="00373752"/>
    <w:rsid w:val="003744D6"/>
    <w:rsid w:val="0037464C"/>
    <w:rsid w:val="003749B4"/>
    <w:rsid w:val="00375354"/>
    <w:rsid w:val="00376043"/>
    <w:rsid w:val="00376176"/>
    <w:rsid w:val="0037624E"/>
    <w:rsid w:val="00376335"/>
    <w:rsid w:val="00376B39"/>
    <w:rsid w:val="00376C6B"/>
    <w:rsid w:val="00376DB7"/>
    <w:rsid w:val="0037766C"/>
    <w:rsid w:val="003778F8"/>
    <w:rsid w:val="00377D36"/>
    <w:rsid w:val="003803AF"/>
    <w:rsid w:val="00380485"/>
    <w:rsid w:val="00380764"/>
    <w:rsid w:val="00380B99"/>
    <w:rsid w:val="00380D85"/>
    <w:rsid w:val="00381220"/>
    <w:rsid w:val="00381C6B"/>
    <w:rsid w:val="00381D2E"/>
    <w:rsid w:val="00382F22"/>
    <w:rsid w:val="003837ED"/>
    <w:rsid w:val="00383822"/>
    <w:rsid w:val="00383D1A"/>
    <w:rsid w:val="00383F44"/>
    <w:rsid w:val="0038459D"/>
    <w:rsid w:val="0038476B"/>
    <w:rsid w:val="0038497E"/>
    <w:rsid w:val="00384AC7"/>
    <w:rsid w:val="00384E7C"/>
    <w:rsid w:val="0038506C"/>
    <w:rsid w:val="003853B3"/>
    <w:rsid w:val="0038541D"/>
    <w:rsid w:val="00386461"/>
    <w:rsid w:val="00386D4F"/>
    <w:rsid w:val="0038703C"/>
    <w:rsid w:val="003873C1"/>
    <w:rsid w:val="00387DF5"/>
    <w:rsid w:val="00390670"/>
    <w:rsid w:val="00390C99"/>
    <w:rsid w:val="00391884"/>
    <w:rsid w:val="00391CAD"/>
    <w:rsid w:val="00391CCD"/>
    <w:rsid w:val="003924DF"/>
    <w:rsid w:val="003931B1"/>
    <w:rsid w:val="00393A7C"/>
    <w:rsid w:val="00393F08"/>
    <w:rsid w:val="00394C71"/>
    <w:rsid w:val="003962AF"/>
    <w:rsid w:val="003973FE"/>
    <w:rsid w:val="0039750D"/>
    <w:rsid w:val="003976EE"/>
    <w:rsid w:val="003A010F"/>
    <w:rsid w:val="003A01EC"/>
    <w:rsid w:val="003A0615"/>
    <w:rsid w:val="003A16EC"/>
    <w:rsid w:val="003A1DBA"/>
    <w:rsid w:val="003A27C2"/>
    <w:rsid w:val="003A2B4D"/>
    <w:rsid w:val="003A2B81"/>
    <w:rsid w:val="003A2F73"/>
    <w:rsid w:val="003A32F5"/>
    <w:rsid w:val="003A3702"/>
    <w:rsid w:val="003A389C"/>
    <w:rsid w:val="003A39BF"/>
    <w:rsid w:val="003A3D50"/>
    <w:rsid w:val="003A4023"/>
    <w:rsid w:val="003A4123"/>
    <w:rsid w:val="003A44AF"/>
    <w:rsid w:val="003A6272"/>
    <w:rsid w:val="003A75B8"/>
    <w:rsid w:val="003A7A20"/>
    <w:rsid w:val="003B084D"/>
    <w:rsid w:val="003B14B1"/>
    <w:rsid w:val="003B1855"/>
    <w:rsid w:val="003B1AD3"/>
    <w:rsid w:val="003B1CD1"/>
    <w:rsid w:val="003B30E9"/>
    <w:rsid w:val="003B34E8"/>
    <w:rsid w:val="003B3725"/>
    <w:rsid w:val="003B3B67"/>
    <w:rsid w:val="003B3EE7"/>
    <w:rsid w:val="003B56CD"/>
    <w:rsid w:val="003B72A9"/>
    <w:rsid w:val="003B7537"/>
    <w:rsid w:val="003B775A"/>
    <w:rsid w:val="003B7BC7"/>
    <w:rsid w:val="003B7D95"/>
    <w:rsid w:val="003B7DF0"/>
    <w:rsid w:val="003C04C8"/>
    <w:rsid w:val="003C0C11"/>
    <w:rsid w:val="003C113A"/>
    <w:rsid w:val="003C1790"/>
    <w:rsid w:val="003C18F8"/>
    <w:rsid w:val="003C3089"/>
    <w:rsid w:val="003C3095"/>
    <w:rsid w:val="003C32E8"/>
    <w:rsid w:val="003C3A44"/>
    <w:rsid w:val="003C3AC5"/>
    <w:rsid w:val="003C445C"/>
    <w:rsid w:val="003C6B80"/>
    <w:rsid w:val="003C72B6"/>
    <w:rsid w:val="003C7842"/>
    <w:rsid w:val="003D01C2"/>
    <w:rsid w:val="003D02C3"/>
    <w:rsid w:val="003D07EA"/>
    <w:rsid w:val="003D0AA1"/>
    <w:rsid w:val="003D1C97"/>
    <w:rsid w:val="003D253F"/>
    <w:rsid w:val="003D350B"/>
    <w:rsid w:val="003D3628"/>
    <w:rsid w:val="003D3C19"/>
    <w:rsid w:val="003D3EE0"/>
    <w:rsid w:val="003D4DA4"/>
    <w:rsid w:val="003D50A2"/>
    <w:rsid w:val="003D5B54"/>
    <w:rsid w:val="003D737A"/>
    <w:rsid w:val="003D7B11"/>
    <w:rsid w:val="003D7FBB"/>
    <w:rsid w:val="003E07A8"/>
    <w:rsid w:val="003E1C74"/>
    <w:rsid w:val="003E235F"/>
    <w:rsid w:val="003E265F"/>
    <w:rsid w:val="003E2A56"/>
    <w:rsid w:val="003E3819"/>
    <w:rsid w:val="003E4C16"/>
    <w:rsid w:val="003E4FE2"/>
    <w:rsid w:val="003E548F"/>
    <w:rsid w:val="003E5688"/>
    <w:rsid w:val="003E6371"/>
    <w:rsid w:val="003E72AC"/>
    <w:rsid w:val="003F04A3"/>
    <w:rsid w:val="003F0A4A"/>
    <w:rsid w:val="003F0AA8"/>
    <w:rsid w:val="003F1157"/>
    <w:rsid w:val="003F121E"/>
    <w:rsid w:val="003F1391"/>
    <w:rsid w:val="003F13B3"/>
    <w:rsid w:val="003F1DCD"/>
    <w:rsid w:val="003F1DED"/>
    <w:rsid w:val="003F27BE"/>
    <w:rsid w:val="003F2F09"/>
    <w:rsid w:val="003F45CB"/>
    <w:rsid w:val="003F4D5E"/>
    <w:rsid w:val="003F4E0E"/>
    <w:rsid w:val="003F5E55"/>
    <w:rsid w:val="003F690B"/>
    <w:rsid w:val="003F6A05"/>
    <w:rsid w:val="003F6DAE"/>
    <w:rsid w:val="003F7A62"/>
    <w:rsid w:val="003F7C33"/>
    <w:rsid w:val="003F7F06"/>
    <w:rsid w:val="004003E3"/>
    <w:rsid w:val="00400B08"/>
    <w:rsid w:val="00400D0C"/>
    <w:rsid w:val="00401258"/>
    <w:rsid w:val="0040134C"/>
    <w:rsid w:val="0040149B"/>
    <w:rsid w:val="00401709"/>
    <w:rsid w:val="00401DCC"/>
    <w:rsid w:val="00402200"/>
    <w:rsid w:val="00402822"/>
    <w:rsid w:val="004029EF"/>
    <w:rsid w:val="00403615"/>
    <w:rsid w:val="00403E19"/>
    <w:rsid w:val="00404907"/>
    <w:rsid w:val="00404AAC"/>
    <w:rsid w:val="00404BB3"/>
    <w:rsid w:val="00404F17"/>
    <w:rsid w:val="00405024"/>
    <w:rsid w:val="00405ECA"/>
    <w:rsid w:val="00406269"/>
    <w:rsid w:val="00406E91"/>
    <w:rsid w:val="0040740A"/>
    <w:rsid w:val="004074CC"/>
    <w:rsid w:val="00407C54"/>
    <w:rsid w:val="00407F12"/>
    <w:rsid w:val="00407FA0"/>
    <w:rsid w:val="00411559"/>
    <w:rsid w:val="00411AEF"/>
    <w:rsid w:val="00411DE0"/>
    <w:rsid w:val="00412BBC"/>
    <w:rsid w:val="00412E92"/>
    <w:rsid w:val="00413AD4"/>
    <w:rsid w:val="00413E36"/>
    <w:rsid w:val="00413FCA"/>
    <w:rsid w:val="004140EB"/>
    <w:rsid w:val="0041467F"/>
    <w:rsid w:val="00414EA1"/>
    <w:rsid w:val="00415084"/>
    <w:rsid w:val="00415F96"/>
    <w:rsid w:val="004212E5"/>
    <w:rsid w:val="00421BC7"/>
    <w:rsid w:val="00421FDB"/>
    <w:rsid w:val="00422679"/>
    <w:rsid w:val="00422C2C"/>
    <w:rsid w:val="00422C6D"/>
    <w:rsid w:val="00423526"/>
    <w:rsid w:val="00423A03"/>
    <w:rsid w:val="004246BE"/>
    <w:rsid w:val="00424ED5"/>
    <w:rsid w:val="00425574"/>
    <w:rsid w:val="0042580F"/>
    <w:rsid w:val="00425F7B"/>
    <w:rsid w:val="00426209"/>
    <w:rsid w:val="0042679D"/>
    <w:rsid w:val="004267E5"/>
    <w:rsid w:val="00427636"/>
    <w:rsid w:val="00427638"/>
    <w:rsid w:val="00431710"/>
    <w:rsid w:val="0043174D"/>
    <w:rsid w:val="004317BA"/>
    <w:rsid w:val="00431979"/>
    <w:rsid w:val="00431C32"/>
    <w:rsid w:val="00432C60"/>
    <w:rsid w:val="00433B59"/>
    <w:rsid w:val="00433DA8"/>
    <w:rsid w:val="0043423E"/>
    <w:rsid w:val="00434748"/>
    <w:rsid w:val="004349A6"/>
    <w:rsid w:val="00436024"/>
    <w:rsid w:val="0043632F"/>
    <w:rsid w:val="004366C4"/>
    <w:rsid w:val="00436F2D"/>
    <w:rsid w:val="0043790A"/>
    <w:rsid w:val="00440587"/>
    <w:rsid w:val="0044268B"/>
    <w:rsid w:val="00442DD5"/>
    <w:rsid w:val="00442DE7"/>
    <w:rsid w:val="00443A83"/>
    <w:rsid w:val="004442D4"/>
    <w:rsid w:val="0044446E"/>
    <w:rsid w:val="00445378"/>
    <w:rsid w:val="00445623"/>
    <w:rsid w:val="0044566F"/>
    <w:rsid w:val="00445F4B"/>
    <w:rsid w:val="00446260"/>
    <w:rsid w:val="00446502"/>
    <w:rsid w:val="004469D9"/>
    <w:rsid w:val="00447375"/>
    <w:rsid w:val="00447DFF"/>
    <w:rsid w:val="00447E72"/>
    <w:rsid w:val="00450879"/>
    <w:rsid w:val="00450B0F"/>
    <w:rsid w:val="00451E74"/>
    <w:rsid w:val="004521BC"/>
    <w:rsid w:val="004532BF"/>
    <w:rsid w:val="0045386B"/>
    <w:rsid w:val="004538B7"/>
    <w:rsid w:val="004543B6"/>
    <w:rsid w:val="00454763"/>
    <w:rsid w:val="00454949"/>
    <w:rsid w:val="00454CF9"/>
    <w:rsid w:val="00454F67"/>
    <w:rsid w:val="00455A0C"/>
    <w:rsid w:val="00455F8C"/>
    <w:rsid w:val="00455FC7"/>
    <w:rsid w:val="00456CF7"/>
    <w:rsid w:val="00456D07"/>
    <w:rsid w:val="00456DAC"/>
    <w:rsid w:val="00457D3E"/>
    <w:rsid w:val="00460276"/>
    <w:rsid w:val="004604BD"/>
    <w:rsid w:val="004607CF"/>
    <w:rsid w:val="0046160C"/>
    <w:rsid w:val="0046179B"/>
    <w:rsid w:val="00461D6E"/>
    <w:rsid w:val="004624F5"/>
    <w:rsid w:val="00463A44"/>
    <w:rsid w:val="00464895"/>
    <w:rsid w:val="00465EAC"/>
    <w:rsid w:val="004663B4"/>
    <w:rsid w:val="0046679D"/>
    <w:rsid w:val="0046694B"/>
    <w:rsid w:val="00470AB7"/>
    <w:rsid w:val="00471492"/>
    <w:rsid w:val="00471709"/>
    <w:rsid w:val="0047210D"/>
    <w:rsid w:val="004724D0"/>
    <w:rsid w:val="004728BF"/>
    <w:rsid w:val="00472B12"/>
    <w:rsid w:val="00474178"/>
    <w:rsid w:val="0047450A"/>
    <w:rsid w:val="0047488D"/>
    <w:rsid w:val="004749F0"/>
    <w:rsid w:val="00475735"/>
    <w:rsid w:val="00475A1E"/>
    <w:rsid w:val="00475A83"/>
    <w:rsid w:val="00476E92"/>
    <w:rsid w:val="0048029B"/>
    <w:rsid w:val="0048108A"/>
    <w:rsid w:val="00481286"/>
    <w:rsid w:val="004819C7"/>
    <w:rsid w:val="00481F5B"/>
    <w:rsid w:val="00482038"/>
    <w:rsid w:val="00482067"/>
    <w:rsid w:val="0048234D"/>
    <w:rsid w:val="004827DA"/>
    <w:rsid w:val="00484220"/>
    <w:rsid w:val="0048436D"/>
    <w:rsid w:val="00484664"/>
    <w:rsid w:val="0048491A"/>
    <w:rsid w:val="004851A3"/>
    <w:rsid w:val="0048577B"/>
    <w:rsid w:val="00485C8F"/>
    <w:rsid w:val="00485EE9"/>
    <w:rsid w:val="00485F20"/>
    <w:rsid w:val="004866EA"/>
    <w:rsid w:val="00486ECB"/>
    <w:rsid w:val="004875C9"/>
    <w:rsid w:val="00490774"/>
    <w:rsid w:val="00490C8D"/>
    <w:rsid w:val="0049106A"/>
    <w:rsid w:val="0049106F"/>
    <w:rsid w:val="0049111F"/>
    <w:rsid w:val="004913A2"/>
    <w:rsid w:val="004914CD"/>
    <w:rsid w:val="004919A1"/>
    <w:rsid w:val="00491B46"/>
    <w:rsid w:val="00491C66"/>
    <w:rsid w:val="00491F14"/>
    <w:rsid w:val="00492EF0"/>
    <w:rsid w:val="00493150"/>
    <w:rsid w:val="004931B1"/>
    <w:rsid w:val="00494CCE"/>
    <w:rsid w:val="00495E02"/>
    <w:rsid w:val="00496E84"/>
    <w:rsid w:val="004974E2"/>
    <w:rsid w:val="004975F9"/>
    <w:rsid w:val="0049773E"/>
    <w:rsid w:val="004A0C51"/>
    <w:rsid w:val="004A1D0B"/>
    <w:rsid w:val="004A2D55"/>
    <w:rsid w:val="004A2F06"/>
    <w:rsid w:val="004A3102"/>
    <w:rsid w:val="004A4BED"/>
    <w:rsid w:val="004A5273"/>
    <w:rsid w:val="004A5A78"/>
    <w:rsid w:val="004A5D2C"/>
    <w:rsid w:val="004A61F0"/>
    <w:rsid w:val="004A63B3"/>
    <w:rsid w:val="004A6955"/>
    <w:rsid w:val="004A6C1E"/>
    <w:rsid w:val="004A6FE2"/>
    <w:rsid w:val="004A7BC8"/>
    <w:rsid w:val="004A7C41"/>
    <w:rsid w:val="004A7F41"/>
    <w:rsid w:val="004B09BA"/>
    <w:rsid w:val="004B1B4E"/>
    <w:rsid w:val="004B2CE3"/>
    <w:rsid w:val="004B2D37"/>
    <w:rsid w:val="004B3142"/>
    <w:rsid w:val="004B3AA0"/>
    <w:rsid w:val="004B3C8E"/>
    <w:rsid w:val="004B42A9"/>
    <w:rsid w:val="004B453B"/>
    <w:rsid w:val="004B4737"/>
    <w:rsid w:val="004B4AC0"/>
    <w:rsid w:val="004B50EE"/>
    <w:rsid w:val="004B5B18"/>
    <w:rsid w:val="004B62DE"/>
    <w:rsid w:val="004B652C"/>
    <w:rsid w:val="004B6CCC"/>
    <w:rsid w:val="004B79FF"/>
    <w:rsid w:val="004B7B40"/>
    <w:rsid w:val="004B7BB5"/>
    <w:rsid w:val="004C0329"/>
    <w:rsid w:val="004C0429"/>
    <w:rsid w:val="004C0A0E"/>
    <w:rsid w:val="004C1361"/>
    <w:rsid w:val="004C136E"/>
    <w:rsid w:val="004C21E0"/>
    <w:rsid w:val="004C2E12"/>
    <w:rsid w:val="004C3172"/>
    <w:rsid w:val="004C368F"/>
    <w:rsid w:val="004C3E14"/>
    <w:rsid w:val="004C4021"/>
    <w:rsid w:val="004C47F4"/>
    <w:rsid w:val="004C5682"/>
    <w:rsid w:val="004C57C5"/>
    <w:rsid w:val="004C598C"/>
    <w:rsid w:val="004C59E4"/>
    <w:rsid w:val="004C5FD4"/>
    <w:rsid w:val="004C60BF"/>
    <w:rsid w:val="004C68B9"/>
    <w:rsid w:val="004C6B0A"/>
    <w:rsid w:val="004C6FB7"/>
    <w:rsid w:val="004C74C4"/>
    <w:rsid w:val="004C7D74"/>
    <w:rsid w:val="004C7D7E"/>
    <w:rsid w:val="004D0662"/>
    <w:rsid w:val="004D0BCA"/>
    <w:rsid w:val="004D17E3"/>
    <w:rsid w:val="004D25F0"/>
    <w:rsid w:val="004D29EC"/>
    <w:rsid w:val="004D31CD"/>
    <w:rsid w:val="004D3E88"/>
    <w:rsid w:val="004D5889"/>
    <w:rsid w:val="004D5C14"/>
    <w:rsid w:val="004D5C37"/>
    <w:rsid w:val="004D5C4D"/>
    <w:rsid w:val="004D6092"/>
    <w:rsid w:val="004D6719"/>
    <w:rsid w:val="004D74F4"/>
    <w:rsid w:val="004E01B4"/>
    <w:rsid w:val="004E033F"/>
    <w:rsid w:val="004E0609"/>
    <w:rsid w:val="004E0877"/>
    <w:rsid w:val="004E1E3C"/>
    <w:rsid w:val="004E22F0"/>
    <w:rsid w:val="004E234F"/>
    <w:rsid w:val="004E2FAA"/>
    <w:rsid w:val="004E30B7"/>
    <w:rsid w:val="004E33AE"/>
    <w:rsid w:val="004E3416"/>
    <w:rsid w:val="004E3735"/>
    <w:rsid w:val="004E38DF"/>
    <w:rsid w:val="004E3C1C"/>
    <w:rsid w:val="004E419C"/>
    <w:rsid w:val="004E4EEF"/>
    <w:rsid w:val="004E5C77"/>
    <w:rsid w:val="004E5EA1"/>
    <w:rsid w:val="004E60C7"/>
    <w:rsid w:val="004E6529"/>
    <w:rsid w:val="004E65D7"/>
    <w:rsid w:val="004E7333"/>
    <w:rsid w:val="004E7890"/>
    <w:rsid w:val="004E7E58"/>
    <w:rsid w:val="004F00C6"/>
    <w:rsid w:val="004F046B"/>
    <w:rsid w:val="004F0A61"/>
    <w:rsid w:val="004F216F"/>
    <w:rsid w:val="004F2298"/>
    <w:rsid w:val="004F5A32"/>
    <w:rsid w:val="004F63E6"/>
    <w:rsid w:val="004F6973"/>
    <w:rsid w:val="004F7343"/>
    <w:rsid w:val="00500031"/>
    <w:rsid w:val="005006F0"/>
    <w:rsid w:val="00500AE9"/>
    <w:rsid w:val="00500DEF"/>
    <w:rsid w:val="00501DCA"/>
    <w:rsid w:val="005024A1"/>
    <w:rsid w:val="00502E1D"/>
    <w:rsid w:val="00504671"/>
    <w:rsid w:val="00504B3B"/>
    <w:rsid w:val="00506104"/>
    <w:rsid w:val="0050674E"/>
    <w:rsid w:val="005074A8"/>
    <w:rsid w:val="00507959"/>
    <w:rsid w:val="00507F9A"/>
    <w:rsid w:val="00510330"/>
    <w:rsid w:val="005112FE"/>
    <w:rsid w:val="00511439"/>
    <w:rsid w:val="00511544"/>
    <w:rsid w:val="00511E6D"/>
    <w:rsid w:val="00512324"/>
    <w:rsid w:val="0051283A"/>
    <w:rsid w:val="00512A86"/>
    <w:rsid w:val="00512F89"/>
    <w:rsid w:val="005136D2"/>
    <w:rsid w:val="00513F06"/>
    <w:rsid w:val="0051452C"/>
    <w:rsid w:val="0051594B"/>
    <w:rsid w:val="00516A41"/>
    <w:rsid w:val="00516C5F"/>
    <w:rsid w:val="005170F1"/>
    <w:rsid w:val="00517ACD"/>
    <w:rsid w:val="00517B71"/>
    <w:rsid w:val="0052033F"/>
    <w:rsid w:val="005203C3"/>
    <w:rsid w:val="00521F40"/>
    <w:rsid w:val="00522129"/>
    <w:rsid w:val="005224A8"/>
    <w:rsid w:val="0052254C"/>
    <w:rsid w:val="00523BAB"/>
    <w:rsid w:val="00523CA7"/>
    <w:rsid w:val="00524104"/>
    <w:rsid w:val="005255B5"/>
    <w:rsid w:val="00525870"/>
    <w:rsid w:val="005259FC"/>
    <w:rsid w:val="005266BA"/>
    <w:rsid w:val="0052677F"/>
    <w:rsid w:val="00527A41"/>
    <w:rsid w:val="00527E39"/>
    <w:rsid w:val="00530B60"/>
    <w:rsid w:val="00530FDC"/>
    <w:rsid w:val="005318FF"/>
    <w:rsid w:val="00531AEC"/>
    <w:rsid w:val="00532E27"/>
    <w:rsid w:val="00533CF1"/>
    <w:rsid w:val="00534A5C"/>
    <w:rsid w:val="00534C75"/>
    <w:rsid w:val="005356FB"/>
    <w:rsid w:val="005357F7"/>
    <w:rsid w:val="00535CA1"/>
    <w:rsid w:val="00535F31"/>
    <w:rsid w:val="00536411"/>
    <w:rsid w:val="00540133"/>
    <w:rsid w:val="00541BB4"/>
    <w:rsid w:val="005426EE"/>
    <w:rsid w:val="00542AED"/>
    <w:rsid w:val="00542D7F"/>
    <w:rsid w:val="00543087"/>
    <w:rsid w:val="00543B14"/>
    <w:rsid w:val="00544019"/>
    <w:rsid w:val="00544B34"/>
    <w:rsid w:val="00544DCD"/>
    <w:rsid w:val="00545066"/>
    <w:rsid w:val="005465A0"/>
    <w:rsid w:val="0054718C"/>
    <w:rsid w:val="005501EB"/>
    <w:rsid w:val="00550D0A"/>
    <w:rsid w:val="00550FB0"/>
    <w:rsid w:val="00551D2D"/>
    <w:rsid w:val="00551DF1"/>
    <w:rsid w:val="00552DCE"/>
    <w:rsid w:val="00552EDE"/>
    <w:rsid w:val="00554049"/>
    <w:rsid w:val="00554866"/>
    <w:rsid w:val="00554B20"/>
    <w:rsid w:val="0055582C"/>
    <w:rsid w:val="00556A9F"/>
    <w:rsid w:val="00556C2B"/>
    <w:rsid w:val="00556DB6"/>
    <w:rsid w:val="005570B2"/>
    <w:rsid w:val="00557C18"/>
    <w:rsid w:val="00557E0C"/>
    <w:rsid w:val="00560CD2"/>
    <w:rsid w:val="00560DC3"/>
    <w:rsid w:val="00560FDE"/>
    <w:rsid w:val="00561A61"/>
    <w:rsid w:val="00561C9D"/>
    <w:rsid w:val="005626F0"/>
    <w:rsid w:val="0056271E"/>
    <w:rsid w:val="00562F2F"/>
    <w:rsid w:val="00562FC8"/>
    <w:rsid w:val="00563105"/>
    <w:rsid w:val="005632F1"/>
    <w:rsid w:val="00564F35"/>
    <w:rsid w:val="00565014"/>
    <w:rsid w:val="00565BDF"/>
    <w:rsid w:val="005664EC"/>
    <w:rsid w:val="00566E0D"/>
    <w:rsid w:val="00567076"/>
    <w:rsid w:val="00567A97"/>
    <w:rsid w:val="00567D86"/>
    <w:rsid w:val="005701AC"/>
    <w:rsid w:val="00570F02"/>
    <w:rsid w:val="005715BA"/>
    <w:rsid w:val="005716C1"/>
    <w:rsid w:val="005719DE"/>
    <w:rsid w:val="00571B16"/>
    <w:rsid w:val="005723A3"/>
    <w:rsid w:val="005739C4"/>
    <w:rsid w:val="00573D43"/>
    <w:rsid w:val="0057436C"/>
    <w:rsid w:val="0057450B"/>
    <w:rsid w:val="0057486F"/>
    <w:rsid w:val="005752D0"/>
    <w:rsid w:val="005756C7"/>
    <w:rsid w:val="00576DED"/>
    <w:rsid w:val="00577FF4"/>
    <w:rsid w:val="005807D9"/>
    <w:rsid w:val="005813CC"/>
    <w:rsid w:val="00582273"/>
    <w:rsid w:val="0058279E"/>
    <w:rsid w:val="00582D43"/>
    <w:rsid w:val="00583158"/>
    <w:rsid w:val="005846C7"/>
    <w:rsid w:val="00584A25"/>
    <w:rsid w:val="0058581A"/>
    <w:rsid w:val="00585A7F"/>
    <w:rsid w:val="00585B42"/>
    <w:rsid w:val="005902A3"/>
    <w:rsid w:val="005902E8"/>
    <w:rsid w:val="00591124"/>
    <w:rsid w:val="005913B3"/>
    <w:rsid w:val="00592F0B"/>
    <w:rsid w:val="00593068"/>
    <w:rsid w:val="005930A0"/>
    <w:rsid w:val="00593157"/>
    <w:rsid w:val="00594D11"/>
    <w:rsid w:val="005956C8"/>
    <w:rsid w:val="00595A93"/>
    <w:rsid w:val="005961B7"/>
    <w:rsid w:val="00596609"/>
    <w:rsid w:val="00596707"/>
    <w:rsid w:val="00596857"/>
    <w:rsid w:val="0059765C"/>
    <w:rsid w:val="005A0114"/>
    <w:rsid w:val="005A03A7"/>
    <w:rsid w:val="005A18FD"/>
    <w:rsid w:val="005A1C4B"/>
    <w:rsid w:val="005A20C8"/>
    <w:rsid w:val="005A2136"/>
    <w:rsid w:val="005A323A"/>
    <w:rsid w:val="005A3AB3"/>
    <w:rsid w:val="005A3C7F"/>
    <w:rsid w:val="005A3E7B"/>
    <w:rsid w:val="005A3E8C"/>
    <w:rsid w:val="005A4891"/>
    <w:rsid w:val="005A5087"/>
    <w:rsid w:val="005A542C"/>
    <w:rsid w:val="005A60BF"/>
    <w:rsid w:val="005A64B0"/>
    <w:rsid w:val="005A6864"/>
    <w:rsid w:val="005A6B63"/>
    <w:rsid w:val="005A6BAC"/>
    <w:rsid w:val="005A6D32"/>
    <w:rsid w:val="005A6E68"/>
    <w:rsid w:val="005A744A"/>
    <w:rsid w:val="005A7716"/>
    <w:rsid w:val="005A7871"/>
    <w:rsid w:val="005B01FF"/>
    <w:rsid w:val="005B0348"/>
    <w:rsid w:val="005B0B73"/>
    <w:rsid w:val="005B1E71"/>
    <w:rsid w:val="005B2245"/>
    <w:rsid w:val="005B2B6C"/>
    <w:rsid w:val="005B32E1"/>
    <w:rsid w:val="005B4C08"/>
    <w:rsid w:val="005B51D0"/>
    <w:rsid w:val="005B5A0A"/>
    <w:rsid w:val="005B64E9"/>
    <w:rsid w:val="005B68C2"/>
    <w:rsid w:val="005B6C3A"/>
    <w:rsid w:val="005B6F57"/>
    <w:rsid w:val="005B7910"/>
    <w:rsid w:val="005B7CD3"/>
    <w:rsid w:val="005C0D16"/>
    <w:rsid w:val="005C11F3"/>
    <w:rsid w:val="005C1665"/>
    <w:rsid w:val="005C18DA"/>
    <w:rsid w:val="005C1CF5"/>
    <w:rsid w:val="005C1D72"/>
    <w:rsid w:val="005C1F65"/>
    <w:rsid w:val="005C1F9C"/>
    <w:rsid w:val="005C280F"/>
    <w:rsid w:val="005C2CF3"/>
    <w:rsid w:val="005C4A8E"/>
    <w:rsid w:val="005C630C"/>
    <w:rsid w:val="005C65D8"/>
    <w:rsid w:val="005C68A7"/>
    <w:rsid w:val="005C6F00"/>
    <w:rsid w:val="005C76C4"/>
    <w:rsid w:val="005C77B6"/>
    <w:rsid w:val="005D1D78"/>
    <w:rsid w:val="005D1F7C"/>
    <w:rsid w:val="005D2236"/>
    <w:rsid w:val="005D299F"/>
    <w:rsid w:val="005D3126"/>
    <w:rsid w:val="005D3369"/>
    <w:rsid w:val="005D3699"/>
    <w:rsid w:val="005D39B6"/>
    <w:rsid w:val="005D4587"/>
    <w:rsid w:val="005D4945"/>
    <w:rsid w:val="005D49D2"/>
    <w:rsid w:val="005D4DB0"/>
    <w:rsid w:val="005D5067"/>
    <w:rsid w:val="005D5E5E"/>
    <w:rsid w:val="005D6184"/>
    <w:rsid w:val="005D63A3"/>
    <w:rsid w:val="005D6A26"/>
    <w:rsid w:val="005D72D1"/>
    <w:rsid w:val="005D74CD"/>
    <w:rsid w:val="005E0540"/>
    <w:rsid w:val="005E0802"/>
    <w:rsid w:val="005E0BF2"/>
    <w:rsid w:val="005E0C77"/>
    <w:rsid w:val="005E0E1E"/>
    <w:rsid w:val="005E0F41"/>
    <w:rsid w:val="005E1BA0"/>
    <w:rsid w:val="005E1D49"/>
    <w:rsid w:val="005E27EF"/>
    <w:rsid w:val="005E2BC3"/>
    <w:rsid w:val="005E2DCA"/>
    <w:rsid w:val="005E355F"/>
    <w:rsid w:val="005E48AF"/>
    <w:rsid w:val="005E4BFA"/>
    <w:rsid w:val="005E554D"/>
    <w:rsid w:val="005E575C"/>
    <w:rsid w:val="005E5A54"/>
    <w:rsid w:val="005E5CF8"/>
    <w:rsid w:val="005E5E21"/>
    <w:rsid w:val="005E62ED"/>
    <w:rsid w:val="005E6691"/>
    <w:rsid w:val="005E6C08"/>
    <w:rsid w:val="005E6CA7"/>
    <w:rsid w:val="005E6F31"/>
    <w:rsid w:val="005E7178"/>
    <w:rsid w:val="005E7283"/>
    <w:rsid w:val="005E76EF"/>
    <w:rsid w:val="005E7C27"/>
    <w:rsid w:val="005F02D7"/>
    <w:rsid w:val="005F0AF1"/>
    <w:rsid w:val="005F0B10"/>
    <w:rsid w:val="005F0C53"/>
    <w:rsid w:val="005F1163"/>
    <w:rsid w:val="005F14DC"/>
    <w:rsid w:val="005F180B"/>
    <w:rsid w:val="005F23CF"/>
    <w:rsid w:val="005F277B"/>
    <w:rsid w:val="005F29FE"/>
    <w:rsid w:val="005F2C45"/>
    <w:rsid w:val="005F2C82"/>
    <w:rsid w:val="005F30F1"/>
    <w:rsid w:val="005F37AE"/>
    <w:rsid w:val="005F397D"/>
    <w:rsid w:val="005F3C2F"/>
    <w:rsid w:val="005F4292"/>
    <w:rsid w:val="005F4344"/>
    <w:rsid w:val="005F5C77"/>
    <w:rsid w:val="005F621E"/>
    <w:rsid w:val="005F6540"/>
    <w:rsid w:val="00600697"/>
    <w:rsid w:val="00601E54"/>
    <w:rsid w:val="006028A0"/>
    <w:rsid w:val="0060299E"/>
    <w:rsid w:val="006029F9"/>
    <w:rsid w:val="0060313B"/>
    <w:rsid w:val="00603A6F"/>
    <w:rsid w:val="00603B3C"/>
    <w:rsid w:val="00603C15"/>
    <w:rsid w:val="00603EF9"/>
    <w:rsid w:val="00603F27"/>
    <w:rsid w:val="0060408F"/>
    <w:rsid w:val="0060470D"/>
    <w:rsid w:val="006049A6"/>
    <w:rsid w:val="006054D5"/>
    <w:rsid w:val="00605A77"/>
    <w:rsid w:val="00606011"/>
    <w:rsid w:val="00606159"/>
    <w:rsid w:val="0060652A"/>
    <w:rsid w:val="00606F21"/>
    <w:rsid w:val="006075E2"/>
    <w:rsid w:val="0060767A"/>
    <w:rsid w:val="006102C2"/>
    <w:rsid w:val="00611088"/>
    <w:rsid w:val="0061111C"/>
    <w:rsid w:val="00612524"/>
    <w:rsid w:val="006126E3"/>
    <w:rsid w:val="00612A4F"/>
    <w:rsid w:val="00612B8D"/>
    <w:rsid w:val="00612F38"/>
    <w:rsid w:val="00613454"/>
    <w:rsid w:val="006135E5"/>
    <w:rsid w:val="00615D92"/>
    <w:rsid w:val="00616FFB"/>
    <w:rsid w:val="006177C9"/>
    <w:rsid w:val="0061781D"/>
    <w:rsid w:val="00617D58"/>
    <w:rsid w:val="00621184"/>
    <w:rsid w:val="00621723"/>
    <w:rsid w:val="00621ABE"/>
    <w:rsid w:val="00621E48"/>
    <w:rsid w:val="006229B9"/>
    <w:rsid w:val="0062347A"/>
    <w:rsid w:val="00625DF7"/>
    <w:rsid w:val="006260BA"/>
    <w:rsid w:val="006261FE"/>
    <w:rsid w:val="00626679"/>
    <w:rsid w:val="006271AD"/>
    <w:rsid w:val="0062768B"/>
    <w:rsid w:val="0062771A"/>
    <w:rsid w:val="00627A92"/>
    <w:rsid w:val="00630AF9"/>
    <w:rsid w:val="0063146E"/>
    <w:rsid w:val="0063236C"/>
    <w:rsid w:val="00632F5F"/>
    <w:rsid w:val="0063308E"/>
    <w:rsid w:val="00633522"/>
    <w:rsid w:val="00633DE0"/>
    <w:rsid w:val="0063454E"/>
    <w:rsid w:val="006352C1"/>
    <w:rsid w:val="006356AC"/>
    <w:rsid w:val="00635DFA"/>
    <w:rsid w:val="00636CA7"/>
    <w:rsid w:val="006373EF"/>
    <w:rsid w:val="006378CD"/>
    <w:rsid w:val="0064043A"/>
    <w:rsid w:val="00640B80"/>
    <w:rsid w:val="00640CB1"/>
    <w:rsid w:val="00641317"/>
    <w:rsid w:val="00642D1C"/>
    <w:rsid w:val="00642F89"/>
    <w:rsid w:val="0064358D"/>
    <w:rsid w:val="00643A5E"/>
    <w:rsid w:val="00644374"/>
    <w:rsid w:val="00644595"/>
    <w:rsid w:val="00644BBD"/>
    <w:rsid w:val="00644E5E"/>
    <w:rsid w:val="0064727F"/>
    <w:rsid w:val="00647863"/>
    <w:rsid w:val="00650B0A"/>
    <w:rsid w:val="0065126F"/>
    <w:rsid w:val="0065215E"/>
    <w:rsid w:val="0065237F"/>
    <w:rsid w:val="006523D1"/>
    <w:rsid w:val="00652993"/>
    <w:rsid w:val="00652F31"/>
    <w:rsid w:val="0065604B"/>
    <w:rsid w:val="00656501"/>
    <w:rsid w:val="00656920"/>
    <w:rsid w:val="0065693C"/>
    <w:rsid w:val="00656C5E"/>
    <w:rsid w:val="006570DD"/>
    <w:rsid w:val="00657D05"/>
    <w:rsid w:val="006611A9"/>
    <w:rsid w:val="0066169B"/>
    <w:rsid w:val="006637A9"/>
    <w:rsid w:val="00663AE8"/>
    <w:rsid w:val="0066416A"/>
    <w:rsid w:val="0066425A"/>
    <w:rsid w:val="006643A0"/>
    <w:rsid w:val="00664738"/>
    <w:rsid w:val="00665351"/>
    <w:rsid w:val="006675FD"/>
    <w:rsid w:val="00667D95"/>
    <w:rsid w:val="00670013"/>
    <w:rsid w:val="0067102A"/>
    <w:rsid w:val="00671D6C"/>
    <w:rsid w:val="00671EED"/>
    <w:rsid w:val="00672C2B"/>
    <w:rsid w:val="00673F19"/>
    <w:rsid w:val="0067451E"/>
    <w:rsid w:val="00674B86"/>
    <w:rsid w:val="0067512A"/>
    <w:rsid w:val="00675533"/>
    <w:rsid w:val="006755BC"/>
    <w:rsid w:val="006758B7"/>
    <w:rsid w:val="00675A56"/>
    <w:rsid w:val="00675AC6"/>
    <w:rsid w:val="00675C35"/>
    <w:rsid w:val="00676B4A"/>
    <w:rsid w:val="0068004C"/>
    <w:rsid w:val="006800B4"/>
    <w:rsid w:val="006803B4"/>
    <w:rsid w:val="00680D25"/>
    <w:rsid w:val="006812E1"/>
    <w:rsid w:val="006815C2"/>
    <w:rsid w:val="00681780"/>
    <w:rsid w:val="00681809"/>
    <w:rsid w:val="00681897"/>
    <w:rsid w:val="00681C2F"/>
    <w:rsid w:val="00683328"/>
    <w:rsid w:val="00683546"/>
    <w:rsid w:val="00683641"/>
    <w:rsid w:val="006836CD"/>
    <w:rsid w:val="00683A07"/>
    <w:rsid w:val="00683D9D"/>
    <w:rsid w:val="0068411A"/>
    <w:rsid w:val="00684E0F"/>
    <w:rsid w:val="006853F7"/>
    <w:rsid w:val="00685C9D"/>
    <w:rsid w:val="00686A69"/>
    <w:rsid w:val="00686CDB"/>
    <w:rsid w:val="006874E9"/>
    <w:rsid w:val="006879C6"/>
    <w:rsid w:val="00687FC0"/>
    <w:rsid w:val="00691410"/>
    <w:rsid w:val="00692E68"/>
    <w:rsid w:val="0069312D"/>
    <w:rsid w:val="006932DC"/>
    <w:rsid w:val="006938C6"/>
    <w:rsid w:val="00694196"/>
    <w:rsid w:val="00694869"/>
    <w:rsid w:val="00695F95"/>
    <w:rsid w:val="0069632E"/>
    <w:rsid w:val="00696337"/>
    <w:rsid w:val="00696911"/>
    <w:rsid w:val="00696AF0"/>
    <w:rsid w:val="00696D89"/>
    <w:rsid w:val="00696FED"/>
    <w:rsid w:val="006A084D"/>
    <w:rsid w:val="006A0BB7"/>
    <w:rsid w:val="006A0BE8"/>
    <w:rsid w:val="006A1502"/>
    <w:rsid w:val="006A1BC4"/>
    <w:rsid w:val="006A267D"/>
    <w:rsid w:val="006A27B1"/>
    <w:rsid w:val="006A2850"/>
    <w:rsid w:val="006A2F51"/>
    <w:rsid w:val="006A3167"/>
    <w:rsid w:val="006A3509"/>
    <w:rsid w:val="006A3CD0"/>
    <w:rsid w:val="006A43D3"/>
    <w:rsid w:val="006A4978"/>
    <w:rsid w:val="006A4E04"/>
    <w:rsid w:val="006A63CC"/>
    <w:rsid w:val="006A6DEA"/>
    <w:rsid w:val="006A7314"/>
    <w:rsid w:val="006A74C1"/>
    <w:rsid w:val="006B052F"/>
    <w:rsid w:val="006B0945"/>
    <w:rsid w:val="006B0CFC"/>
    <w:rsid w:val="006B0DBC"/>
    <w:rsid w:val="006B13EB"/>
    <w:rsid w:val="006B16A1"/>
    <w:rsid w:val="006B175B"/>
    <w:rsid w:val="006B1AA0"/>
    <w:rsid w:val="006B22CE"/>
    <w:rsid w:val="006B26A0"/>
    <w:rsid w:val="006B2CEE"/>
    <w:rsid w:val="006B2E8D"/>
    <w:rsid w:val="006B32CF"/>
    <w:rsid w:val="006B34B1"/>
    <w:rsid w:val="006B3D35"/>
    <w:rsid w:val="006B3DEE"/>
    <w:rsid w:val="006B41FB"/>
    <w:rsid w:val="006B61B3"/>
    <w:rsid w:val="006B6777"/>
    <w:rsid w:val="006B696D"/>
    <w:rsid w:val="006B6C44"/>
    <w:rsid w:val="006B7005"/>
    <w:rsid w:val="006B707D"/>
    <w:rsid w:val="006B72D4"/>
    <w:rsid w:val="006B74AA"/>
    <w:rsid w:val="006B79CC"/>
    <w:rsid w:val="006B7A8B"/>
    <w:rsid w:val="006B7B29"/>
    <w:rsid w:val="006C2012"/>
    <w:rsid w:val="006C217D"/>
    <w:rsid w:val="006C2355"/>
    <w:rsid w:val="006C2611"/>
    <w:rsid w:val="006C3716"/>
    <w:rsid w:val="006C3733"/>
    <w:rsid w:val="006C3B67"/>
    <w:rsid w:val="006C4112"/>
    <w:rsid w:val="006C46CA"/>
    <w:rsid w:val="006C4741"/>
    <w:rsid w:val="006C49CC"/>
    <w:rsid w:val="006C60A7"/>
    <w:rsid w:val="006C7C27"/>
    <w:rsid w:val="006D017D"/>
    <w:rsid w:val="006D094A"/>
    <w:rsid w:val="006D09F4"/>
    <w:rsid w:val="006D0AD0"/>
    <w:rsid w:val="006D15DE"/>
    <w:rsid w:val="006D2660"/>
    <w:rsid w:val="006D27AD"/>
    <w:rsid w:val="006D2954"/>
    <w:rsid w:val="006D2CCC"/>
    <w:rsid w:val="006D3757"/>
    <w:rsid w:val="006D3B54"/>
    <w:rsid w:val="006D3C3B"/>
    <w:rsid w:val="006D4727"/>
    <w:rsid w:val="006D54CD"/>
    <w:rsid w:val="006D6232"/>
    <w:rsid w:val="006D6690"/>
    <w:rsid w:val="006D6703"/>
    <w:rsid w:val="006D69F8"/>
    <w:rsid w:val="006D6F29"/>
    <w:rsid w:val="006D6FA9"/>
    <w:rsid w:val="006D7085"/>
    <w:rsid w:val="006D7A21"/>
    <w:rsid w:val="006E04FE"/>
    <w:rsid w:val="006E0DB4"/>
    <w:rsid w:val="006E1310"/>
    <w:rsid w:val="006E1364"/>
    <w:rsid w:val="006E1DD9"/>
    <w:rsid w:val="006E217B"/>
    <w:rsid w:val="006E22F5"/>
    <w:rsid w:val="006E251A"/>
    <w:rsid w:val="006E2A0F"/>
    <w:rsid w:val="006E324B"/>
    <w:rsid w:val="006E325D"/>
    <w:rsid w:val="006E4011"/>
    <w:rsid w:val="006E4780"/>
    <w:rsid w:val="006E48F5"/>
    <w:rsid w:val="006E4951"/>
    <w:rsid w:val="006E516F"/>
    <w:rsid w:val="006E599D"/>
    <w:rsid w:val="006E5A29"/>
    <w:rsid w:val="006E615D"/>
    <w:rsid w:val="006E737D"/>
    <w:rsid w:val="006E7468"/>
    <w:rsid w:val="006E7B1E"/>
    <w:rsid w:val="006E7E40"/>
    <w:rsid w:val="006F09B1"/>
    <w:rsid w:val="006F19D6"/>
    <w:rsid w:val="006F1E95"/>
    <w:rsid w:val="006F23BC"/>
    <w:rsid w:val="006F2C7F"/>
    <w:rsid w:val="006F38D5"/>
    <w:rsid w:val="006F41D4"/>
    <w:rsid w:val="006F485C"/>
    <w:rsid w:val="006F48A2"/>
    <w:rsid w:val="006F4F57"/>
    <w:rsid w:val="006F5351"/>
    <w:rsid w:val="006F53EA"/>
    <w:rsid w:val="006F61F2"/>
    <w:rsid w:val="006F745A"/>
    <w:rsid w:val="006F7DF7"/>
    <w:rsid w:val="006F7F27"/>
    <w:rsid w:val="00700628"/>
    <w:rsid w:val="00701C37"/>
    <w:rsid w:val="00702B03"/>
    <w:rsid w:val="007036CE"/>
    <w:rsid w:val="0070387B"/>
    <w:rsid w:val="00705736"/>
    <w:rsid w:val="007057C1"/>
    <w:rsid w:val="00705AB7"/>
    <w:rsid w:val="00705AE4"/>
    <w:rsid w:val="00706784"/>
    <w:rsid w:val="0070699A"/>
    <w:rsid w:val="00707106"/>
    <w:rsid w:val="00707EC5"/>
    <w:rsid w:val="007112A1"/>
    <w:rsid w:val="00711521"/>
    <w:rsid w:val="00711605"/>
    <w:rsid w:val="00711BBB"/>
    <w:rsid w:val="00711C9A"/>
    <w:rsid w:val="00712069"/>
    <w:rsid w:val="007122E6"/>
    <w:rsid w:val="00712447"/>
    <w:rsid w:val="007132CB"/>
    <w:rsid w:val="007132D6"/>
    <w:rsid w:val="007145D1"/>
    <w:rsid w:val="00714619"/>
    <w:rsid w:val="00714A36"/>
    <w:rsid w:val="007157C7"/>
    <w:rsid w:val="00715A03"/>
    <w:rsid w:val="00715DE1"/>
    <w:rsid w:val="00716720"/>
    <w:rsid w:val="00716811"/>
    <w:rsid w:val="007169E6"/>
    <w:rsid w:val="007172C1"/>
    <w:rsid w:val="007179CE"/>
    <w:rsid w:val="0072035B"/>
    <w:rsid w:val="007204E4"/>
    <w:rsid w:val="00720C66"/>
    <w:rsid w:val="00720EF9"/>
    <w:rsid w:val="00721B77"/>
    <w:rsid w:val="00722215"/>
    <w:rsid w:val="00722749"/>
    <w:rsid w:val="00722B6D"/>
    <w:rsid w:val="00723DBB"/>
    <w:rsid w:val="00724082"/>
    <w:rsid w:val="00724906"/>
    <w:rsid w:val="00724966"/>
    <w:rsid w:val="00724D90"/>
    <w:rsid w:val="007250C3"/>
    <w:rsid w:val="00725221"/>
    <w:rsid w:val="007275D6"/>
    <w:rsid w:val="00730BF1"/>
    <w:rsid w:val="00732806"/>
    <w:rsid w:val="007328EB"/>
    <w:rsid w:val="007339FD"/>
    <w:rsid w:val="00733FA8"/>
    <w:rsid w:val="00734970"/>
    <w:rsid w:val="007349A5"/>
    <w:rsid w:val="00735669"/>
    <w:rsid w:val="0073571E"/>
    <w:rsid w:val="00737545"/>
    <w:rsid w:val="00737B2F"/>
    <w:rsid w:val="00737E0F"/>
    <w:rsid w:val="00740149"/>
    <w:rsid w:val="00740E6D"/>
    <w:rsid w:val="00741289"/>
    <w:rsid w:val="007417BC"/>
    <w:rsid w:val="00741811"/>
    <w:rsid w:val="00742554"/>
    <w:rsid w:val="00743D6D"/>
    <w:rsid w:val="00743F68"/>
    <w:rsid w:val="00744520"/>
    <w:rsid w:val="0074553A"/>
    <w:rsid w:val="00745BBC"/>
    <w:rsid w:val="00745DDD"/>
    <w:rsid w:val="00746292"/>
    <w:rsid w:val="0074692B"/>
    <w:rsid w:val="00746CA5"/>
    <w:rsid w:val="00747806"/>
    <w:rsid w:val="00750604"/>
    <w:rsid w:val="0075099D"/>
    <w:rsid w:val="007516F3"/>
    <w:rsid w:val="007523B6"/>
    <w:rsid w:val="0075385D"/>
    <w:rsid w:val="00753DB4"/>
    <w:rsid w:val="00753ED6"/>
    <w:rsid w:val="00754113"/>
    <w:rsid w:val="00754E55"/>
    <w:rsid w:val="00755406"/>
    <w:rsid w:val="00755480"/>
    <w:rsid w:val="00756886"/>
    <w:rsid w:val="00756D4F"/>
    <w:rsid w:val="00757549"/>
    <w:rsid w:val="00757F02"/>
    <w:rsid w:val="007609B8"/>
    <w:rsid w:val="00760EBD"/>
    <w:rsid w:val="00762466"/>
    <w:rsid w:val="0076284D"/>
    <w:rsid w:val="00762B39"/>
    <w:rsid w:val="00762D4F"/>
    <w:rsid w:val="00763695"/>
    <w:rsid w:val="00763ADF"/>
    <w:rsid w:val="00763F21"/>
    <w:rsid w:val="007640D0"/>
    <w:rsid w:val="007645BE"/>
    <w:rsid w:val="0076539A"/>
    <w:rsid w:val="00765615"/>
    <w:rsid w:val="00766256"/>
    <w:rsid w:val="0076753D"/>
    <w:rsid w:val="00770175"/>
    <w:rsid w:val="00770790"/>
    <w:rsid w:val="00770A8E"/>
    <w:rsid w:val="00770C9F"/>
    <w:rsid w:val="00771257"/>
    <w:rsid w:val="00771A58"/>
    <w:rsid w:val="00771AC3"/>
    <w:rsid w:val="0077229F"/>
    <w:rsid w:val="007726FA"/>
    <w:rsid w:val="00772CE9"/>
    <w:rsid w:val="007733C0"/>
    <w:rsid w:val="0077343E"/>
    <w:rsid w:val="00773507"/>
    <w:rsid w:val="00773AE5"/>
    <w:rsid w:val="0077401E"/>
    <w:rsid w:val="007741C3"/>
    <w:rsid w:val="00774408"/>
    <w:rsid w:val="00775806"/>
    <w:rsid w:val="00775A2E"/>
    <w:rsid w:val="00775B32"/>
    <w:rsid w:val="00775D36"/>
    <w:rsid w:val="00776626"/>
    <w:rsid w:val="007807FC"/>
    <w:rsid w:val="00780F25"/>
    <w:rsid w:val="00781B88"/>
    <w:rsid w:val="00782687"/>
    <w:rsid w:val="00782910"/>
    <w:rsid w:val="00783551"/>
    <w:rsid w:val="007836F7"/>
    <w:rsid w:val="007838A5"/>
    <w:rsid w:val="00783DC8"/>
    <w:rsid w:val="0078451D"/>
    <w:rsid w:val="0078494B"/>
    <w:rsid w:val="00784CF5"/>
    <w:rsid w:val="0078530D"/>
    <w:rsid w:val="00785838"/>
    <w:rsid w:val="00786E6D"/>
    <w:rsid w:val="00787463"/>
    <w:rsid w:val="007874E7"/>
    <w:rsid w:val="007875F5"/>
    <w:rsid w:val="00790188"/>
    <w:rsid w:val="0079055F"/>
    <w:rsid w:val="00790ADA"/>
    <w:rsid w:val="00790B99"/>
    <w:rsid w:val="00791975"/>
    <w:rsid w:val="00791FE1"/>
    <w:rsid w:val="0079382D"/>
    <w:rsid w:val="00793A4A"/>
    <w:rsid w:val="00793FB7"/>
    <w:rsid w:val="0079411C"/>
    <w:rsid w:val="00794B75"/>
    <w:rsid w:val="00795CDB"/>
    <w:rsid w:val="00796182"/>
    <w:rsid w:val="00796912"/>
    <w:rsid w:val="00796BCF"/>
    <w:rsid w:val="00796DFA"/>
    <w:rsid w:val="007971F7"/>
    <w:rsid w:val="00797B02"/>
    <w:rsid w:val="007A027B"/>
    <w:rsid w:val="007A0C8F"/>
    <w:rsid w:val="007A1061"/>
    <w:rsid w:val="007A2036"/>
    <w:rsid w:val="007A207D"/>
    <w:rsid w:val="007A2623"/>
    <w:rsid w:val="007A44F0"/>
    <w:rsid w:val="007A5690"/>
    <w:rsid w:val="007A5876"/>
    <w:rsid w:val="007A5EA8"/>
    <w:rsid w:val="007A643E"/>
    <w:rsid w:val="007A69C7"/>
    <w:rsid w:val="007A6DA2"/>
    <w:rsid w:val="007A72B2"/>
    <w:rsid w:val="007A734D"/>
    <w:rsid w:val="007B0522"/>
    <w:rsid w:val="007B0FE3"/>
    <w:rsid w:val="007B13AF"/>
    <w:rsid w:val="007B1521"/>
    <w:rsid w:val="007B1659"/>
    <w:rsid w:val="007B24A8"/>
    <w:rsid w:val="007B2899"/>
    <w:rsid w:val="007B2A83"/>
    <w:rsid w:val="007B33AA"/>
    <w:rsid w:val="007B39FB"/>
    <w:rsid w:val="007B3B6D"/>
    <w:rsid w:val="007B3DF7"/>
    <w:rsid w:val="007B4639"/>
    <w:rsid w:val="007B4A04"/>
    <w:rsid w:val="007B4CA6"/>
    <w:rsid w:val="007B64F5"/>
    <w:rsid w:val="007B691E"/>
    <w:rsid w:val="007B6D5B"/>
    <w:rsid w:val="007B6F36"/>
    <w:rsid w:val="007B741A"/>
    <w:rsid w:val="007B7AE8"/>
    <w:rsid w:val="007B7DF9"/>
    <w:rsid w:val="007C0A0E"/>
    <w:rsid w:val="007C1079"/>
    <w:rsid w:val="007C14D7"/>
    <w:rsid w:val="007C24E0"/>
    <w:rsid w:val="007C2B16"/>
    <w:rsid w:val="007C2DE3"/>
    <w:rsid w:val="007C30B8"/>
    <w:rsid w:val="007C313C"/>
    <w:rsid w:val="007C4145"/>
    <w:rsid w:val="007C5765"/>
    <w:rsid w:val="007C5A2C"/>
    <w:rsid w:val="007C699D"/>
    <w:rsid w:val="007C6D37"/>
    <w:rsid w:val="007C6D40"/>
    <w:rsid w:val="007C701B"/>
    <w:rsid w:val="007C71E8"/>
    <w:rsid w:val="007C7BB7"/>
    <w:rsid w:val="007D1AFA"/>
    <w:rsid w:val="007D221B"/>
    <w:rsid w:val="007D221D"/>
    <w:rsid w:val="007D259A"/>
    <w:rsid w:val="007D2BDE"/>
    <w:rsid w:val="007D2E09"/>
    <w:rsid w:val="007D3A7A"/>
    <w:rsid w:val="007D3C3E"/>
    <w:rsid w:val="007D55CF"/>
    <w:rsid w:val="007D5F2F"/>
    <w:rsid w:val="007D638D"/>
    <w:rsid w:val="007D6D90"/>
    <w:rsid w:val="007D74BE"/>
    <w:rsid w:val="007D77A4"/>
    <w:rsid w:val="007E0470"/>
    <w:rsid w:val="007E05B8"/>
    <w:rsid w:val="007E06F1"/>
    <w:rsid w:val="007E0B03"/>
    <w:rsid w:val="007E0CE5"/>
    <w:rsid w:val="007E0F00"/>
    <w:rsid w:val="007E10C4"/>
    <w:rsid w:val="007E129C"/>
    <w:rsid w:val="007E1366"/>
    <w:rsid w:val="007E1EDF"/>
    <w:rsid w:val="007E2174"/>
    <w:rsid w:val="007E25DB"/>
    <w:rsid w:val="007E2F0A"/>
    <w:rsid w:val="007E3832"/>
    <w:rsid w:val="007E55C1"/>
    <w:rsid w:val="007E59D1"/>
    <w:rsid w:val="007E5B45"/>
    <w:rsid w:val="007E64E1"/>
    <w:rsid w:val="007E6ADB"/>
    <w:rsid w:val="007E6E5A"/>
    <w:rsid w:val="007E75D8"/>
    <w:rsid w:val="007F0918"/>
    <w:rsid w:val="007F186A"/>
    <w:rsid w:val="007F2111"/>
    <w:rsid w:val="007F2436"/>
    <w:rsid w:val="007F3EC4"/>
    <w:rsid w:val="007F4900"/>
    <w:rsid w:val="007F4C69"/>
    <w:rsid w:val="007F524B"/>
    <w:rsid w:val="007F5534"/>
    <w:rsid w:val="007F642F"/>
    <w:rsid w:val="007F676A"/>
    <w:rsid w:val="007F6D62"/>
    <w:rsid w:val="007F7DC7"/>
    <w:rsid w:val="00800EEE"/>
    <w:rsid w:val="00801A38"/>
    <w:rsid w:val="00801E2B"/>
    <w:rsid w:val="00802122"/>
    <w:rsid w:val="00802495"/>
    <w:rsid w:val="00802E73"/>
    <w:rsid w:val="00802EA8"/>
    <w:rsid w:val="008030FA"/>
    <w:rsid w:val="00804E27"/>
    <w:rsid w:val="00805101"/>
    <w:rsid w:val="00805136"/>
    <w:rsid w:val="00805579"/>
    <w:rsid w:val="00805602"/>
    <w:rsid w:val="00806D61"/>
    <w:rsid w:val="00807148"/>
    <w:rsid w:val="00807FB4"/>
    <w:rsid w:val="008106FD"/>
    <w:rsid w:val="00810765"/>
    <w:rsid w:val="00810DCC"/>
    <w:rsid w:val="00811601"/>
    <w:rsid w:val="00811F79"/>
    <w:rsid w:val="00812A62"/>
    <w:rsid w:val="00812EA4"/>
    <w:rsid w:val="008137E0"/>
    <w:rsid w:val="008138A3"/>
    <w:rsid w:val="008149AC"/>
    <w:rsid w:val="00814A60"/>
    <w:rsid w:val="00814DB6"/>
    <w:rsid w:val="00814F15"/>
    <w:rsid w:val="0081591C"/>
    <w:rsid w:val="00815981"/>
    <w:rsid w:val="008159BB"/>
    <w:rsid w:val="00815C24"/>
    <w:rsid w:val="00815EEC"/>
    <w:rsid w:val="008163DA"/>
    <w:rsid w:val="00816B77"/>
    <w:rsid w:val="00816E1D"/>
    <w:rsid w:val="00817C51"/>
    <w:rsid w:val="00817C68"/>
    <w:rsid w:val="00817DC9"/>
    <w:rsid w:val="00817DD3"/>
    <w:rsid w:val="008208E9"/>
    <w:rsid w:val="00820964"/>
    <w:rsid w:val="00820CE2"/>
    <w:rsid w:val="0082165A"/>
    <w:rsid w:val="00821A1F"/>
    <w:rsid w:val="00821AFA"/>
    <w:rsid w:val="008220E3"/>
    <w:rsid w:val="00822195"/>
    <w:rsid w:val="00822B60"/>
    <w:rsid w:val="008232D2"/>
    <w:rsid w:val="00823481"/>
    <w:rsid w:val="00823C0E"/>
    <w:rsid w:val="00823EAD"/>
    <w:rsid w:val="00824582"/>
    <w:rsid w:val="00824A59"/>
    <w:rsid w:val="00824FA5"/>
    <w:rsid w:val="00825161"/>
    <w:rsid w:val="00825B7D"/>
    <w:rsid w:val="008261F3"/>
    <w:rsid w:val="008262D3"/>
    <w:rsid w:val="00826552"/>
    <w:rsid w:val="00826613"/>
    <w:rsid w:val="00826885"/>
    <w:rsid w:val="00827C16"/>
    <w:rsid w:val="00827E4A"/>
    <w:rsid w:val="008308AD"/>
    <w:rsid w:val="00831169"/>
    <w:rsid w:val="008316BB"/>
    <w:rsid w:val="00831AE4"/>
    <w:rsid w:val="008321CA"/>
    <w:rsid w:val="008326E2"/>
    <w:rsid w:val="00832B84"/>
    <w:rsid w:val="0083321B"/>
    <w:rsid w:val="008341FC"/>
    <w:rsid w:val="008342CD"/>
    <w:rsid w:val="0083464A"/>
    <w:rsid w:val="00834927"/>
    <w:rsid w:val="00834ABA"/>
    <w:rsid w:val="00834BB4"/>
    <w:rsid w:val="00834D53"/>
    <w:rsid w:val="00835791"/>
    <w:rsid w:val="00836419"/>
    <w:rsid w:val="00836D17"/>
    <w:rsid w:val="00836E08"/>
    <w:rsid w:val="008374CF"/>
    <w:rsid w:val="008376CF"/>
    <w:rsid w:val="0084046E"/>
    <w:rsid w:val="008405E6"/>
    <w:rsid w:val="00840CDE"/>
    <w:rsid w:val="008410DC"/>
    <w:rsid w:val="008414DF"/>
    <w:rsid w:val="00841964"/>
    <w:rsid w:val="008423B7"/>
    <w:rsid w:val="0084279E"/>
    <w:rsid w:val="00842A05"/>
    <w:rsid w:val="00842A30"/>
    <w:rsid w:val="00842E1E"/>
    <w:rsid w:val="00843612"/>
    <w:rsid w:val="0084391C"/>
    <w:rsid w:val="00843D94"/>
    <w:rsid w:val="008456B1"/>
    <w:rsid w:val="00845D1E"/>
    <w:rsid w:val="00846677"/>
    <w:rsid w:val="00846A9C"/>
    <w:rsid w:val="00846B22"/>
    <w:rsid w:val="00850312"/>
    <w:rsid w:val="00850352"/>
    <w:rsid w:val="0085044C"/>
    <w:rsid w:val="00850642"/>
    <w:rsid w:val="00850E9B"/>
    <w:rsid w:val="0085115B"/>
    <w:rsid w:val="008516C3"/>
    <w:rsid w:val="00852291"/>
    <w:rsid w:val="00852FAF"/>
    <w:rsid w:val="0085306C"/>
    <w:rsid w:val="008530A4"/>
    <w:rsid w:val="00853FDD"/>
    <w:rsid w:val="008540EF"/>
    <w:rsid w:val="0085446E"/>
    <w:rsid w:val="00854723"/>
    <w:rsid w:val="00855E0F"/>
    <w:rsid w:val="00856B66"/>
    <w:rsid w:val="00856F9F"/>
    <w:rsid w:val="00857178"/>
    <w:rsid w:val="008572AE"/>
    <w:rsid w:val="00857C84"/>
    <w:rsid w:val="00860AAD"/>
    <w:rsid w:val="00860FFC"/>
    <w:rsid w:val="00861208"/>
    <w:rsid w:val="008614E4"/>
    <w:rsid w:val="008616CD"/>
    <w:rsid w:val="00861D6A"/>
    <w:rsid w:val="00861E01"/>
    <w:rsid w:val="00862470"/>
    <w:rsid w:val="008630A6"/>
    <w:rsid w:val="0086386B"/>
    <w:rsid w:val="008638EB"/>
    <w:rsid w:val="00864072"/>
    <w:rsid w:val="00864DFD"/>
    <w:rsid w:val="00865416"/>
    <w:rsid w:val="00865A81"/>
    <w:rsid w:val="00865B2D"/>
    <w:rsid w:val="00866CC8"/>
    <w:rsid w:val="00867337"/>
    <w:rsid w:val="008675D8"/>
    <w:rsid w:val="00870196"/>
    <w:rsid w:val="008710F3"/>
    <w:rsid w:val="008711D0"/>
    <w:rsid w:val="0087172D"/>
    <w:rsid w:val="00872434"/>
    <w:rsid w:val="00872C6D"/>
    <w:rsid w:val="008732EA"/>
    <w:rsid w:val="00873691"/>
    <w:rsid w:val="008747A6"/>
    <w:rsid w:val="008748F6"/>
    <w:rsid w:val="00874BC7"/>
    <w:rsid w:val="00874F4B"/>
    <w:rsid w:val="0087567C"/>
    <w:rsid w:val="00876026"/>
    <w:rsid w:val="00876432"/>
    <w:rsid w:val="00876574"/>
    <w:rsid w:val="00877B1E"/>
    <w:rsid w:val="00877B6A"/>
    <w:rsid w:val="00877ED6"/>
    <w:rsid w:val="00880AEC"/>
    <w:rsid w:val="00880E25"/>
    <w:rsid w:val="0088100B"/>
    <w:rsid w:val="00881155"/>
    <w:rsid w:val="00881C25"/>
    <w:rsid w:val="0088207B"/>
    <w:rsid w:val="0088251C"/>
    <w:rsid w:val="00883494"/>
    <w:rsid w:val="00883D26"/>
    <w:rsid w:val="00884F10"/>
    <w:rsid w:val="00884F22"/>
    <w:rsid w:val="0088613D"/>
    <w:rsid w:val="00886656"/>
    <w:rsid w:val="0088699D"/>
    <w:rsid w:val="00886B6C"/>
    <w:rsid w:val="0088769F"/>
    <w:rsid w:val="00887867"/>
    <w:rsid w:val="0088791C"/>
    <w:rsid w:val="00887A9B"/>
    <w:rsid w:val="00890030"/>
    <w:rsid w:val="00890131"/>
    <w:rsid w:val="00892638"/>
    <w:rsid w:val="00892FD3"/>
    <w:rsid w:val="0089359E"/>
    <w:rsid w:val="00893E9B"/>
    <w:rsid w:val="008943A0"/>
    <w:rsid w:val="0089501D"/>
    <w:rsid w:val="00895342"/>
    <w:rsid w:val="00895FB3"/>
    <w:rsid w:val="008960C3"/>
    <w:rsid w:val="0089673A"/>
    <w:rsid w:val="0089711C"/>
    <w:rsid w:val="00897794"/>
    <w:rsid w:val="008A024C"/>
    <w:rsid w:val="008A088E"/>
    <w:rsid w:val="008A08CC"/>
    <w:rsid w:val="008A25CD"/>
    <w:rsid w:val="008A27FB"/>
    <w:rsid w:val="008A2B48"/>
    <w:rsid w:val="008A3753"/>
    <w:rsid w:val="008A3DF4"/>
    <w:rsid w:val="008A477C"/>
    <w:rsid w:val="008A479A"/>
    <w:rsid w:val="008A531E"/>
    <w:rsid w:val="008A57A3"/>
    <w:rsid w:val="008A662F"/>
    <w:rsid w:val="008A685E"/>
    <w:rsid w:val="008A6948"/>
    <w:rsid w:val="008A6F67"/>
    <w:rsid w:val="008A7EB7"/>
    <w:rsid w:val="008B0492"/>
    <w:rsid w:val="008B0D2B"/>
    <w:rsid w:val="008B15E7"/>
    <w:rsid w:val="008B1752"/>
    <w:rsid w:val="008B1B53"/>
    <w:rsid w:val="008B1E37"/>
    <w:rsid w:val="008B1F56"/>
    <w:rsid w:val="008B2E01"/>
    <w:rsid w:val="008B35C9"/>
    <w:rsid w:val="008B377E"/>
    <w:rsid w:val="008B3ADF"/>
    <w:rsid w:val="008B4F91"/>
    <w:rsid w:val="008B4F9E"/>
    <w:rsid w:val="008B59F8"/>
    <w:rsid w:val="008B5E48"/>
    <w:rsid w:val="008B6097"/>
    <w:rsid w:val="008B7F7C"/>
    <w:rsid w:val="008B7FC0"/>
    <w:rsid w:val="008C0CC1"/>
    <w:rsid w:val="008C19D1"/>
    <w:rsid w:val="008C1F3F"/>
    <w:rsid w:val="008C21E5"/>
    <w:rsid w:val="008C25CB"/>
    <w:rsid w:val="008C2799"/>
    <w:rsid w:val="008C2A10"/>
    <w:rsid w:val="008C2D32"/>
    <w:rsid w:val="008C2F7C"/>
    <w:rsid w:val="008C30ED"/>
    <w:rsid w:val="008C3750"/>
    <w:rsid w:val="008C4014"/>
    <w:rsid w:val="008C429C"/>
    <w:rsid w:val="008C441D"/>
    <w:rsid w:val="008C55D0"/>
    <w:rsid w:val="008C5FAA"/>
    <w:rsid w:val="008C625F"/>
    <w:rsid w:val="008C6535"/>
    <w:rsid w:val="008C6D90"/>
    <w:rsid w:val="008C6F1D"/>
    <w:rsid w:val="008C7093"/>
    <w:rsid w:val="008C761A"/>
    <w:rsid w:val="008D1160"/>
    <w:rsid w:val="008D1C26"/>
    <w:rsid w:val="008D2403"/>
    <w:rsid w:val="008D32B6"/>
    <w:rsid w:val="008D3DD0"/>
    <w:rsid w:val="008D4247"/>
    <w:rsid w:val="008D4700"/>
    <w:rsid w:val="008D50B5"/>
    <w:rsid w:val="008D5180"/>
    <w:rsid w:val="008D5952"/>
    <w:rsid w:val="008D5A3B"/>
    <w:rsid w:val="008D5BE0"/>
    <w:rsid w:val="008D6298"/>
    <w:rsid w:val="008D6982"/>
    <w:rsid w:val="008D6D22"/>
    <w:rsid w:val="008D77B7"/>
    <w:rsid w:val="008D7FC6"/>
    <w:rsid w:val="008E0E4E"/>
    <w:rsid w:val="008E111F"/>
    <w:rsid w:val="008E1A68"/>
    <w:rsid w:val="008E1D66"/>
    <w:rsid w:val="008E1EFA"/>
    <w:rsid w:val="008E1F05"/>
    <w:rsid w:val="008E201E"/>
    <w:rsid w:val="008E20FC"/>
    <w:rsid w:val="008E221A"/>
    <w:rsid w:val="008E254B"/>
    <w:rsid w:val="008E2629"/>
    <w:rsid w:val="008E2B97"/>
    <w:rsid w:val="008E2F85"/>
    <w:rsid w:val="008E3BA4"/>
    <w:rsid w:val="008E4444"/>
    <w:rsid w:val="008E4536"/>
    <w:rsid w:val="008E474A"/>
    <w:rsid w:val="008E47A6"/>
    <w:rsid w:val="008E5C0A"/>
    <w:rsid w:val="008E5F42"/>
    <w:rsid w:val="008E64A7"/>
    <w:rsid w:val="008E6990"/>
    <w:rsid w:val="008E7067"/>
    <w:rsid w:val="008E73B3"/>
    <w:rsid w:val="008F01D8"/>
    <w:rsid w:val="008F0348"/>
    <w:rsid w:val="008F0466"/>
    <w:rsid w:val="008F0639"/>
    <w:rsid w:val="008F1077"/>
    <w:rsid w:val="008F16A3"/>
    <w:rsid w:val="008F1A5C"/>
    <w:rsid w:val="008F229D"/>
    <w:rsid w:val="008F29B6"/>
    <w:rsid w:val="008F2B5E"/>
    <w:rsid w:val="008F498F"/>
    <w:rsid w:val="008F4BBD"/>
    <w:rsid w:val="008F4C62"/>
    <w:rsid w:val="008F5414"/>
    <w:rsid w:val="008F563C"/>
    <w:rsid w:val="008F5E92"/>
    <w:rsid w:val="008F6051"/>
    <w:rsid w:val="008F6577"/>
    <w:rsid w:val="008F6821"/>
    <w:rsid w:val="008F6C2F"/>
    <w:rsid w:val="008F7A09"/>
    <w:rsid w:val="008F7B7E"/>
    <w:rsid w:val="00901254"/>
    <w:rsid w:val="009013DB"/>
    <w:rsid w:val="00901A1E"/>
    <w:rsid w:val="00902146"/>
    <w:rsid w:val="0090247E"/>
    <w:rsid w:val="00903031"/>
    <w:rsid w:val="00903EC4"/>
    <w:rsid w:val="009045B5"/>
    <w:rsid w:val="00904CAE"/>
    <w:rsid w:val="009059CF"/>
    <w:rsid w:val="00905A1D"/>
    <w:rsid w:val="00906341"/>
    <w:rsid w:val="00906434"/>
    <w:rsid w:val="0090670E"/>
    <w:rsid w:val="00906B76"/>
    <w:rsid w:val="009072A6"/>
    <w:rsid w:val="00907E09"/>
    <w:rsid w:val="00907EF4"/>
    <w:rsid w:val="00910601"/>
    <w:rsid w:val="00913086"/>
    <w:rsid w:val="00913173"/>
    <w:rsid w:val="009131A8"/>
    <w:rsid w:val="00913615"/>
    <w:rsid w:val="009136D9"/>
    <w:rsid w:val="00913A80"/>
    <w:rsid w:val="0091424E"/>
    <w:rsid w:val="00914667"/>
    <w:rsid w:val="00914947"/>
    <w:rsid w:val="00914CCD"/>
    <w:rsid w:val="00915B20"/>
    <w:rsid w:val="009162B2"/>
    <w:rsid w:val="00916E29"/>
    <w:rsid w:val="00917178"/>
    <w:rsid w:val="00917DD3"/>
    <w:rsid w:val="00917EF0"/>
    <w:rsid w:val="009200EB"/>
    <w:rsid w:val="00921362"/>
    <w:rsid w:val="009216B1"/>
    <w:rsid w:val="00921DD0"/>
    <w:rsid w:val="00922568"/>
    <w:rsid w:val="009229F1"/>
    <w:rsid w:val="00922A34"/>
    <w:rsid w:val="0092362D"/>
    <w:rsid w:val="00923F5E"/>
    <w:rsid w:val="009241E4"/>
    <w:rsid w:val="009246C4"/>
    <w:rsid w:val="0092502D"/>
    <w:rsid w:val="009253D1"/>
    <w:rsid w:val="0092600D"/>
    <w:rsid w:val="00926652"/>
    <w:rsid w:val="00926D05"/>
    <w:rsid w:val="00926F45"/>
    <w:rsid w:val="00927292"/>
    <w:rsid w:val="0092748C"/>
    <w:rsid w:val="009274A5"/>
    <w:rsid w:val="009278BB"/>
    <w:rsid w:val="00930BA1"/>
    <w:rsid w:val="00930F17"/>
    <w:rsid w:val="009311C6"/>
    <w:rsid w:val="009312CF"/>
    <w:rsid w:val="009315FC"/>
    <w:rsid w:val="00931BF3"/>
    <w:rsid w:val="00933AC7"/>
    <w:rsid w:val="00934705"/>
    <w:rsid w:val="00934741"/>
    <w:rsid w:val="00934EF5"/>
    <w:rsid w:val="00935895"/>
    <w:rsid w:val="00936863"/>
    <w:rsid w:val="009368F0"/>
    <w:rsid w:val="00936B98"/>
    <w:rsid w:val="00936F86"/>
    <w:rsid w:val="00937C9A"/>
    <w:rsid w:val="00937DCE"/>
    <w:rsid w:val="0094013B"/>
    <w:rsid w:val="0094036C"/>
    <w:rsid w:val="0094052F"/>
    <w:rsid w:val="00940749"/>
    <w:rsid w:val="00940EEF"/>
    <w:rsid w:val="00940F18"/>
    <w:rsid w:val="009413E3"/>
    <w:rsid w:val="00941CB8"/>
    <w:rsid w:val="00942FE0"/>
    <w:rsid w:val="0094374E"/>
    <w:rsid w:val="00944BE2"/>
    <w:rsid w:val="00944F5D"/>
    <w:rsid w:val="009451C0"/>
    <w:rsid w:val="00945FF8"/>
    <w:rsid w:val="009462B4"/>
    <w:rsid w:val="00946F04"/>
    <w:rsid w:val="00946F47"/>
    <w:rsid w:val="00947166"/>
    <w:rsid w:val="00947271"/>
    <w:rsid w:val="00947599"/>
    <w:rsid w:val="009475CC"/>
    <w:rsid w:val="0094790B"/>
    <w:rsid w:val="00947DFF"/>
    <w:rsid w:val="00950623"/>
    <w:rsid w:val="0095085B"/>
    <w:rsid w:val="00950AC1"/>
    <w:rsid w:val="009510C2"/>
    <w:rsid w:val="00951130"/>
    <w:rsid w:val="00951782"/>
    <w:rsid w:val="00951B8C"/>
    <w:rsid w:val="009523CB"/>
    <w:rsid w:val="009535FC"/>
    <w:rsid w:val="00953F08"/>
    <w:rsid w:val="009547CE"/>
    <w:rsid w:val="00955777"/>
    <w:rsid w:val="00955C22"/>
    <w:rsid w:val="00955C64"/>
    <w:rsid w:val="00955E5F"/>
    <w:rsid w:val="0095612C"/>
    <w:rsid w:val="00956A3C"/>
    <w:rsid w:val="00956BDC"/>
    <w:rsid w:val="00957029"/>
    <w:rsid w:val="0095752C"/>
    <w:rsid w:val="00957B80"/>
    <w:rsid w:val="009604FD"/>
    <w:rsid w:val="009608E7"/>
    <w:rsid w:val="00960A23"/>
    <w:rsid w:val="00960B1C"/>
    <w:rsid w:val="00960F99"/>
    <w:rsid w:val="0096157E"/>
    <w:rsid w:val="00961990"/>
    <w:rsid w:val="009633C7"/>
    <w:rsid w:val="00963808"/>
    <w:rsid w:val="009644D0"/>
    <w:rsid w:val="0096493C"/>
    <w:rsid w:val="0096509A"/>
    <w:rsid w:val="0096541E"/>
    <w:rsid w:val="00965FAF"/>
    <w:rsid w:val="00966C76"/>
    <w:rsid w:val="00966CB2"/>
    <w:rsid w:val="009671F5"/>
    <w:rsid w:val="009677F9"/>
    <w:rsid w:val="00967D71"/>
    <w:rsid w:val="0097123C"/>
    <w:rsid w:val="0097150D"/>
    <w:rsid w:val="00971783"/>
    <w:rsid w:val="0097227D"/>
    <w:rsid w:val="009722A9"/>
    <w:rsid w:val="00973818"/>
    <w:rsid w:val="00973C6F"/>
    <w:rsid w:val="00974283"/>
    <w:rsid w:val="0097461C"/>
    <w:rsid w:val="0097487A"/>
    <w:rsid w:val="00975B03"/>
    <w:rsid w:val="00976262"/>
    <w:rsid w:val="009801A1"/>
    <w:rsid w:val="009806D6"/>
    <w:rsid w:val="00980EF2"/>
    <w:rsid w:val="0098104A"/>
    <w:rsid w:val="009814A5"/>
    <w:rsid w:val="0098152F"/>
    <w:rsid w:val="00981979"/>
    <w:rsid w:val="00981F70"/>
    <w:rsid w:val="00982112"/>
    <w:rsid w:val="00982F9B"/>
    <w:rsid w:val="00983107"/>
    <w:rsid w:val="0098341B"/>
    <w:rsid w:val="00983980"/>
    <w:rsid w:val="00984CBA"/>
    <w:rsid w:val="00985726"/>
    <w:rsid w:val="00985EE3"/>
    <w:rsid w:val="0098667A"/>
    <w:rsid w:val="00986A4C"/>
    <w:rsid w:val="00986B09"/>
    <w:rsid w:val="009876D5"/>
    <w:rsid w:val="00990827"/>
    <w:rsid w:val="0099082B"/>
    <w:rsid w:val="0099091A"/>
    <w:rsid w:val="00990A6B"/>
    <w:rsid w:val="0099175A"/>
    <w:rsid w:val="00991CFB"/>
    <w:rsid w:val="00992382"/>
    <w:rsid w:val="00992A24"/>
    <w:rsid w:val="00992D73"/>
    <w:rsid w:val="00993022"/>
    <w:rsid w:val="009931E4"/>
    <w:rsid w:val="009932D6"/>
    <w:rsid w:val="00993366"/>
    <w:rsid w:val="009941B6"/>
    <w:rsid w:val="00994D17"/>
    <w:rsid w:val="00994FB5"/>
    <w:rsid w:val="0099516D"/>
    <w:rsid w:val="00995DA0"/>
    <w:rsid w:val="00996AF5"/>
    <w:rsid w:val="00996B7A"/>
    <w:rsid w:val="00997084"/>
    <w:rsid w:val="0099793A"/>
    <w:rsid w:val="009A05F1"/>
    <w:rsid w:val="009A0BA9"/>
    <w:rsid w:val="009A15FC"/>
    <w:rsid w:val="009A214A"/>
    <w:rsid w:val="009A22D6"/>
    <w:rsid w:val="009A28DB"/>
    <w:rsid w:val="009A32F9"/>
    <w:rsid w:val="009A433F"/>
    <w:rsid w:val="009A4E59"/>
    <w:rsid w:val="009A51FE"/>
    <w:rsid w:val="009A5578"/>
    <w:rsid w:val="009A5898"/>
    <w:rsid w:val="009A6927"/>
    <w:rsid w:val="009A6B33"/>
    <w:rsid w:val="009A6E9D"/>
    <w:rsid w:val="009A7136"/>
    <w:rsid w:val="009A7F57"/>
    <w:rsid w:val="009B021E"/>
    <w:rsid w:val="009B024C"/>
    <w:rsid w:val="009B108E"/>
    <w:rsid w:val="009B129D"/>
    <w:rsid w:val="009B16AD"/>
    <w:rsid w:val="009B17C9"/>
    <w:rsid w:val="009B206F"/>
    <w:rsid w:val="009B35FD"/>
    <w:rsid w:val="009B398A"/>
    <w:rsid w:val="009B451C"/>
    <w:rsid w:val="009B4705"/>
    <w:rsid w:val="009B4745"/>
    <w:rsid w:val="009B479F"/>
    <w:rsid w:val="009B4A42"/>
    <w:rsid w:val="009B4E00"/>
    <w:rsid w:val="009B511E"/>
    <w:rsid w:val="009B5444"/>
    <w:rsid w:val="009B6138"/>
    <w:rsid w:val="009B6151"/>
    <w:rsid w:val="009B746D"/>
    <w:rsid w:val="009B779B"/>
    <w:rsid w:val="009B7D1E"/>
    <w:rsid w:val="009C141A"/>
    <w:rsid w:val="009C2524"/>
    <w:rsid w:val="009C3012"/>
    <w:rsid w:val="009C437E"/>
    <w:rsid w:val="009C5C64"/>
    <w:rsid w:val="009C72BA"/>
    <w:rsid w:val="009C7C68"/>
    <w:rsid w:val="009D02D1"/>
    <w:rsid w:val="009D0E8E"/>
    <w:rsid w:val="009D1387"/>
    <w:rsid w:val="009D2028"/>
    <w:rsid w:val="009D2B2C"/>
    <w:rsid w:val="009D2CE7"/>
    <w:rsid w:val="009D2E6C"/>
    <w:rsid w:val="009D3BDE"/>
    <w:rsid w:val="009D3CF0"/>
    <w:rsid w:val="009D3FC8"/>
    <w:rsid w:val="009D4937"/>
    <w:rsid w:val="009D6783"/>
    <w:rsid w:val="009D68D7"/>
    <w:rsid w:val="009D6A49"/>
    <w:rsid w:val="009D6BA7"/>
    <w:rsid w:val="009D6CDE"/>
    <w:rsid w:val="009D701B"/>
    <w:rsid w:val="009E0208"/>
    <w:rsid w:val="009E0B61"/>
    <w:rsid w:val="009E17CC"/>
    <w:rsid w:val="009E1F4A"/>
    <w:rsid w:val="009E2EDB"/>
    <w:rsid w:val="009E3BA7"/>
    <w:rsid w:val="009E5571"/>
    <w:rsid w:val="009E5647"/>
    <w:rsid w:val="009E595D"/>
    <w:rsid w:val="009E5CBB"/>
    <w:rsid w:val="009E6781"/>
    <w:rsid w:val="009E6A53"/>
    <w:rsid w:val="009F019F"/>
    <w:rsid w:val="009F01F3"/>
    <w:rsid w:val="009F156C"/>
    <w:rsid w:val="009F1CB0"/>
    <w:rsid w:val="009F1D74"/>
    <w:rsid w:val="009F1E46"/>
    <w:rsid w:val="009F28C1"/>
    <w:rsid w:val="009F4C34"/>
    <w:rsid w:val="009F507F"/>
    <w:rsid w:val="009F5E17"/>
    <w:rsid w:val="009F6B7B"/>
    <w:rsid w:val="009F7A0D"/>
    <w:rsid w:val="009F7BD3"/>
    <w:rsid w:val="009F7FD5"/>
    <w:rsid w:val="00A01C75"/>
    <w:rsid w:val="00A020BD"/>
    <w:rsid w:val="00A0230B"/>
    <w:rsid w:val="00A0230D"/>
    <w:rsid w:val="00A0286D"/>
    <w:rsid w:val="00A02AD3"/>
    <w:rsid w:val="00A02BFE"/>
    <w:rsid w:val="00A02E8F"/>
    <w:rsid w:val="00A04740"/>
    <w:rsid w:val="00A04B08"/>
    <w:rsid w:val="00A04BD2"/>
    <w:rsid w:val="00A04E97"/>
    <w:rsid w:val="00A0529F"/>
    <w:rsid w:val="00A05405"/>
    <w:rsid w:val="00A05460"/>
    <w:rsid w:val="00A05A61"/>
    <w:rsid w:val="00A06026"/>
    <w:rsid w:val="00A0637C"/>
    <w:rsid w:val="00A06FEA"/>
    <w:rsid w:val="00A07DCF"/>
    <w:rsid w:val="00A1058E"/>
    <w:rsid w:val="00A105C6"/>
    <w:rsid w:val="00A10630"/>
    <w:rsid w:val="00A11629"/>
    <w:rsid w:val="00A11832"/>
    <w:rsid w:val="00A11AB8"/>
    <w:rsid w:val="00A11BF6"/>
    <w:rsid w:val="00A12B6B"/>
    <w:rsid w:val="00A12C6B"/>
    <w:rsid w:val="00A12E31"/>
    <w:rsid w:val="00A13729"/>
    <w:rsid w:val="00A13798"/>
    <w:rsid w:val="00A1413B"/>
    <w:rsid w:val="00A14550"/>
    <w:rsid w:val="00A14647"/>
    <w:rsid w:val="00A146EF"/>
    <w:rsid w:val="00A14881"/>
    <w:rsid w:val="00A14A1F"/>
    <w:rsid w:val="00A14B7E"/>
    <w:rsid w:val="00A15304"/>
    <w:rsid w:val="00A15A2E"/>
    <w:rsid w:val="00A15D7E"/>
    <w:rsid w:val="00A16153"/>
    <w:rsid w:val="00A161DC"/>
    <w:rsid w:val="00A1620C"/>
    <w:rsid w:val="00A16931"/>
    <w:rsid w:val="00A16ADE"/>
    <w:rsid w:val="00A16CCD"/>
    <w:rsid w:val="00A16FC7"/>
    <w:rsid w:val="00A178A5"/>
    <w:rsid w:val="00A17A5E"/>
    <w:rsid w:val="00A17DB4"/>
    <w:rsid w:val="00A20881"/>
    <w:rsid w:val="00A2116C"/>
    <w:rsid w:val="00A211C5"/>
    <w:rsid w:val="00A21ABB"/>
    <w:rsid w:val="00A21B87"/>
    <w:rsid w:val="00A21C96"/>
    <w:rsid w:val="00A221F4"/>
    <w:rsid w:val="00A233D5"/>
    <w:rsid w:val="00A235D5"/>
    <w:rsid w:val="00A23653"/>
    <w:rsid w:val="00A237B5"/>
    <w:rsid w:val="00A24AF0"/>
    <w:rsid w:val="00A24CFC"/>
    <w:rsid w:val="00A24FB7"/>
    <w:rsid w:val="00A25160"/>
    <w:rsid w:val="00A262C8"/>
    <w:rsid w:val="00A26971"/>
    <w:rsid w:val="00A27481"/>
    <w:rsid w:val="00A27F87"/>
    <w:rsid w:val="00A300D5"/>
    <w:rsid w:val="00A307AD"/>
    <w:rsid w:val="00A31407"/>
    <w:rsid w:val="00A330BA"/>
    <w:rsid w:val="00A33366"/>
    <w:rsid w:val="00A336F3"/>
    <w:rsid w:val="00A33C00"/>
    <w:rsid w:val="00A34085"/>
    <w:rsid w:val="00A35B63"/>
    <w:rsid w:val="00A35E4B"/>
    <w:rsid w:val="00A362C4"/>
    <w:rsid w:val="00A363E0"/>
    <w:rsid w:val="00A36A2C"/>
    <w:rsid w:val="00A36CA0"/>
    <w:rsid w:val="00A36CE9"/>
    <w:rsid w:val="00A37A3A"/>
    <w:rsid w:val="00A37C2E"/>
    <w:rsid w:val="00A37EE7"/>
    <w:rsid w:val="00A4049B"/>
    <w:rsid w:val="00A415BB"/>
    <w:rsid w:val="00A41643"/>
    <w:rsid w:val="00A41894"/>
    <w:rsid w:val="00A4195B"/>
    <w:rsid w:val="00A42D93"/>
    <w:rsid w:val="00A43803"/>
    <w:rsid w:val="00A43DDD"/>
    <w:rsid w:val="00A44135"/>
    <w:rsid w:val="00A449CC"/>
    <w:rsid w:val="00A45A6F"/>
    <w:rsid w:val="00A45C6C"/>
    <w:rsid w:val="00A45D41"/>
    <w:rsid w:val="00A45EE8"/>
    <w:rsid w:val="00A460F2"/>
    <w:rsid w:val="00A463A8"/>
    <w:rsid w:val="00A466D8"/>
    <w:rsid w:val="00A47077"/>
    <w:rsid w:val="00A47470"/>
    <w:rsid w:val="00A50EF7"/>
    <w:rsid w:val="00A514AB"/>
    <w:rsid w:val="00A518FA"/>
    <w:rsid w:val="00A51B5E"/>
    <w:rsid w:val="00A52406"/>
    <w:rsid w:val="00A526FD"/>
    <w:rsid w:val="00A53105"/>
    <w:rsid w:val="00A533A4"/>
    <w:rsid w:val="00A53442"/>
    <w:rsid w:val="00A5390E"/>
    <w:rsid w:val="00A545C1"/>
    <w:rsid w:val="00A54759"/>
    <w:rsid w:val="00A54C4D"/>
    <w:rsid w:val="00A54E08"/>
    <w:rsid w:val="00A54EF3"/>
    <w:rsid w:val="00A54FF5"/>
    <w:rsid w:val="00A565C4"/>
    <w:rsid w:val="00A56618"/>
    <w:rsid w:val="00A566EE"/>
    <w:rsid w:val="00A567A1"/>
    <w:rsid w:val="00A56BD3"/>
    <w:rsid w:val="00A570FF"/>
    <w:rsid w:val="00A60E9B"/>
    <w:rsid w:val="00A61C42"/>
    <w:rsid w:val="00A61FC4"/>
    <w:rsid w:val="00A62654"/>
    <w:rsid w:val="00A62B30"/>
    <w:rsid w:val="00A63F7D"/>
    <w:rsid w:val="00A641EB"/>
    <w:rsid w:val="00A64391"/>
    <w:rsid w:val="00A64F98"/>
    <w:rsid w:val="00A66DFA"/>
    <w:rsid w:val="00A67D9F"/>
    <w:rsid w:val="00A67E06"/>
    <w:rsid w:val="00A701AB"/>
    <w:rsid w:val="00A70306"/>
    <w:rsid w:val="00A704D0"/>
    <w:rsid w:val="00A70978"/>
    <w:rsid w:val="00A70C28"/>
    <w:rsid w:val="00A70CBD"/>
    <w:rsid w:val="00A71944"/>
    <w:rsid w:val="00A71BCF"/>
    <w:rsid w:val="00A71C07"/>
    <w:rsid w:val="00A71DBC"/>
    <w:rsid w:val="00A7235A"/>
    <w:rsid w:val="00A723AA"/>
    <w:rsid w:val="00A72444"/>
    <w:rsid w:val="00A727F5"/>
    <w:rsid w:val="00A72F18"/>
    <w:rsid w:val="00A73608"/>
    <w:rsid w:val="00A73C6C"/>
    <w:rsid w:val="00A76117"/>
    <w:rsid w:val="00A76C3D"/>
    <w:rsid w:val="00A76C7C"/>
    <w:rsid w:val="00A774AA"/>
    <w:rsid w:val="00A7755E"/>
    <w:rsid w:val="00A80740"/>
    <w:rsid w:val="00A82002"/>
    <w:rsid w:val="00A824CB"/>
    <w:rsid w:val="00A8304B"/>
    <w:rsid w:val="00A840A3"/>
    <w:rsid w:val="00A84D0F"/>
    <w:rsid w:val="00A8572B"/>
    <w:rsid w:val="00A85B8A"/>
    <w:rsid w:val="00A86213"/>
    <w:rsid w:val="00A86360"/>
    <w:rsid w:val="00A8651C"/>
    <w:rsid w:val="00A86EAC"/>
    <w:rsid w:val="00A86ED9"/>
    <w:rsid w:val="00A8729A"/>
    <w:rsid w:val="00A87706"/>
    <w:rsid w:val="00A87CC4"/>
    <w:rsid w:val="00A87FFE"/>
    <w:rsid w:val="00A90E5C"/>
    <w:rsid w:val="00A91F73"/>
    <w:rsid w:val="00A92C7D"/>
    <w:rsid w:val="00A92E79"/>
    <w:rsid w:val="00A93115"/>
    <w:rsid w:val="00A93142"/>
    <w:rsid w:val="00A94C41"/>
    <w:rsid w:val="00A95488"/>
    <w:rsid w:val="00A957A3"/>
    <w:rsid w:val="00A95848"/>
    <w:rsid w:val="00A95961"/>
    <w:rsid w:val="00A965A0"/>
    <w:rsid w:val="00A96628"/>
    <w:rsid w:val="00A96AC4"/>
    <w:rsid w:val="00A96DC0"/>
    <w:rsid w:val="00A97774"/>
    <w:rsid w:val="00A97D78"/>
    <w:rsid w:val="00AA0373"/>
    <w:rsid w:val="00AA0A74"/>
    <w:rsid w:val="00AA1286"/>
    <w:rsid w:val="00AA1896"/>
    <w:rsid w:val="00AA1AA4"/>
    <w:rsid w:val="00AA1B57"/>
    <w:rsid w:val="00AA1F87"/>
    <w:rsid w:val="00AA2BFB"/>
    <w:rsid w:val="00AA2E53"/>
    <w:rsid w:val="00AA35F6"/>
    <w:rsid w:val="00AA48C4"/>
    <w:rsid w:val="00AA5493"/>
    <w:rsid w:val="00AA561E"/>
    <w:rsid w:val="00AA60D3"/>
    <w:rsid w:val="00AA6588"/>
    <w:rsid w:val="00AA6869"/>
    <w:rsid w:val="00AA688C"/>
    <w:rsid w:val="00AA6FC6"/>
    <w:rsid w:val="00AA789A"/>
    <w:rsid w:val="00AA7BC1"/>
    <w:rsid w:val="00AB00B6"/>
    <w:rsid w:val="00AB02AF"/>
    <w:rsid w:val="00AB06F5"/>
    <w:rsid w:val="00AB092B"/>
    <w:rsid w:val="00AB11CC"/>
    <w:rsid w:val="00AB1AC4"/>
    <w:rsid w:val="00AB1C26"/>
    <w:rsid w:val="00AB1C3F"/>
    <w:rsid w:val="00AB1E62"/>
    <w:rsid w:val="00AB210C"/>
    <w:rsid w:val="00AB38CA"/>
    <w:rsid w:val="00AB4ABC"/>
    <w:rsid w:val="00AB5298"/>
    <w:rsid w:val="00AB541A"/>
    <w:rsid w:val="00AB5569"/>
    <w:rsid w:val="00AB5BF6"/>
    <w:rsid w:val="00AB651D"/>
    <w:rsid w:val="00AB69A8"/>
    <w:rsid w:val="00AB6AEC"/>
    <w:rsid w:val="00AB79AD"/>
    <w:rsid w:val="00AB7C93"/>
    <w:rsid w:val="00AB7E8E"/>
    <w:rsid w:val="00AC0612"/>
    <w:rsid w:val="00AC0637"/>
    <w:rsid w:val="00AC0791"/>
    <w:rsid w:val="00AC0F33"/>
    <w:rsid w:val="00AC0FE0"/>
    <w:rsid w:val="00AC1B2F"/>
    <w:rsid w:val="00AC1DA5"/>
    <w:rsid w:val="00AC2020"/>
    <w:rsid w:val="00AC2467"/>
    <w:rsid w:val="00AC2989"/>
    <w:rsid w:val="00AC2A64"/>
    <w:rsid w:val="00AC3384"/>
    <w:rsid w:val="00AC49B1"/>
    <w:rsid w:val="00AC4A70"/>
    <w:rsid w:val="00AC4AFA"/>
    <w:rsid w:val="00AC582B"/>
    <w:rsid w:val="00AC5AEA"/>
    <w:rsid w:val="00AC5AEE"/>
    <w:rsid w:val="00AC5DA3"/>
    <w:rsid w:val="00AC6A7D"/>
    <w:rsid w:val="00AC738D"/>
    <w:rsid w:val="00AC7EBF"/>
    <w:rsid w:val="00AD0611"/>
    <w:rsid w:val="00AD08A3"/>
    <w:rsid w:val="00AD1D20"/>
    <w:rsid w:val="00AD25ED"/>
    <w:rsid w:val="00AD2B6E"/>
    <w:rsid w:val="00AD2FB2"/>
    <w:rsid w:val="00AD32F2"/>
    <w:rsid w:val="00AD3D14"/>
    <w:rsid w:val="00AD470C"/>
    <w:rsid w:val="00AD4955"/>
    <w:rsid w:val="00AD4BA6"/>
    <w:rsid w:val="00AD5727"/>
    <w:rsid w:val="00AD5A8D"/>
    <w:rsid w:val="00AD60D3"/>
    <w:rsid w:val="00AD721A"/>
    <w:rsid w:val="00AD74B5"/>
    <w:rsid w:val="00AD787E"/>
    <w:rsid w:val="00AD7B7A"/>
    <w:rsid w:val="00AE006B"/>
    <w:rsid w:val="00AE0378"/>
    <w:rsid w:val="00AE0CBC"/>
    <w:rsid w:val="00AE1401"/>
    <w:rsid w:val="00AE16D6"/>
    <w:rsid w:val="00AE19E1"/>
    <w:rsid w:val="00AE19E4"/>
    <w:rsid w:val="00AE1A4A"/>
    <w:rsid w:val="00AE1FAA"/>
    <w:rsid w:val="00AE27A8"/>
    <w:rsid w:val="00AE2963"/>
    <w:rsid w:val="00AE384E"/>
    <w:rsid w:val="00AE3C2C"/>
    <w:rsid w:val="00AE3CB6"/>
    <w:rsid w:val="00AE3D7B"/>
    <w:rsid w:val="00AE4744"/>
    <w:rsid w:val="00AE4C53"/>
    <w:rsid w:val="00AE5048"/>
    <w:rsid w:val="00AE555E"/>
    <w:rsid w:val="00AE6FEF"/>
    <w:rsid w:val="00AE7429"/>
    <w:rsid w:val="00AF032B"/>
    <w:rsid w:val="00AF0354"/>
    <w:rsid w:val="00AF06AE"/>
    <w:rsid w:val="00AF0FF8"/>
    <w:rsid w:val="00AF17DB"/>
    <w:rsid w:val="00AF278A"/>
    <w:rsid w:val="00AF2F7E"/>
    <w:rsid w:val="00AF30D5"/>
    <w:rsid w:val="00AF373C"/>
    <w:rsid w:val="00AF3C1B"/>
    <w:rsid w:val="00AF3E17"/>
    <w:rsid w:val="00AF4481"/>
    <w:rsid w:val="00AF4C94"/>
    <w:rsid w:val="00AF54CD"/>
    <w:rsid w:val="00AF5A24"/>
    <w:rsid w:val="00AF5DC5"/>
    <w:rsid w:val="00AF6098"/>
    <w:rsid w:val="00AF64C8"/>
    <w:rsid w:val="00AF76CE"/>
    <w:rsid w:val="00AF7D19"/>
    <w:rsid w:val="00B008F2"/>
    <w:rsid w:val="00B00EB6"/>
    <w:rsid w:val="00B01105"/>
    <w:rsid w:val="00B01280"/>
    <w:rsid w:val="00B0226C"/>
    <w:rsid w:val="00B022DA"/>
    <w:rsid w:val="00B02C82"/>
    <w:rsid w:val="00B02EAA"/>
    <w:rsid w:val="00B0304A"/>
    <w:rsid w:val="00B033CE"/>
    <w:rsid w:val="00B0392C"/>
    <w:rsid w:val="00B0394C"/>
    <w:rsid w:val="00B04943"/>
    <w:rsid w:val="00B0503B"/>
    <w:rsid w:val="00B054A8"/>
    <w:rsid w:val="00B05551"/>
    <w:rsid w:val="00B055E2"/>
    <w:rsid w:val="00B062A7"/>
    <w:rsid w:val="00B065C2"/>
    <w:rsid w:val="00B06B6C"/>
    <w:rsid w:val="00B0741E"/>
    <w:rsid w:val="00B07795"/>
    <w:rsid w:val="00B07E20"/>
    <w:rsid w:val="00B07F4D"/>
    <w:rsid w:val="00B10759"/>
    <w:rsid w:val="00B107BA"/>
    <w:rsid w:val="00B110DC"/>
    <w:rsid w:val="00B1130A"/>
    <w:rsid w:val="00B118C6"/>
    <w:rsid w:val="00B11B8E"/>
    <w:rsid w:val="00B11F43"/>
    <w:rsid w:val="00B124C2"/>
    <w:rsid w:val="00B12EBF"/>
    <w:rsid w:val="00B1370D"/>
    <w:rsid w:val="00B13B9B"/>
    <w:rsid w:val="00B13F4D"/>
    <w:rsid w:val="00B14065"/>
    <w:rsid w:val="00B14314"/>
    <w:rsid w:val="00B145E9"/>
    <w:rsid w:val="00B148D7"/>
    <w:rsid w:val="00B14AA2"/>
    <w:rsid w:val="00B14AF5"/>
    <w:rsid w:val="00B14CC6"/>
    <w:rsid w:val="00B14CEC"/>
    <w:rsid w:val="00B15F97"/>
    <w:rsid w:val="00B208A0"/>
    <w:rsid w:val="00B21E02"/>
    <w:rsid w:val="00B22AF8"/>
    <w:rsid w:val="00B22DAC"/>
    <w:rsid w:val="00B23123"/>
    <w:rsid w:val="00B2351C"/>
    <w:rsid w:val="00B2382C"/>
    <w:rsid w:val="00B2461D"/>
    <w:rsid w:val="00B256CC"/>
    <w:rsid w:val="00B2581E"/>
    <w:rsid w:val="00B25AE2"/>
    <w:rsid w:val="00B2748D"/>
    <w:rsid w:val="00B27CE8"/>
    <w:rsid w:val="00B302E0"/>
    <w:rsid w:val="00B30481"/>
    <w:rsid w:val="00B306E0"/>
    <w:rsid w:val="00B31465"/>
    <w:rsid w:val="00B32512"/>
    <w:rsid w:val="00B32F96"/>
    <w:rsid w:val="00B3368B"/>
    <w:rsid w:val="00B337DE"/>
    <w:rsid w:val="00B349B8"/>
    <w:rsid w:val="00B34DA2"/>
    <w:rsid w:val="00B35BB9"/>
    <w:rsid w:val="00B37A38"/>
    <w:rsid w:val="00B37D43"/>
    <w:rsid w:val="00B4025B"/>
    <w:rsid w:val="00B408D4"/>
    <w:rsid w:val="00B40B4C"/>
    <w:rsid w:val="00B41D77"/>
    <w:rsid w:val="00B41F64"/>
    <w:rsid w:val="00B42410"/>
    <w:rsid w:val="00B431D8"/>
    <w:rsid w:val="00B43C31"/>
    <w:rsid w:val="00B43FEC"/>
    <w:rsid w:val="00B44500"/>
    <w:rsid w:val="00B449A6"/>
    <w:rsid w:val="00B449AD"/>
    <w:rsid w:val="00B45701"/>
    <w:rsid w:val="00B45D98"/>
    <w:rsid w:val="00B46FC4"/>
    <w:rsid w:val="00B47046"/>
    <w:rsid w:val="00B473EA"/>
    <w:rsid w:val="00B47A35"/>
    <w:rsid w:val="00B47EC5"/>
    <w:rsid w:val="00B50565"/>
    <w:rsid w:val="00B50D0D"/>
    <w:rsid w:val="00B51E5B"/>
    <w:rsid w:val="00B51EAC"/>
    <w:rsid w:val="00B5205B"/>
    <w:rsid w:val="00B5429A"/>
    <w:rsid w:val="00B543BD"/>
    <w:rsid w:val="00B54708"/>
    <w:rsid w:val="00B548D3"/>
    <w:rsid w:val="00B54FBC"/>
    <w:rsid w:val="00B552A3"/>
    <w:rsid w:val="00B553C0"/>
    <w:rsid w:val="00B55C47"/>
    <w:rsid w:val="00B5618D"/>
    <w:rsid w:val="00B56311"/>
    <w:rsid w:val="00B578DC"/>
    <w:rsid w:val="00B579E3"/>
    <w:rsid w:val="00B6019D"/>
    <w:rsid w:val="00B604B3"/>
    <w:rsid w:val="00B60945"/>
    <w:rsid w:val="00B60FFB"/>
    <w:rsid w:val="00B615E2"/>
    <w:rsid w:val="00B62693"/>
    <w:rsid w:val="00B63A43"/>
    <w:rsid w:val="00B63C00"/>
    <w:rsid w:val="00B63DDF"/>
    <w:rsid w:val="00B640F4"/>
    <w:rsid w:val="00B642F1"/>
    <w:rsid w:val="00B64AA1"/>
    <w:rsid w:val="00B6526F"/>
    <w:rsid w:val="00B65721"/>
    <w:rsid w:val="00B65893"/>
    <w:rsid w:val="00B658B6"/>
    <w:rsid w:val="00B65948"/>
    <w:rsid w:val="00B65DBE"/>
    <w:rsid w:val="00B66014"/>
    <w:rsid w:val="00B66E59"/>
    <w:rsid w:val="00B6795F"/>
    <w:rsid w:val="00B67F14"/>
    <w:rsid w:val="00B71103"/>
    <w:rsid w:val="00B71206"/>
    <w:rsid w:val="00B71A51"/>
    <w:rsid w:val="00B71DA7"/>
    <w:rsid w:val="00B721E5"/>
    <w:rsid w:val="00B72472"/>
    <w:rsid w:val="00B72A10"/>
    <w:rsid w:val="00B73619"/>
    <w:rsid w:val="00B73DFF"/>
    <w:rsid w:val="00B73EE7"/>
    <w:rsid w:val="00B74366"/>
    <w:rsid w:val="00B74A65"/>
    <w:rsid w:val="00B75791"/>
    <w:rsid w:val="00B75AD3"/>
    <w:rsid w:val="00B7662A"/>
    <w:rsid w:val="00B76C8A"/>
    <w:rsid w:val="00B76D46"/>
    <w:rsid w:val="00B76DBA"/>
    <w:rsid w:val="00B76F1C"/>
    <w:rsid w:val="00B771F5"/>
    <w:rsid w:val="00B77564"/>
    <w:rsid w:val="00B7756E"/>
    <w:rsid w:val="00B800A7"/>
    <w:rsid w:val="00B81359"/>
    <w:rsid w:val="00B81701"/>
    <w:rsid w:val="00B82228"/>
    <w:rsid w:val="00B822BD"/>
    <w:rsid w:val="00B824DB"/>
    <w:rsid w:val="00B827BC"/>
    <w:rsid w:val="00B8332C"/>
    <w:rsid w:val="00B845DF"/>
    <w:rsid w:val="00B846E5"/>
    <w:rsid w:val="00B85A3A"/>
    <w:rsid w:val="00B861CB"/>
    <w:rsid w:val="00B86EA4"/>
    <w:rsid w:val="00B87252"/>
    <w:rsid w:val="00B8730B"/>
    <w:rsid w:val="00B8772F"/>
    <w:rsid w:val="00B87CDB"/>
    <w:rsid w:val="00B87F8D"/>
    <w:rsid w:val="00B90EE0"/>
    <w:rsid w:val="00B91D85"/>
    <w:rsid w:val="00B925EF"/>
    <w:rsid w:val="00B92746"/>
    <w:rsid w:val="00B92E2D"/>
    <w:rsid w:val="00B9318B"/>
    <w:rsid w:val="00B93480"/>
    <w:rsid w:val="00B93CEA"/>
    <w:rsid w:val="00B93D18"/>
    <w:rsid w:val="00B940C1"/>
    <w:rsid w:val="00B9419B"/>
    <w:rsid w:val="00B94637"/>
    <w:rsid w:val="00B9522D"/>
    <w:rsid w:val="00B959F6"/>
    <w:rsid w:val="00B963B6"/>
    <w:rsid w:val="00B96690"/>
    <w:rsid w:val="00B968BB"/>
    <w:rsid w:val="00B96A2C"/>
    <w:rsid w:val="00B9725B"/>
    <w:rsid w:val="00B97E90"/>
    <w:rsid w:val="00B97EDF"/>
    <w:rsid w:val="00BA15CA"/>
    <w:rsid w:val="00BA15D7"/>
    <w:rsid w:val="00BA1CD3"/>
    <w:rsid w:val="00BA3064"/>
    <w:rsid w:val="00BA3113"/>
    <w:rsid w:val="00BA3347"/>
    <w:rsid w:val="00BA3DD4"/>
    <w:rsid w:val="00BA42CB"/>
    <w:rsid w:val="00BA64ED"/>
    <w:rsid w:val="00BA6B31"/>
    <w:rsid w:val="00BA6E92"/>
    <w:rsid w:val="00BA7204"/>
    <w:rsid w:val="00BA7A4E"/>
    <w:rsid w:val="00BB028C"/>
    <w:rsid w:val="00BB0DDC"/>
    <w:rsid w:val="00BB107C"/>
    <w:rsid w:val="00BB10CA"/>
    <w:rsid w:val="00BB19E1"/>
    <w:rsid w:val="00BB1A85"/>
    <w:rsid w:val="00BB2853"/>
    <w:rsid w:val="00BB29C4"/>
    <w:rsid w:val="00BB2CD1"/>
    <w:rsid w:val="00BB3021"/>
    <w:rsid w:val="00BB369D"/>
    <w:rsid w:val="00BB39AB"/>
    <w:rsid w:val="00BB3BDE"/>
    <w:rsid w:val="00BB3CFE"/>
    <w:rsid w:val="00BB4638"/>
    <w:rsid w:val="00BB4D5A"/>
    <w:rsid w:val="00BB53F1"/>
    <w:rsid w:val="00BB556B"/>
    <w:rsid w:val="00BB6A8D"/>
    <w:rsid w:val="00BB6B38"/>
    <w:rsid w:val="00BB7746"/>
    <w:rsid w:val="00BB7AC6"/>
    <w:rsid w:val="00BC00F4"/>
    <w:rsid w:val="00BC033E"/>
    <w:rsid w:val="00BC125D"/>
    <w:rsid w:val="00BC15F8"/>
    <w:rsid w:val="00BC1C7B"/>
    <w:rsid w:val="00BC1CDC"/>
    <w:rsid w:val="00BC20D0"/>
    <w:rsid w:val="00BC23C2"/>
    <w:rsid w:val="00BC2AE0"/>
    <w:rsid w:val="00BC2D5E"/>
    <w:rsid w:val="00BC2E6D"/>
    <w:rsid w:val="00BC3307"/>
    <w:rsid w:val="00BC37DA"/>
    <w:rsid w:val="00BC3C26"/>
    <w:rsid w:val="00BC3DAB"/>
    <w:rsid w:val="00BC409D"/>
    <w:rsid w:val="00BC5268"/>
    <w:rsid w:val="00BC54ED"/>
    <w:rsid w:val="00BC622A"/>
    <w:rsid w:val="00BC6EDB"/>
    <w:rsid w:val="00BC77B7"/>
    <w:rsid w:val="00BC7E9F"/>
    <w:rsid w:val="00BD0A40"/>
    <w:rsid w:val="00BD0C4A"/>
    <w:rsid w:val="00BD15BA"/>
    <w:rsid w:val="00BD2A53"/>
    <w:rsid w:val="00BD3086"/>
    <w:rsid w:val="00BD44C6"/>
    <w:rsid w:val="00BD4C17"/>
    <w:rsid w:val="00BD4E50"/>
    <w:rsid w:val="00BD5571"/>
    <w:rsid w:val="00BD5CD5"/>
    <w:rsid w:val="00BD64DD"/>
    <w:rsid w:val="00BD70EB"/>
    <w:rsid w:val="00BD7301"/>
    <w:rsid w:val="00BD7E99"/>
    <w:rsid w:val="00BE16CB"/>
    <w:rsid w:val="00BE1B7D"/>
    <w:rsid w:val="00BE1D6B"/>
    <w:rsid w:val="00BE22CA"/>
    <w:rsid w:val="00BE2AF3"/>
    <w:rsid w:val="00BE2CBD"/>
    <w:rsid w:val="00BE3824"/>
    <w:rsid w:val="00BE468A"/>
    <w:rsid w:val="00BE5D4C"/>
    <w:rsid w:val="00BE6092"/>
    <w:rsid w:val="00BE6729"/>
    <w:rsid w:val="00BE6D46"/>
    <w:rsid w:val="00BE6F27"/>
    <w:rsid w:val="00BE7485"/>
    <w:rsid w:val="00BF06EB"/>
    <w:rsid w:val="00BF0B8F"/>
    <w:rsid w:val="00BF11AA"/>
    <w:rsid w:val="00BF2885"/>
    <w:rsid w:val="00BF2916"/>
    <w:rsid w:val="00BF2B0C"/>
    <w:rsid w:val="00BF2D4B"/>
    <w:rsid w:val="00BF31E2"/>
    <w:rsid w:val="00BF348B"/>
    <w:rsid w:val="00BF3680"/>
    <w:rsid w:val="00BF40B2"/>
    <w:rsid w:val="00BF44C4"/>
    <w:rsid w:val="00BF44DC"/>
    <w:rsid w:val="00BF500E"/>
    <w:rsid w:val="00BF5260"/>
    <w:rsid w:val="00BF563C"/>
    <w:rsid w:val="00BF5C35"/>
    <w:rsid w:val="00BF5E01"/>
    <w:rsid w:val="00BF6882"/>
    <w:rsid w:val="00BF6A99"/>
    <w:rsid w:val="00BF714F"/>
    <w:rsid w:val="00BF75FC"/>
    <w:rsid w:val="00C003A1"/>
    <w:rsid w:val="00C011D0"/>
    <w:rsid w:val="00C0184A"/>
    <w:rsid w:val="00C01910"/>
    <w:rsid w:val="00C01BFE"/>
    <w:rsid w:val="00C021A5"/>
    <w:rsid w:val="00C022F3"/>
    <w:rsid w:val="00C02C35"/>
    <w:rsid w:val="00C02CA2"/>
    <w:rsid w:val="00C02E21"/>
    <w:rsid w:val="00C038B6"/>
    <w:rsid w:val="00C0444D"/>
    <w:rsid w:val="00C04750"/>
    <w:rsid w:val="00C04A22"/>
    <w:rsid w:val="00C0501C"/>
    <w:rsid w:val="00C054D1"/>
    <w:rsid w:val="00C05AA7"/>
    <w:rsid w:val="00C06153"/>
    <w:rsid w:val="00C06261"/>
    <w:rsid w:val="00C06D69"/>
    <w:rsid w:val="00C06E12"/>
    <w:rsid w:val="00C06EFE"/>
    <w:rsid w:val="00C06F9C"/>
    <w:rsid w:val="00C0703C"/>
    <w:rsid w:val="00C07484"/>
    <w:rsid w:val="00C1017C"/>
    <w:rsid w:val="00C1022E"/>
    <w:rsid w:val="00C1039D"/>
    <w:rsid w:val="00C10815"/>
    <w:rsid w:val="00C1223D"/>
    <w:rsid w:val="00C124BE"/>
    <w:rsid w:val="00C12998"/>
    <w:rsid w:val="00C13494"/>
    <w:rsid w:val="00C138FC"/>
    <w:rsid w:val="00C13F47"/>
    <w:rsid w:val="00C14793"/>
    <w:rsid w:val="00C1485D"/>
    <w:rsid w:val="00C15381"/>
    <w:rsid w:val="00C158BF"/>
    <w:rsid w:val="00C16986"/>
    <w:rsid w:val="00C16DAC"/>
    <w:rsid w:val="00C16E41"/>
    <w:rsid w:val="00C16FF7"/>
    <w:rsid w:val="00C171F3"/>
    <w:rsid w:val="00C1773C"/>
    <w:rsid w:val="00C17963"/>
    <w:rsid w:val="00C2069E"/>
    <w:rsid w:val="00C208C3"/>
    <w:rsid w:val="00C20970"/>
    <w:rsid w:val="00C20FDD"/>
    <w:rsid w:val="00C211D9"/>
    <w:rsid w:val="00C21263"/>
    <w:rsid w:val="00C220F2"/>
    <w:rsid w:val="00C22426"/>
    <w:rsid w:val="00C23A88"/>
    <w:rsid w:val="00C23C2E"/>
    <w:rsid w:val="00C248FF"/>
    <w:rsid w:val="00C25935"/>
    <w:rsid w:val="00C278B5"/>
    <w:rsid w:val="00C27CEC"/>
    <w:rsid w:val="00C27EC9"/>
    <w:rsid w:val="00C30981"/>
    <w:rsid w:val="00C31336"/>
    <w:rsid w:val="00C3200D"/>
    <w:rsid w:val="00C325B7"/>
    <w:rsid w:val="00C32968"/>
    <w:rsid w:val="00C32A57"/>
    <w:rsid w:val="00C34277"/>
    <w:rsid w:val="00C347E7"/>
    <w:rsid w:val="00C34AEB"/>
    <w:rsid w:val="00C351EA"/>
    <w:rsid w:val="00C35AB6"/>
    <w:rsid w:val="00C3695A"/>
    <w:rsid w:val="00C36A87"/>
    <w:rsid w:val="00C36B97"/>
    <w:rsid w:val="00C37AC0"/>
    <w:rsid w:val="00C37D3F"/>
    <w:rsid w:val="00C40284"/>
    <w:rsid w:val="00C40B4B"/>
    <w:rsid w:val="00C40DE4"/>
    <w:rsid w:val="00C41C55"/>
    <w:rsid w:val="00C42595"/>
    <w:rsid w:val="00C43E78"/>
    <w:rsid w:val="00C44314"/>
    <w:rsid w:val="00C4464E"/>
    <w:rsid w:val="00C45E1E"/>
    <w:rsid w:val="00C46AD9"/>
    <w:rsid w:val="00C46BB1"/>
    <w:rsid w:val="00C50BAC"/>
    <w:rsid w:val="00C51E69"/>
    <w:rsid w:val="00C52505"/>
    <w:rsid w:val="00C525E8"/>
    <w:rsid w:val="00C53C87"/>
    <w:rsid w:val="00C53F02"/>
    <w:rsid w:val="00C53F8B"/>
    <w:rsid w:val="00C54049"/>
    <w:rsid w:val="00C54DE5"/>
    <w:rsid w:val="00C556FA"/>
    <w:rsid w:val="00C55CCD"/>
    <w:rsid w:val="00C56897"/>
    <w:rsid w:val="00C56976"/>
    <w:rsid w:val="00C56C07"/>
    <w:rsid w:val="00C56F23"/>
    <w:rsid w:val="00C574D1"/>
    <w:rsid w:val="00C57C61"/>
    <w:rsid w:val="00C601AC"/>
    <w:rsid w:val="00C60253"/>
    <w:rsid w:val="00C60267"/>
    <w:rsid w:val="00C6065A"/>
    <w:rsid w:val="00C60A4A"/>
    <w:rsid w:val="00C60AFF"/>
    <w:rsid w:val="00C619E6"/>
    <w:rsid w:val="00C61AB2"/>
    <w:rsid w:val="00C61DA1"/>
    <w:rsid w:val="00C61E98"/>
    <w:rsid w:val="00C6200C"/>
    <w:rsid w:val="00C62AD1"/>
    <w:rsid w:val="00C62CEC"/>
    <w:rsid w:val="00C62E99"/>
    <w:rsid w:val="00C634AF"/>
    <w:rsid w:val="00C6378F"/>
    <w:rsid w:val="00C6471B"/>
    <w:rsid w:val="00C65485"/>
    <w:rsid w:val="00C655B6"/>
    <w:rsid w:val="00C65F35"/>
    <w:rsid w:val="00C665D5"/>
    <w:rsid w:val="00C670D4"/>
    <w:rsid w:val="00C67188"/>
    <w:rsid w:val="00C672BD"/>
    <w:rsid w:val="00C67615"/>
    <w:rsid w:val="00C679E7"/>
    <w:rsid w:val="00C704FF"/>
    <w:rsid w:val="00C7077E"/>
    <w:rsid w:val="00C70D06"/>
    <w:rsid w:val="00C7286E"/>
    <w:rsid w:val="00C729A3"/>
    <w:rsid w:val="00C73040"/>
    <w:rsid w:val="00C739B7"/>
    <w:rsid w:val="00C73A2A"/>
    <w:rsid w:val="00C74206"/>
    <w:rsid w:val="00C74B93"/>
    <w:rsid w:val="00C75768"/>
    <w:rsid w:val="00C75C9F"/>
    <w:rsid w:val="00C75E6A"/>
    <w:rsid w:val="00C75FF5"/>
    <w:rsid w:val="00C76921"/>
    <w:rsid w:val="00C76B7F"/>
    <w:rsid w:val="00C76BDC"/>
    <w:rsid w:val="00C76DB9"/>
    <w:rsid w:val="00C770CC"/>
    <w:rsid w:val="00C771E4"/>
    <w:rsid w:val="00C772D2"/>
    <w:rsid w:val="00C772DD"/>
    <w:rsid w:val="00C778B7"/>
    <w:rsid w:val="00C77AD8"/>
    <w:rsid w:val="00C77FC0"/>
    <w:rsid w:val="00C80FB3"/>
    <w:rsid w:val="00C8101B"/>
    <w:rsid w:val="00C81071"/>
    <w:rsid w:val="00C815BD"/>
    <w:rsid w:val="00C81C0B"/>
    <w:rsid w:val="00C83265"/>
    <w:rsid w:val="00C835FC"/>
    <w:rsid w:val="00C84FA1"/>
    <w:rsid w:val="00C878CB"/>
    <w:rsid w:val="00C90375"/>
    <w:rsid w:val="00C90800"/>
    <w:rsid w:val="00C90F79"/>
    <w:rsid w:val="00C90F9D"/>
    <w:rsid w:val="00C9114E"/>
    <w:rsid w:val="00C9117B"/>
    <w:rsid w:val="00C9120A"/>
    <w:rsid w:val="00C913DD"/>
    <w:rsid w:val="00C914FD"/>
    <w:rsid w:val="00C91871"/>
    <w:rsid w:val="00C9198C"/>
    <w:rsid w:val="00C9263B"/>
    <w:rsid w:val="00C9279A"/>
    <w:rsid w:val="00C92C82"/>
    <w:rsid w:val="00C92D42"/>
    <w:rsid w:val="00C932D5"/>
    <w:rsid w:val="00C9343C"/>
    <w:rsid w:val="00C93F3C"/>
    <w:rsid w:val="00C949CB"/>
    <w:rsid w:val="00C951A4"/>
    <w:rsid w:val="00C9544E"/>
    <w:rsid w:val="00C968BD"/>
    <w:rsid w:val="00C96DEF"/>
    <w:rsid w:val="00C96E26"/>
    <w:rsid w:val="00C973DC"/>
    <w:rsid w:val="00CA072D"/>
    <w:rsid w:val="00CA0E33"/>
    <w:rsid w:val="00CA1512"/>
    <w:rsid w:val="00CA17BC"/>
    <w:rsid w:val="00CA186A"/>
    <w:rsid w:val="00CA1946"/>
    <w:rsid w:val="00CA223C"/>
    <w:rsid w:val="00CA2409"/>
    <w:rsid w:val="00CA246E"/>
    <w:rsid w:val="00CA2A43"/>
    <w:rsid w:val="00CA3077"/>
    <w:rsid w:val="00CA32F8"/>
    <w:rsid w:val="00CA3421"/>
    <w:rsid w:val="00CA3556"/>
    <w:rsid w:val="00CA53CF"/>
    <w:rsid w:val="00CA7F56"/>
    <w:rsid w:val="00CB01E4"/>
    <w:rsid w:val="00CB022E"/>
    <w:rsid w:val="00CB1006"/>
    <w:rsid w:val="00CB1355"/>
    <w:rsid w:val="00CB1646"/>
    <w:rsid w:val="00CB1838"/>
    <w:rsid w:val="00CB1E3F"/>
    <w:rsid w:val="00CB1F63"/>
    <w:rsid w:val="00CB1F89"/>
    <w:rsid w:val="00CB2647"/>
    <w:rsid w:val="00CB2C8D"/>
    <w:rsid w:val="00CB3316"/>
    <w:rsid w:val="00CB35E2"/>
    <w:rsid w:val="00CB35FC"/>
    <w:rsid w:val="00CB4C8B"/>
    <w:rsid w:val="00CB4F32"/>
    <w:rsid w:val="00CB555A"/>
    <w:rsid w:val="00CB55DA"/>
    <w:rsid w:val="00CB563C"/>
    <w:rsid w:val="00CB5C1D"/>
    <w:rsid w:val="00CB5CF1"/>
    <w:rsid w:val="00CB6100"/>
    <w:rsid w:val="00CB629B"/>
    <w:rsid w:val="00CB6856"/>
    <w:rsid w:val="00CB6F65"/>
    <w:rsid w:val="00CB74F0"/>
    <w:rsid w:val="00CC002A"/>
    <w:rsid w:val="00CC18C9"/>
    <w:rsid w:val="00CC1C62"/>
    <w:rsid w:val="00CC2AED"/>
    <w:rsid w:val="00CC2E5E"/>
    <w:rsid w:val="00CC3040"/>
    <w:rsid w:val="00CC30CE"/>
    <w:rsid w:val="00CC31FC"/>
    <w:rsid w:val="00CC32B0"/>
    <w:rsid w:val="00CC42B7"/>
    <w:rsid w:val="00CC474B"/>
    <w:rsid w:val="00CC4BDE"/>
    <w:rsid w:val="00CC4FD2"/>
    <w:rsid w:val="00CC5374"/>
    <w:rsid w:val="00CC5EB1"/>
    <w:rsid w:val="00CC6130"/>
    <w:rsid w:val="00CC73A8"/>
    <w:rsid w:val="00CC7996"/>
    <w:rsid w:val="00CC7EBE"/>
    <w:rsid w:val="00CD0B5A"/>
    <w:rsid w:val="00CD10D4"/>
    <w:rsid w:val="00CD1F28"/>
    <w:rsid w:val="00CD20C1"/>
    <w:rsid w:val="00CD2184"/>
    <w:rsid w:val="00CD22C6"/>
    <w:rsid w:val="00CD2617"/>
    <w:rsid w:val="00CD2734"/>
    <w:rsid w:val="00CD29AE"/>
    <w:rsid w:val="00CD2B9D"/>
    <w:rsid w:val="00CD2F89"/>
    <w:rsid w:val="00CD36A9"/>
    <w:rsid w:val="00CD3819"/>
    <w:rsid w:val="00CD3EF4"/>
    <w:rsid w:val="00CD5319"/>
    <w:rsid w:val="00CD5FB9"/>
    <w:rsid w:val="00CD672E"/>
    <w:rsid w:val="00CD7811"/>
    <w:rsid w:val="00CD7A42"/>
    <w:rsid w:val="00CD7ADA"/>
    <w:rsid w:val="00CE0058"/>
    <w:rsid w:val="00CE0282"/>
    <w:rsid w:val="00CE04A6"/>
    <w:rsid w:val="00CE1407"/>
    <w:rsid w:val="00CE1836"/>
    <w:rsid w:val="00CE1A4B"/>
    <w:rsid w:val="00CE2AFB"/>
    <w:rsid w:val="00CE2D8B"/>
    <w:rsid w:val="00CE2F17"/>
    <w:rsid w:val="00CE31DA"/>
    <w:rsid w:val="00CE3A54"/>
    <w:rsid w:val="00CE4505"/>
    <w:rsid w:val="00CE4B9A"/>
    <w:rsid w:val="00CE4DE3"/>
    <w:rsid w:val="00CE569D"/>
    <w:rsid w:val="00CE5EE9"/>
    <w:rsid w:val="00CE6A1A"/>
    <w:rsid w:val="00CE6D0E"/>
    <w:rsid w:val="00CE6FFC"/>
    <w:rsid w:val="00CF0617"/>
    <w:rsid w:val="00CF189D"/>
    <w:rsid w:val="00CF31E8"/>
    <w:rsid w:val="00CF3A3D"/>
    <w:rsid w:val="00CF3FB4"/>
    <w:rsid w:val="00CF5505"/>
    <w:rsid w:val="00CF55B2"/>
    <w:rsid w:val="00CF5994"/>
    <w:rsid w:val="00CF755F"/>
    <w:rsid w:val="00D01031"/>
    <w:rsid w:val="00D01C8F"/>
    <w:rsid w:val="00D01CA8"/>
    <w:rsid w:val="00D02DB9"/>
    <w:rsid w:val="00D0324E"/>
    <w:rsid w:val="00D03284"/>
    <w:rsid w:val="00D03AB7"/>
    <w:rsid w:val="00D03C0C"/>
    <w:rsid w:val="00D043EA"/>
    <w:rsid w:val="00D05E42"/>
    <w:rsid w:val="00D05E79"/>
    <w:rsid w:val="00D06736"/>
    <w:rsid w:val="00D07EF5"/>
    <w:rsid w:val="00D104EC"/>
    <w:rsid w:val="00D10538"/>
    <w:rsid w:val="00D106EF"/>
    <w:rsid w:val="00D10AE9"/>
    <w:rsid w:val="00D11D19"/>
    <w:rsid w:val="00D11E5B"/>
    <w:rsid w:val="00D12408"/>
    <w:rsid w:val="00D12D5A"/>
    <w:rsid w:val="00D130AB"/>
    <w:rsid w:val="00D130F1"/>
    <w:rsid w:val="00D1322B"/>
    <w:rsid w:val="00D134ED"/>
    <w:rsid w:val="00D13C63"/>
    <w:rsid w:val="00D13D3F"/>
    <w:rsid w:val="00D141E8"/>
    <w:rsid w:val="00D152C6"/>
    <w:rsid w:val="00D158DD"/>
    <w:rsid w:val="00D159A7"/>
    <w:rsid w:val="00D179F8"/>
    <w:rsid w:val="00D17C58"/>
    <w:rsid w:val="00D206AA"/>
    <w:rsid w:val="00D20BB1"/>
    <w:rsid w:val="00D2103F"/>
    <w:rsid w:val="00D220AF"/>
    <w:rsid w:val="00D2225E"/>
    <w:rsid w:val="00D229E7"/>
    <w:rsid w:val="00D22D3A"/>
    <w:rsid w:val="00D235A2"/>
    <w:rsid w:val="00D24B0D"/>
    <w:rsid w:val="00D24C7B"/>
    <w:rsid w:val="00D24D7B"/>
    <w:rsid w:val="00D24F15"/>
    <w:rsid w:val="00D258BB"/>
    <w:rsid w:val="00D262E1"/>
    <w:rsid w:val="00D26427"/>
    <w:rsid w:val="00D278C7"/>
    <w:rsid w:val="00D27A6E"/>
    <w:rsid w:val="00D3002B"/>
    <w:rsid w:val="00D309C3"/>
    <w:rsid w:val="00D30B93"/>
    <w:rsid w:val="00D3179A"/>
    <w:rsid w:val="00D31CE3"/>
    <w:rsid w:val="00D320A9"/>
    <w:rsid w:val="00D32601"/>
    <w:rsid w:val="00D3272B"/>
    <w:rsid w:val="00D32DB8"/>
    <w:rsid w:val="00D3310A"/>
    <w:rsid w:val="00D333D8"/>
    <w:rsid w:val="00D34C66"/>
    <w:rsid w:val="00D35264"/>
    <w:rsid w:val="00D35363"/>
    <w:rsid w:val="00D363A1"/>
    <w:rsid w:val="00D36527"/>
    <w:rsid w:val="00D36A60"/>
    <w:rsid w:val="00D37174"/>
    <w:rsid w:val="00D373FD"/>
    <w:rsid w:val="00D37480"/>
    <w:rsid w:val="00D374CC"/>
    <w:rsid w:val="00D40017"/>
    <w:rsid w:val="00D41858"/>
    <w:rsid w:val="00D41FAA"/>
    <w:rsid w:val="00D4227F"/>
    <w:rsid w:val="00D437D2"/>
    <w:rsid w:val="00D43EAB"/>
    <w:rsid w:val="00D449ED"/>
    <w:rsid w:val="00D44D89"/>
    <w:rsid w:val="00D452ED"/>
    <w:rsid w:val="00D45802"/>
    <w:rsid w:val="00D45980"/>
    <w:rsid w:val="00D45A78"/>
    <w:rsid w:val="00D45D52"/>
    <w:rsid w:val="00D46A4A"/>
    <w:rsid w:val="00D46D4B"/>
    <w:rsid w:val="00D4722A"/>
    <w:rsid w:val="00D4765B"/>
    <w:rsid w:val="00D500B4"/>
    <w:rsid w:val="00D5139C"/>
    <w:rsid w:val="00D51649"/>
    <w:rsid w:val="00D519E7"/>
    <w:rsid w:val="00D5282D"/>
    <w:rsid w:val="00D530AD"/>
    <w:rsid w:val="00D53885"/>
    <w:rsid w:val="00D53C71"/>
    <w:rsid w:val="00D543AE"/>
    <w:rsid w:val="00D54496"/>
    <w:rsid w:val="00D544E9"/>
    <w:rsid w:val="00D54C7B"/>
    <w:rsid w:val="00D55723"/>
    <w:rsid w:val="00D55804"/>
    <w:rsid w:val="00D561E8"/>
    <w:rsid w:val="00D56C90"/>
    <w:rsid w:val="00D56EBC"/>
    <w:rsid w:val="00D5776D"/>
    <w:rsid w:val="00D604BA"/>
    <w:rsid w:val="00D60F1F"/>
    <w:rsid w:val="00D612F2"/>
    <w:rsid w:val="00D613B1"/>
    <w:rsid w:val="00D61412"/>
    <w:rsid w:val="00D62379"/>
    <w:rsid w:val="00D62AA8"/>
    <w:rsid w:val="00D62D71"/>
    <w:rsid w:val="00D62E0C"/>
    <w:rsid w:val="00D63083"/>
    <w:rsid w:val="00D63381"/>
    <w:rsid w:val="00D63DBF"/>
    <w:rsid w:val="00D6498F"/>
    <w:rsid w:val="00D64C97"/>
    <w:rsid w:val="00D64D57"/>
    <w:rsid w:val="00D653FE"/>
    <w:rsid w:val="00D714EC"/>
    <w:rsid w:val="00D71AEF"/>
    <w:rsid w:val="00D71E8B"/>
    <w:rsid w:val="00D72915"/>
    <w:rsid w:val="00D736C5"/>
    <w:rsid w:val="00D73E6D"/>
    <w:rsid w:val="00D73FA8"/>
    <w:rsid w:val="00D74293"/>
    <w:rsid w:val="00D743E2"/>
    <w:rsid w:val="00D757C7"/>
    <w:rsid w:val="00D75AA9"/>
    <w:rsid w:val="00D765B2"/>
    <w:rsid w:val="00D766C3"/>
    <w:rsid w:val="00D76C54"/>
    <w:rsid w:val="00D76D1A"/>
    <w:rsid w:val="00D771F0"/>
    <w:rsid w:val="00D8099E"/>
    <w:rsid w:val="00D80C73"/>
    <w:rsid w:val="00D80CDA"/>
    <w:rsid w:val="00D80DC1"/>
    <w:rsid w:val="00D80E05"/>
    <w:rsid w:val="00D80F5C"/>
    <w:rsid w:val="00D80FA3"/>
    <w:rsid w:val="00D81E60"/>
    <w:rsid w:val="00D83993"/>
    <w:rsid w:val="00D83F77"/>
    <w:rsid w:val="00D84646"/>
    <w:rsid w:val="00D847C0"/>
    <w:rsid w:val="00D849D3"/>
    <w:rsid w:val="00D84FA9"/>
    <w:rsid w:val="00D85499"/>
    <w:rsid w:val="00D854D6"/>
    <w:rsid w:val="00D856E4"/>
    <w:rsid w:val="00D86BCD"/>
    <w:rsid w:val="00D86C31"/>
    <w:rsid w:val="00D87D60"/>
    <w:rsid w:val="00D9012B"/>
    <w:rsid w:val="00D901BC"/>
    <w:rsid w:val="00D905D6"/>
    <w:rsid w:val="00D91B2F"/>
    <w:rsid w:val="00D91CC1"/>
    <w:rsid w:val="00D91D76"/>
    <w:rsid w:val="00D922A3"/>
    <w:rsid w:val="00D9270D"/>
    <w:rsid w:val="00D93274"/>
    <w:rsid w:val="00D947EE"/>
    <w:rsid w:val="00D9536E"/>
    <w:rsid w:val="00D960B8"/>
    <w:rsid w:val="00D961FF"/>
    <w:rsid w:val="00D96D23"/>
    <w:rsid w:val="00D96E4F"/>
    <w:rsid w:val="00D973EF"/>
    <w:rsid w:val="00D9785D"/>
    <w:rsid w:val="00D97B7F"/>
    <w:rsid w:val="00DA0DBA"/>
    <w:rsid w:val="00DA13D9"/>
    <w:rsid w:val="00DA177C"/>
    <w:rsid w:val="00DA1CE4"/>
    <w:rsid w:val="00DA2062"/>
    <w:rsid w:val="00DA2ABA"/>
    <w:rsid w:val="00DA3890"/>
    <w:rsid w:val="00DA4084"/>
    <w:rsid w:val="00DA4E3C"/>
    <w:rsid w:val="00DA5E02"/>
    <w:rsid w:val="00DA6EEB"/>
    <w:rsid w:val="00DA710C"/>
    <w:rsid w:val="00DA71BA"/>
    <w:rsid w:val="00DA7B87"/>
    <w:rsid w:val="00DB0041"/>
    <w:rsid w:val="00DB00DE"/>
    <w:rsid w:val="00DB04EA"/>
    <w:rsid w:val="00DB090E"/>
    <w:rsid w:val="00DB2472"/>
    <w:rsid w:val="00DB2495"/>
    <w:rsid w:val="00DB556D"/>
    <w:rsid w:val="00DB5DE6"/>
    <w:rsid w:val="00DB61B4"/>
    <w:rsid w:val="00DB6242"/>
    <w:rsid w:val="00DB68E1"/>
    <w:rsid w:val="00DB6A4F"/>
    <w:rsid w:val="00DB762D"/>
    <w:rsid w:val="00DC1A04"/>
    <w:rsid w:val="00DC1D13"/>
    <w:rsid w:val="00DC225D"/>
    <w:rsid w:val="00DC2EB9"/>
    <w:rsid w:val="00DC2F5D"/>
    <w:rsid w:val="00DC3561"/>
    <w:rsid w:val="00DC36EA"/>
    <w:rsid w:val="00DC4B88"/>
    <w:rsid w:val="00DC4CAD"/>
    <w:rsid w:val="00DC4D59"/>
    <w:rsid w:val="00DC50FB"/>
    <w:rsid w:val="00DC5292"/>
    <w:rsid w:val="00DC5C32"/>
    <w:rsid w:val="00DC5CD6"/>
    <w:rsid w:val="00DC5F1F"/>
    <w:rsid w:val="00DC63BF"/>
    <w:rsid w:val="00DC63E0"/>
    <w:rsid w:val="00DC7855"/>
    <w:rsid w:val="00DC7E87"/>
    <w:rsid w:val="00DD164F"/>
    <w:rsid w:val="00DD1F6E"/>
    <w:rsid w:val="00DD2073"/>
    <w:rsid w:val="00DD2117"/>
    <w:rsid w:val="00DD2503"/>
    <w:rsid w:val="00DD3098"/>
    <w:rsid w:val="00DD35F5"/>
    <w:rsid w:val="00DD365D"/>
    <w:rsid w:val="00DD3866"/>
    <w:rsid w:val="00DD4574"/>
    <w:rsid w:val="00DD4A09"/>
    <w:rsid w:val="00DD4F62"/>
    <w:rsid w:val="00DD5AC5"/>
    <w:rsid w:val="00DD7159"/>
    <w:rsid w:val="00DD7287"/>
    <w:rsid w:val="00DD77C5"/>
    <w:rsid w:val="00DE06D5"/>
    <w:rsid w:val="00DE0CBB"/>
    <w:rsid w:val="00DE0F35"/>
    <w:rsid w:val="00DE246B"/>
    <w:rsid w:val="00DE2875"/>
    <w:rsid w:val="00DE42FE"/>
    <w:rsid w:val="00DE4856"/>
    <w:rsid w:val="00DE48C7"/>
    <w:rsid w:val="00DE5EBC"/>
    <w:rsid w:val="00DE5F64"/>
    <w:rsid w:val="00DE6899"/>
    <w:rsid w:val="00DE7A76"/>
    <w:rsid w:val="00DE7C05"/>
    <w:rsid w:val="00DE7CD8"/>
    <w:rsid w:val="00DF0840"/>
    <w:rsid w:val="00DF0CC7"/>
    <w:rsid w:val="00DF173C"/>
    <w:rsid w:val="00DF1D4D"/>
    <w:rsid w:val="00DF21D7"/>
    <w:rsid w:val="00DF269D"/>
    <w:rsid w:val="00DF2723"/>
    <w:rsid w:val="00DF2C68"/>
    <w:rsid w:val="00DF30A8"/>
    <w:rsid w:val="00DF3473"/>
    <w:rsid w:val="00DF390F"/>
    <w:rsid w:val="00DF39AE"/>
    <w:rsid w:val="00DF3BFD"/>
    <w:rsid w:val="00DF3C1B"/>
    <w:rsid w:val="00DF5AD7"/>
    <w:rsid w:val="00DF5E26"/>
    <w:rsid w:val="00DF63D4"/>
    <w:rsid w:val="00DF668F"/>
    <w:rsid w:val="00DF7CEB"/>
    <w:rsid w:val="00E00065"/>
    <w:rsid w:val="00E00564"/>
    <w:rsid w:val="00E00A3B"/>
    <w:rsid w:val="00E0105F"/>
    <w:rsid w:val="00E01140"/>
    <w:rsid w:val="00E013D7"/>
    <w:rsid w:val="00E02112"/>
    <w:rsid w:val="00E024C2"/>
    <w:rsid w:val="00E026BD"/>
    <w:rsid w:val="00E02E73"/>
    <w:rsid w:val="00E031DF"/>
    <w:rsid w:val="00E0338C"/>
    <w:rsid w:val="00E034B6"/>
    <w:rsid w:val="00E0395B"/>
    <w:rsid w:val="00E03DAD"/>
    <w:rsid w:val="00E03E7C"/>
    <w:rsid w:val="00E03F96"/>
    <w:rsid w:val="00E0419F"/>
    <w:rsid w:val="00E04332"/>
    <w:rsid w:val="00E046D5"/>
    <w:rsid w:val="00E05EA7"/>
    <w:rsid w:val="00E05EBC"/>
    <w:rsid w:val="00E068DB"/>
    <w:rsid w:val="00E06FE8"/>
    <w:rsid w:val="00E07548"/>
    <w:rsid w:val="00E07F09"/>
    <w:rsid w:val="00E10007"/>
    <w:rsid w:val="00E10E9F"/>
    <w:rsid w:val="00E10EDA"/>
    <w:rsid w:val="00E11BAD"/>
    <w:rsid w:val="00E11FBC"/>
    <w:rsid w:val="00E1294B"/>
    <w:rsid w:val="00E12D22"/>
    <w:rsid w:val="00E134DC"/>
    <w:rsid w:val="00E13D3D"/>
    <w:rsid w:val="00E149FA"/>
    <w:rsid w:val="00E1619A"/>
    <w:rsid w:val="00E16BDE"/>
    <w:rsid w:val="00E16F59"/>
    <w:rsid w:val="00E179D0"/>
    <w:rsid w:val="00E17BD1"/>
    <w:rsid w:val="00E17BFA"/>
    <w:rsid w:val="00E17D36"/>
    <w:rsid w:val="00E204BA"/>
    <w:rsid w:val="00E20738"/>
    <w:rsid w:val="00E214CB"/>
    <w:rsid w:val="00E21A35"/>
    <w:rsid w:val="00E21BB8"/>
    <w:rsid w:val="00E21BE6"/>
    <w:rsid w:val="00E22275"/>
    <w:rsid w:val="00E22E01"/>
    <w:rsid w:val="00E23DF6"/>
    <w:rsid w:val="00E241B4"/>
    <w:rsid w:val="00E24311"/>
    <w:rsid w:val="00E249E6"/>
    <w:rsid w:val="00E24AB3"/>
    <w:rsid w:val="00E255FD"/>
    <w:rsid w:val="00E2574A"/>
    <w:rsid w:val="00E2580D"/>
    <w:rsid w:val="00E25CCD"/>
    <w:rsid w:val="00E26A5B"/>
    <w:rsid w:val="00E279E7"/>
    <w:rsid w:val="00E30E0D"/>
    <w:rsid w:val="00E3280E"/>
    <w:rsid w:val="00E32AC1"/>
    <w:rsid w:val="00E32E22"/>
    <w:rsid w:val="00E335C8"/>
    <w:rsid w:val="00E336E1"/>
    <w:rsid w:val="00E33D28"/>
    <w:rsid w:val="00E33D31"/>
    <w:rsid w:val="00E34589"/>
    <w:rsid w:val="00E35431"/>
    <w:rsid w:val="00E35652"/>
    <w:rsid w:val="00E356A9"/>
    <w:rsid w:val="00E3597F"/>
    <w:rsid w:val="00E360B3"/>
    <w:rsid w:val="00E36321"/>
    <w:rsid w:val="00E3649E"/>
    <w:rsid w:val="00E36BAC"/>
    <w:rsid w:val="00E36D2A"/>
    <w:rsid w:val="00E3713F"/>
    <w:rsid w:val="00E40008"/>
    <w:rsid w:val="00E401CE"/>
    <w:rsid w:val="00E40904"/>
    <w:rsid w:val="00E40AA6"/>
    <w:rsid w:val="00E415BC"/>
    <w:rsid w:val="00E41616"/>
    <w:rsid w:val="00E42515"/>
    <w:rsid w:val="00E43343"/>
    <w:rsid w:val="00E440B8"/>
    <w:rsid w:val="00E44C93"/>
    <w:rsid w:val="00E4532D"/>
    <w:rsid w:val="00E4552F"/>
    <w:rsid w:val="00E45777"/>
    <w:rsid w:val="00E4589F"/>
    <w:rsid w:val="00E466F0"/>
    <w:rsid w:val="00E470C5"/>
    <w:rsid w:val="00E472F9"/>
    <w:rsid w:val="00E475A2"/>
    <w:rsid w:val="00E503F5"/>
    <w:rsid w:val="00E52121"/>
    <w:rsid w:val="00E525E4"/>
    <w:rsid w:val="00E52C08"/>
    <w:rsid w:val="00E52EB2"/>
    <w:rsid w:val="00E53692"/>
    <w:rsid w:val="00E53A12"/>
    <w:rsid w:val="00E54512"/>
    <w:rsid w:val="00E54B46"/>
    <w:rsid w:val="00E55E09"/>
    <w:rsid w:val="00E565CE"/>
    <w:rsid w:val="00E5771E"/>
    <w:rsid w:val="00E57A11"/>
    <w:rsid w:val="00E604D9"/>
    <w:rsid w:val="00E60575"/>
    <w:rsid w:val="00E61531"/>
    <w:rsid w:val="00E6202A"/>
    <w:rsid w:val="00E62C9A"/>
    <w:rsid w:val="00E645F2"/>
    <w:rsid w:val="00E64C3C"/>
    <w:rsid w:val="00E65ECF"/>
    <w:rsid w:val="00E66473"/>
    <w:rsid w:val="00E6695C"/>
    <w:rsid w:val="00E66ACB"/>
    <w:rsid w:val="00E675FB"/>
    <w:rsid w:val="00E67665"/>
    <w:rsid w:val="00E67BC0"/>
    <w:rsid w:val="00E67D05"/>
    <w:rsid w:val="00E67DCE"/>
    <w:rsid w:val="00E70BFE"/>
    <w:rsid w:val="00E73178"/>
    <w:rsid w:val="00E732DC"/>
    <w:rsid w:val="00E74201"/>
    <w:rsid w:val="00E74306"/>
    <w:rsid w:val="00E74941"/>
    <w:rsid w:val="00E74F3D"/>
    <w:rsid w:val="00E7579A"/>
    <w:rsid w:val="00E75B9E"/>
    <w:rsid w:val="00E76122"/>
    <w:rsid w:val="00E76210"/>
    <w:rsid w:val="00E763E0"/>
    <w:rsid w:val="00E7653E"/>
    <w:rsid w:val="00E76E7D"/>
    <w:rsid w:val="00E773B0"/>
    <w:rsid w:val="00E77870"/>
    <w:rsid w:val="00E77909"/>
    <w:rsid w:val="00E77E92"/>
    <w:rsid w:val="00E77FC4"/>
    <w:rsid w:val="00E80391"/>
    <w:rsid w:val="00E81604"/>
    <w:rsid w:val="00E82110"/>
    <w:rsid w:val="00E822D0"/>
    <w:rsid w:val="00E82643"/>
    <w:rsid w:val="00E82D4E"/>
    <w:rsid w:val="00E83EA4"/>
    <w:rsid w:val="00E8473D"/>
    <w:rsid w:val="00E84EC3"/>
    <w:rsid w:val="00E86519"/>
    <w:rsid w:val="00E879BB"/>
    <w:rsid w:val="00E93133"/>
    <w:rsid w:val="00E93798"/>
    <w:rsid w:val="00E94369"/>
    <w:rsid w:val="00E9481B"/>
    <w:rsid w:val="00E94D8B"/>
    <w:rsid w:val="00E95589"/>
    <w:rsid w:val="00E9576C"/>
    <w:rsid w:val="00E95831"/>
    <w:rsid w:val="00E95E90"/>
    <w:rsid w:val="00E96266"/>
    <w:rsid w:val="00E969AE"/>
    <w:rsid w:val="00E96B70"/>
    <w:rsid w:val="00EA082F"/>
    <w:rsid w:val="00EA092E"/>
    <w:rsid w:val="00EA0A25"/>
    <w:rsid w:val="00EA0BC8"/>
    <w:rsid w:val="00EA0BFE"/>
    <w:rsid w:val="00EA0DAE"/>
    <w:rsid w:val="00EA10A2"/>
    <w:rsid w:val="00EA29F1"/>
    <w:rsid w:val="00EA32DB"/>
    <w:rsid w:val="00EA3763"/>
    <w:rsid w:val="00EA45EC"/>
    <w:rsid w:val="00EA4D63"/>
    <w:rsid w:val="00EA4FEF"/>
    <w:rsid w:val="00EA5135"/>
    <w:rsid w:val="00EA5D1B"/>
    <w:rsid w:val="00EA6A0B"/>
    <w:rsid w:val="00EA7232"/>
    <w:rsid w:val="00EB02BC"/>
    <w:rsid w:val="00EB0594"/>
    <w:rsid w:val="00EB0F0B"/>
    <w:rsid w:val="00EB1D87"/>
    <w:rsid w:val="00EB2655"/>
    <w:rsid w:val="00EB296C"/>
    <w:rsid w:val="00EB2E08"/>
    <w:rsid w:val="00EB2F2D"/>
    <w:rsid w:val="00EB359A"/>
    <w:rsid w:val="00EB3667"/>
    <w:rsid w:val="00EB3B70"/>
    <w:rsid w:val="00EB3BC9"/>
    <w:rsid w:val="00EB4207"/>
    <w:rsid w:val="00EB42EC"/>
    <w:rsid w:val="00EB49F7"/>
    <w:rsid w:val="00EB4E92"/>
    <w:rsid w:val="00EB5050"/>
    <w:rsid w:val="00EB6D6B"/>
    <w:rsid w:val="00EB7151"/>
    <w:rsid w:val="00EB7426"/>
    <w:rsid w:val="00EC0164"/>
    <w:rsid w:val="00EC025D"/>
    <w:rsid w:val="00EC0848"/>
    <w:rsid w:val="00EC1BE4"/>
    <w:rsid w:val="00EC259F"/>
    <w:rsid w:val="00EC308A"/>
    <w:rsid w:val="00EC3747"/>
    <w:rsid w:val="00EC39C7"/>
    <w:rsid w:val="00EC41D4"/>
    <w:rsid w:val="00EC669D"/>
    <w:rsid w:val="00EC6D52"/>
    <w:rsid w:val="00EC7DB4"/>
    <w:rsid w:val="00EC7E42"/>
    <w:rsid w:val="00ED0C7B"/>
    <w:rsid w:val="00ED15EA"/>
    <w:rsid w:val="00ED16C9"/>
    <w:rsid w:val="00ED2538"/>
    <w:rsid w:val="00ED2BB6"/>
    <w:rsid w:val="00ED3B76"/>
    <w:rsid w:val="00ED3BF9"/>
    <w:rsid w:val="00ED3C69"/>
    <w:rsid w:val="00ED41BC"/>
    <w:rsid w:val="00ED45D1"/>
    <w:rsid w:val="00ED4EB7"/>
    <w:rsid w:val="00ED5380"/>
    <w:rsid w:val="00ED5B3F"/>
    <w:rsid w:val="00ED63E1"/>
    <w:rsid w:val="00ED645F"/>
    <w:rsid w:val="00ED64B1"/>
    <w:rsid w:val="00ED6AF6"/>
    <w:rsid w:val="00ED6CD4"/>
    <w:rsid w:val="00ED7632"/>
    <w:rsid w:val="00ED79D7"/>
    <w:rsid w:val="00EE0141"/>
    <w:rsid w:val="00EE0C53"/>
    <w:rsid w:val="00EE1410"/>
    <w:rsid w:val="00EE15D9"/>
    <w:rsid w:val="00EE312B"/>
    <w:rsid w:val="00EE37AA"/>
    <w:rsid w:val="00EE38A6"/>
    <w:rsid w:val="00EE40E3"/>
    <w:rsid w:val="00EE4A49"/>
    <w:rsid w:val="00EE4A63"/>
    <w:rsid w:val="00EE5ADD"/>
    <w:rsid w:val="00EE68AD"/>
    <w:rsid w:val="00EE6CB2"/>
    <w:rsid w:val="00EE70E9"/>
    <w:rsid w:val="00EE7300"/>
    <w:rsid w:val="00EE73AF"/>
    <w:rsid w:val="00EE777A"/>
    <w:rsid w:val="00EF069F"/>
    <w:rsid w:val="00EF0D13"/>
    <w:rsid w:val="00EF0E4B"/>
    <w:rsid w:val="00EF2756"/>
    <w:rsid w:val="00EF28A6"/>
    <w:rsid w:val="00EF2F25"/>
    <w:rsid w:val="00EF32BF"/>
    <w:rsid w:val="00EF3C3F"/>
    <w:rsid w:val="00EF3C65"/>
    <w:rsid w:val="00EF3DDF"/>
    <w:rsid w:val="00EF4386"/>
    <w:rsid w:val="00EF455D"/>
    <w:rsid w:val="00EF5778"/>
    <w:rsid w:val="00EF61B4"/>
    <w:rsid w:val="00EF6388"/>
    <w:rsid w:val="00EF79DC"/>
    <w:rsid w:val="00F00152"/>
    <w:rsid w:val="00F0092F"/>
    <w:rsid w:val="00F009F9"/>
    <w:rsid w:val="00F00E7A"/>
    <w:rsid w:val="00F00EB9"/>
    <w:rsid w:val="00F015BD"/>
    <w:rsid w:val="00F01AD4"/>
    <w:rsid w:val="00F02080"/>
    <w:rsid w:val="00F0297D"/>
    <w:rsid w:val="00F029C1"/>
    <w:rsid w:val="00F02A53"/>
    <w:rsid w:val="00F03198"/>
    <w:rsid w:val="00F031F7"/>
    <w:rsid w:val="00F0321D"/>
    <w:rsid w:val="00F03C4F"/>
    <w:rsid w:val="00F04D8E"/>
    <w:rsid w:val="00F06011"/>
    <w:rsid w:val="00F0631A"/>
    <w:rsid w:val="00F064AE"/>
    <w:rsid w:val="00F068C9"/>
    <w:rsid w:val="00F06DAE"/>
    <w:rsid w:val="00F06E0A"/>
    <w:rsid w:val="00F07225"/>
    <w:rsid w:val="00F07306"/>
    <w:rsid w:val="00F077F8"/>
    <w:rsid w:val="00F07C63"/>
    <w:rsid w:val="00F07FAD"/>
    <w:rsid w:val="00F10A83"/>
    <w:rsid w:val="00F10F9D"/>
    <w:rsid w:val="00F1119C"/>
    <w:rsid w:val="00F11346"/>
    <w:rsid w:val="00F1186F"/>
    <w:rsid w:val="00F12EFF"/>
    <w:rsid w:val="00F12F79"/>
    <w:rsid w:val="00F13378"/>
    <w:rsid w:val="00F13B59"/>
    <w:rsid w:val="00F13FAC"/>
    <w:rsid w:val="00F140DB"/>
    <w:rsid w:val="00F14193"/>
    <w:rsid w:val="00F145FA"/>
    <w:rsid w:val="00F14BFA"/>
    <w:rsid w:val="00F15255"/>
    <w:rsid w:val="00F15F45"/>
    <w:rsid w:val="00F16D11"/>
    <w:rsid w:val="00F17642"/>
    <w:rsid w:val="00F17987"/>
    <w:rsid w:val="00F17A16"/>
    <w:rsid w:val="00F21347"/>
    <w:rsid w:val="00F21451"/>
    <w:rsid w:val="00F215E6"/>
    <w:rsid w:val="00F229D0"/>
    <w:rsid w:val="00F2318B"/>
    <w:rsid w:val="00F241B3"/>
    <w:rsid w:val="00F24872"/>
    <w:rsid w:val="00F25032"/>
    <w:rsid w:val="00F25119"/>
    <w:rsid w:val="00F25855"/>
    <w:rsid w:val="00F25940"/>
    <w:rsid w:val="00F26152"/>
    <w:rsid w:val="00F26236"/>
    <w:rsid w:val="00F26722"/>
    <w:rsid w:val="00F26F8F"/>
    <w:rsid w:val="00F2720C"/>
    <w:rsid w:val="00F27476"/>
    <w:rsid w:val="00F2787D"/>
    <w:rsid w:val="00F300CD"/>
    <w:rsid w:val="00F3030F"/>
    <w:rsid w:val="00F30329"/>
    <w:rsid w:val="00F31356"/>
    <w:rsid w:val="00F31F9A"/>
    <w:rsid w:val="00F32103"/>
    <w:rsid w:val="00F324EA"/>
    <w:rsid w:val="00F326D7"/>
    <w:rsid w:val="00F32B70"/>
    <w:rsid w:val="00F32DD8"/>
    <w:rsid w:val="00F33229"/>
    <w:rsid w:val="00F33D79"/>
    <w:rsid w:val="00F343A4"/>
    <w:rsid w:val="00F3525D"/>
    <w:rsid w:val="00F36DBE"/>
    <w:rsid w:val="00F36E99"/>
    <w:rsid w:val="00F37130"/>
    <w:rsid w:val="00F37EA6"/>
    <w:rsid w:val="00F40888"/>
    <w:rsid w:val="00F40CEB"/>
    <w:rsid w:val="00F423B7"/>
    <w:rsid w:val="00F4287D"/>
    <w:rsid w:val="00F42954"/>
    <w:rsid w:val="00F43A38"/>
    <w:rsid w:val="00F43CD5"/>
    <w:rsid w:val="00F44964"/>
    <w:rsid w:val="00F44AB7"/>
    <w:rsid w:val="00F451CE"/>
    <w:rsid w:val="00F46069"/>
    <w:rsid w:val="00F46B0F"/>
    <w:rsid w:val="00F47624"/>
    <w:rsid w:val="00F4776B"/>
    <w:rsid w:val="00F50754"/>
    <w:rsid w:val="00F50888"/>
    <w:rsid w:val="00F50F4D"/>
    <w:rsid w:val="00F51143"/>
    <w:rsid w:val="00F51821"/>
    <w:rsid w:val="00F51EA1"/>
    <w:rsid w:val="00F521C0"/>
    <w:rsid w:val="00F5292F"/>
    <w:rsid w:val="00F5450B"/>
    <w:rsid w:val="00F54F56"/>
    <w:rsid w:val="00F5536D"/>
    <w:rsid w:val="00F554CE"/>
    <w:rsid w:val="00F555E1"/>
    <w:rsid w:val="00F55C71"/>
    <w:rsid w:val="00F55D5C"/>
    <w:rsid w:val="00F561FE"/>
    <w:rsid w:val="00F56320"/>
    <w:rsid w:val="00F56409"/>
    <w:rsid w:val="00F56424"/>
    <w:rsid w:val="00F56D71"/>
    <w:rsid w:val="00F56DDC"/>
    <w:rsid w:val="00F608E7"/>
    <w:rsid w:val="00F615D2"/>
    <w:rsid w:val="00F61C74"/>
    <w:rsid w:val="00F61C9B"/>
    <w:rsid w:val="00F62453"/>
    <w:rsid w:val="00F6300C"/>
    <w:rsid w:val="00F64768"/>
    <w:rsid w:val="00F64CEB"/>
    <w:rsid w:val="00F64FAF"/>
    <w:rsid w:val="00F6635D"/>
    <w:rsid w:val="00F66961"/>
    <w:rsid w:val="00F6779B"/>
    <w:rsid w:val="00F67AB4"/>
    <w:rsid w:val="00F706BA"/>
    <w:rsid w:val="00F707E7"/>
    <w:rsid w:val="00F715D8"/>
    <w:rsid w:val="00F717CC"/>
    <w:rsid w:val="00F71BDA"/>
    <w:rsid w:val="00F73757"/>
    <w:rsid w:val="00F73D42"/>
    <w:rsid w:val="00F741E8"/>
    <w:rsid w:val="00F74F69"/>
    <w:rsid w:val="00F76184"/>
    <w:rsid w:val="00F76FA2"/>
    <w:rsid w:val="00F772F5"/>
    <w:rsid w:val="00F7790B"/>
    <w:rsid w:val="00F779F3"/>
    <w:rsid w:val="00F800DB"/>
    <w:rsid w:val="00F8024B"/>
    <w:rsid w:val="00F80869"/>
    <w:rsid w:val="00F80DB3"/>
    <w:rsid w:val="00F8122E"/>
    <w:rsid w:val="00F81F65"/>
    <w:rsid w:val="00F82C78"/>
    <w:rsid w:val="00F82EA1"/>
    <w:rsid w:val="00F8443A"/>
    <w:rsid w:val="00F84477"/>
    <w:rsid w:val="00F85272"/>
    <w:rsid w:val="00F858FD"/>
    <w:rsid w:val="00F859EF"/>
    <w:rsid w:val="00F864DA"/>
    <w:rsid w:val="00F868CC"/>
    <w:rsid w:val="00F86A93"/>
    <w:rsid w:val="00F87162"/>
    <w:rsid w:val="00F87831"/>
    <w:rsid w:val="00F87CC1"/>
    <w:rsid w:val="00F907B1"/>
    <w:rsid w:val="00F9098D"/>
    <w:rsid w:val="00F91023"/>
    <w:rsid w:val="00F910EB"/>
    <w:rsid w:val="00F916C2"/>
    <w:rsid w:val="00F921E3"/>
    <w:rsid w:val="00F92D0C"/>
    <w:rsid w:val="00F92F29"/>
    <w:rsid w:val="00F931BF"/>
    <w:rsid w:val="00F932F6"/>
    <w:rsid w:val="00F933FA"/>
    <w:rsid w:val="00F9364A"/>
    <w:rsid w:val="00F94702"/>
    <w:rsid w:val="00F94AFA"/>
    <w:rsid w:val="00F94EDE"/>
    <w:rsid w:val="00F95223"/>
    <w:rsid w:val="00F958E1"/>
    <w:rsid w:val="00F95E93"/>
    <w:rsid w:val="00FA0878"/>
    <w:rsid w:val="00FA189A"/>
    <w:rsid w:val="00FA1EE6"/>
    <w:rsid w:val="00FA1FE9"/>
    <w:rsid w:val="00FA2864"/>
    <w:rsid w:val="00FA2B89"/>
    <w:rsid w:val="00FA351D"/>
    <w:rsid w:val="00FA36B3"/>
    <w:rsid w:val="00FA428F"/>
    <w:rsid w:val="00FA570E"/>
    <w:rsid w:val="00FA57A4"/>
    <w:rsid w:val="00FA5834"/>
    <w:rsid w:val="00FA5A54"/>
    <w:rsid w:val="00FA5B36"/>
    <w:rsid w:val="00FA5B38"/>
    <w:rsid w:val="00FA5CD1"/>
    <w:rsid w:val="00FA619B"/>
    <w:rsid w:val="00FA6205"/>
    <w:rsid w:val="00FA64D1"/>
    <w:rsid w:val="00FA7017"/>
    <w:rsid w:val="00FA7207"/>
    <w:rsid w:val="00FA7405"/>
    <w:rsid w:val="00FA7B56"/>
    <w:rsid w:val="00FA7F60"/>
    <w:rsid w:val="00FB02D2"/>
    <w:rsid w:val="00FB16D7"/>
    <w:rsid w:val="00FB2297"/>
    <w:rsid w:val="00FB2921"/>
    <w:rsid w:val="00FB294B"/>
    <w:rsid w:val="00FB3707"/>
    <w:rsid w:val="00FB3A48"/>
    <w:rsid w:val="00FB3A4E"/>
    <w:rsid w:val="00FB47E3"/>
    <w:rsid w:val="00FB481F"/>
    <w:rsid w:val="00FB5981"/>
    <w:rsid w:val="00FB5A99"/>
    <w:rsid w:val="00FB6205"/>
    <w:rsid w:val="00FB655C"/>
    <w:rsid w:val="00FB794F"/>
    <w:rsid w:val="00FB7BC3"/>
    <w:rsid w:val="00FC0C41"/>
    <w:rsid w:val="00FC17D6"/>
    <w:rsid w:val="00FC1864"/>
    <w:rsid w:val="00FC1A10"/>
    <w:rsid w:val="00FC2556"/>
    <w:rsid w:val="00FC3D81"/>
    <w:rsid w:val="00FC3E7E"/>
    <w:rsid w:val="00FC4D19"/>
    <w:rsid w:val="00FC5834"/>
    <w:rsid w:val="00FC684D"/>
    <w:rsid w:val="00FC740C"/>
    <w:rsid w:val="00FC7815"/>
    <w:rsid w:val="00FC785E"/>
    <w:rsid w:val="00FC7B1E"/>
    <w:rsid w:val="00FD06EE"/>
    <w:rsid w:val="00FD09E3"/>
    <w:rsid w:val="00FD1FDE"/>
    <w:rsid w:val="00FD2020"/>
    <w:rsid w:val="00FD2570"/>
    <w:rsid w:val="00FD2754"/>
    <w:rsid w:val="00FD3B26"/>
    <w:rsid w:val="00FD48B5"/>
    <w:rsid w:val="00FD49BB"/>
    <w:rsid w:val="00FD4A57"/>
    <w:rsid w:val="00FD4B2D"/>
    <w:rsid w:val="00FD5FC8"/>
    <w:rsid w:val="00FD68A0"/>
    <w:rsid w:val="00FD6980"/>
    <w:rsid w:val="00FD6B05"/>
    <w:rsid w:val="00FD74E5"/>
    <w:rsid w:val="00FD782F"/>
    <w:rsid w:val="00FE022D"/>
    <w:rsid w:val="00FE0550"/>
    <w:rsid w:val="00FE0765"/>
    <w:rsid w:val="00FE237D"/>
    <w:rsid w:val="00FE4289"/>
    <w:rsid w:val="00FE48CC"/>
    <w:rsid w:val="00FE4C69"/>
    <w:rsid w:val="00FE5D8D"/>
    <w:rsid w:val="00FE5EA4"/>
    <w:rsid w:val="00FE615F"/>
    <w:rsid w:val="00FE65D5"/>
    <w:rsid w:val="00FE7029"/>
    <w:rsid w:val="00FF0082"/>
    <w:rsid w:val="00FF0143"/>
    <w:rsid w:val="00FF01F4"/>
    <w:rsid w:val="00FF0810"/>
    <w:rsid w:val="00FF1224"/>
    <w:rsid w:val="00FF16E4"/>
    <w:rsid w:val="00FF1B01"/>
    <w:rsid w:val="00FF1B6D"/>
    <w:rsid w:val="00FF1D2C"/>
    <w:rsid w:val="00FF2A9D"/>
    <w:rsid w:val="00FF331A"/>
    <w:rsid w:val="00FF3790"/>
    <w:rsid w:val="00FF3940"/>
    <w:rsid w:val="00FF3C19"/>
    <w:rsid w:val="00FF3F02"/>
    <w:rsid w:val="00FF4784"/>
    <w:rsid w:val="00FF49F1"/>
    <w:rsid w:val="00FF4CDA"/>
    <w:rsid w:val="00FF583A"/>
    <w:rsid w:val="00FF5AFC"/>
    <w:rsid w:val="00FF6707"/>
    <w:rsid w:val="00FF682E"/>
    <w:rsid w:val="00FF68EF"/>
    <w:rsid w:val="00FF6CE4"/>
    <w:rsid w:val="00FF6E31"/>
    <w:rsid w:val="00FF745E"/>
    <w:rsid w:val="00FF77A0"/>
    <w:rsid w:val="00FF7BDC"/>
    <w:rsid w:val="02140D77"/>
    <w:rsid w:val="022573A2"/>
    <w:rsid w:val="024737BC"/>
    <w:rsid w:val="0264611C"/>
    <w:rsid w:val="02881E0B"/>
    <w:rsid w:val="028D4356"/>
    <w:rsid w:val="02C96F7E"/>
    <w:rsid w:val="02DC1044"/>
    <w:rsid w:val="03766107"/>
    <w:rsid w:val="049F343C"/>
    <w:rsid w:val="04CE1F73"/>
    <w:rsid w:val="04E90B5B"/>
    <w:rsid w:val="05235E1B"/>
    <w:rsid w:val="06345E06"/>
    <w:rsid w:val="06BD229F"/>
    <w:rsid w:val="073A38EF"/>
    <w:rsid w:val="07571DAC"/>
    <w:rsid w:val="07A007DE"/>
    <w:rsid w:val="08F17FDE"/>
    <w:rsid w:val="094D7AD2"/>
    <w:rsid w:val="09CA6513"/>
    <w:rsid w:val="09E244F6"/>
    <w:rsid w:val="0A1C0D64"/>
    <w:rsid w:val="0A2C751F"/>
    <w:rsid w:val="0A486323"/>
    <w:rsid w:val="0A5D1DCF"/>
    <w:rsid w:val="0B0009AC"/>
    <w:rsid w:val="0B0E131B"/>
    <w:rsid w:val="0B534F80"/>
    <w:rsid w:val="0B5C5BE2"/>
    <w:rsid w:val="0B6131F9"/>
    <w:rsid w:val="0B690F28"/>
    <w:rsid w:val="0C1B3CF0"/>
    <w:rsid w:val="0C252478"/>
    <w:rsid w:val="0C4F3C99"/>
    <w:rsid w:val="0C937D2A"/>
    <w:rsid w:val="0CB657C6"/>
    <w:rsid w:val="0F452E31"/>
    <w:rsid w:val="0F5F0397"/>
    <w:rsid w:val="0F706100"/>
    <w:rsid w:val="0FAC7134"/>
    <w:rsid w:val="0FDF3286"/>
    <w:rsid w:val="0FE465D5"/>
    <w:rsid w:val="0FF22FB9"/>
    <w:rsid w:val="107514F4"/>
    <w:rsid w:val="10FE14EA"/>
    <w:rsid w:val="117B0D8C"/>
    <w:rsid w:val="11943BFC"/>
    <w:rsid w:val="11CE2445"/>
    <w:rsid w:val="121A2353"/>
    <w:rsid w:val="12322A1D"/>
    <w:rsid w:val="12413D84"/>
    <w:rsid w:val="12BE3627"/>
    <w:rsid w:val="13320F87"/>
    <w:rsid w:val="133E49A6"/>
    <w:rsid w:val="134262E0"/>
    <w:rsid w:val="134E6759"/>
    <w:rsid w:val="13F82B68"/>
    <w:rsid w:val="14357918"/>
    <w:rsid w:val="15EA64E1"/>
    <w:rsid w:val="166603FD"/>
    <w:rsid w:val="174C1201"/>
    <w:rsid w:val="1768590F"/>
    <w:rsid w:val="189F1804"/>
    <w:rsid w:val="191915B7"/>
    <w:rsid w:val="191A70DD"/>
    <w:rsid w:val="19E51499"/>
    <w:rsid w:val="1A255D39"/>
    <w:rsid w:val="1A2A7B44"/>
    <w:rsid w:val="1A3441CE"/>
    <w:rsid w:val="1A4C776A"/>
    <w:rsid w:val="1A8C400A"/>
    <w:rsid w:val="1AB175CD"/>
    <w:rsid w:val="1ACE4623"/>
    <w:rsid w:val="1B334486"/>
    <w:rsid w:val="1BEA5C24"/>
    <w:rsid w:val="1C006A5E"/>
    <w:rsid w:val="1C7E47A3"/>
    <w:rsid w:val="1D1C3424"/>
    <w:rsid w:val="1DAC0C4B"/>
    <w:rsid w:val="1DFB572F"/>
    <w:rsid w:val="1E5170FD"/>
    <w:rsid w:val="1E5C3A77"/>
    <w:rsid w:val="1ED2479E"/>
    <w:rsid w:val="1F9E45C4"/>
    <w:rsid w:val="1FBF453A"/>
    <w:rsid w:val="20052895"/>
    <w:rsid w:val="201605FE"/>
    <w:rsid w:val="20340A84"/>
    <w:rsid w:val="20626E75"/>
    <w:rsid w:val="20FD17BE"/>
    <w:rsid w:val="21162CDC"/>
    <w:rsid w:val="219043E0"/>
    <w:rsid w:val="220C28B3"/>
    <w:rsid w:val="223E208E"/>
    <w:rsid w:val="22C97BAA"/>
    <w:rsid w:val="24294678"/>
    <w:rsid w:val="2483647E"/>
    <w:rsid w:val="24DB1E16"/>
    <w:rsid w:val="251946ED"/>
    <w:rsid w:val="251B2213"/>
    <w:rsid w:val="255F65A3"/>
    <w:rsid w:val="257B5C80"/>
    <w:rsid w:val="26284BE7"/>
    <w:rsid w:val="263C68E5"/>
    <w:rsid w:val="26EC030B"/>
    <w:rsid w:val="27333B61"/>
    <w:rsid w:val="273D2914"/>
    <w:rsid w:val="27693709"/>
    <w:rsid w:val="27BA5D13"/>
    <w:rsid w:val="27CC1FB9"/>
    <w:rsid w:val="28423380"/>
    <w:rsid w:val="285048C9"/>
    <w:rsid w:val="287C7648"/>
    <w:rsid w:val="290C4C94"/>
    <w:rsid w:val="2940493E"/>
    <w:rsid w:val="295419DA"/>
    <w:rsid w:val="29820AB2"/>
    <w:rsid w:val="2A495A74"/>
    <w:rsid w:val="2A8E6137"/>
    <w:rsid w:val="2AA50082"/>
    <w:rsid w:val="2ABF1892"/>
    <w:rsid w:val="2AC97837"/>
    <w:rsid w:val="2AF92FF6"/>
    <w:rsid w:val="2B966A97"/>
    <w:rsid w:val="2BA25ED1"/>
    <w:rsid w:val="2C0A4D8F"/>
    <w:rsid w:val="2D393B7E"/>
    <w:rsid w:val="2DA6610C"/>
    <w:rsid w:val="2E4E18AB"/>
    <w:rsid w:val="2ED40002"/>
    <w:rsid w:val="2EDD678B"/>
    <w:rsid w:val="2F126434"/>
    <w:rsid w:val="2F3E36CD"/>
    <w:rsid w:val="2FEF49C8"/>
    <w:rsid w:val="30913CD1"/>
    <w:rsid w:val="30FB3146"/>
    <w:rsid w:val="31224929"/>
    <w:rsid w:val="31322DBE"/>
    <w:rsid w:val="316F4012"/>
    <w:rsid w:val="33914F34"/>
    <w:rsid w:val="33A361F5"/>
    <w:rsid w:val="33BC72B7"/>
    <w:rsid w:val="33E82EDB"/>
    <w:rsid w:val="34CC52D7"/>
    <w:rsid w:val="3569702C"/>
    <w:rsid w:val="35DF159F"/>
    <w:rsid w:val="365D53C4"/>
    <w:rsid w:val="366D6646"/>
    <w:rsid w:val="36D466C5"/>
    <w:rsid w:val="36F80606"/>
    <w:rsid w:val="37585548"/>
    <w:rsid w:val="38521F98"/>
    <w:rsid w:val="38602906"/>
    <w:rsid w:val="389E6B6E"/>
    <w:rsid w:val="39050DB8"/>
    <w:rsid w:val="391D7376"/>
    <w:rsid w:val="392456E2"/>
    <w:rsid w:val="39697599"/>
    <w:rsid w:val="39730417"/>
    <w:rsid w:val="39BC3B6C"/>
    <w:rsid w:val="3A345DF9"/>
    <w:rsid w:val="3A6F6E31"/>
    <w:rsid w:val="3A922B1F"/>
    <w:rsid w:val="3AD757AC"/>
    <w:rsid w:val="3AFE48B5"/>
    <w:rsid w:val="3B40257B"/>
    <w:rsid w:val="3C065573"/>
    <w:rsid w:val="3D1E779E"/>
    <w:rsid w:val="3D485717"/>
    <w:rsid w:val="3E155F41"/>
    <w:rsid w:val="3EA370A9"/>
    <w:rsid w:val="3ED34AA0"/>
    <w:rsid w:val="3ED74FA5"/>
    <w:rsid w:val="3EDA6843"/>
    <w:rsid w:val="3F422D66"/>
    <w:rsid w:val="3F6F00E8"/>
    <w:rsid w:val="41D1217F"/>
    <w:rsid w:val="41FF4F3E"/>
    <w:rsid w:val="420C0914"/>
    <w:rsid w:val="42A11B51"/>
    <w:rsid w:val="42FA73ED"/>
    <w:rsid w:val="42FE082E"/>
    <w:rsid w:val="43160791"/>
    <w:rsid w:val="43277BDB"/>
    <w:rsid w:val="4335673E"/>
    <w:rsid w:val="4436276D"/>
    <w:rsid w:val="44476729"/>
    <w:rsid w:val="444A7FC7"/>
    <w:rsid w:val="446A2417"/>
    <w:rsid w:val="44BA6EFA"/>
    <w:rsid w:val="44CE29A6"/>
    <w:rsid w:val="450C67E5"/>
    <w:rsid w:val="451C7BB5"/>
    <w:rsid w:val="45575091"/>
    <w:rsid w:val="45A656D1"/>
    <w:rsid w:val="45E05087"/>
    <w:rsid w:val="466F1F67"/>
    <w:rsid w:val="47C45A2F"/>
    <w:rsid w:val="47D227AD"/>
    <w:rsid w:val="47FE35A2"/>
    <w:rsid w:val="48AB1789"/>
    <w:rsid w:val="48D32C81"/>
    <w:rsid w:val="490A0454"/>
    <w:rsid w:val="4961203A"/>
    <w:rsid w:val="49A75C13"/>
    <w:rsid w:val="49C36851"/>
    <w:rsid w:val="49DD237F"/>
    <w:rsid w:val="4A192915"/>
    <w:rsid w:val="4A2C2648"/>
    <w:rsid w:val="4A8017C9"/>
    <w:rsid w:val="4AA541A9"/>
    <w:rsid w:val="4AD131B9"/>
    <w:rsid w:val="4B005883"/>
    <w:rsid w:val="4B117A90"/>
    <w:rsid w:val="4B3D0885"/>
    <w:rsid w:val="4B585BB2"/>
    <w:rsid w:val="4C87000A"/>
    <w:rsid w:val="4C942727"/>
    <w:rsid w:val="4D697710"/>
    <w:rsid w:val="4D9C1893"/>
    <w:rsid w:val="4DD46B1C"/>
    <w:rsid w:val="4E013DEC"/>
    <w:rsid w:val="4E6F6FA8"/>
    <w:rsid w:val="4E93713A"/>
    <w:rsid w:val="4ECE0172"/>
    <w:rsid w:val="507F5ACF"/>
    <w:rsid w:val="50D4326C"/>
    <w:rsid w:val="518100C7"/>
    <w:rsid w:val="51C067F9"/>
    <w:rsid w:val="523D520F"/>
    <w:rsid w:val="52717CC6"/>
    <w:rsid w:val="52D5566F"/>
    <w:rsid w:val="52F43F1F"/>
    <w:rsid w:val="532540D9"/>
    <w:rsid w:val="53270B28"/>
    <w:rsid w:val="533B7DA0"/>
    <w:rsid w:val="539B4307"/>
    <w:rsid w:val="53D578AD"/>
    <w:rsid w:val="54B576DE"/>
    <w:rsid w:val="54F21102"/>
    <w:rsid w:val="55314FB7"/>
    <w:rsid w:val="55927A01"/>
    <w:rsid w:val="561A1EEF"/>
    <w:rsid w:val="56446F6C"/>
    <w:rsid w:val="564E44A8"/>
    <w:rsid w:val="56EA6CCC"/>
    <w:rsid w:val="56EA7B13"/>
    <w:rsid w:val="56FE536D"/>
    <w:rsid w:val="57F16C7F"/>
    <w:rsid w:val="58006EC2"/>
    <w:rsid w:val="584E40D2"/>
    <w:rsid w:val="58C93758"/>
    <w:rsid w:val="590D1897"/>
    <w:rsid w:val="591D619D"/>
    <w:rsid w:val="59660A9A"/>
    <w:rsid w:val="59803961"/>
    <w:rsid w:val="59CB43DE"/>
    <w:rsid w:val="59D2663D"/>
    <w:rsid w:val="59F0510C"/>
    <w:rsid w:val="5A5D23AA"/>
    <w:rsid w:val="5AA4447D"/>
    <w:rsid w:val="5AE900E2"/>
    <w:rsid w:val="5AFD7A94"/>
    <w:rsid w:val="5CE86DD9"/>
    <w:rsid w:val="5D211AC5"/>
    <w:rsid w:val="5D2D34F3"/>
    <w:rsid w:val="5EC56770"/>
    <w:rsid w:val="5F530220"/>
    <w:rsid w:val="5F8B5C0B"/>
    <w:rsid w:val="5F9D4316"/>
    <w:rsid w:val="6008725C"/>
    <w:rsid w:val="602D3526"/>
    <w:rsid w:val="60803296"/>
    <w:rsid w:val="60AB59F9"/>
    <w:rsid w:val="60C34F31"/>
    <w:rsid w:val="613320B7"/>
    <w:rsid w:val="617579FA"/>
    <w:rsid w:val="61975ECB"/>
    <w:rsid w:val="619C1A0A"/>
    <w:rsid w:val="61BF22B1"/>
    <w:rsid w:val="62A42602"/>
    <w:rsid w:val="630E06E5"/>
    <w:rsid w:val="635A392B"/>
    <w:rsid w:val="6401024A"/>
    <w:rsid w:val="644665A5"/>
    <w:rsid w:val="645B09B6"/>
    <w:rsid w:val="64992B79"/>
    <w:rsid w:val="64B96D77"/>
    <w:rsid w:val="64C23E7D"/>
    <w:rsid w:val="64C9520C"/>
    <w:rsid w:val="66287D10"/>
    <w:rsid w:val="66531946"/>
    <w:rsid w:val="665D15EF"/>
    <w:rsid w:val="66613222"/>
    <w:rsid w:val="66A3383B"/>
    <w:rsid w:val="66B5359B"/>
    <w:rsid w:val="66BC48FC"/>
    <w:rsid w:val="66EF6A80"/>
    <w:rsid w:val="66F9345B"/>
    <w:rsid w:val="671F55B7"/>
    <w:rsid w:val="67650BBF"/>
    <w:rsid w:val="68005FF9"/>
    <w:rsid w:val="689A0B09"/>
    <w:rsid w:val="68B23016"/>
    <w:rsid w:val="68ED3493"/>
    <w:rsid w:val="68F47BF7"/>
    <w:rsid w:val="69126A56"/>
    <w:rsid w:val="6922313D"/>
    <w:rsid w:val="69F83CCF"/>
    <w:rsid w:val="69FF347E"/>
    <w:rsid w:val="6A356EA0"/>
    <w:rsid w:val="6AB858B3"/>
    <w:rsid w:val="6ADC556D"/>
    <w:rsid w:val="6AEC0F62"/>
    <w:rsid w:val="6B3E3B32"/>
    <w:rsid w:val="6B4A3C2D"/>
    <w:rsid w:val="6BC71D79"/>
    <w:rsid w:val="6BD12BF8"/>
    <w:rsid w:val="6C751CFC"/>
    <w:rsid w:val="6CDF1345"/>
    <w:rsid w:val="6D68133A"/>
    <w:rsid w:val="6D8F68C7"/>
    <w:rsid w:val="6DA54C1F"/>
    <w:rsid w:val="6F0719AA"/>
    <w:rsid w:val="6F310344"/>
    <w:rsid w:val="6F614293"/>
    <w:rsid w:val="6FA303CF"/>
    <w:rsid w:val="6FCF56A0"/>
    <w:rsid w:val="70912956"/>
    <w:rsid w:val="711F61B4"/>
    <w:rsid w:val="71235CA4"/>
    <w:rsid w:val="71535E5D"/>
    <w:rsid w:val="7172737E"/>
    <w:rsid w:val="71BE777B"/>
    <w:rsid w:val="72090B5F"/>
    <w:rsid w:val="729D1A86"/>
    <w:rsid w:val="72C46456"/>
    <w:rsid w:val="72DD00D4"/>
    <w:rsid w:val="735F397F"/>
    <w:rsid w:val="738A200A"/>
    <w:rsid w:val="73C01985"/>
    <w:rsid w:val="73D70FC8"/>
    <w:rsid w:val="74033B6B"/>
    <w:rsid w:val="74C652C4"/>
    <w:rsid w:val="74F00593"/>
    <w:rsid w:val="752C0E9F"/>
    <w:rsid w:val="75A629FF"/>
    <w:rsid w:val="75E35A02"/>
    <w:rsid w:val="7645046A"/>
    <w:rsid w:val="76650B0D"/>
    <w:rsid w:val="766823AB"/>
    <w:rsid w:val="76962A74"/>
    <w:rsid w:val="77361E52"/>
    <w:rsid w:val="77642B72"/>
    <w:rsid w:val="776733E9"/>
    <w:rsid w:val="782578C0"/>
    <w:rsid w:val="78B673FD"/>
    <w:rsid w:val="78D41F79"/>
    <w:rsid w:val="798017B9"/>
    <w:rsid w:val="79C63670"/>
    <w:rsid w:val="79E104AA"/>
    <w:rsid w:val="7A0B19CB"/>
    <w:rsid w:val="7A440A39"/>
    <w:rsid w:val="7A505630"/>
    <w:rsid w:val="7B5353D8"/>
    <w:rsid w:val="7B5F3D7C"/>
    <w:rsid w:val="7B914152"/>
    <w:rsid w:val="7BFF730D"/>
    <w:rsid w:val="7C541407"/>
    <w:rsid w:val="7C920181"/>
    <w:rsid w:val="7C991510"/>
    <w:rsid w:val="7CC0084B"/>
    <w:rsid w:val="7CD267D0"/>
    <w:rsid w:val="7CEF7382"/>
    <w:rsid w:val="7D423956"/>
    <w:rsid w:val="7D5B7327"/>
    <w:rsid w:val="7DDD71DA"/>
    <w:rsid w:val="7EE527EB"/>
    <w:rsid w:val="7F5D1B03"/>
    <w:rsid w:val="7FFD1DB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f">
      <v:fill on="t" focussize="0,0"/>
      <v:stroke on="f"/>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nhideWhenUsed="0" w:uiPriority="0" w:semiHidden="0" w:name="footnote text"/>
    <w:lsdException w:qFormat="1"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99" w:name="Block Text"/>
    <w:lsdException w:qFormat="1" w:uiPriority="99" w:semiHidden="0" w:name="Hyperlink"/>
    <w:lsdException w:uiPriority="99"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pacing w:line="360" w:lineRule="atLeast"/>
      <w:textAlignment w:val="baseline"/>
    </w:pPr>
    <w:rPr>
      <w:rFonts w:ascii="Times New Roman" w:hAnsi="Times New Roman" w:eastAsia="宋体" w:cs="Times New Roman"/>
      <w:sz w:val="24"/>
      <w:lang w:val="en-US" w:eastAsia="zh-CN" w:bidi="ar-SA"/>
    </w:rPr>
  </w:style>
  <w:style w:type="paragraph" w:styleId="2">
    <w:name w:val="heading 1"/>
    <w:basedOn w:val="1"/>
    <w:next w:val="1"/>
    <w:link w:val="42"/>
    <w:qFormat/>
    <w:uiPriority w:val="0"/>
    <w:pPr>
      <w:keepNext/>
      <w:numPr>
        <w:ilvl w:val="0"/>
        <w:numId w:val="1"/>
      </w:numPr>
      <w:spacing w:line="300" w:lineRule="auto"/>
      <w:jc w:val="both"/>
      <w:outlineLvl w:val="0"/>
    </w:pPr>
    <w:rPr>
      <w:rFonts w:ascii="Arial" w:hAnsi="Arial" w:eastAsia="仿宋_GB2312"/>
      <w:b/>
      <w:sz w:val="28"/>
      <w:lang w:val="zh-CN"/>
    </w:rPr>
  </w:style>
  <w:style w:type="paragraph" w:styleId="3">
    <w:name w:val="heading 2"/>
    <w:basedOn w:val="1"/>
    <w:next w:val="1"/>
    <w:link w:val="43"/>
    <w:qFormat/>
    <w:uiPriority w:val="0"/>
    <w:pPr>
      <w:keepNext/>
      <w:numPr>
        <w:ilvl w:val="0"/>
        <w:numId w:val="2"/>
      </w:numPr>
      <w:spacing w:line="300" w:lineRule="auto"/>
      <w:outlineLvl w:val="1"/>
    </w:pPr>
    <w:rPr>
      <w:rFonts w:ascii="Arial" w:hAnsi="Arial" w:eastAsia="仿宋_GB2312"/>
      <w:b/>
      <w:bCs/>
      <w:sz w:val="28"/>
      <w:lang w:val="zh-CN"/>
    </w:rPr>
  </w:style>
  <w:style w:type="paragraph" w:styleId="4">
    <w:name w:val="heading 3"/>
    <w:basedOn w:val="1"/>
    <w:next w:val="1"/>
    <w:link w:val="44"/>
    <w:qFormat/>
    <w:uiPriority w:val="0"/>
    <w:pPr>
      <w:keepNext/>
      <w:numPr>
        <w:ilvl w:val="1"/>
        <w:numId w:val="3"/>
      </w:numPr>
      <w:tabs>
        <w:tab w:val="left" w:pos="0"/>
        <w:tab w:val="left" w:pos="1200"/>
        <w:tab w:val="clear" w:pos="1740"/>
      </w:tabs>
      <w:spacing w:line="440" w:lineRule="atLeast"/>
      <w:ind w:left="1320" w:hanging="600"/>
      <w:jc w:val="both"/>
      <w:outlineLvl w:val="2"/>
    </w:pPr>
    <w:rPr>
      <w:rFonts w:ascii="仿宋_GB2312" w:hAnsi="Arial" w:eastAsia="仿宋_GB2312"/>
      <w:sz w:val="28"/>
      <w:lang w:val="zh-CN"/>
    </w:rPr>
  </w:style>
  <w:style w:type="paragraph" w:styleId="5">
    <w:name w:val="heading 4"/>
    <w:basedOn w:val="1"/>
    <w:next w:val="1"/>
    <w:link w:val="45"/>
    <w:qFormat/>
    <w:uiPriority w:val="0"/>
    <w:pPr>
      <w:keepNext/>
      <w:numPr>
        <w:ilvl w:val="0"/>
        <w:numId w:val="4"/>
      </w:numPr>
      <w:tabs>
        <w:tab w:val="clear" w:pos="1605"/>
      </w:tabs>
      <w:spacing w:line="440" w:lineRule="atLeast"/>
      <w:ind w:right="-22"/>
      <w:outlineLvl w:val="3"/>
    </w:pPr>
    <w:rPr>
      <w:rFonts w:ascii="仿宋_GB2312" w:eastAsia="仿宋_GB2312"/>
      <w:sz w:val="28"/>
      <w:lang w:val="zh-CN"/>
    </w:rPr>
  </w:style>
  <w:style w:type="character" w:default="1" w:styleId="36">
    <w:name w:val="Default Paragraph Font"/>
    <w:semiHidden/>
    <w:unhideWhenUsed/>
    <w:qFormat/>
    <w:uiPriority w:val="1"/>
  </w:style>
  <w:style w:type="table" w:default="1" w:styleId="34">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unhideWhenUsed/>
    <w:qFormat/>
    <w:uiPriority w:val="39"/>
    <w:pPr>
      <w:adjustRightInd/>
      <w:spacing w:line="240" w:lineRule="auto"/>
      <w:ind w:left="2520" w:leftChars="1200"/>
      <w:jc w:val="both"/>
      <w:textAlignment w:val="auto"/>
    </w:pPr>
    <w:rPr>
      <w:rFonts w:ascii="Calibri" w:hAnsi="Calibri"/>
      <w:kern w:val="2"/>
      <w:sz w:val="21"/>
      <w:szCs w:val="22"/>
    </w:rPr>
  </w:style>
  <w:style w:type="paragraph" w:styleId="7">
    <w:name w:val="Normal Indent"/>
    <w:basedOn w:val="1"/>
    <w:qFormat/>
    <w:uiPriority w:val="0"/>
    <w:pPr>
      <w:spacing w:line="312" w:lineRule="atLeast"/>
      <w:ind w:firstLine="420"/>
      <w:jc w:val="both"/>
    </w:pPr>
    <w:rPr>
      <w:rFonts w:ascii="Modern" w:hAnsi="Modern" w:eastAsia="仿宋_GB2312"/>
      <w:sz w:val="28"/>
    </w:rPr>
  </w:style>
  <w:style w:type="paragraph" w:styleId="8">
    <w:name w:val="Document Map"/>
    <w:basedOn w:val="1"/>
    <w:link w:val="48"/>
    <w:qFormat/>
    <w:uiPriority w:val="0"/>
    <w:pPr>
      <w:shd w:val="clear" w:color="auto" w:fill="000080"/>
    </w:pPr>
    <w:rPr>
      <w:lang w:val="zh-CN"/>
    </w:rPr>
  </w:style>
  <w:style w:type="paragraph" w:styleId="9">
    <w:name w:val="annotation text"/>
    <w:basedOn w:val="1"/>
    <w:link w:val="85"/>
    <w:unhideWhenUsed/>
    <w:qFormat/>
    <w:uiPriority w:val="99"/>
    <w:rPr>
      <w:lang w:val="zh-CN"/>
    </w:rPr>
  </w:style>
  <w:style w:type="paragraph" w:styleId="10">
    <w:name w:val="Body Text 3"/>
    <w:basedOn w:val="1"/>
    <w:link w:val="56"/>
    <w:qFormat/>
    <w:uiPriority w:val="0"/>
    <w:pPr>
      <w:spacing w:line="288" w:lineRule="auto"/>
      <w:jc w:val="both"/>
    </w:pPr>
    <w:rPr>
      <w:rFonts w:ascii="楷体_GB2312" w:hAnsi="Arial" w:eastAsia="楷体_GB2312"/>
      <w:sz w:val="32"/>
      <w:lang w:val="zh-CN"/>
    </w:rPr>
  </w:style>
  <w:style w:type="paragraph" w:styleId="11">
    <w:name w:val="Body Text"/>
    <w:basedOn w:val="1"/>
    <w:link w:val="49"/>
    <w:qFormat/>
    <w:uiPriority w:val="0"/>
    <w:pPr>
      <w:adjustRightInd/>
      <w:spacing w:line="240" w:lineRule="auto"/>
      <w:jc w:val="both"/>
      <w:textAlignment w:val="auto"/>
    </w:pPr>
    <w:rPr>
      <w:rFonts w:ascii="宋体"/>
      <w:sz w:val="30"/>
      <w:lang w:val="zh-CN"/>
    </w:rPr>
  </w:style>
  <w:style w:type="paragraph" w:styleId="12">
    <w:name w:val="Body Text Indent"/>
    <w:basedOn w:val="1"/>
    <w:link w:val="51"/>
    <w:qFormat/>
    <w:uiPriority w:val="0"/>
    <w:pPr>
      <w:spacing w:line="400" w:lineRule="atLeast"/>
      <w:ind w:firstLine="570"/>
    </w:pPr>
    <w:rPr>
      <w:rFonts w:ascii="仿宋_GB2312" w:eastAsia="仿宋_GB2312"/>
      <w:sz w:val="28"/>
      <w:lang w:val="zh-CN"/>
    </w:rPr>
  </w:style>
  <w:style w:type="paragraph" w:styleId="13">
    <w:name w:val="toc 5"/>
    <w:basedOn w:val="1"/>
    <w:next w:val="1"/>
    <w:unhideWhenUsed/>
    <w:qFormat/>
    <w:uiPriority w:val="39"/>
    <w:pPr>
      <w:adjustRightInd/>
      <w:spacing w:line="240" w:lineRule="auto"/>
      <w:ind w:left="1680" w:leftChars="800"/>
      <w:jc w:val="both"/>
      <w:textAlignment w:val="auto"/>
    </w:pPr>
    <w:rPr>
      <w:rFonts w:ascii="Calibri" w:hAnsi="Calibri"/>
      <w:kern w:val="2"/>
      <w:sz w:val="21"/>
      <w:szCs w:val="22"/>
    </w:rPr>
  </w:style>
  <w:style w:type="paragraph" w:styleId="14">
    <w:name w:val="toc 3"/>
    <w:basedOn w:val="1"/>
    <w:next w:val="1"/>
    <w:unhideWhenUsed/>
    <w:qFormat/>
    <w:uiPriority w:val="39"/>
    <w:pPr>
      <w:adjustRightInd/>
      <w:spacing w:line="240" w:lineRule="auto"/>
      <w:ind w:left="840" w:leftChars="400"/>
      <w:jc w:val="both"/>
      <w:textAlignment w:val="auto"/>
    </w:pPr>
    <w:rPr>
      <w:rFonts w:ascii="Calibri" w:hAnsi="Calibri"/>
      <w:kern w:val="2"/>
      <w:sz w:val="21"/>
      <w:szCs w:val="22"/>
    </w:rPr>
  </w:style>
  <w:style w:type="paragraph" w:styleId="15">
    <w:name w:val="Plain Text"/>
    <w:basedOn w:val="1"/>
    <w:link w:val="55"/>
    <w:qFormat/>
    <w:uiPriority w:val="0"/>
    <w:pPr>
      <w:adjustRightInd/>
      <w:spacing w:line="240" w:lineRule="auto"/>
      <w:jc w:val="both"/>
      <w:textAlignment w:val="auto"/>
    </w:pPr>
    <w:rPr>
      <w:rFonts w:ascii="宋体" w:hAnsi="Courier New"/>
      <w:sz w:val="20"/>
      <w:lang w:val="zh-CN"/>
    </w:rPr>
  </w:style>
  <w:style w:type="paragraph" w:styleId="16">
    <w:name w:val="toc 8"/>
    <w:basedOn w:val="1"/>
    <w:next w:val="1"/>
    <w:unhideWhenUsed/>
    <w:qFormat/>
    <w:uiPriority w:val="39"/>
    <w:pPr>
      <w:adjustRightInd/>
      <w:spacing w:line="240" w:lineRule="auto"/>
      <w:ind w:left="2940" w:leftChars="1400"/>
      <w:jc w:val="both"/>
      <w:textAlignment w:val="auto"/>
    </w:pPr>
    <w:rPr>
      <w:rFonts w:ascii="Calibri" w:hAnsi="Calibri"/>
      <w:kern w:val="2"/>
      <w:sz w:val="21"/>
      <w:szCs w:val="22"/>
    </w:rPr>
  </w:style>
  <w:style w:type="paragraph" w:styleId="17">
    <w:name w:val="Date"/>
    <w:basedOn w:val="1"/>
    <w:next w:val="1"/>
    <w:link w:val="58"/>
    <w:qFormat/>
    <w:uiPriority w:val="0"/>
    <w:pPr>
      <w:jc w:val="both"/>
    </w:pPr>
    <w:rPr>
      <w:rFonts w:ascii="楷体_GB2312" w:eastAsia="楷体_GB2312"/>
      <w:b/>
      <w:sz w:val="28"/>
      <w:lang w:val="zh-CN"/>
    </w:rPr>
  </w:style>
  <w:style w:type="paragraph" w:styleId="18">
    <w:name w:val="Body Text Indent 2"/>
    <w:basedOn w:val="1"/>
    <w:link w:val="52"/>
    <w:qFormat/>
    <w:uiPriority w:val="0"/>
    <w:pPr>
      <w:spacing w:line="360" w:lineRule="exact"/>
      <w:ind w:firstLine="560" w:firstLineChars="200"/>
      <w:jc w:val="both"/>
      <w:outlineLvl w:val="0"/>
    </w:pPr>
    <w:rPr>
      <w:rFonts w:ascii="仿宋_GB2312" w:eastAsia="仿宋_GB2312"/>
      <w:sz w:val="28"/>
      <w:lang w:val="zh-CN"/>
    </w:rPr>
  </w:style>
  <w:style w:type="paragraph" w:styleId="19">
    <w:name w:val="Balloon Text"/>
    <w:basedOn w:val="1"/>
    <w:link w:val="80"/>
    <w:qFormat/>
    <w:uiPriority w:val="99"/>
    <w:rPr>
      <w:sz w:val="18"/>
      <w:szCs w:val="18"/>
      <w:lang w:val="zh-CN"/>
    </w:rPr>
  </w:style>
  <w:style w:type="paragraph" w:styleId="20">
    <w:name w:val="footer"/>
    <w:basedOn w:val="1"/>
    <w:link w:val="47"/>
    <w:qFormat/>
    <w:uiPriority w:val="99"/>
    <w:pPr>
      <w:tabs>
        <w:tab w:val="center" w:pos="4153"/>
        <w:tab w:val="right" w:pos="8306"/>
      </w:tabs>
      <w:spacing w:line="240" w:lineRule="atLeast"/>
    </w:pPr>
    <w:rPr>
      <w:sz w:val="18"/>
      <w:lang w:val="zh-CN"/>
    </w:rPr>
  </w:style>
  <w:style w:type="paragraph" w:styleId="21">
    <w:name w:val="header"/>
    <w:basedOn w:val="1"/>
    <w:link w:val="46"/>
    <w:qFormat/>
    <w:uiPriority w:val="99"/>
    <w:pPr>
      <w:pBdr>
        <w:bottom w:val="single" w:color="auto" w:sz="6" w:space="1"/>
      </w:pBdr>
      <w:tabs>
        <w:tab w:val="center" w:pos="4153"/>
        <w:tab w:val="right" w:pos="8306"/>
      </w:tabs>
      <w:spacing w:line="240" w:lineRule="atLeast"/>
      <w:jc w:val="center"/>
    </w:pPr>
    <w:rPr>
      <w:sz w:val="18"/>
      <w:lang w:val="zh-CN"/>
    </w:rPr>
  </w:style>
  <w:style w:type="paragraph" w:styleId="22">
    <w:name w:val="toc 1"/>
    <w:basedOn w:val="1"/>
    <w:next w:val="1"/>
    <w:unhideWhenUsed/>
    <w:qFormat/>
    <w:uiPriority w:val="39"/>
    <w:pPr>
      <w:tabs>
        <w:tab w:val="left" w:pos="840"/>
        <w:tab w:val="right" w:leader="dot" w:pos="8654"/>
      </w:tabs>
      <w:spacing w:line="360" w:lineRule="auto"/>
      <w:jc w:val="center"/>
    </w:pPr>
    <w:rPr>
      <w:rFonts w:ascii="仿宋_GB2312" w:hAnsi="Arial" w:eastAsia="仿宋_GB2312"/>
      <w:sz w:val="28"/>
      <w:szCs w:val="28"/>
    </w:rPr>
  </w:style>
  <w:style w:type="paragraph" w:styleId="23">
    <w:name w:val="toc 4"/>
    <w:basedOn w:val="1"/>
    <w:next w:val="1"/>
    <w:unhideWhenUsed/>
    <w:qFormat/>
    <w:uiPriority w:val="39"/>
    <w:pPr>
      <w:adjustRightInd/>
      <w:spacing w:line="240" w:lineRule="auto"/>
      <w:ind w:left="1260" w:leftChars="600"/>
      <w:jc w:val="both"/>
      <w:textAlignment w:val="auto"/>
    </w:pPr>
    <w:rPr>
      <w:rFonts w:ascii="Calibri" w:hAnsi="Calibri"/>
      <w:kern w:val="2"/>
      <w:sz w:val="21"/>
      <w:szCs w:val="22"/>
    </w:rPr>
  </w:style>
  <w:style w:type="paragraph" w:styleId="24">
    <w:name w:val="footnote text"/>
    <w:basedOn w:val="1"/>
    <w:link w:val="96"/>
    <w:qFormat/>
    <w:uiPriority w:val="0"/>
    <w:pPr>
      <w:adjustRightInd/>
      <w:snapToGrid w:val="0"/>
      <w:spacing w:line="240" w:lineRule="auto"/>
      <w:textAlignment w:val="auto"/>
    </w:pPr>
    <w:rPr>
      <w:kern w:val="2"/>
      <w:sz w:val="18"/>
      <w:szCs w:val="18"/>
      <w:lang w:val="zh-CN"/>
    </w:rPr>
  </w:style>
  <w:style w:type="paragraph" w:styleId="25">
    <w:name w:val="toc 6"/>
    <w:basedOn w:val="1"/>
    <w:next w:val="1"/>
    <w:unhideWhenUsed/>
    <w:qFormat/>
    <w:uiPriority w:val="39"/>
    <w:pPr>
      <w:adjustRightInd/>
      <w:spacing w:line="240" w:lineRule="auto"/>
      <w:ind w:left="2100" w:leftChars="1000"/>
      <w:jc w:val="both"/>
      <w:textAlignment w:val="auto"/>
    </w:pPr>
    <w:rPr>
      <w:rFonts w:ascii="Calibri" w:hAnsi="Calibri"/>
      <w:kern w:val="2"/>
      <w:sz w:val="21"/>
      <w:szCs w:val="22"/>
    </w:rPr>
  </w:style>
  <w:style w:type="paragraph" w:styleId="26">
    <w:name w:val="Body Text Indent 3"/>
    <w:basedOn w:val="1"/>
    <w:link w:val="53"/>
    <w:qFormat/>
    <w:uiPriority w:val="0"/>
    <w:pPr>
      <w:spacing w:line="440" w:lineRule="atLeast"/>
      <w:ind w:firstLine="600"/>
      <w:jc w:val="both"/>
    </w:pPr>
    <w:rPr>
      <w:rFonts w:ascii="Arial" w:hAnsi="Arial" w:eastAsia="仿宋_GB2312"/>
      <w:sz w:val="28"/>
      <w:lang w:val="zh-CN"/>
    </w:rPr>
  </w:style>
  <w:style w:type="paragraph" w:styleId="27">
    <w:name w:val="toc 2"/>
    <w:basedOn w:val="1"/>
    <w:next w:val="1"/>
    <w:unhideWhenUsed/>
    <w:qFormat/>
    <w:uiPriority w:val="39"/>
    <w:pPr>
      <w:tabs>
        <w:tab w:val="right" w:leader="dot" w:pos="8931"/>
      </w:tabs>
      <w:spacing w:line="360" w:lineRule="auto"/>
      <w:ind w:left="480" w:leftChars="200"/>
    </w:pPr>
  </w:style>
  <w:style w:type="paragraph" w:styleId="28">
    <w:name w:val="toc 9"/>
    <w:basedOn w:val="1"/>
    <w:next w:val="1"/>
    <w:unhideWhenUsed/>
    <w:qFormat/>
    <w:uiPriority w:val="39"/>
    <w:pPr>
      <w:adjustRightInd/>
      <w:spacing w:line="240" w:lineRule="auto"/>
      <w:ind w:left="3360" w:leftChars="1600"/>
      <w:jc w:val="both"/>
      <w:textAlignment w:val="auto"/>
    </w:pPr>
    <w:rPr>
      <w:rFonts w:ascii="Calibri" w:hAnsi="Calibri"/>
      <w:kern w:val="2"/>
      <w:sz w:val="21"/>
      <w:szCs w:val="22"/>
    </w:rPr>
  </w:style>
  <w:style w:type="paragraph" w:styleId="29">
    <w:name w:val="Body Text 2"/>
    <w:basedOn w:val="1"/>
    <w:link w:val="54"/>
    <w:qFormat/>
    <w:uiPriority w:val="0"/>
    <w:pPr>
      <w:autoSpaceDE w:val="0"/>
      <w:autoSpaceDN w:val="0"/>
      <w:spacing w:line="440" w:lineRule="exact"/>
      <w:jc w:val="both"/>
    </w:pPr>
    <w:rPr>
      <w:rFonts w:ascii="仿宋_GB2312" w:hAnsi="Arial" w:eastAsia="仿宋_GB2312"/>
      <w:sz w:val="28"/>
      <w:lang w:val="zh-CN"/>
    </w:rPr>
  </w:style>
  <w:style w:type="paragraph" w:styleId="30">
    <w:name w:val="HTML Preformatted"/>
    <w:basedOn w:val="1"/>
    <w:link w:val="76"/>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240" w:lineRule="auto"/>
      <w:textAlignment w:val="auto"/>
    </w:pPr>
    <w:rPr>
      <w:rFonts w:ascii="宋体" w:hAnsi="宋体"/>
      <w:szCs w:val="24"/>
      <w:lang w:val="zh-CN"/>
    </w:rPr>
  </w:style>
  <w:style w:type="paragraph" w:styleId="31">
    <w:name w:val="Normal (Web)"/>
    <w:basedOn w:val="1"/>
    <w:qFormat/>
    <w:uiPriority w:val="99"/>
    <w:pPr>
      <w:widowControl/>
      <w:adjustRightInd/>
      <w:spacing w:line="360" w:lineRule="auto"/>
      <w:textAlignment w:val="auto"/>
    </w:pPr>
    <w:rPr>
      <w:rFonts w:ascii="宋体" w:hAnsi="宋体"/>
      <w:sz w:val="18"/>
      <w:szCs w:val="18"/>
    </w:rPr>
  </w:style>
  <w:style w:type="paragraph" w:styleId="32">
    <w:name w:val="annotation subject"/>
    <w:basedOn w:val="9"/>
    <w:next w:val="9"/>
    <w:link w:val="86"/>
    <w:unhideWhenUsed/>
    <w:qFormat/>
    <w:uiPriority w:val="99"/>
    <w:rPr>
      <w:b/>
      <w:bCs/>
    </w:rPr>
  </w:style>
  <w:style w:type="paragraph" w:styleId="33">
    <w:name w:val="Body Text First Indent"/>
    <w:basedOn w:val="11"/>
    <w:link w:val="50"/>
    <w:qFormat/>
    <w:uiPriority w:val="0"/>
    <w:pPr>
      <w:spacing w:after="120"/>
      <w:ind w:firstLine="420"/>
    </w:pPr>
    <w:rPr>
      <w:rFonts w:ascii="Times New Roman"/>
    </w:rPr>
  </w:style>
  <w:style w:type="table" w:styleId="35">
    <w:name w:val="Table Grid"/>
    <w:basedOn w:val="3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7">
    <w:name w:val="Strong"/>
    <w:qFormat/>
    <w:uiPriority w:val="0"/>
    <w:rPr>
      <w:b/>
      <w:bCs/>
    </w:rPr>
  </w:style>
  <w:style w:type="character" w:styleId="38">
    <w:name w:val="page number"/>
    <w:basedOn w:val="36"/>
    <w:qFormat/>
    <w:uiPriority w:val="0"/>
  </w:style>
  <w:style w:type="character" w:styleId="39">
    <w:name w:val="Emphasis"/>
    <w:qFormat/>
    <w:uiPriority w:val="20"/>
    <w:rPr>
      <w:i/>
      <w:iCs/>
    </w:rPr>
  </w:style>
  <w:style w:type="character" w:styleId="40">
    <w:name w:val="Hyperlink"/>
    <w:unhideWhenUsed/>
    <w:qFormat/>
    <w:uiPriority w:val="99"/>
    <w:rPr>
      <w:color w:val="0000FF"/>
      <w:u w:val="single"/>
    </w:rPr>
  </w:style>
  <w:style w:type="character" w:styleId="41">
    <w:name w:val="annotation reference"/>
    <w:unhideWhenUsed/>
    <w:qFormat/>
    <w:uiPriority w:val="0"/>
    <w:rPr>
      <w:sz w:val="21"/>
      <w:szCs w:val="21"/>
    </w:rPr>
  </w:style>
  <w:style w:type="character" w:customStyle="1" w:styleId="42">
    <w:name w:val="标题 1 Char"/>
    <w:link w:val="2"/>
    <w:qFormat/>
    <w:uiPriority w:val="0"/>
    <w:rPr>
      <w:rFonts w:ascii="Arial" w:hAnsi="Arial" w:eastAsia="仿宋_GB2312"/>
      <w:b/>
      <w:sz w:val="28"/>
      <w:lang w:val="zh-CN" w:eastAsia="zh-CN"/>
    </w:rPr>
  </w:style>
  <w:style w:type="character" w:customStyle="1" w:styleId="43">
    <w:name w:val="标题 2 Char"/>
    <w:link w:val="3"/>
    <w:qFormat/>
    <w:uiPriority w:val="0"/>
    <w:rPr>
      <w:rFonts w:ascii="Arial" w:hAnsi="Arial" w:eastAsia="仿宋_GB2312"/>
      <w:b/>
      <w:bCs/>
      <w:sz w:val="28"/>
      <w:lang w:val="zh-CN" w:eastAsia="zh-CN"/>
    </w:rPr>
  </w:style>
  <w:style w:type="character" w:customStyle="1" w:styleId="44">
    <w:name w:val="标题 3 Char"/>
    <w:link w:val="4"/>
    <w:qFormat/>
    <w:uiPriority w:val="0"/>
    <w:rPr>
      <w:rFonts w:ascii="仿宋_GB2312" w:hAnsi="Arial" w:eastAsia="仿宋_GB2312"/>
      <w:sz w:val="28"/>
      <w:lang w:val="zh-CN" w:eastAsia="zh-CN"/>
    </w:rPr>
  </w:style>
  <w:style w:type="character" w:customStyle="1" w:styleId="45">
    <w:name w:val="标题 4 Char"/>
    <w:link w:val="5"/>
    <w:qFormat/>
    <w:uiPriority w:val="0"/>
    <w:rPr>
      <w:rFonts w:ascii="仿宋_GB2312" w:hAnsi="Times New Roman" w:eastAsia="仿宋_GB2312"/>
      <w:sz w:val="28"/>
      <w:lang w:val="zh-CN" w:eastAsia="zh-CN"/>
    </w:rPr>
  </w:style>
  <w:style w:type="character" w:customStyle="1" w:styleId="46">
    <w:name w:val="页眉 Char"/>
    <w:link w:val="21"/>
    <w:qFormat/>
    <w:uiPriority w:val="99"/>
    <w:rPr>
      <w:rFonts w:ascii="Times New Roman" w:hAnsi="Times New Roman" w:eastAsia="宋体" w:cs="Times New Roman"/>
      <w:kern w:val="0"/>
      <w:sz w:val="18"/>
      <w:szCs w:val="20"/>
    </w:rPr>
  </w:style>
  <w:style w:type="character" w:customStyle="1" w:styleId="47">
    <w:name w:val="页脚 Char"/>
    <w:link w:val="20"/>
    <w:qFormat/>
    <w:uiPriority w:val="99"/>
    <w:rPr>
      <w:rFonts w:ascii="Times New Roman" w:hAnsi="Times New Roman" w:eastAsia="宋体" w:cs="Times New Roman"/>
      <w:kern w:val="0"/>
      <w:sz w:val="18"/>
      <w:szCs w:val="20"/>
    </w:rPr>
  </w:style>
  <w:style w:type="character" w:customStyle="1" w:styleId="48">
    <w:name w:val="文档结构图 Char"/>
    <w:link w:val="8"/>
    <w:qFormat/>
    <w:uiPriority w:val="0"/>
    <w:rPr>
      <w:rFonts w:ascii="Times New Roman" w:hAnsi="Times New Roman" w:eastAsia="宋体" w:cs="Times New Roman"/>
      <w:kern w:val="0"/>
      <w:sz w:val="24"/>
      <w:szCs w:val="20"/>
      <w:shd w:val="clear" w:color="auto" w:fill="000080"/>
    </w:rPr>
  </w:style>
  <w:style w:type="character" w:customStyle="1" w:styleId="49">
    <w:name w:val="正文文本 Char"/>
    <w:link w:val="11"/>
    <w:qFormat/>
    <w:uiPriority w:val="0"/>
    <w:rPr>
      <w:rFonts w:ascii="宋体" w:hAnsi="Times New Roman" w:eastAsia="宋体" w:cs="Times New Roman"/>
      <w:sz w:val="30"/>
      <w:szCs w:val="20"/>
    </w:rPr>
  </w:style>
  <w:style w:type="character" w:customStyle="1" w:styleId="50">
    <w:name w:val="正文首行缩进 Char"/>
    <w:link w:val="33"/>
    <w:qFormat/>
    <w:uiPriority w:val="0"/>
    <w:rPr>
      <w:rFonts w:ascii="Times New Roman" w:hAnsi="Times New Roman" w:eastAsia="宋体" w:cs="Times New Roman"/>
      <w:sz w:val="30"/>
      <w:szCs w:val="20"/>
    </w:rPr>
  </w:style>
  <w:style w:type="character" w:customStyle="1" w:styleId="51">
    <w:name w:val="正文文本缩进 Char"/>
    <w:link w:val="12"/>
    <w:qFormat/>
    <w:uiPriority w:val="0"/>
    <w:rPr>
      <w:rFonts w:ascii="仿宋_GB2312" w:eastAsia="仿宋_GB2312" w:cs="Times New Roman"/>
      <w:kern w:val="0"/>
      <w:sz w:val="28"/>
      <w:szCs w:val="20"/>
    </w:rPr>
  </w:style>
  <w:style w:type="character" w:customStyle="1" w:styleId="52">
    <w:name w:val="正文文本缩进 2 Char"/>
    <w:link w:val="18"/>
    <w:qFormat/>
    <w:uiPriority w:val="0"/>
    <w:rPr>
      <w:rFonts w:ascii="仿宋_GB2312" w:hAnsi="Times New Roman" w:eastAsia="仿宋_GB2312" w:cs="Times New Roman"/>
      <w:kern w:val="0"/>
      <w:sz w:val="28"/>
      <w:szCs w:val="20"/>
    </w:rPr>
  </w:style>
  <w:style w:type="character" w:customStyle="1" w:styleId="53">
    <w:name w:val="正文文本缩进 3 Char"/>
    <w:link w:val="26"/>
    <w:qFormat/>
    <w:uiPriority w:val="0"/>
    <w:rPr>
      <w:rFonts w:ascii="Arial" w:hAnsi="Arial" w:eastAsia="仿宋_GB2312" w:cs="Arial"/>
      <w:kern w:val="0"/>
      <w:sz w:val="28"/>
      <w:szCs w:val="20"/>
    </w:rPr>
  </w:style>
  <w:style w:type="character" w:customStyle="1" w:styleId="54">
    <w:name w:val="正文文本 2 Char"/>
    <w:link w:val="29"/>
    <w:qFormat/>
    <w:uiPriority w:val="0"/>
    <w:rPr>
      <w:rFonts w:ascii="仿宋_GB2312" w:hAnsi="Arial" w:eastAsia="仿宋_GB2312" w:cs="Times New Roman"/>
      <w:kern w:val="0"/>
      <w:sz w:val="28"/>
      <w:szCs w:val="20"/>
    </w:rPr>
  </w:style>
  <w:style w:type="character" w:customStyle="1" w:styleId="55">
    <w:name w:val="纯文本 Char"/>
    <w:link w:val="15"/>
    <w:qFormat/>
    <w:uiPriority w:val="0"/>
    <w:rPr>
      <w:rFonts w:ascii="宋体" w:hAnsi="Courier New" w:eastAsia="宋体" w:cs="Times New Roman"/>
      <w:szCs w:val="20"/>
    </w:rPr>
  </w:style>
  <w:style w:type="character" w:customStyle="1" w:styleId="56">
    <w:name w:val="正文文本 3 Char"/>
    <w:link w:val="10"/>
    <w:qFormat/>
    <w:uiPriority w:val="0"/>
    <w:rPr>
      <w:rFonts w:ascii="楷体_GB2312" w:hAnsi="Arial" w:eastAsia="楷体_GB2312" w:cs="Times New Roman"/>
      <w:kern w:val="0"/>
      <w:sz w:val="32"/>
      <w:szCs w:val="20"/>
    </w:rPr>
  </w:style>
  <w:style w:type="paragraph" w:customStyle="1" w:styleId="57">
    <w:name w:val="正文1"/>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character" w:customStyle="1" w:styleId="58">
    <w:name w:val="日期 Char"/>
    <w:link w:val="17"/>
    <w:qFormat/>
    <w:uiPriority w:val="0"/>
    <w:rPr>
      <w:rFonts w:ascii="楷体_GB2312" w:hAnsi="Times New Roman" w:eastAsia="楷体_GB2312" w:cs="Times New Roman"/>
      <w:b/>
      <w:kern w:val="0"/>
      <w:sz w:val="28"/>
      <w:szCs w:val="20"/>
    </w:rPr>
  </w:style>
  <w:style w:type="character" w:customStyle="1" w:styleId="59">
    <w:name w:val="text1"/>
    <w:qFormat/>
    <w:uiPriority w:val="0"/>
    <w:rPr>
      <w:spacing w:val="10"/>
      <w:sz w:val="28"/>
      <w:szCs w:val="28"/>
    </w:rPr>
  </w:style>
  <w:style w:type="paragraph" w:customStyle="1" w:styleId="60">
    <w:name w:val="xl33"/>
    <w:basedOn w:val="1"/>
    <w:qFormat/>
    <w:uiPriority w:val="0"/>
    <w:pPr>
      <w:widowControl/>
      <w:pBdr>
        <w:top w:val="single" w:color="auto" w:sz="4" w:space="0"/>
        <w:bottom w:val="single" w:color="auto" w:sz="4" w:space="0"/>
      </w:pBdr>
      <w:adjustRightInd/>
      <w:spacing w:before="100" w:beforeAutospacing="1" w:after="100" w:afterAutospacing="1" w:line="240" w:lineRule="auto"/>
      <w:jc w:val="center"/>
      <w:textAlignment w:val="center"/>
    </w:pPr>
    <w:rPr>
      <w:rFonts w:ascii="Arial Unicode MS" w:hAnsi="Arial Unicode MS"/>
      <w:b/>
      <w:bCs/>
      <w:szCs w:val="24"/>
    </w:rPr>
  </w:style>
  <w:style w:type="paragraph" w:customStyle="1" w:styleId="61">
    <w:name w:val="font5"/>
    <w:basedOn w:val="1"/>
    <w:qFormat/>
    <w:uiPriority w:val="0"/>
    <w:pPr>
      <w:widowControl/>
      <w:adjustRightInd/>
      <w:spacing w:before="100" w:beforeAutospacing="1" w:after="100" w:afterAutospacing="1" w:line="240" w:lineRule="auto"/>
      <w:textAlignment w:val="auto"/>
    </w:pPr>
    <w:rPr>
      <w:rFonts w:hint="eastAsia" w:ascii="宋体" w:hAnsi="宋体"/>
      <w:sz w:val="18"/>
      <w:szCs w:val="18"/>
    </w:rPr>
  </w:style>
  <w:style w:type="paragraph" w:customStyle="1" w:styleId="62">
    <w:name w:val="font6"/>
    <w:basedOn w:val="1"/>
    <w:qFormat/>
    <w:uiPriority w:val="0"/>
    <w:pPr>
      <w:widowControl/>
      <w:adjustRightInd/>
      <w:spacing w:before="100" w:beforeAutospacing="1" w:after="100" w:afterAutospacing="1" w:line="240" w:lineRule="auto"/>
      <w:textAlignment w:val="auto"/>
    </w:pPr>
    <w:rPr>
      <w:rFonts w:hint="eastAsia" w:ascii="宋体" w:hAnsi="宋体"/>
      <w:b/>
      <w:bCs/>
      <w:sz w:val="32"/>
      <w:szCs w:val="32"/>
    </w:rPr>
  </w:style>
  <w:style w:type="paragraph" w:customStyle="1" w:styleId="63">
    <w:name w:val="font7"/>
    <w:basedOn w:val="1"/>
    <w:qFormat/>
    <w:uiPriority w:val="0"/>
    <w:pPr>
      <w:widowControl/>
      <w:adjustRightInd/>
      <w:spacing w:before="100" w:beforeAutospacing="1" w:after="100" w:afterAutospacing="1" w:line="240" w:lineRule="auto"/>
      <w:textAlignment w:val="auto"/>
    </w:pPr>
    <w:rPr>
      <w:szCs w:val="24"/>
    </w:rPr>
  </w:style>
  <w:style w:type="paragraph" w:customStyle="1" w:styleId="64">
    <w:name w:val="font8"/>
    <w:basedOn w:val="1"/>
    <w:qFormat/>
    <w:uiPriority w:val="0"/>
    <w:pPr>
      <w:widowControl/>
      <w:adjustRightInd/>
      <w:spacing w:before="100" w:beforeAutospacing="1" w:after="100" w:afterAutospacing="1" w:line="240" w:lineRule="auto"/>
      <w:textAlignment w:val="auto"/>
    </w:pPr>
    <w:rPr>
      <w:rFonts w:hint="eastAsia" w:ascii="宋体" w:hAnsi="宋体"/>
      <w:b/>
      <w:bCs/>
      <w:sz w:val="36"/>
      <w:szCs w:val="36"/>
    </w:rPr>
  </w:style>
  <w:style w:type="paragraph" w:customStyle="1" w:styleId="65">
    <w:name w:val="font9"/>
    <w:basedOn w:val="1"/>
    <w:qFormat/>
    <w:uiPriority w:val="0"/>
    <w:pPr>
      <w:widowControl/>
      <w:adjustRightInd/>
      <w:spacing w:before="100" w:beforeAutospacing="1" w:after="100" w:afterAutospacing="1" w:line="240" w:lineRule="auto"/>
      <w:textAlignment w:val="auto"/>
    </w:pPr>
    <w:rPr>
      <w:b/>
      <w:bCs/>
      <w:sz w:val="36"/>
      <w:szCs w:val="36"/>
    </w:rPr>
  </w:style>
  <w:style w:type="paragraph" w:customStyle="1" w:styleId="66">
    <w:name w:val="xl2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240" w:lineRule="auto"/>
      <w:jc w:val="center"/>
      <w:textAlignment w:val="auto"/>
    </w:pPr>
    <w:rPr>
      <w:rFonts w:ascii="Arial Unicode MS" w:hAnsi="Arial Unicode MS"/>
      <w:szCs w:val="24"/>
    </w:rPr>
  </w:style>
  <w:style w:type="paragraph" w:customStyle="1" w:styleId="67">
    <w:name w:val="xl2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240" w:lineRule="auto"/>
      <w:jc w:val="center"/>
      <w:textAlignment w:val="auto"/>
    </w:pPr>
    <w:rPr>
      <w:szCs w:val="24"/>
    </w:rPr>
  </w:style>
  <w:style w:type="paragraph" w:customStyle="1" w:styleId="68">
    <w:name w:val="xl2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240" w:lineRule="auto"/>
      <w:jc w:val="center"/>
      <w:textAlignment w:val="auto"/>
    </w:pPr>
    <w:rPr>
      <w:sz w:val="20"/>
    </w:rPr>
  </w:style>
  <w:style w:type="paragraph" w:customStyle="1" w:styleId="69">
    <w:name w:val="xl2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240" w:lineRule="auto"/>
      <w:textAlignment w:val="auto"/>
    </w:pPr>
    <w:rPr>
      <w:rFonts w:ascii="Arial Narrow" w:hAnsi="Arial Narrow"/>
      <w:sz w:val="20"/>
    </w:rPr>
  </w:style>
  <w:style w:type="paragraph" w:customStyle="1" w:styleId="70">
    <w:name w:val="xl2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240" w:lineRule="auto"/>
      <w:textAlignment w:val="auto"/>
    </w:pPr>
    <w:rPr>
      <w:rFonts w:ascii="Arial Narrow" w:hAnsi="Arial Narrow"/>
      <w:sz w:val="20"/>
    </w:rPr>
  </w:style>
  <w:style w:type="paragraph" w:customStyle="1" w:styleId="71">
    <w:name w:val="xl2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240" w:lineRule="auto"/>
      <w:jc w:val="right"/>
      <w:textAlignment w:val="auto"/>
    </w:pPr>
    <w:rPr>
      <w:rFonts w:ascii="Arial Narrow" w:hAnsi="Arial Narrow"/>
      <w:sz w:val="20"/>
    </w:rPr>
  </w:style>
  <w:style w:type="paragraph" w:customStyle="1" w:styleId="72">
    <w:name w:val="xl30"/>
    <w:basedOn w:val="1"/>
    <w:qFormat/>
    <w:uiPriority w:val="0"/>
    <w:pPr>
      <w:widowControl/>
      <w:pBdr>
        <w:top w:val="single" w:color="auto" w:sz="4" w:space="0"/>
        <w:left w:val="single" w:color="auto" w:sz="4" w:space="0"/>
        <w:bottom w:val="single" w:color="auto" w:sz="4" w:space="0"/>
      </w:pBdr>
      <w:adjustRightInd/>
      <w:spacing w:before="100" w:beforeAutospacing="1" w:after="100" w:afterAutospacing="1" w:line="240" w:lineRule="auto"/>
      <w:jc w:val="center"/>
      <w:textAlignment w:val="auto"/>
    </w:pPr>
    <w:rPr>
      <w:rFonts w:ascii="Arial Unicode MS" w:hAnsi="Arial Unicode MS"/>
      <w:sz w:val="20"/>
    </w:rPr>
  </w:style>
  <w:style w:type="paragraph" w:customStyle="1" w:styleId="73">
    <w:name w:val="xl31"/>
    <w:basedOn w:val="1"/>
    <w:qFormat/>
    <w:uiPriority w:val="0"/>
    <w:pPr>
      <w:widowControl/>
      <w:pBdr>
        <w:top w:val="single" w:color="auto" w:sz="4" w:space="0"/>
        <w:bottom w:val="single" w:color="auto" w:sz="4" w:space="0"/>
      </w:pBdr>
      <w:adjustRightInd/>
      <w:spacing w:before="100" w:beforeAutospacing="1" w:after="100" w:afterAutospacing="1" w:line="240" w:lineRule="auto"/>
      <w:jc w:val="center"/>
      <w:textAlignment w:val="auto"/>
    </w:pPr>
    <w:rPr>
      <w:rFonts w:ascii="Arial Unicode MS" w:hAnsi="Arial Unicode MS"/>
      <w:sz w:val="20"/>
    </w:rPr>
  </w:style>
  <w:style w:type="paragraph" w:customStyle="1" w:styleId="74">
    <w:name w:val="xl32"/>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line="240" w:lineRule="auto"/>
      <w:jc w:val="center"/>
      <w:textAlignment w:val="auto"/>
    </w:pPr>
    <w:rPr>
      <w:rFonts w:ascii="Arial Unicode MS" w:hAnsi="Arial Unicode MS"/>
      <w:sz w:val="20"/>
    </w:rPr>
  </w:style>
  <w:style w:type="character" w:customStyle="1" w:styleId="75">
    <w:name w:val="nr1"/>
    <w:qFormat/>
    <w:uiPriority w:val="0"/>
    <w:rPr>
      <w:rFonts w:hint="eastAsia" w:ascii="楷体_GB2312" w:eastAsia="楷体_GB2312"/>
      <w:color w:val="000000"/>
      <w:sz w:val="24"/>
      <w:szCs w:val="24"/>
    </w:rPr>
  </w:style>
  <w:style w:type="character" w:customStyle="1" w:styleId="76">
    <w:name w:val="HTML 预设格式 Char"/>
    <w:link w:val="30"/>
    <w:qFormat/>
    <w:uiPriority w:val="99"/>
    <w:rPr>
      <w:rFonts w:ascii="宋体" w:hAnsi="宋体" w:eastAsia="宋体" w:cs="Times New Roman"/>
      <w:kern w:val="0"/>
      <w:sz w:val="24"/>
      <w:szCs w:val="24"/>
    </w:rPr>
  </w:style>
  <w:style w:type="paragraph" w:customStyle="1" w:styleId="77">
    <w:name w:val="样式2"/>
    <w:basedOn w:val="1"/>
    <w:qFormat/>
    <w:uiPriority w:val="0"/>
    <w:pPr>
      <w:autoSpaceDE w:val="0"/>
      <w:autoSpaceDN w:val="0"/>
      <w:spacing w:line="240" w:lineRule="auto"/>
      <w:jc w:val="center"/>
    </w:pPr>
    <w:rPr>
      <w:rFonts w:ascii="长城粗隶书" w:eastAsia="长城粗隶书"/>
      <w:b/>
      <w:spacing w:val="20"/>
      <w:sz w:val="52"/>
    </w:rPr>
  </w:style>
  <w:style w:type="paragraph" w:customStyle="1" w:styleId="78">
    <w:name w:val="Char Char1 Char"/>
    <w:basedOn w:val="1"/>
    <w:qFormat/>
    <w:uiPriority w:val="0"/>
    <w:pPr>
      <w:adjustRightInd/>
      <w:spacing w:line="240" w:lineRule="auto"/>
      <w:jc w:val="both"/>
      <w:textAlignment w:val="auto"/>
    </w:pPr>
    <w:rPr>
      <w:rFonts w:ascii="宋体" w:hAnsi="宋体" w:cs="Courier New"/>
      <w:kern w:val="2"/>
      <w:sz w:val="32"/>
      <w:szCs w:val="32"/>
    </w:rPr>
  </w:style>
  <w:style w:type="paragraph" w:customStyle="1" w:styleId="79">
    <w:name w:val="Char"/>
    <w:basedOn w:val="1"/>
    <w:qFormat/>
    <w:uiPriority w:val="0"/>
    <w:pPr>
      <w:adjustRightInd/>
      <w:spacing w:line="240" w:lineRule="auto"/>
      <w:jc w:val="both"/>
      <w:textAlignment w:val="auto"/>
    </w:pPr>
    <w:rPr>
      <w:rFonts w:ascii="宋体" w:hAnsi="宋体" w:cs="Courier New"/>
      <w:kern w:val="2"/>
      <w:sz w:val="32"/>
      <w:szCs w:val="32"/>
    </w:rPr>
  </w:style>
  <w:style w:type="character" w:customStyle="1" w:styleId="80">
    <w:name w:val="批注框文本 Char"/>
    <w:link w:val="19"/>
    <w:qFormat/>
    <w:uiPriority w:val="99"/>
    <w:rPr>
      <w:rFonts w:ascii="Times New Roman" w:hAnsi="Times New Roman" w:eastAsia="宋体" w:cs="Times New Roman"/>
      <w:kern w:val="0"/>
      <w:sz w:val="18"/>
      <w:szCs w:val="18"/>
    </w:rPr>
  </w:style>
  <w:style w:type="character" w:customStyle="1" w:styleId="81">
    <w:name w:val="t12h291"/>
    <w:qFormat/>
    <w:uiPriority w:val="0"/>
    <w:rPr>
      <w:color w:val="000000"/>
      <w:sz w:val="24"/>
      <w:szCs w:val="24"/>
    </w:rPr>
  </w:style>
  <w:style w:type="paragraph" w:customStyle="1" w:styleId="82">
    <w:name w:val="Default"/>
    <w:qFormat/>
    <w:uiPriority w:val="0"/>
    <w:pPr>
      <w:widowControl w:val="0"/>
      <w:autoSpaceDE w:val="0"/>
      <w:autoSpaceDN w:val="0"/>
      <w:adjustRightInd w:val="0"/>
    </w:pPr>
    <w:rPr>
      <w:rFonts w:ascii="华文细黑碙.." w:hAnsi="Calibri" w:eastAsia="华文细黑碙.." w:cs="华文细黑碙.."/>
      <w:color w:val="000000"/>
      <w:sz w:val="24"/>
      <w:szCs w:val="24"/>
      <w:lang w:val="en-US" w:eastAsia="zh-CN" w:bidi="ar-SA"/>
    </w:rPr>
  </w:style>
  <w:style w:type="character" w:customStyle="1" w:styleId="83">
    <w:name w:val="A4"/>
    <w:qFormat/>
    <w:uiPriority w:val="0"/>
    <w:rPr>
      <w:rFonts w:cs="华文细黑碙.."/>
      <w:color w:val="000000"/>
      <w:sz w:val="16"/>
      <w:szCs w:val="16"/>
    </w:rPr>
  </w:style>
  <w:style w:type="character" w:customStyle="1" w:styleId="84">
    <w:name w:val="A3"/>
    <w:qFormat/>
    <w:uiPriority w:val="0"/>
    <w:rPr>
      <w:rFonts w:cs="黑体萄"/>
      <w:color w:val="000000"/>
      <w:sz w:val="18"/>
      <w:szCs w:val="18"/>
    </w:rPr>
  </w:style>
  <w:style w:type="character" w:customStyle="1" w:styleId="85">
    <w:name w:val="批注文字 Char1"/>
    <w:link w:val="9"/>
    <w:qFormat/>
    <w:uiPriority w:val="99"/>
    <w:rPr>
      <w:rFonts w:ascii="Times New Roman" w:hAnsi="Times New Roman"/>
      <w:sz w:val="24"/>
    </w:rPr>
  </w:style>
  <w:style w:type="character" w:customStyle="1" w:styleId="86">
    <w:name w:val="批注主题 Char"/>
    <w:link w:val="32"/>
    <w:qFormat/>
    <w:uiPriority w:val="99"/>
    <w:rPr>
      <w:rFonts w:ascii="Times New Roman" w:hAnsi="Times New Roman"/>
      <w:b/>
      <w:bCs/>
      <w:sz w:val="24"/>
    </w:rPr>
  </w:style>
  <w:style w:type="paragraph" w:customStyle="1" w:styleId="87">
    <w:name w:val="浅色列表 - 强调文字颜色 32"/>
    <w:hidden/>
    <w:semiHidden/>
    <w:qFormat/>
    <w:uiPriority w:val="99"/>
    <w:rPr>
      <w:rFonts w:ascii="Times New Roman" w:hAnsi="Times New Roman" w:eastAsia="宋体" w:cs="Times New Roman"/>
      <w:sz w:val="24"/>
      <w:lang w:val="en-US" w:eastAsia="zh-CN" w:bidi="ar-SA"/>
    </w:rPr>
  </w:style>
  <w:style w:type="paragraph" w:customStyle="1" w:styleId="88">
    <w:name w:val="iw_poi_title"/>
    <w:basedOn w:val="1"/>
    <w:qFormat/>
    <w:uiPriority w:val="0"/>
    <w:pPr>
      <w:widowControl/>
      <w:adjustRightInd/>
      <w:spacing w:line="240" w:lineRule="auto"/>
      <w:textAlignment w:val="auto"/>
    </w:pPr>
    <w:rPr>
      <w:rFonts w:ascii="宋体" w:hAnsi="宋体" w:cs="宋体"/>
      <w:b/>
      <w:bCs/>
      <w:color w:val="4D4D4D"/>
      <w:sz w:val="21"/>
      <w:szCs w:val="21"/>
    </w:rPr>
  </w:style>
  <w:style w:type="paragraph" w:customStyle="1" w:styleId="89">
    <w:name w:val="Char Char Char Char"/>
    <w:basedOn w:val="1"/>
    <w:qFormat/>
    <w:uiPriority w:val="0"/>
    <w:pPr>
      <w:adjustRightInd/>
      <w:spacing w:line="240" w:lineRule="auto"/>
      <w:jc w:val="both"/>
      <w:textAlignment w:val="auto"/>
    </w:pPr>
    <w:rPr>
      <w:rFonts w:ascii="宋体" w:hAnsi="宋体" w:cs="Courier New"/>
      <w:kern w:val="2"/>
      <w:sz w:val="32"/>
      <w:szCs w:val="32"/>
    </w:rPr>
  </w:style>
  <w:style w:type="paragraph" w:customStyle="1" w:styleId="90">
    <w:name w:val="浅色网格 - 强调文字颜色 32"/>
    <w:basedOn w:val="1"/>
    <w:qFormat/>
    <w:uiPriority w:val="34"/>
    <w:pPr>
      <w:ind w:firstLine="420" w:firstLineChars="200"/>
    </w:pPr>
  </w:style>
  <w:style w:type="paragraph" w:customStyle="1" w:styleId="91">
    <w:name w:val="正文111"/>
    <w:basedOn w:val="1"/>
    <w:link w:val="92"/>
    <w:qFormat/>
    <w:uiPriority w:val="0"/>
    <w:pPr>
      <w:tabs>
        <w:tab w:val="left" w:pos="1135"/>
        <w:tab w:val="left" w:pos="2390"/>
      </w:tabs>
      <w:adjustRightInd/>
      <w:snapToGrid w:val="0"/>
      <w:spacing w:line="360" w:lineRule="auto"/>
      <w:ind w:firstLine="560" w:firstLineChars="200"/>
      <w:textAlignment w:val="auto"/>
    </w:pPr>
    <w:rPr>
      <w:rFonts w:eastAsia="仿宋_GB2312"/>
      <w:kern w:val="2"/>
      <w:sz w:val="28"/>
      <w:szCs w:val="24"/>
      <w:lang w:val="zh-CN"/>
    </w:rPr>
  </w:style>
  <w:style w:type="character" w:customStyle="1" w:styleId="92">
    <w:name w:val="正文1 Char"/>
    <w:link w:val="91"/>
    <w:qFormat/>
    <w:uiPriority w:val="0"/>
    <w:rPr>
      <w:rFonts w:ascii="Times New Roman" w:hAnsi="Times New Roman" w:eastAsia="仿宋_GB2312"/>
      <w:kern w:val="2"/>
      <w:sz w:val="28"/>
      <w:szCs w:val="24"/>
    </w:rPr>
  </w:style>
  <w:style w:type="paragraph" w:customStyle="1" w:styleId="93">
    <w:name w:val="Normal_37"/>
    <w:qFormat/>
    <w:uiPriority w:val="0"/>
    <w:pPr>
      <w:spacing w:before="120" w:after="240"/>
      <w:jc w:val="both"/>
    </w:pPr>
    <w:rPr>
      <w:rFonts w:ascii="Calibri" w:hAnsi="Calibri" w:eastAsia="Calibri" w:cs="Times New Roman"/>
      <w:sz w:val="22"/>
      <w:szCs w:val="22"/>
      <w:lang w:val="ru-RU" w:eastAsia="en-US" w:bidi="ar-SA"/>
    </w:rPr>
  </w:style>
  <w:style w:type="paragraph" w:customStyle="1" w:styleId="94">
    <w:name w:val="内容"/>
    <w:basedOn w:val="1"/>
    <w:qFormat/>
    <w:uiPriority w:val="0"/>
    <w:pPr>
      <w:snapToGrid w:val="0"/>
      <w:spacing w:line="480" w:lineRule="atLeast"/>
      <w:ind w:firstLine="567"/>
      <w:jc w:val="both"/>
      <w:textAlignment w:val="auto"/>
    </w:pPr>
    <w:rPr>
      <w:rFonts w:ascii="楷体_GB2312" w:eastAsia="楷体_GB2312"/>
      <w:kern w:val="2"/>
      <w:sz w:val="28"/>
    </w:rPr>
  </w:style>
  <w:style w:type="character" w:customStyle="1" w:styleId="95">
    <w:name w:val="showtreebodycontent1"/>
    <w:qFormat/>
    <w:uiPriority w:val="0"/>
    <w:rPr>
      <w:sz w:val="21"/>
      <w:szCs w:val="21"/>
    </w:rPr>
  </w:style>
  <w:style w:type="character" w:customStyle="1" w:styleId="96">
    <w:name w:val="脚注文本 Char"/>
    <w:link w:val="24"/>
    <w:qFormat/>
    <w:uiPriority w:val="0"/>
    <w:rPr>
      <w:rFonts w:ascii="Times New Roman" w:hAnsi="Times New Roman"/>
      <w:kern w:val="2"/>
      <w:sz w:val="18"/>
      <w:szCs w:val="18"/>
    </w:rPr>
  </w:style>
  <w:style w:type="paragraph" w:customStyle="1" w:styleId="97">
    <w:name w:val="12"/>
    <w:basedOn w:val="18"/>
    <w:qFormat/>
    <w:uiPriority w:val="0"/>
    <w:pPr>
      <w:adjustRightInd/>
      <w:spacing w:before="120" w:line="360" w:lineRule="auto"/>
      <w:ind w:firstLine="0" w:firstLineChars="0"/>
      <w:jc w:val="center"/>
      <w:textAlignment w:val="auto"/>
      <w:outlineLvl w:val="9"/>
    </w:pPr>
    <w:rPr>
      <w:rFonts w:ascii="Times New Roman" w:eastAsia="黑体"/>
      <w:kern w:val="2"/>
      <w:sz w:val="48"/>
      <w:lang w:val="en-US"/>
    </w:rPr>
  </w:style>
  <w:style w:type="character" w:customStyle="1" w:styleId="98">
    <w:name w:val="duanluo"/>
    <w:qFormat/>
    <w:uiPriority w:val="0"/>
  </w:style>
  <w:style w:type="character" w:customStyle="1" w:styleId="99">
    <w:name w:val="Char Char12"/>
    <w:qFormat/>
    <w:uiPriority w:val="0"/>
    <w:rPr>
      <w:sz w:val="18"/>
    </w:rPr>
  </w:style>
  <w:style w:type="character" w:customStyle="1" w:styleId="100">
    <w:name w:val="Char Char5"/>
    <w:qFormat/>
    <w:uiPriority w:val="0"/>
    <w:rPr>
      <w:rFonts w:ascii="Arial" w:hAnsi="Arial" w:eastAsia="仿宋_GB2312" w:cs="Arial"/>
      <w:sz w:val="28"/>
    </w:rPr>
  </w:style>
  <w:style w:type="character" w:customStyle="1" w:styleId="101">
    <w:name w:val="Char Char1"/>
    <w:qFormat/>
    <w:locked/>
    <w:uiPriority w:val="0"/>
    <w:rPr>
      <w:rFonts w:ascii="宋体" w:hAnsi="Courier New" w:eastAsia="宋体"/>
      <w:kern w:val="2"/>
      <w:sz w:val="21"/>
      <w:lang w:val="en-US" w:eastAsia="zh-CN" w:bidi="ar-SA"/>
    </w:rPr>
  </w:style>
  <w:style w:type="character" w:customStyle="1" w:styleId="102">
    <w:name w:val="Plain Text Char"/>
    <w:qFormat/>
    <w:locked/>
    <w:uiPriority w:val="0"/>
    <w:rPr>
      <w:rFonts w:ascii="宋体" w:hAnsi="Courier New" w:eastAsia="宋体" w:cs="Times New Roman"/>
      <w:sz w:val="20"/>
      <w:szCs w:val="20"/>
    </w:rPr>
  </w:style>
  <w:style w:type="paragraph" w:customStyle="1" w:styleId="103">
    <w:name w:val="样式7"/>
    <w:basedOn w:val="1"/>
    <w:qFormat/>
    <w:uiPriority w:val="0"/>
    <w:pPr>
      <w:adjustRightInd/>
      <w:spacing w:line="360" w:lineRule="auto"/>
      <w:ind w:firstLine="567"/>
      <w:jc w:val="both"/>
      <w:textAlignment w:val="auto"/>
    </w:pPr>
    <w:rPr>
      <w:rFonts w:ascii="仿宋_GB2312" w:eastAsia="仿宋_GB2312"/>
      <w:kern w:val="2"/>
      <w:sz w:val="28"/>
    </w:rPr>
  </w:style>
  <w:style w:type="paragraph" w:customStyle="1" w:styleId="104">
    <w:name w:val="pic-info"/>
    <w:basedOn w:val="1"/>
    <w:qFormat/>
    <w:uiPriority w:val="0"/>
    <w:pPr>
      <w:widowControl/>
      <w:adjustRightInd/>
      <w:spacing w:before="100" w:beforeAutospacing="1" w:after="100" w:afterAutospacing="1" w:line="240" w:lineRule="auto"/>
      <w:textAlignment w:val="auto"/>
    </w:pPr>
    <w:rPr>
      <w:rFonts w:ascii="宋体" w:hAnsi="宋体" w:cs="宋体"/>
      <w:szCs w:val="24"/>
    </w:rPr>
  </w:style>
  <w:style w:type="character" w:customStyle="1" w:styleId="105">
    <w:name w:val="oline"/>
    <w:qFormat/>
    <w:uiPriority w:val="0"/>
  </w:style>
  <w:style w:type="paragraph" w:customStyle="1" w:styleId="106">
    <w:name w:val="Char11"/>
    <w:basedOn w:val="1"/>
    <w:qFormat/>
    <w:uiPriority w:val="0"/>
    <w:pPr>
      <w:adjustRightInd/>
      <w:spacing w:line="240" w:lineRule="auto"/>
      <w:jc w:val="both"/>
      <w:textAlignment w:val="auto"/>
    </w:pPr>
    <w:rPr>
      <w:rFonts w:ascii="宋体" w:hAnsi="宋体" w:cs="Courier New"/>
      <w:kern w:val="2"/>
      <w:sz w:val="32"/>
      <w:szCs w:val="32"/>
    </w:rPr>
  </w:style>
  <w:style w:type="paragraph" w:customStyle="1" w:styleId="107">
    <w:name w:val="正文11"/>
    <w:basedOn w:val="1"/>
    <w:qFormat/>
    <w:uiPriority w:val="0"/>
    <w:pPr>
      <w:tabs>
        <w:tab w:val="left" w:pos="1135"/>
        <w:tab w:val="left" w:pos="2390"/>
      </w:tabs>
      <w:adjustRightInd/>
      <w:snapToGrid w:val="0"/>
      <w:spacing w:line="360" w:lineRule="auto"/>
      <w:ind w:firstLine="560" w:firstLineChars="200"/>
      <w:textAlignment w:val="auto"/>
    </w:pPr>
    <w:rPr>
      <w:rFonts w:eastAsia="仿宋_GB2312"/>
      <w:kern w:val="2"/>
      <w:sz w:val="28"/>
      <w:szCs w:val="24"/>
    </w:rPr>
  </w:style>
  <w:style w:type="character" w:customStyle="1" w:styleId="108">
    <w:name w:val="Char Char1211"/>
    <w:qFormat/>
    <w:uiPriority w:val="0"/>
    <w:rPr>
      <w:sz w:val="18"/>
    </w:rPr>
  </w:style>
  <w:style w:type="character" w:customStyle="1" w:styleId="109">
    <w:name w:val="Char Char511"/>
    <w:qFormat/>
    <w:uiPriority w:val="0"/>
    <w:rPr>
      <w:rFonts w:ascii="Arial" w:hAnsi="Arial" w:eastAsia="仿宋_GB2312" w:cs="Arial"/>
      <w:sz w:val="28"/>
    </w:rPr>
  </w:style>
  <w:style w:type="character" w:customStyle="1" w:styleId="110">
    <w:name w:val="apple-converted-space"/>
    <w:qFormat/>
    <w:uiPriority w:val="0"/>
  </w:style>
  <w:style w:type="table" w:customStyle="1" w:styleId="111">
    <w:name w:val="TableGrid"/>
    <w:qFormat/>
    <w:uiPriority w:val="0"/>
    <w:rPr>
      <w:kern w:val="2"/>
      <w:sz w:val="21"/>
      <w:szCs w:val="22"/>
    </w:rPr>
    <w:tblPr>
      <w:tblCellMar>
        <w:top w:w="0" w:type="dxa"/>
        <w:left w:w="0" w:type="dxa"/>
        <w:bottom w:w="0" w:type="dxa"/>
        <w:right w:w="0" w:type="dxa"/>
      </w:tblCellMar>
    </w:tblPr>
  </w:style>
  <w:style w:type="character" w:customStyle="1" w:styleId="112">
    <w:name w:val="description"/>
    <w:basedOn w:val="36"/>
    <w:qFormat/>
    <w:uiPriority w:val="0"/>
  </w:style>
  <w:style w:type="character" w:customStyle="1" w:styleId="113">
    <w:name w:val="文档结构图 Char1"/>
    <w:qFormat/>
    <w:uiPriority w:val="99"/>
    <w:rPr>
      <w:rFonts w:ascii="宋体" w:hAnsi="Times New Roman" w:eastAsia="宋体" w:cs="Times New Roman"/>
      <w:kern w:val="0"/>
      <w:sz w:val="18"/>
      <w:szCs w:val="18"/>
    </w:rPr>
  </w:style>
  <w:style w:type="character" w:customStyle="1" w:styleId="114">
    <w:name w:val="正文文本 Char1"/>
    <w:qFormat/>
    <w:uiPriority w:val="0"/>
    <w:rPr>
      <w:rFonts w:ascii="宋体" w:hAnsi="Times New Roman" w:eastAsia="宋体" w:cs="Times New Roman"/>
      <w:kern w:val="0"/>
      <w:sz w:val="30"/>
      <w:szCs w:val="20"/>
    </w:rPr>
  </w:style>
  <w:style w:type="paragraph" w:customStyle="1" w:styleId="115">
    <w:name w:val="修订1"/>
    <w:semiHidden/>
    <w:qFormat/>
    <w:uiPriority w:val="99"/>
    <w:rPr>
      <w:rFonts w:ascii="Times New Roman" w:hAnsi="Times New Roman" w:eastAsia="宋体" w:cs="Times New Roman"/>
      <w:sz w:val="24"/>
      <w:lang w:val="en-US" w:eastAsia="zh-CN" w:bidi="ar-SA"/>
    </w:rPr>
  </w:style>
  <w:style w:type="paragraph" w:customStyle="1" w:styleId="116">
    <w:name w:val="正文2"/>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117">
    <w:name w:val="正文3"/>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118">
    <w:name w:val="正文4"/>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119">
    <w:name w:val="正文5"/>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120">
    <w:name w:val="正文6"/>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character" w:customStyle="1" w:styleId="121">
    <w:name w:val="批注框文本 Char1"/>
    <w:semiHidden/>
    <w:qFormat/>
    <w:uiPriority w:val="99"/>
    <w:rPr>
      <w:sz w:val="18"/>
      <w:szCs w:val="18"/>
    </w:rPr>
  </w:style>
  <w:style w:type="paragraph" w:customStyle="1" w:styleId="122">
    <w:name w:val="正文12"/>
    <w:basedOn w:val="1"/>
    <w:qFormat/>
    <w:uiPriority w:val="0"/>
    <w:pPr>
      <w:tabs>
        <w:tab w:val="left" w:pos="1135"/>
        <w:tab w:val="left" w:pos="2390"/>
      </w:tabs>
      <w:adjustRightInd/>
      <w:snapToGrid w:val="0"/>
      <w:spacing w:line="360" w:lineRule="auto"/>
      <w:ind w:firstLine="560" w:firstLineChars="200"/>
      <w:textAlignment w:val="auto"/>
    </w:pPr>
    <w:rPr>
      <w:rFonts w:eastAsia="仿宋_GB2312"/>
      <w:kern w:val="2"/>
      <w:sz w:val="28"/>
      <w:szCs w:val="24"/>
    </w:rPr>
  </w:style>
  <w:style w:type="paragraph" w:customStyle="1" w:styleId="123">
    <w:name w:val="Char1"/>
    <w:basedOn w:val="1"/>
    <w:qFormat/>
    <w:uiPriority w:val="0"/>
    <w:pPr>
      <w:adjustRightInd/>
      <w:spacing w:line="240" w:lineRule="auto"/>
      <w:jc w:val="both"/>
      <w:textAlignment w:val="auto"/>
    </w:pPr>
    <w:rPr>
      <w:rFonts w:ascii="宋体" w:hAnsi="宋体" w:cs="Courier New"/>
      <w:kern w:val="2"/>
      <w:sz w:val="32"/>
      <w:szCs w:val="32"/>
    </w:rPr>
  </w:style>
  <w:style w:type="character" w:customStyle="1" w:styleId="124">
    <w:name w:val="Char Char121"/>
    <w:qFormat/>
    <w:uiPriority w:val="0"/>
    <w:rPr>
      <w:sz w:val="18"/>
    </w:rPr>
  </w:style>
  <w:style w:type="character" w:customStyle="1" w:styleId="125">
    <w:name w:val="Char Char51"/>
    <w:qFormat/>
    <w:uiPriority w:val="0"/>
    <w:rPr>
      <w:rFonts w:ascii="Arial" w:hAnsi="Arial" w:eastAsia="仿宋_GB2312" w:cs="Arial"/>
      <w:sz w:val="28"/>
    </w:rPr>
  </w:style>
  <w:style w:type="character" w:customStyle="1" w:styleId="126">
    <w:name w:val="fwzhdz"/>
    <w:basedOn w:val="36"/>
    <w:qFormat/>
    <w:uiPriority w:val="0"/>
  </w:style>
  <w:style w:type="character" w:customStyle="1" w:styleId="127">
    <w:name w:val="fwzhnf"/>
    <w:basedOn w:val="36"/>
    <w:qFormat/>
    <w:uiPriority w:val="0"/>
  </w:style>
  <w:style w:type="character" w:customStyle="1" w:styleId="128">
    <w:name w:val="fwzhxh"/>
    <w:basedOn w:val="36"/>
    <w:qFormat/>
    <w:uiPriority w:val="0"/>
  </w:style>
  <w:style w:type="character" w:customStyle="1" w:styleId="129">
    <w:name w:val="批注文字 字符"/>
    <w:qFormat/>
    <w:uiPriority w:val="99"/>
    <w:rPr>
      <w:rFonts w:ascii="Times New Roman" w:hAnsi="Times New Roman"/>
      <w:sz w:val="24"/>
    </w:rPr>
  </w:style>
  <w:style w:type="character" w:customStyle="1" w:styleId="130">
    <w:name w:val="正文文本 字符"/>
    <w:qFormat/>
    <w:uiPriority w:val="0"/>
    <w:rPr>
      <w:rFonts w:ascii="宋体"/>
      <w:kern w:val="2"/>
      <w:sz w:val="30"/>
    </w:rPr>
  </w:style>
  <w:style w:type="character" w:customStyle="1" w:styleId="131">
    <w:name w:val="正文文本缩进 字符"/>
    <w:qFormat/>
    <w:uiPriority w:val="0"/>
    <w:rPr>
      <w:rFonts w:ascii="仿宋_GB2312" w:eastAsia="仿宋_GB2312"/>
      <w:sz w:val="28"/>
    </w:rPr>
  </w:style>
  <w:style w:type="character" w:customStyle="1" w:styleId="132">
    <w:name w:val="页脚 字符"/>
    <w:qFormat/>
    <w:uiPriority w:val="99"/>
    <w:rPr>
      <w:sz w:val="18"/>
    </w:rPr>
  </w:style>
  <w:style w:type="character" w:customStyle="1" w:styleId="133">
    <w:name w:val="页眉 字符"/>
    <w:qFormat/>
    <w:uiPriority w:val="99"/>
    <w:rPr>
      <w:sz w:val="18"/>
    </w:rPr>
  </w:style>
  <w:style w:type="character" w:customStyle="1" w:styleId="134">
    <w:name w:val="标题 1 字符"/>
    <w:qFormat/>
    <w:uiPriority w:val="0"/>
    <w:rPr>
      <w:rFonts w:ascii="Arial" w:hAnsi="Arial" w:eastAsia="仿宋_GB2312"/>
      <w:b/>
      <w:sz w:val="28"/>
    </w:rPr>
  </w:style>
  <w:style w:type="character" w:customStyle="1" w:styleId="135">
    <w:name w:val="标题 2 字符"/>
    <w:qFormat/>
    <w:uiPriority w:val="0"/>
    <w:rPr>
      <w:rFonts w:ascii="Arial" w:hAnsi="Arial" w:eastAsia="仿宋_GB2312"/>
      <w:b/>
      <w:bCs/>
      <w:sz w:val="28"/>
    </w:rPr>
  </w:style>
  <w:style w:type="character" w:customStyle="1" w:styleId="136">
    <w:name w:val="标题 3 字符"/>
    <w:qFormat/>
    <w:uiPriority w:val="0"/>
    <w:rPr>
      <w:rFonts w:ascii="仿宋_GB2312" w:hAnsi="Arial" w:eastAsia="仿宋_GB2312"/>
      <w:sz w:val="28"/>
    </w:rPr>
  </w:style>
  <w:style w:type="character" w:customStyle="1" w:styleId="137">
    <w:name w:val="标题 4 字符"/>
    <w:qFormat/>
    <w:uiPriority w:val="0"/>
    <w:rPr>
      <w:rFonts w:ascii="仿宋_GB2312" w:hAnsi="Times New Roman" w:eastAsia="仿宋_GB2312"/>
      <w:sz w:val="28"/>
    </w:rPr>
  </w:style>
  <w:style w:type="character" w:customStyle="1" w:styleId="138">
    <w:name w:val="文档结构图 字符"/>
    <w:qFormat/>
    <w:uiPriority w:val="0"/>
    <w:rPr>
      <w:rFonts w:ascii="Times New Roman" w:hAnsi="Times New Roman" w:eastAsia="宋体" w:cs="Times New Roman"/>
      <w:kern w:val="0"/>
      <w:sz w:val="24"/>
      <w:szCs w:val="20"/>
      <w:shd w:val="clear" w:color="auto" w:fill="000080"/>
    </w:rPr>
  </w:style>
  <w:style w:type="character" w:customStyle="1" w:styleId="139">
    <w:name w:val="正文文本 3 字符"/>
    <w:qFormat/>
    <w:uiPriority w:val="0"/>
    <w:rPr>
      <w:rFonts w:ascii="楷体_GB2312" w:hAnsi="Arial" w:eastAsia="楷体_GB2312" w:cs="Times New Roman"/>
      <w:kern w:val="0"/>
      <w:sz w:val="32"/>
      <w:szCs w:val="20"/>
    </w:rPr>
  </w:style>
  <w:style w:type="character" w:customStyle="1" w:styleId="140">
    <w:name w:val="纯文本 字符"/>
    <w:qFormat/>
    <w:uiPriority w:val="0"/>
    <w:rPr>
      <w:rFonts w:ascii="宋体" w:hAnsi="Courier New" w:eastAsia="宋体" w:cs="Times New Roman"/>
      <w:szCs w:val="20"/>
    </w:rPr>
  </w:style>
  <w:style w:type="character" w:customStyle="1" w:styleId="141">
    <w:name w:val="日期 字符"/>
    <w:qFormat/>
    <w:uiPriority w:val="0"/>
    <w:rPr>
      <w:rFonts w:ascii="楷体_GB2312" w:hAnsi="Times New Roman" w:eastAsia="楷体_GB2312" w:cs="Times New Roman"/>
      <w:b/>
      <w:kern w:val="0"/>
      <w:sz w:val="28"/>
      <w:szCs w:val="20"/>
    </w:rPr>
  </w:style>
  <w:style w:type="character" w:customStyle="1" w:styleId="142">
    <w:name w:val="正文文本缩进 2 字符"/>
    <w:qFormat/>
    <w:uiPriority w:val="0"/>
    <w:rPr>
      <w:rFonts w:ascii="仿宋_GB2312" w:hAnsi="Times New Roman" w:eastAsia="仿宋_GB2312" w:cs="Times New Roman"/>
      <w:kern w:val="0"/>
      <w:sz w:val="28"/>
      <w:szCs w:val="20"/>
    </w:rPr>
  </w:style>
  <w:style w:type="character" w:customStyle="1" w:styleId="143">
    <w:name w:val="批注框文本 字符"/>
    <w:qFormat/>
    <w:uiPriority w:val="99"/>
    <w:rPr>
      <w:rFonts w:ascii="Times New Roman" w:hAnsi="Times New Roman" w:eastAsia="宋体" w:cs="Times New Roman"/>
      <w:kern w:val="0"/>
      <w:sz w:val="18"/>
      <w:szCs w:val="18"/>
    </w:rPr>
  </w:style>
  <w:style w:type="character" w:customStyle="1" w:styleId="144">
    <w:name w:val="脚注文本 字符"/>
    <w:qFormat/>
    <w:uiPriority w:val="0"/>
    <w:rPr>
      <w:rFonts w:ascii="Times New Roman" w:hAnsi="Times New Roman"/>
      <w:kern w:val="2"/>
      <w:sz w:val="18"/>
      <w:szCs w:val="18"/>
    </w:rPr>
  </w:style>
  <w:style w:type="character" w:customStyle="1" w:styleId="145">
    <w:name w:val="正文文本缩进 3 字符"/>
    <w:qFormat/>
    <w:uiPriority w:val="0"/>
    <w:rPr>
      <w:rFonts w:ascii="Arial" w:hAnsi="Arial" w:eastAsia="仿宋_GB2312" w:cs="Arial"/>
      <w:kern w:val="0"/>
      <w:sz w:val="28"/>
      <w:szCs w:val="20"/>
    </w:rPr>
  </w:style>
  <w:style w:type="character" w:customStyle="1" w:styleId="146">
    <w:name w:val="正文文本 2 字符"/>
    <w:qFormat/>
    <w:uiPriority w:val="0"/>
    <w:rPr>
      <w:rFonts w:ascii="仿宋_GB2312" w:hAnsi="Arial" w:eastAsia="仿宋_GB2312" w:cs="Times New Roman"/>
      <w:kern w:val="0"/>
      <w:sz w:val="28"/>
      <w:szCs w:val="20"/>
    </w:rPr>
  </w:style>
  <w:style w:type="character" w:customStyle="1" w:styleId="147">
    <w:name w:val="HTML 预设格式 字符"/>
    <w:qFormat/>
    <w:uiPriority w:val="99"/>
    <w:rPr>
      <w:rFonts w:ascii="宋体" w:hAnsi="宋体" w:eastAsia="宋体" w:cs="Times New Roman"/>
      <w:kern w:val="0"/>
      <w:sz w:val="24"/>
      <w:szCs w:val="24"/>
    </w:rPr>
  </w:style>
  <w:style w:type="character" w:customStyle="1" w:styleId="148">
    <w:name w:val="批注主题 字符"/>
    <w:qFormat/>
    <w:uiPriority w:val="99"/>
    <w:rPr>
      <w:rFonts w:ascii="Times New Roman" w:hAnsi="Times New Roman"/>
      <w:b/>
      <w:bCs/>
      <w:sz w:val="24"/>
    </w:rPr>
  </w:style>
  <w:style w:type="character" w:customStyle="1" w:styleId="149">
    <w:name w:val="正文文本首行缩进 字符"/>
    <w:qFormat/>
    <w:uiPriority w:val="0"/>
    <w:rPr>
      <w:rFonts w:ascii="Times New Roman" w:hAnsi="Times New Roman" w:eastAsia="宋体" w:cs="Times New Roman"/>
      <w:sz w:val="30"/>
      <w:szCs w:val="20"/>
    </w:rPr>
  </w:style>
  <w:style w:type="paragraph" w:customStyle="1" w:styleId="150">
    <w:name w:val="浅色列表 - 强调文字颜色 31"/>
    <w:semiHidden/>
    <w:qFormat/>
    <w:uiPriority w:val="99"/>
    <w:rPr>
      <w:rFonts w:ascii="Times New Roman" w:hAnsi="Times New Roman" w:eastAsia="宋体" w:cs="Times New Roman"/>
      <w:sz w:val="24"/>
      <w:lang w:val="en-US" w:eastAsia="zh-CN" w:bidi="ar-SA"/>
    </w:rPr>
  </w:style>
  <w:style w:type="paragraph" w:customStyle="1" w:styleId="151">
    <w:name w:val="浅色网格 - 强调文字颜色 31"/>
    <w:basedOn w:val="1"/>
    <w:qFormat/>
    <w:uiPriority w:val="34"/>
    <w:pPr>
      <w:ind w:firstLine="420" w:firstLineChars="200"/>
    </w:pPr>
  </w:style>
  <w:style w:type="paragraph" w:customStyle="1" w:styleId="152">
    <w:name w:val="Revision1"/>
    <w:hidden/>
    <w:unhideWhenUsed/>
    <w:qFormat/>
    <w:uiPriority w:val="99"/>
    <w:rPr>
      <w:rFonts w:ascii="Times New Roman" w:hAnsi="Times New Roman" w:eastAsia="宋体" w:cs="Times New Roman"/>
      <w:sz w:val="24"/>
      <w:lang w:val="en-US" w:eastAsia="zh-CN" w:bidi="ar-SA"/>
    </w:rPr>
  </w:style>
  <w:style w:type="character" w:customStyle="1" w:styleId="153">
    <w:name w:val="批注文字 Char"/>
    <w:qFormat/>
    <w:uiPriority w:val="99"/>
    <w:rPr>
      <w:rFonts w:ascii="Times New Roman" w:hAnsi="Times New Roman"/>
      <w:sz w:val="24"/>
    </w:rPr>
  </w:style>
  <w:style w:type="paragraph" w:styleId="154">
    <w:name w:val="List Paragraph"/>
    <w:basedOn w:val="1"/>
    <w:qFormat/>
    <w:uiPriority w:val="99"/>
    <w:pPr>
      <w:ind w:firstLine="420" w:firstLineChars="200"/>
    </w:pPr>
  </w:style>
  <w:style w:type="paragraph" w:customStyle="1" w:styleId="155">
    <w:name w:val="修订2"/>
    <w:hidden/>
    <w:semiHidden/>
    <w:qFormat/>
    <w:uiPriority w:val="99"/>
    <w:rPr>
      <w:rFonts w:ascii="Times New Roman" w:hAnsi="Times New Roman" w:eastAsia="宋体" w:cs="Times New Roman"/>
      <w:sz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2" Type="http://schemas.openxmlformats.org/officeDocument/2006/relationships/fontTable" Target="fontTable.xml"/><Relationship Id="rId81" Type="http://schemas.openxmlformats.org/officeDocument/2006/relationships/customXml" Target="../customXml/item2.xml"/><Relationship Id="rId80" Type="http://schemas.openxmlformats.org/officeDocument/2006/relationships/numbering" Target="numbering.xml"/><Relationship Id="rId8" Type="http://schemas.openxmlformats.org/officeDocument/2006/relationships/footer" Target="footer1.xml"/><Relationship Id="rId79" Type="http://schemas.openxmlformats.org/officeDocument/2006/relationships/customXml" Target="../customXml/item1.xml"/><Relationship Id="rId78" Type="http://schemas.openxmlformats.org/officeDocument/2006/relationships/image" Target="media/image36.png"/><Relationship Id="rId77" Type="http://schemas.openxmlformats.org/officeDocument/2006/relationships/image" Target="media/image35.jpeg"/><Relationship Id="rId76" Type="http://schemas.openxmlformats.org/officeDocument/2006/relationships/image" Target="media/image34.png"/><Relationship Id="rId75" Type="http://schemas.openxmlformats.org/officeDocument/2006/relationships/image" Target="media/image33.png"/><Relationship Id="rId74" Type="http://schemas.openxmlformats.org/officeDocument/2006/relationships/image" Target="media/image32.png"/><Relationship Id="rId73" Type="http://schemas.openxmlformats.org/officeDocument/2006/relationships/image" Target="media/image31.png"/><Relationship Id="rId72" Type="http://schemas.openxmlformats.org/officeDocument/2006/relationships/image" Target="media/image30.png"/><Relationship Id="rId71" Type="http://schemas.openxmlformats.org/officeDocument/2006/relationships/image" Target="media/image29.png"/><Relationship Id="rId70" Type="http://schemas.openxmlformats.org/officeDocument/2006/relationships/image" Target="media/image28.png"/><Relationship Id="rId7" Type="http://schemas.openxmlformats.org/officeDocument/2006/relationships/header" Target="header3.xml"/><Relationship Id="rId69" Type="http://schemas.openxmlformats.org/officeDocument/2006/relationships/image" Target="media/image27.png"/><Relationship Id="rId68" Type="http://schemas.openxmlformats.org/officeDocument/2006/relationships/image" Target="media/image26.png"/><Relationship Id="rId67" Type="http://schemas.openxmlformats.org/officeDocument/2006/relationships/image" Target="media/image25.png"/><Relationship Id="rId66" Type="http://schemas.openxmlformats.org/officeDocument/2006/relationships/image" Target="media/image24.png"/><Relationship Id="rId65" Type="http://schemas.openxmlformats.org/officeDocument/2006/relationships/image" Target="media/image23.png"/><Relationship Id="rId64" Type="http://schemas.openxmlformats.org/officeDocument/2006/relationships/chart" Target="charts/chart8.xml"/><Relationship Id="rId63" Type="http://schemas.openxmlformats.org/officeDocument/2006/relationships/chart" Target="charts/chart7.xml"/><Relationship Id="rId62" Type="http://schemas.openxmlformats.org/officeDocument/2006/relationships/chart" Target="charts/chart6.xml"/><Relationship Id="rId61" Type="http://schemas.openxmlformats.org/officeDocument/2006/relationships/chart" Target="charts/chart5.xml"/><Relationship Id="rId60" Type="http://schemas.openxmlformats.org/officeDocument/2006/relationships/image" Target="media/image22.jpeg"/><Relationship Id="rId6" Type="http://schemas.openxmlformats.org/officeDocument/2006/relationships/header" Target="header2.xml"/><Relationship Id="rId59" Type="http://schemas.openxmlformats.org/officeDocument/2006/relationships/chart" Target="charts/chart4.xml"/><Relationship Id="rId58" Type="http://schemas.openxmlformats.org/officeDocument/2006/relationships/image" Target="media/image21.png"/><Relationship Id="rId57" Type="http://schemas.openxmlformats.org/officeDocument/2006/relationships/image" Target="media/image20.png"/><Relationship Id="rId56" Type="http://schemas.openxmlformats.org/officeDocument/2006/relationships/image" Target="media/image19.png"/><Relationship Id="rId55" Type="http://schemas.openxmlformats.org/officeDocument/2006/relationships/image" Target="media/image18.png"/><Relationship Id="rId54" Type="http://schemas.openxmlformats.org/officeDocument/2006/relationships/image" Target="media/image17.png"/><Relationship Id="rId53" Type="http://schemas.openxmlformats.org/officeDocument/2006/relationships/image" Target="media/image16.png"/><Relationship Id="rId52" Type="http://schemas.openxmlformats.org/officeDocument/2006/relationships/image" Target="media/image15.png"/><Relationship Id="rId51" Type="http://schemas.openxmlformats.org/officeDocument/2006/relationships/image" Target="media/image14.png"/><Relationship Id="rId50" Type="http://schemas.openxmlformats.org/officeDocument/2006/relationships/image" Target="media/image13.png"/><Relationship Id="rId5" Type="http://schemas.openxmlformats.org/officeDocument/2006/relationships/header" Target="header1.xml"/><Relationship Id="rId49" Type="http://schemas.openxmlformats.org/officeDocument/2006/relationships/image" Target="media/image12.png"/><Relationship Id="rId48" Type="http://schemas.openxmlformats.org/officeDocument/2006/relationships/image" Target="media/image11.png"/><Relationship Id="rId47" Type="http://schemas.openxmlformats.org/officeDocument/2006/relationships/image" Target="media/image10.png"/><Relationship Id="rId46" Type="http://schemas.openxmlformats.org/officeDocument/2006/relationships/image" Target="media/image9.png"/><Relationship Id="rId45" Type="http://schemas.openxmlformats.org/officeDocument/2006/relationships/image" Target="media/image8.png"/><Relationship Id="rId44" Type="http://schemas.openxmlformats.org/officeDocument/2006/relationships/image" Target="media/image7.png"/><Relationship Id="rId43" Type="http://schemas.openxmlformats.org/officeDocument/2006/relationships/image" Target="media/image6.png"/><Relationship Id="rId42" Type="http://schemas.openxmlformats.org/officeDocument/2006/relationships/chart" Target="charts/chart3.xml"/><Relationship Id="rId41" Type="http://schemas.openxmlformats.org/officeDocument/2006/relationships/chart" Target="charts/chart2.xml"/><Relationship Id="rId40" Type="http://schemas.openxmlformats.org/officeDocument/2006/relationships/chart" Target="charts/chart1.xml"/><Relationship Id="rId4" Type="http://schemas.openxmlformats.org/officeDocument/2006/relationships/endnotes" Target="endnotes.xml"/><Relationship Id="rId39" Type="http://schemas.openxmlformats.org/officeDocument/2006/relationships/image" Target="media/image5.jpeg"/><Relationship Id="rId38" Type="http://schemas.openxmlformats.org/officeDocument/2006/relationships/image" Target="media/image4.jpeg"/><Relationship Id="rId37" Type="http://schemas.openxmlformats.org/officeDocument/2006/relationships/image" Target="media/image3.jpeg"/><Relationship Id="rId36" Type="http://schemas.openxmlformats.org/officeDocument/2006/relationships/theme" Target="theme/theme1.xml"/><Relationship Id="rId35" Type="http://schemas.openxmlformats.org/officeDocument/2006/relationships/footer" Target="footer16.xml"/><Relationship Id="rId34" Type="http://schemas.openxmlformats.org/officeDocument/2006/relationships/header" Target="header15.xml"/><Relationship Id="rId33" Type="http://schemas.openxmlformats.org/officeDocument/2006/relationships/footer" Target="footer15.xml"/><Relationship Id="rId32" Type="http://schemas.openxmlformats.org/officeDocument/2006/relationships/footer" Target="footer14.xml"/><Relationship Id="rId31" Type="http://schemas.openxmlformats.org/officeDocument/2006/relationships/header" Target="header14.xml"/><Relationship Id="rId30" Type="http://schemas.openxmlformats.org/officeDocument/2006/relationships/header" Target="header13.xml"/><Relationship Id="rId3" Type="http://schemas.openxmlformats.org/officeDocument/2006/relationships/footnotes" Target="footnotes.xml"/><Relationship Id="rId29" Type="http://schemas.openxmlformats.org/officeDocument/2006/relationships/footer" Target="footer13.xml"/><Relationship Id="rId28" Type="http://schemas.openxmlformats.org/officeDocument/2006/relationships/footer" Target="footer12.xml"/><Relationship Id="rId27" Type="http://schemas.openxmlformats.org/officeDocument/2006/relationships/header" Target="header12.xml"/><Relationship Id="rId26" Type="http://schemas.openxmlformats.org/officeDocument/2006/relationships/footer" Target="footer11.xml"/><Relationship Id="rId25" Type="http://schemas.openxmlformats.org/officeDocument/2006/relationships/footer" Target="footer10.xml"/><Relationship Id="rId24" Type="http://schemas.openxmlformats.org/officeDocument/2006/relationships/header" Target="header11.xml"/><Relationship Id="rId23" Type="http://schemas.openxmlformats.org/officeDocument/2006/relationships/footer" Target="footer9.xml"/><Relationship Id="rId22" Type="http://schemas.openxmlformats.org/officeDocument/2006/relationships/header" Target="header10.xml"/><Relationship Id="rId21" Type="http://schemas.openxmlformats.org/officeDocument/2006/relationships/header" Target="header9.xml"/><Relationship Id="rId20" Type="http://schemas.openxmlformats.org/officeDocument/2006/relationships/header" Target="header8.xml"/><Relationship Id="rId2" Type="http://schemas.openxmlformats.org/officeDocument/2006/relationships/settings" Target="settings.xml"/><Relationship Id="rId19" Type="http://schemas.openxmlformats.org/officeDocument/2006/relationships/footer" Target="footer8.xml"/><Relationship Id="rId18" Type="http://schemas.openxmlformats.org/officeDocument/2006/relationships/header" Target="header7.xml"/><Relationship Id="rId17" Type="http://schemas.openxmlformats.org/officeDocument/2006/relationships/header" Target="header6.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footer" Target="footer4.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1.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1" Type="http://schemas.openxmlformats.org/officeDocument/2006/relationships/image" Target="media/image1.jpeg"/></Relationships>
</file>

<file path=word/_rels/header15.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2" Type="http://schemas.openxmlformats.org/officeDocument/2006/relationships/themeOverride" Target="../theme/themeOverride8.xml"/><Relationship Id="rId1" Type="http://schemas.openxmlformats.org/officeDocument/2006/relationships/oleObject" Target="file:///D:\&#23457;&#26680;&#32452;\2025&#24180;\&#24066;&#22330;&#20998;&#26512;\2025&#24180;1&#23395;&#24230;\&#25968;&#25454;&#27719;&#38598;&#20998;&#26512;&#65288;&#24635;&#34920;&#65289;.xlsx" TargetMode="External"/></Relationships>
</file>

<file path=word/charts/_rels/chart2.xml.rels><?xml version="1.0" encoding="UTF-8" standalone="yes"?>
<Relationships xmlns="http://schemas.openxmlformats.org/package/2006/relationships"><Relationship Id="rId2" Type="http://schemas.openxmlformats.org/officeDocument/2006/relationships/themeOverride" Target="../theme/themeOverride2.xml"/><Relationship Id="rId1" Type="http://schemas.openxmlformats.org/officeDocument/2006/relationships/oleObject" Target="&#24037;&#20316;&#31807;1" TargetMode="External"/></Relationships>
</file>

<file path=word/charts/_rels/chart3.xml.rels><?xml version="1.0" encoding="UTF-8" standalone="yes"?>
<Relationships xmlns="http://schemas.openxmlformats.org/package/2006/relationships"><Relationship Id="rId2" Type="http://schemas.openxmlformats.org/officeDocument/2006/relationships/themeOverride" Target="../theme/themeOverride3.xml"/><Relationship Id="rId1" Type="http://schemas.openxmlformats.org/officeDocument/2006/relationships/oleObject" Target="file:///D:\&#23457;&#26680;&#32452;\2025&#24180;\&#24066;&#22330;&#20998;&#26512;\2025&#24180;4&#23395;&#24230;\&#20303;&#23429;\&#20303;&#23429;&#22270;&#34920;2025Q4.xlsx" TargetMode="External"/></Relationships>
</file>

<file path=word/charts/_rels/chart4.xml.rels><?xml version="1.0" encoding="UTF-8" standalone="yes"?>
<Relationships xmlns="http://schemas.openxmlformats.org/package/2006/relationships"><Relationship Id="rId2" Type="http://schemas.openxmlformats.org/officeDocument/2006/relationships/themeOverride" Target="../theme/themeOverride1.xml"/><Relationship Id="rId1" Type="http://schemas.openxmlformats.org/officeDocument/2006/relationships/oleObject" Target="file:///D:\&#23457;&#26680;&#32452;\2025&#24180;\&#24066;&#22330;&#20998;&#26512;\2025&#24180;4&#23395;&#24230;\&#20303;&#23429;\&#20303;&#23429;&#22270;&#34920;2025Q4.xlsx" TargetMode="External"/></Relationships>
</file>

<file path=word/charts/_rels/chart5.xml.rels><?xml version="1.0" encoding="UTF-8" standalone="yes"?>
<Relationships xmlns="http://schemas.openxmlformats.org/package/2006/relationships"><Relationship Id="rId2" Type="http://schemas.openxmlformats.org/officeDocument/2006/relationships/themeOverride" Target="../theme/themeOverride4.xml"/><Relationship Id="rId1" Type="http://schemas.openxmlformats.org/officeDocument/2006/relationships/oleObject" Target="file:///D:\&#23457;&#26680;&#32452;\2025&#24180;\&#24066;&#22330;&#20998;&#26512;\2025&#24180;1&#23395;&#24230;\&#25968;&#25454;&#27719;&#38598;&#20998;&#26512;&#65288;&#24635;&#34920;&#65289;.xlsx" TargetMode="External"/></Relationships>
</file>

<file path=word/charts/_rels/chart6.xml.rels><?xml version="1.0" encoding="UTF-8" standalone="yes"?>
<Relationships xmlns="http://schemas.openxmlformats.org/package/2006/relationships"><Relationship Id="rId2" Type="http://schemas.openxmlformats.org/officeDocument/2006/relationships/themeOverride" Target="../theme/themeOverride5.xml"/><Relationship Id="rId1" Type="http://schemas.openxmlformats.org/officeDocument/2006/relationships/oleObject" Target="&#24037;&#20316;&#31807;1" TargetMode="External"/></Relationships>
</file>

<file path=word/charts/_rels/chart7.xml.rels><?xml version="1.0" encoding="UTF-8" standalone="yes"?>
<Relationships xmlns="http://schemas.openxmlformats.org/package/2006/relationships"><Relationship Id="rId2" Type="http://schemas.openxmlformats.org/officeDocument/2006/relationships/themeOverride" Target="../theme/themeOverride6.xml"/><Relationship Id="rId1" Type="http://schemas.openxmlformats.org/officeDocument/2006/relationships/oleObject" Target="file:///D:\&#23457;&#26680;&#32452;\2025&#24180;\&#24066;&#22330;&#20998;&#26512;\2025&#24180;4&#23395;&#24230;\&#20303;&#23429;\&#20303;&#23429;&#22270;&#34920;2025Q4.xlsx" TargetMode="External"/></Relationships>
</file>

<file path=word/charts/_rels/chart8.xml.rels><?xml version="1.0" encoding="UTF-8" standalone="yes"?>
<Relationships xmlns="http://schemas.openxmlformats.org/package/2006/relationships"><Relationship Id="rId2" Type="http://schemas.openxmlformats.org/officeDocument/2006/relationships/themeOverride" Target="../theme/themeOverride7.xml"/><Relationship Id="rId1" Type="http://schemas.openxmlformats.org/officeDocument/2006/relationships/oleObject" Target="file:///D:\&#23457;&#26680;&#32452;\2025&#24180;\&#24066;&#22330;&#20998;&#26512;\2025&#24180;4&#23395;&#24230;\&#20303;&#23429;\&#20303;&#23429;&#22270;&#34920;2025Q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954582239720035"/>
          <c:y val="0.0902062352338116"/>
          <c:w val="0.784083552055993"/>
          <c:h val="0.694440012179094"/>
        </c:manualLayout>
      </c:layout>
      <c:barChart>
        <c:barDir val="col"/>
        <c:grouping val="clustered"/>
        <c:varyColors val="0"/>
        <c:ser>
          <c:idx val="0"/>
          <c:order val="0"/>
          <c:tx>
            <c:strRef>
              <c:f>人口!$D$92</c:f>
              <c:strCache>
                <c:ptCount val="1"/>
                <c:pt idx="0">
                  <c:v>常住人口总量</c:v>
                </c:pt>
              </c:strCache>
            </c:strRef>
          </c:tx>
          <c:invertIfNegative val="0"/>
          <c:dLbls>
            <c:spPr>
              <a:noFill/>
              <a:ln>
                <a:noFill/>
              </a:ln>
              <a:effectLst/>
            </c:spPr>
            <c:txPr>
              <a:bodyPr rot="0" spcFirstLastPara="0" vertOverflow="ellipsis" vert="horz" wrap="square" lIns="38100" tIns="19050" rIns="38100" bIns="19050"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trendline>
            <c:trendlineType val="linear"/>
            <c:dispRSqr val="0"/>
            <c:dispEq val="0"/>
          </c:trendline>
          <c:cat>
            <c:strRef>
              <c:f>人口!$A$87:$A$91</c:f>
              <c:strCache>
                <c:ptCount val="5"/>
                <c:pt idx="0">
                  <c:v>2020年</c:v>
                </c:pt>
                <c:pt idx="1">
                  <c:v>2021年</c:v>
                </c:pt>
                <c:pt idx="2">
                  <c:v>2022年</c:v>
                </c:pt>
                <c:pt idx="3">
                  <c:v>2023年</c:v>
                </c:pt>
                <c:pt idx="4">
                  <c:v>2024年</c:v>
                </c:pt>
              </c:strCache>
            </c:strRef>
          </c:cat>
          <c:val>
            <c:numRef>
              <c:f>人口!$D$87:$D$91</c:f>
              <c:numCache>
                <c:formatCode>General</c:formatCode>
                <c:ptCount val="5"/>
                <c:pt idx="0">
                  <c:v>2189.3</c:v>
                </c:pt>
                <c:pt idx="1">
                  <c:v>2188.6</c:v>
                </c:pt>
                <c:pt idx="2">
                  <c:v>2184.3</c:v>
                </c:pt>
                <c:pt idx="3">
                  <c:v>2185.8</c:v>
                </c:pt>
                <c:pt idx="4">
                  <c:v>2183.2</c:v>
                </c:pt>
              </c:numCache>
            </c:numRef>
          </c:val>
        </c:ser>
        <c:dLbls>
          <c:showLegendKey val="0"/>
          <c:showVal val="0"/>
          <c:showCatName val="0"/>
          <c:showSerName val="0"/>
          <c:showPercent val="0"/>
          <c:showBubbleSize val="0"/>
        </c:dLbls>
        <c:gapWidth val="150"/>
        <c:axId val="375136256"/>
        <c:axId val="375137792"/>
      </c:barChart>
      <c:lineChart>
        <c:grouping val="standard"/>
        <c:varyColors val="0"/>
        <c:ser>
          <c:idx val="1"/>
          <c:order val="1"/>
          <c:tx>
            <c:strRef>
              <c:f>人口!$M$92</c:f>
              <c:strCache>
                <c:ptCount val="1"/>
                <c:pt idx="0">
                  <c:v>比上年增长</c:v>
                </c:pt>
              </c:strCache>
            </c:strRef>
          </c:tx>
          <c:marker>
            <c:symbol val="none"/>
          </c:marker>
          <c:dLbls>
            <c:dLbl>
              <c:idx val="0"/>
              <c:layout>
                <c:manualLayout>
                  <c:x val="-0.0472222222222222"/>
                  <c:y val="-0.0324074074074074"/>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527777777777778"/>
                  <c:y val="-0.041666666666666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527777777777778"/>
                  <c:y val="-0.03703703703703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555555555555556"/>
                  <c:y val="-0.027777777777777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0555555555555555"/>
                  <c:y val="-0.041666666666666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dLblPos val="r"/>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人口!$A$86:$A$90</c:f>
              <c:strCache>
                <c:ptCount val="5"/>
                <c:pt idx="0">
                  <c:v>2019年</c:v>
                </c:pt>
                <c:pt idx="1">
                  <c:v>2020年</c:v>
                </c:pt>
                <c:pt idx="2">
                  <c:v>2021年</c:v>
                </c:pt>
                <c:pt idx="3">
                  <c:v>2022年</c:v>
                </c:pt>
                <c:pt idx="4">
                  <c:v>2023年</c:v>
                </c:pt>
              </c:strCache>
            </c:strRef>
          </c:cat>
          <c:val>
            <c:numRef>
              <c:f>人口!$M$87:$M$91</c:f>
              <c:numCache>
                <c:formatCode>0.00%</c:formatCode>
                <c:ptCount val="5"/>
                <c:pt idx="0">
                  <c:v>0.0165768945022289</c:v>
                </c:pt>
                <c:pt idx="1">
                  <c:v>-0.000319736902206325</c:v>
                </c:pt>
                <c:pt idx="2">
                  <c:v>-0.00196472630905586</c:v>
                </c:pt>
                <c:pt idx="3">
                  <c:v>0.000686718857299873</c:v>
                </c:pt>
                <c:pt idx="4">
                  <c:v>-0.00118949583676475</c:v>
                </c:pt>
              </c:numCache>
            </c:numRef>
          </c:val>
          <c:smooth val="0"/>
        </c:ser>
        <c:dLbls>
          <c:showLegendKey val="0"/>
          <c:showVal val="0"/>
          <c:showCatName val="0"/>
          <c:showSerName val="0"/>
          <c:showPercent val="0"/>
          <c:showBubbleSize val="0"/>
        </c:dLbls>
        <c:marker val="0"/>
        <c:smooth val="0"/>
        <c:axId val="375139328"/>
        <c:axId val="375145216"/>
      </c:lineChart>
      <c:catAx>
        <c:axId val="375136256"/>
        <c:scaling>
          <c:orientation val="minMax"/>
        </c:scaling>
        <c:delete val="0"/>
        <c:axPos val="b"/>
        <c:numFmt formatCode="General" sourceLinked="1"/>
        <c:majorTickMark val="none"/>
        <c:minorTickMark val="none"/>
        <c:tickLblPos val="low"/>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crossAx val="375137792"/>
        <c:crosses val="autoZero"/>
        <c:auto val="1"/>
        <c:lblAlgn val="ctr"/>
        <c:lblOffset val="100"/>
        <c:noMultiLvlLbl val="0"/>
      </c:catAx>
      <c:valAx>
        <c:axId val="375137792"/>
        <c:scaling>
          <c:orientation val="minMax"/>
          <c:max val="2500"/>
          <c:min val="-500"/>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crossAx val="375136256"/>
        <c:crosses val="autoZero"/>
        <c:crossBetween val="between"/>
        <c:majorUnit val="500"/>
      </c:valAx>
      <c:catAx>
        <c:axId val="375139328"/>
        <c:scaling>
          <c:orientation val="minMax"/>
        </c:scaling>
        <c:delete val="1"/>
        <c:axPos val="b"/>
        <c:numFmt formatCode="General"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crossAx val="375145216"/>
        <c:crosses val="autoZero"/>
        <c:auto val="1"/>
        <c:lblAlgn val="ctr"/>
        <c:lblOffset val="100"/>
        <c:noMultiLvlLbl val="0"/>
      </c:catAx>
      <c:valAx>
        <c:axId val="375145216"/>
        <c:scaling>
          <c:orientation val="minMax"/>
          <c:max val="0.05"/>
          <c:min val="-0.01"/>
        </c:scaling>
        <c:delete val="0"/>
        <c:axPos val="r"/>
        <c:numFmt formatCode="0.00%"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crossAx val="375139328"/>
        <c:crosses val="max"/>
        <c:crossBetween val="between"/>
      </c:valAx>
    </c:plotArea>
    <c:legend>
      <c:legendPos val="r"/>
      <c:legendEntry>
        <c:idx val="2"/>
        <c:delete val="1"/>
      </c:legendEntry>
      <c:layout>
        <c:manualLayout>
          <c:xMode val="edge"/>
          <c:yMode val="edge"/>
          <c:x val="0.111111111111111"/>
          <c:y val="0.893981481481481"/>
          <c:w val="0.744444444444444"/>
          <c:h val="0.087037037037037"/>
        </c:manualLayout>
      </c:layout>
      <c:overlay val="0"/>
      <c:txPr>
        <a:bodyPr rot="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legend>
    <c:plotVisOnly val="1"/>
    <c:dispBlanksAs val="gap"/>
    <c:showDLblsOverMax val="0"/>
    <c:extLst>
      <c:ext uri="{0b15fc19-7d7d-44ad-8c2d-2c3a37ce22c3}">
        <chartProps xmlns="https://web.wps.cn/et/2018/main" chartId="{2a11ba9c-f990-4afe-a339-1e7a48049335}"/>
      </c:ext>
    </c:extLst>
  </c:chart>
  <c:txPr>
    <a:bodyPr/>
    <a:lstStyle/>
    <a:p>
      <a:pPr>
        <a:defRPr lang="zh-CN" sz="800">
          <a:latin typeface="Arial" panose="020B0604020202020204" pitchFamily="2" charset="0"/>
          <a:cs typeface="Arial" panose="020B0604020202020204" pitchFamily="2" charset="0"/>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invertIfNegative val="0"/>
          <c:dLbls>
            <c:dLbl>
              <c:idx val="0"/>
              <c:delete val="1"/>
            </c:dLbl>
            <c:dLbl>
              <c:idx val="1"/>
              <c:layout>
                <c:manualLayout>
                  <c:x val="0.068241469816273"/>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68241469816273"/>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146981420629508"/>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05249343832021"/>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062992125984252"/>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0.338582677165354"/>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0.0971128608923884"/>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0.083989501312336"/>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Sheet1!$A$8:$A$16</c:f>
              <c:strCache>
                <c:ptCount val="9"/>
                <c:pt idx="0">
                  <c:v>其他土地</c:v>
                </c:pt>
                <c:pt idx="1">
                  <c:v>水域及水利设施用地</c:v>
                </c:pt>
                <c:pt idx="2">
                  <c:v>交通运输用地</c:v>
                </c:pt>
                <c:pt idx="3">
                  <c:v>城镇村及工矿用地</c:v>
                </c:pt>
                <c:pt idx="4">
                  <c:v>湿地</c:v>
                </c:pt>
                <c:pt idx="5">
                  <c:v>草地</c:v>
                </c:pt>
                <c:pt idx="6">
                  <c:v>林地</c:v>
                </c:pt>
                <c:pt idx="7">
                  <c:v>园地</c:v>
                </c:pt>
                <c:pt idx="8">
                  <c:v>耕地</c:v>
                </c:pt>
              </c:strCache>
            </c:strRef>
          </c:cat>
          <c:val>
            <c:numRef>
              <c:f>Sheet1!$B$8:$B$16</c:f>
              <c:numCache>
                <c:formatCode>0.00_ </c:formatCode>
                <c:ptCount val="9"/>
                <c:pt idx="0">
                  <c:v>11351.2600000001</c:v>
                </c:pt>
                <c:pt idx="1">
                  <c:v>61704</c:v>
                </c:pt>
                <c:pt idx="2">
                  <c:v>49281.38</c:v>
                </c:pt>
                <c:pt idx="3">
                  <c:v>313643.87</c:v>
                </c:pt>
                <c:pt idx="4">
                  <c:v>3107.98</c:v>
                </c:pt>
                <c:pt idx="5">
                  <c:v>14460.44</c:v>
                </c:pt>
                <c:pt idx="6">
                  <c:v>967628.62</c:v>
                </c:pt>
                <c:pt idx="7">
                  <c:v>126274.55</c:v>
                </c:pt>
                <c:pt idx="8">
                  <c:v>93547.9</c:v>
                </c:pt>
              </c:numCache>
            </c:numRef>
          </c:val>
        </c:ser>
        <c:dLbls>
          <c:showLegendKey val="0"/>
          <c:showVal val="0"/>
          <c:showCatName val="0"/>
          <c:showSerName val="0"/>
          <c:showPercent val="0"/>
          <c:showBubbleSize val="0"/>
        </c:dLbls>
        <c:gapWidth val="130"/>
        <c:overlap val="100"/>
        <c:serLines/>
        <c:axId val="375187328"/>
        <c:axId val="375188864"/>
      </c:barChart>
      <c:catAx>
        <c:axId val="375187328"/>
        <c:scaling>
          <c:orientation val="minMax"/>
        </c:scaling>
        <c:delete val="0"/>
        <c:axPos val="l"/>
        <c:numFmt formatCode="General" sourceLinked="0"/>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华文细黑" panose="02010600040101010101" charset="-122"/>
                <a:ea typeface="华文细黑" panose="02010600040101010101" charset="-122"/>
                <a:cs typeface="+mn-cs"/>
              </a:defRPr>
            </a:pPr>
          </a:p>
        </c:txPr>
        <c:crossAx val="375188864"/>
        <c:crosses val="autoZero"/>
        <c:auto val="1"/>
        <c:lblAlgn val="ctr"/>
        <c:lblOffset val="100"/>
        <c:noMultiLvlLbl val="0"/>
      </c:catAx>
      <c:valAx>
        <c:axId val="375188864"/>
        <c:scaling>
          <c:orientation val="minMax"/>
          <c:max val="1200000"/>
        </c:scaling>
        <c:delete val="0"/>
        <c:axPos val="b"/>
        <c:majorGridlines/>
        <c:numFmt formatCode="0_ " sourceLinked="0"/>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crossAx val="375187328"/>
        <c:crosses val="autoZero"/>
        <c:crossBetween val="between"/>
        <c:minorUnit val="60000"/>
      </c:valAx>
    </c:plotArea>
    <c:plotVisOnly val="1"/>
    <c:dispBlanksAs val="gap"/>
    <c:showDLblsOverMax val="0"/>
    <c:extLst>
      <c:ext uri="{0b15fc19-7d7d-44ad-8c2d-2c3a37ce22c3}">
        <chartProps xmlns="https://web.wps.cn/et/2018/main" chartId="{56ba4f40-44c1-4b78-9f18-53b2d8757b72}"/>
      </c:ext>
    </c:extLst>
  </c:chart>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r>
              <a:rPr lang="zh-CN" altLang="en-US" sz="1200"/>
              <a:t>北京市土地供求走势</a:t>
            </a:r>
            <a:endParaRPr lang="zh-CN" altLang="en-US" sz="1200"/>
          </a:p>
        </c:rich>
      </c:tx>
      <c:layout>
        <c:manualLayout>
          <c:xMode val="edge"/>
          <c:yMode val="edge"/>
          <c:x val="0.352597971167599"/>
          <c:y val="0.0138888888888889"/>
        </c:manualLayout>
      </c:layout>
      <c:overlay val="1"/>
    </c:title>
    <c:autoTitleDeleted val="0"/>
    <c:plotArea>
      <c:layout>
        <c:manualLayout>
          <c:layoutTarget val="inner"/>
          <c:xMode val="edge"/>
          <c:yMode val="edge"/>
          <c:x val="0.0808475990335805"/>
          <c:y val="0.130104257801108"/>
          <c:w val="0.89219162185587"/>
          <c:h val="0.642420895304754"/>
        </c:manualLayout>
      </c:layout>
      <c:barChart>
        <c:barDir val="col"/>
        <c:grouping val="clustered"/>
        <c:varyColors val="0"/>
        <c:ser>
          <c:idx val="0"/>
          <c:order val="0"/>
          <c:tx>
            <c:strRef>
              <c:f>推出成交!$B$2</c:f>
              <c:strCache>
                <c:ptCount val="1"/>
                <c:pt idx="0">
                  <c:v>推出规划建面（万㎡）</c:v>
                </c:pt>
              </c:strCache>
            </c:strRef>
          </c:tx>
          <c:invertIfNegative val="0"/>
          <c:dLbls>
            <c:dLbl>
              <c:idx val="4"/>
              <c:layout>
                <c:manualLayout>
                  <c:x val="-0.00490195983828173"/>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ext>
            </c:extLst>
          </c:dLbls>
          <c:cat>
            <c:numRef>
              <c:f>推出成交!$A$3:$A$8</c:f>
              <c:numCache>
                <c:formatCode>General</c:formatCode>
                <c:ptCount val="6"/>
                <c:pt idx="0">
                  <c:v>2020</c:v>
                </c:pt>
                <c:pt idx="1">
                  <c:v>2021</c:v>
                </c:pt>
                <c:pt idx="2">
                  <c:v>2022</c:v>
                </c:pt>
                <c:pt idx="3">
                  <c:v>2023</c:v>
                </c:pt>
                <c:pt idx="4">
                  <c:v>2024</c:v>
                </c:pt>
                <c:pt idx="5">
                  <c:v>2025</c:v>
                </c:pt>
              </c:numCache>
            </c:numRef>
          </c:cat>
          <c:val>
            <c:numRef>
              <c:f>推出成交!$B$3:$B$8</c:f>
              <c:numCache>
                <c:formatCode>0_ </c:formatCode>
                <c:ptCount val="6"/>
                <c:pt idx="0">
                  <c:v>620.38</c:v>
                </c:pt>
                <c:pt idx="1">
                  <c:v>959.72</c:v>
                </c:pt>
                <c:pt idx="2">
                  <c:v>576.72</c:v>
                </c:pt>
                <c:pt idx="3">
                  <c:v>621.01</c:v>
                </c:pt>
                <c:pt idx="4">
                  <c:v>492</c:v>
                </c:pt>
                <c:pt idx="5">
                  <c:v>307</c:v>
                </c:pt>
              </c:numCache>
            </c:numRef>
          </c:val>
        </c:ser>
        <c:ser>
          <c:idx val="1"/>
          <c:order val="1"/>
          <c:tx>
            <c:strRef>
              <c:f>推出成交!$C$2</c:f>
              <c:strCache>
                <c:ptCount val="1"/>
                <c:pt idx="0">
                  <c:v>成交规划建面（万㎡）</c:v>
                </c:pt>
              </c:strCache>
            </c:strRef>
          </c:tx>
          <c:invertIfNegative val="0"/>
          <c:dLbls>
            <c:dLbl>
              <c:idx val="0"/>
              <c:layout>
                <c:manualLayout>
                  <c:x val="0.0147058795148449"/>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147058795148449"/>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ext>
            </c:extLst>
          </c:dLbls>
          <c:cat>
            <c:numRef>
              <c:f>推出成交!$A$3:$A$8</c:f>
              <c:numCache>
                <c:formatCode>General</c:formatCode>
                <c:ptCount val="6"/>
                <c:pt idx="0">
                  <c:v>2020</c:v>
                </c:pt>
                <c:pt idx="1">
                  <c:v>2021</c:v>
                </c:pt>
                <c:pt idx="2">
                  <c:v>2022</c:v>
                </c:pt>
                <c:pt idx="3">
                  <c:v>2023</c:v>
                </c:pt>
                <c:pt idx="4">
                  <c:v>2024</c:v>
                </c:pt>
                <c:pt idx="5">
                  <c:v>2025</c:v>
                </c:pt>
              </c:numCache>
            </c:numRef>
          </c:cat>
          <c:val>
            <c:numRef>
              <c:f>推出成交!$C$3:$C$8</c:f>
              <c:numCache>
                <c:formatCode>0_ </c:formatCode>
                <c:ptCount val="6"/>
                <c:pt idx="0">
                  <c:v>624.28</c:v>
                </c:pt>
                <c:pt idx="1">
                  <c:v>688.57</c:v>
                </c:pt>
                <c:pt idx="2">
                  <c:v>484.71</c:v>
                </c:pt>
                <c:pt idx="3">
                  <c:v>582.25</c:v>
                </c:pt>
                <c:pt idx="4">
                  <c:v>470.38</c:v>
                </c:pt>
                <c:pt idx="5">
                  <c:v>359</c:v>
                </c:pt>
              </c:numCache>
            </c:numRef>
          </c:val>
        </c:ser>
        <c:dLbls>
          <c:showLegendKey val="0"/>
          <c:showVal val="0"/>
          <c:showCatName val="0"/>
          <c:showSerName val="0"/>
          <c:showPercent val="0"/>
          <c:showBubbleSize val="0"/>
        </c:dLbls>
        <c:gapWidth val="150"/>
        <c:axId val="376808192"/>
        <c:axId val="376809728"/>
      </c:barChart>
      <c:catAx>
        <c:axId val="376808192"/>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376809728"/>
        <c:crosses val="autoZero"/>
        <c:auto val="1"/>
        <c:lblAlgn val="ctr"/>
        <c:lblOffset val="100"/>
        <c:noMultiLvlLbl val="0"/>
      </c:catAx>
      <c:valAx>
        <c:axId val="376809728"/>
        <c:scaling>
          <c:orientation val="minMax"/>
        </c:scaling>
        <c:delete val="0"/>
        <c:axPos val="l"/>
        <c:majorGridlines/>
        <c:numFmt formatCode="0_ "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376808192"/>
        <c:crosses val="autoZero"/>
        <c:crossBetween val="between"/>
      </c:valAx>
    </c:plotArea>
    <c:legend>
      <c:legendPos val="b"/>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gap"/>
    <c:showDLblsOverMax val="0"/>
    <c:extLst>
      <c:ext uri="{0b15fc19-7d7d-44ad-8c2d-2c3a37ce22c3}">
        <chartProps xmlns="https://web.wps.cn/et/2018/main" chartId="{63d25d7e-0137-4c84-8b9d-8c29999dd3b0}"/>
      </c:ext>
    </c:extLst>
  </c:chart>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sz="1200" b="1">
                <a:latin typeface="汉仪中黑 197" panose="00020600040101010101" pitchFamily="18" charset="-122"/>
                <a:ea typeface="汉仪中黑 197" panose="00020600040101010101" pitchFamily="18" charset="-122"/>
              </a:rPr>
              <a:t>近年来北京存量商品住宅成交套数占比变化</a:t>
            </a:r>
            <a:endParaRPr lang="zh-CN" altLang="en-US" sz="1200" b="1">
              <a:latin typeface="汉仪中黑 197" panose="00020600040101010101" pitchFamily="18" charset="-122"/>
              <a:ea typeface="汉仪中黑 197" panose="00020600040101010101" pitchFamily="18" charset="-122"/>
            </a:endParaRPr>
          </a:p>
        </c:rich>
      </c:tx>
      <c:layout/>
      <c:overlay val="0"/>
      <c:spPr>
        <a:noFill/>
        <a:ln>
          <a:noFill/>
        </a:ln>
        <a:effectLst/>
      </c:spPr>
    </c:title>
    <c:autoTitleDeleted val="0"/>
    <c:plotArea>
      <c:layout/>
      <c:lineChart>
        <c:grouping val="standard"/>
        <c:varyColors val="0"/>
        <c:ser>
          <c:idx val="0"/>
          <c:order val="0"/>
          <c:tx>
            <c:strRef>
              <c:f>存量房占比!$B$1</c:f>
              <c:strCache>
                <c:ptCount val="1"/>
                <c:pt idx="0">
                  <c:v>近年来北京存量商品住宅成交套数占比变化</c:v>
                </c:pt>
              </c:strCache>
            </c:strRef>
          </c:tx>
          <c:spPr>
            <a:ln w="28575" cap="rnd" cmpd="sng" algn="ctr">
              <a:solidFill>
                <a:schemeClr val="accent1"/>
              </a:solidFill>
              <a:prstDash val="solid"/>
              <a:round/>
            </a:ln>
            <a:effectLst/>
          </c:spPr>
          <c:marker>
            <c:symbol val="none"/>
          </c:marker>
          <c:dLbls>
            <c:dLbl>
              <c:idx val="6"/>
              <c:layout>
                <c:manualLayout>
                  <c:x val="-0.0333333333333334"/>
                  <c:y val="0.046296296296296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numRef>
              <c:f>存量房占比!$A$2:$A$12</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存量房占比!$B$2:$B$12</c:f>
              <c:numCache>
                <c:formatCode>0%</c:formatCode>
                <c:ptCount val="11"/>
                <c:pt idx="0">
                  <c:v>0.67</c:v>
                </c:pt>
                <c:pt idx="1">
                  <c:v>0.77</c:v>
                </c:pt>
                <c:pt idx="2">
                  <c:v>0.72</c:v>
                </c:pt>
                <c:pt idx="3">
                  <c:v>0.8</c:v>
                </c:pt>
                <c:pt idx="4">
                  <c:v>0.69</c:v>
                </c:pt>
                <c:pt idx="5">
                  <c:v>0.71</c:v>
                </c:pt>
                <c:pt idx="6">
                  <c:v>0.68</c:v>
                </c:pt>
                <c:pt idx="7">
                  <c:v>0.68</c:v>
                </c:pt>
                <c:pt idx="8">
                  <c:v>0.7</c:v>
                </c:pt>
                <c:pt idx="9">
                  <c:v>0.78</c:v>
                </c:pt>
                <c:pt idx="10">
                  <c:v>0.81</c:v>
                </c:pt>
              </c:numCache>
            </c:numRef>
          </c:val>
          <c:smooth val="0"/>
        </c:ser>
        <c:dLbls>
          <c:showLegendKey val="0"/>
          <c:showVal val="0"/>
          <c:showCatName val="0"/>
          <c:showSerName val="0"/>
          <c:showPercent val="0"/>
          <c:showBubbleSize val="0"/>
        </c:dLbls>
        <c:marker val="0"/>
        <c:smooth val="0"/>
        <c:axId val="376867840"/>
        <c:axId val="376881920"/>
      </c:lineChart>
      <c:catAx>
        <c:axId val="376867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76881920"/>
        <c:crosses val="autoZero"/>
        <c:auto val="1"/>
        <c:lblAlgn val="ctr"/>
        <c:lblOffset val="100"/>
        <c:noMultiLvlLbl val="0"/>
      </c:catAx>
      <c:valAx>
        <c:axId val="376881920"/>
        <c:scaling>
          <c:orientation val="minMax"/>
          <c:min val="0.6"/>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76867840"/>
        <c:crosses val="autoZero"/>
        <c:crossBetween val="between"/>
      </c:valAx>
      <c:spPr>
        <a:noFill/>
        <a:ln>
          <a:noFill/>
        </a:ln>
        <a:effectLst/>
      </c:spPr>
    </c:plotArea>
    <c:plotVisOnly val="1"/>
    <c:dispBlanksAs val="gap"/>
    <c:showDLblsOverMax val="0"/>
    <c:extLst>
      <c:ext uri="{0b15fc19-7d7d-44ad-8c2d-2c3a37ce22c3}">
        <chartProps xmlns="https://web.wps.cn/et/2018/main" chartId="{a90a012c-d162-41a0-a6ac-9a7c896627a8}"/>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954582239720035"/>
          <c:y val="0.0902062352338116"/>
          <c:w val="0.784083552055993"/>
          <c:h val="0.694440012179094"/>
        </c:manualLayout>
      </c:layout>
      <c:barChart>
        <c:barDir val="col"/>
        <c:grouping val="clustered"/>
        <c:varyColors val="0"/>
        <c:ser>
          <c:idx val="0"/>
          <c:order val="0"/>
          <c:tx>
            <c:strRef>
              <c:f>人口!$D$92</c:f>
              <c:strCache>
                <c:ptCount val="1"/>
                <c:pt idx="0">
                  <c:v>常住人口总量</c:v>
                </c:pt>
              </c:strCache>
            </c:strRef>
          </c:tx>
          <c:invertIfNegative val="0"/>
          <c:dLbls>
            <c:spPr>
              <a:noFill/>
              <a:ln>
                <a:noFill/>
              </a:ln>
              <a:effectLst/>
            </c:spPr>
            <c:txPr>
              <a:bodyPr rot="0" spcFirstLastPara="0" vertOverflow="ellipsis" vert="horz" wrap="square" lIns="38100" tIns="19050" rIns="38100" bIns="19050"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trendline>
            <c:trendlineType val="linear"/>
            <c:dispRSqr val="0"/>
            <c:dispEq val="0"/>
          </c:trendline>
          <c:cat>
            <c:strRef>
              <c:f>人口!$A$87:$A$91</c:f>
              <c:strCache>
                <c:ptCount val="5"/>
                <c:pt idx="0">
                  <c:v>2020年</c:v>
                </c:pt>
                <c:pt idx="1">
                  <c:v>2021年</c:v>
                </c:pt>
                <c:pt idx="2">
                  <c:v>2022年</c:v>
                </c:pt>
                <c:pt idx="3">
                  <c:v>2023年</c:v>
                </c:pt>
                <c:pt idx="4">
                  <c:v>2024年</c:v>
                </c:pt>
              </c:strCache>
            </c:strRef>
          </c:cat>
          <c:val>
            <c:numRef>
              <c:f>人口!$D$87:$D$91</c:f>
              <c:numCache>
                <c:formatCode>General</c:formatCode>
                <c:ptCount val="5"/>
                <c:pt idx="0">
                  <c:v>2189.3</c:v>
                </c:pt>
                <c:pt idx="1">
                  <c:v>2188.6</c:v>
                </c:pt>
                <c:pt idx="2">
                  <c:v>2184.3</c:v>
                </c:pt>
                <c:pt idx="3">
                  <c:v>2185.8</c:v>
                </c:pt>
                <c:pt idx="4">
                  <c:v>2183.2</c:v>
                </c:pt>
              </c:numCache>
            </c:numRef>
          </c:val>
        </c:ser>
        <c:dLbls>
          <c:showLegendKey val="0"/>
          <c:showVal val="0"/>
          <c:showCatName val="0"/>
          <c:showSerName val="0"/>
          <c:showPercent val="0"/>
          <c:showBubbleSize val="0"/>
        </c:dLbls>
        <c:gapWidth val="150"/>
        <c:axId val="379925248"/>
        <c:axId val="379926784"/>
      </c:barChart>
      <c:lineChart>
        <c:grouping val="standard"/>
        <c:varyColors val="0"/>
        <c:ser>
          <c:idx val="1"/>
          <c:order val="1"/>
          <c:tx>
            <c:strRef>
              <c:f>人口!$M$92</c:f>
              <c:strCache>
                <c:ptCount val="1"/>
                <c:pt idx="0">
                  <c:v>比上年增长</c:v>
                </c:pt>
              </c:strCache>
            </c:strRef>
          </c:tx>
          <c:marker>
            <c:symbol val="none"/>
          </c:marker>
          <c:dLbls>
            <c:dLbl>
              <c:idx val="0"/>
              <c:layout>
                <c:manualLayout>
                  <c:x val="-0.0472222222222222"/>
                  <c:y val="-0.0324074074074074"/>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527777777777778"/>
                  <c:y val="-0.041666666666666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527777777777778"/>
                  <c:y val="-0.03703703703703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555555555555556"/>
                  <c:y val="-0.027777777777777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0555555555555555"/>
                  <c:y val="-0.041666666666666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dLblPos val="r"/>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人口!$A$86:$A$90</c:f>
              <c:strCache>
                <c:ptCount val="5"/>
                <c:pt idx="0">
                  <c:v>2019年</c:v>
                </c:pt>
                <c:pt idx="1">
                  <c:v>2020年</c:v>
                </c:pt>
                <c:pt idx="2">
                  <c:v>2021年</c:v>
                </c:pt>
                <c:pt idx="3">
                  <c:v>2022年</c:v>
                </c:pt>
                <c:pt idx="4">
                  <c:v>2023年</c:v>
                </c:pt>
              </c:strCache>
            </c:strRef>
          </c:cat>
          <c:val>
            <c:numRef>
              <c:f>人口!$M$87:$M$91</c:f>
              <c:numCache>
                <c:formatCode>0.00%</c:formatCode>
                <c:ptCount val="5"/>
                <c:pt idx="0">
                  <c:v>0.0165768945022289</c:v>
                </c:pt>
                <c:pt idx="1">
                  <c:v>-0.000319736902206325</c:v>
                </c:pt>
                <c:pt idx="2">
                  <c:v>-0.00196472630905586</c:v>
                </c:pt>
                <c:pt idx="3">
                  <c:v>0.000686718857299873</c:v>
                </c:pt>
                <c:pt idx="4">
                  <c:v>-0.00118949583676475</c:v>
                </c:pt>
              </c:numCache>
            </c:numRef>
          </c:val>
          <c:smooth val="0"/>
        </c:ser>
        <c:dLbls>
          <c:showLegendKey val="0"/>
          <c:showVal val="0"/>
          <c:showCatName val="0"/>
          <c:showSerName val="0"/>
          <c:showPercent val="0"/>
          <c:showBubbleSize val="0"/>
        </c:dLbls>
        <c:marker val="0"/>
        <c:smooth val="0"/>
        <c:axId val="379949056"/>
        <c:axId val="379950592"/>
      </c:lineChart>
      <c:catAx>
        <c:axId val="379925248"/>
        <c:scaling>
          <c:orientation val="minMax"/>
        </c:scaling>
        <c:delete val="0"/>
        <c:axPos val="b"/>
        <c:numFmt formatCode="General" sourceLinked="1"/>
        <c:majorTickMark val="none"/>
        <c:minorTickMark val="none"/>
        <c:tickLblPos val="low"/>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crossAx val="379926784"/>
        <c:crosses val="autoZero"/>
        <c:auto val="1"/>
        <c:lblAlgn val="ctr"/>
        <c:lblOffset val="100"/>
        <c:noMultiLvlLbl val="0"/>
      </c:catAx>
      <c:valAx>
        <c:axId val="379926784"/>
        <c:scaling>
          <c:orientation val="minMax"/>
          <c:max val="2500"/>
          <c:min val="-500"/>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crossAx val="379925248"/>
        <c:crosses val="autoZero"/>
        <c:crossBetween val="between"/>
        <c:majorUnit val="500"/>
      </c:valAx>
      <c:catAx>
        <c:axId val="379949056"/>
        <c:scaling>
          <c:orientation val="minMax"/>
        </c:scaling>
        <c:delete val="1"/>
        <c:axPos val="b"/>
        <c:numFmt formatCode="General"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crossAx val="379950592"/>
        <c:crosses val="autoZero"/>
        <c:auto val="1"/>
        <c:lblAlgn val="ctr"/>
        <c:lblOffset val="100"/>
        <c:noMultiLvlLbl val="0"/>
      </c:catAx>
      <c:valAx>
        <c:axId val="379950592"/>
        <c:scaling>
          <c:orientation val="minMax"/>
          <c:max val="0.05"/>
          <c:min val="-0.01"/>
        </c:scaling>
        <c:delete val="0"/>
        <c:axPos val="r"/>
        <c:numFmt formatCode="0.00%"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crossAx val="379949056"/>
        <c:crosses val="max"/>
        <c:crossBetween val="between"/>
      </c:valAx>
    </c:plotArea>
    <c:legend>
      <c:legendPos val="r"/>
      <c:legendEntry>
        <c:idx val="2"/>
        <c:delete val="1"/>
      </c:legendEntry>
      <c:layout>
        <c:manualLayout>
          <c:xMode val="edge"/>
          <c:yMode val="edge"/>
          <c:x val="0.111111111111111"/>
          <c:y val="0.893981481481481"/>
          <c:w val="0.744444444444444"/>
          <c:h val="0.087037037037037"/>
        </c:manualLayout>
      </c:layout>
      <c:overlay val="0"/>
      <c:txPr>
        <a:bodyPr rot="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legend>
    <c:plotVisOnly val="1"/>
    <c:dispBlanksAs val="gap"/>
    <c:showDLblsOverMax val="0"/>
    <c:extLst>
      <c:ext uri="{0b15fc19-7d7d-44ad-8c2d-2c3a37ce22c3}">
        <chartProps xmlns="https://web.wps.cn/et/2018/main" chartId="{2a11ba9c-f990-4afe-a339-1e7a48049335}"/>
      </c:ext>
    </c:extLst>
  </c:chart>
  <c:txPr>
    <a:bodyPr/>
    <a:lstStyle/>
    <a:p>
      <a:pPr>
        <a:defRPr lang="zh-CN" sz="800">
          <a:latin typeface="Arial" panose="020B0604020202020204" pitchFamily="2" charset="0"/>
          <a:cs typeface="Arial" panose="020B0604020202020204" pitchFamily="2" charset="0"/>
        </a:defRPr>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invertIfNegative val="0"/>
          <c:dLbls>
            <c:dLbl>
              <c:idx val="0"/>
              <c:delete val="1"/>
            </c:dLbl>
            <c:dLbl>
              <c:idx val="1"/>
              <c:layout>
                <c:manualLayout>
                  <c:x val="0.068241469816273"/>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68241469816273"/>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146981420629508"/>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05249343832021"/>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062992125984252"/>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0.338582677165354"/>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0.0971128608923884"/>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0.083989501312336"/>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Sheet1!$A$8:$A$16</c:f>
              <c:strCache>
                <c:ptCount val="9"/>
                <c:pt idx="0">
                  <c:v>其他土地</c:v>
                </c:pt>
                <c:pt idx="1">
                  <c:v>水域及水利设施用地</c:v>
                </c:pt>
                <c:pt idx="2">
                  <c:v>交通运输用地</c:v>
                </c:pt>
                <c:pt idx="3">
                  <c:v>城镇村及工矿用地</c:v>
                </c:pt>
                <c:pt idx="4">
                  <c:v>湿地</c:v>
                </c:pt>
                <c:pt idx="5">
                  <c:v>草地</c:v>
                </c:pt>
                <c:pt idx="6">
                  <c:v>林地</c:v>
                </c:pt>
                <c:pt idx="7">
                  <c:v>园地</c:v>
                </c:pt>
                <c:pt idx="8">
                  <c:v>耕地</c:v>
                </c:pt>
              </c:strCache>
            </c:strRef>
          </c:cat>
          <c:val>
            <c:numRef>
              <c:f>Sheet1!$B$8:$B$16</c:f>
              <c:numCache>
                <c:formatCode>0.00_ </c:formatCode>
                <c:ptCount val="9"/>
                <c:pt idx="0">
                  <c:v>11351.2600000001</c:v>
                </c:pt>
                <c:pt idx="1">
                  <c:v>61704</c:v>
                </c:pt>
                <c:pt idx="2">
                  <c:v>49281.38</c:v>
                </c:pt>
                <c:pt idx="3">
                  <c:v>313643.87</c:v>
                </c:pt>
                <c:pt idx="4">
                  <c:v>3107.98</c:v>
                </c:pt>
                <c:pt idx="5">
                  <c:v>14460.44</c:v>
                </c:pt>
                <c:pt idx="6">
                  <c:v>967628.62</c:v>
                </c:pt>
                <c:pt idx="7">
                  <c:v>126274.55</c:v>
                </c:pt>
                <c:pt idx="8">
                  <c:v>93547.9</c:v>
                </c:pt>
              </c:numCache>
            </c:numRef>
          </c:val>
        </c:ser>
        <c:dLbls>
          <c:showLegendKey val="0"/>
          <c:showVal val="0"/>
          <c:showCatName val="0"/>
          <c:showSerName val="0"/>
          <c:showPercent val="0"/>
          <c:showBubbleSize val="0"/>
        </c:dLbls>
        <c:gapWidth val="130"/>
        <c:overlap val="100"/>
        <c:serLines/>
        <c:axId val="379972224"/>
        <c:axId val="381112704"/>
      </c:barChart>
      <c:catAx>
        <c:axId val="379972224"/>
        <c:scaling>
          <c:orientation val="minMax"/>
        </c:scaling>
        <c:delete val="0"/>
        <c:axPos val="l"/>
        <c:numFmt formatCode="General" sourceLinked="0"/>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华文细黑" panose="02010600040101010101" charset="-122"/>
                <a:ea typeface="华文细黑" panose="02010600040101010101" charset="-122"/>
                <a:cs typeface="+mn-cs"/>
              </a:defRPr>
            </a:pPr>
          </a:p>
        </c:txPr>
        <c:crossAx val="381112704"/>
        <c:crosses val="autoZero"/>
        <c:auto val="1"/>
        <c:lblAlgn val="ctr"/>
        <c:lblOffset val="100"/>
        <c:noMultiLvlLbl val="0"/>
      </c:catAx>
      <c:valAx>
        <c:axId val="381112704"/>
        <c:scaling>
          <c:orientation val="minMax"/>
          <c:max val="1200000"/>
        </c:scaling>
        <c:delete val="0"/>
        <c:axPos val="b"/>
        <c:majorGridlines/>
        <c:numFmt formatCode="0_ " sourceLinked="0"/>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2" charset="0"/>
                <a:ea typeface="+mn-ea"/>
                <a:cs typeface="Arial" panose="020B0604020202020204" pitchFamily="2" charset="0"/>
              </a:defRPr>
            </a:pPr>
          </a:p>
        </c:txPr>
        <c:crossAx val="379972224"/>
        <c:crosses val="autoZero"/>
        <c:crossBetween val="between"/>
        <c:minorUnit val="60000"/>
      </c:valAx>
    </c:plotArea>
    <c:plotVisOnly val="1"/>
    <c:dispBlanksAs val="gap"/>
    <c:showDLblsOverMax val="0"/>
    <c:extLst>
      <c:ext uri="{0b15fc19-7d7d-44ad-8c2d-2c3a37ce22c3}">
        <chartProps xmlns="https://web.wps.cn/et/2018/main" chartId="{56ba4f40-44c1-4b78-9f18-53b2d8757b72}"/>
      </c:ext>
    </c:extLst>
  </c:chart>
  <c:txPr>
    <a:bodyPr/>
    <a:lstStyle/>
    <a:p>
      <a:pPr>
        <a:defRPr lang="zh-CN"/>
      </a:pP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r>
              <a:rPr lang="zh-CN" altLang="en-US" sz="1200"/>
              <a:t>北京市土地供求走势</a:t>
            </a:r>
            <a:endParaRPr lang="zh-CN" altLang="en-US" sz="1200"/>
          </a:p>
        </c:rich>
      </c:tx>
      <c:layout>
        <c:manualLayout>
          <c:xMode val="edge"/>
          <c:yMode val="edge"/>
          <c:x val="0.352597971167599"/>
          <c:y val="0.0138888888888889"/>
        </c:manualLayout>
      </c:layout>
      <c:overlay val="1"/>
    </c:title>
    <c:autoTitleDeleted val="0"/>
    <c:plotArea>
      <c:layout>
        <c:manualLayout>
          <c:layoutTarget val="inner"/>
          <c:xMode val="edge"/>
          <c:yMode val="edge"/>
          <c:x val="0.0808475990335805"/>
          <c:y val="0.130104257801108"/>
          <c:w val="0.89219162185587"/>
          <c:h val="0.642420895304754"/>
        </c:manualLayout>
      </c:layout>
      <c:barChart>
        <c:barDir val="col"/>
        <c:grouping val="clustered"/>
        <c:varyColors val="0"/>
        <c:ser>
          <c:idx val="0"/>
          <c:order val="0"/>
          <c:tx>
            <c:strRef>
              <c:f>推出成交!$B$2</c:f>
              <c:strCache>
                <c:ptCount val="1"/>
                <c:pt idx="0">
                  <c:v>推出规划建面（万㎡）</c:v>
                </c:pt>
              </c:strCache>
            </c:strRef>
          </c:tx>
          <c:invertIfNegative val="0"/>
          <c:dLbls>
            <c:dLbl>
              <c:idx val="4"/>
              <c:layout>
                <c:manualLayout>
                  <c:x val="-0.00490195983828173"/>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ext>
            </c:extLst>
          </c:dLbls>
          <c:cat>
            <c:numRef>
              <c:f>推出成交!$A$3:$A$8</c:f>
              <c:numCache>
                <c:formatCode>General</c:formatCode>
                <c:ptCount val="6"/>
                <c:pt idx="0">
                  <c:v>2020</c:v>
                </c:pt>
                <c:pt idx="1">
                  <c:v>2021</c:v>
                </c:pt>
                <c:pt idx="2">
                  <c:v>2022</c:v>
                </c:pt>
                <c:pt idx="3">
                  <c:v>2023</c:v>
                </c:pt>
                <c:pt idx="4">
                  <c:v>2024</c:v>
                </c:pt>
                <c:pt idx="5">
                  <c:v>2025</c:v>
                </c:pt>
              </c:numCache>
            </c:numRef>
          </c:cat>
          <c:val>
            <c:numRef>
              <c:f>推出成交!$B$3:$B$8</c:f>
              <c:numCache>
                <c:formatCode>0_ </c:formatCode>
                <c:ptCount val="6"/>
                <c:pt idx="0">
                  <c:v>620.38</c:v>
                </c:pt>
                <c:pt idx="1">
                  <c:v>959.72</c:v>
                </c:pt>
                <c:pt idx="2">
                  <c:v>576.72</c:v>
                </c:pt>
                <c:pt idx="3">
                  <c:v>621.01</c:v>
                </c:pt>
                <c:pt idx="4">
                  <c:v>492</c:v>
                </c:pt>
                <c:pt idx="5">
                  <c:v>307</c:v>
                </c:pt>
              </c:numCache>
            </c:numRef>
          </c:val>
        </c:ser>
        <c:ser>
          <c:idx val="1"/>
          <c:order val="1"/>
          <c:tx>
            <c:strRef>
              <c:f>推出成交!$C$2</c:f>
              <c:strCache>
                <c:ptCount val="1"/>
                <c:pt idx="0">
                  <c:v>成交规划建面（万㎡）</c:v>
                </c:pt>
              </c:strCache>
            </c:strRef>
          </c:tx>
          <c:invertIfNegative val="0"/>
          <c:dLbls>
            <c:dLbl>
              <c:idx val="0"/>
              <c:layout>
                <c:manualLayout>
                  <c:x val="0.0147058795148449"/>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147058795148449"/>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ext>
            </c:extLst>
          </c:dLbls>
          <c:cat>
            <c:numRef>
              <c:f>推出成交!$A$3:$A$8</c:f>
              <c:numCache>
                <c:formatCode>General</c:formatCode>
                <c:ptCount val="6"/>
                <c:pt idx="0">
                  <c:v>2020</c:v>
                </c:pt>
                <c:pt idx="1">
                  <c:v>2021</c:v>
                </c:pt>
                <c:pt idx="2">
                  <c:v>2022</c:v>
                </c:pt>
                <c:pt idx="3">
                  <c:v>2023</c:v>
                </c:pt>
                <c:pt idx="4">
                  <c:v>2024</c:v>
                </c:pt>
                <c:pt idx="5">
                  <c:v>2025</c:v>
                </c:pt>
              </c:numCache>
            </c:numRef>
          </c:cat>
          <c:val>
            <c:numRef>
              <c:f>推出成交!$C$3:$C$8</c:f>
              <c:numCache>
                <c:formatCode>0_ </c:formatCode>
                <c:ptCount val="6"/>
                <c:pt idx="0">
                  <c:v>624.28</c:v>
                </c:pt>
                <c:pt idx="1">
                  <c:v>688.57</c:v>
                </c:pt>
                <c:pt idx="2">
                  <c:v>484.71</c:v>
                </c:pt>
                <c:pt idx="3">
                  <c:v>582.25</c:v>
                </c:pt>
                <c:pt idx="4">
                  <c:v>470.38</c:v>
                </c:pt>
                <c:pt idx="5">
                  <c:v>359</c:v>
                </c:pt>
              </c:numCache>
            </c:numRef>
          </c:val>
        </c:ser>
        <c:dLbls>
          <c:showLegendKey val="0"/>
          <c:showVal val="0"/>
          <c:showCatName val="0"/>
          <c:showSerName val="0"/>
          <c:showPercent val="0"/>
          <c:showBubbleSize val="0"/>
        </c:dLbls>
        <c:gapWidth val="150"/>
        <c:axId val="398792192"/>
        <c:axId val="398793728"/>
      </c:barChart>
      <c:catAx>
        <c:axId val="398792192"/>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398793728"/>
        <c:crosses val="autoZero"/>
        <c:auto val="1"/>
        <c:lblAlgn val="ctr"/>
        <c:lblOffset val="100"/>
        <c:noMultiLvlLbl val="0"/>
      </c:catAx>
      <c:valAx>
        <c:axId val="398793728"/>
        <c:scaling>
          <c:orientation val="minMax"/>
        </c:scaling>
        <c:delete val="0"/>
        <c:axPos val="l"/>
        <c:majorGridlines/>
        <c:numFmt formatCode="0_ "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398792192"/>
        <c:crosses val="autoZero"/>
        <c:crossBetween val="between"/>
      </c:valAx>
    </c:plotArea>
    <c:legend>
      <c:legendPos val="b"/>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gap"/>
    <c:showDLblsOverMax val="0"/>
    <c:extLst>
      <c:ext uri="{0b15fc19-7d7d-44ad-8c2d-2c3a37ce22c3}">
        <chartProps xmlns="https://web.wps.cn/et/2018/main" chartId="{63d25d7e-0137-4c84-8b9d-8c29999dd3b0}"/>
      </c:ext>
    </c:extLst>
  </c:chart>
  <c:txPr>
    <a:bodyPr/>
    <a:lstStyle/>
    <a:p>
      <a:pPr>
        <a:defRPr lang="zh-CN"/>
      </a:pP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sz="1200" b="1">
                <a:latin typeface="汉仪中黑 197" panose="00020600040101010101" pitchFamily="18" charset="-122"/>
                <a:ea typeface="汉仪中黑 197" panose="00020600040101010101" pitchFamily="18" charset="-122"/>
              </a:rPr>
              <a:t>近年来北京存量商品住宅成交套数占比变化</a:t>
            </a:r>
            <a:endParaRPr lang="zh-CN" altLang="en-US" sz="1200" b="1">
              <a:latin typeface="汉仪中黑 197" panose="00020600040101010101" pitchFamily="18" charset="-122"/>
              <a:ea typeface="汉仪中黑 197" panose="00020600040101010101" pitchFamily="18" charset="-122"/>
            </a:endParaRPr>
          </a:p>
        </c:rich>
      </c:tx>
      <c:layout/>
      <c:overlay val="0"/>
      <c:spPr>
        <a:noFill/>
        <a:ln>
          <a:noFill/>
        </a:ln>
        <a:effectLst/>
      </c:spPr>
    </c:title>
    <c:autoTitleDeleted val="0"/>
    <c:plotArea>
      <c:layout/>
      <c:lineChart>
        <c:grouping val="standard"/>
        <c:varyColors val="0"/>
        <c:ser>
          <c:idx val="0"/>
          <c:order val="0"/>
          <c:tx>
            <c:strRef>
              <c:f>存量房占比!$B$1</c:f>
              <c:strCache>
                <c:ptCount val="1"/>
                <c:pt idx="0">
                  <c:v>近年来北京存量商品住宅成交套数占比变化</c:v>
                </c:pt>
              </c:strCache>
            </c:strRef>
          </c:tx>
          <c:spPr>
            <a:ln w="28575" cap="rnd" cmpd="sng" algn="ctr">
              <a:solidFill>
                <a:schemeClr val="accent1"/>
              </a:solidFill>
              <a:prstDash val="solid"/>
              <a:round/>
            </a:ln>
            <a:effectLst/>
          </c:spPr>
          <c:marker>
            <c:symbol val="none"/>
          </c:marker>
          <c:dLbls>
            <c:dLbl>
              <c:idx val="6"/>
              <c:layout>
                <c:manualLayout>
                  <c:x val="-0.0333333333333334"/>
                  <c:y val="0.046296296296296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numRef>
              <c:f>存量房占比!$A$2:$A$12</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存量房占比!$B$2:$B$12</c:f>
              <c:numCache>
                <c:formatCode>0%</c:formatCode>
                <c:ptCount val="11"/>
                <c:pt idx="0">
                  <c:v>0.67</c:v>
                </c:pt>
                <c:pt idx="1">
                  <c:v>0.77</c:v>
                </c:pt>
                <c:pt idx="2">
                  <c:v>0.72</c:v>
                </c:pt>
                <c:pt idx="3">
                  <c:v>0.8</c:v>
                </c:pt>
                <c:pt idx="4">
                  <c:v>0.69</c:v>
                </c:pt>
                <c:pt idx="5">
                  <c:v>0.71</c:v>
                </c:pt>
                <c:pt idx="6">
                  <c:v>0.68</c:v>
                </c:pt>
                <c:pt idx="7">
                  <c:v>0.68</c:v>
                </c:pt>
                <c:pt idx="8">
                  <c:v>0.7</c:v>
                </c:pt>
                <c:pt idx="9">
                  <c:v>0.78</c:v>
                </c:pt>
                <c:pt idx="10">
                  <c:v>0.81</c:v>
                </c:pt>
              </c:numCache>
            </c:numRef>
          </c:val>
          <c:smooth val="0"/>
        </c:ser>
        <c:dLbls>
          <c:showLegendKey val="0"/>
          <c:showVal val="0"/>
          <c:showCatName val="0"/>
          <c:showSerName val="0"/>
          <c:showPercent val="0"/>
          <c:showBubbleSize val="0"/>
        </c:dLbls>
        <c:marker val="0"/>
        <c:smooth val="0"/>
        <c:axId val="399028224"/>
        <c:axId val="399029760"/>
      </c:lineChart>
      <c:catAx>
        <c:axId val="399028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99029760"/>
        <c:crosses val="autoZero"/>
        <c:auto val="1"/>
        <c:lblAlgn val="ctr"/>
        <c:lblOffset val="100"/>
        <c:noMultiLvlLbl val="0"/>
      </c:catAx>
      <c:valAx>
        <c:axId val="399029760"/>
        <c:scaling>
          <c:orientation val="minMax"/>
          <c:min val="0.6"/>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99028224"/>
        <c:crosses val="autoZero"/>
        <c:crossBetween val="between"/>
      </c:valAx>
      <c:spPr>
        <a:noFill/>
        <a:ln>
          <a:noFill/>
        </a:ln>
        <a:effectLst/>
      </c:spPr>
    </c:plotArea>
    <c:plotVisOnly val="1"/>
    <c:dispBlanksAs val="gap"/>
    <c:showDLblsOverMax val="0"/>
    <c:extLst>
      <c:ext uri="{0b15fc19-7d7d-44ad-8c2d-2c3a37ce22c3}">
        <chartProps xmlns="https://web.wps.cn/et/2018/main" chartId="{a90a012c-d162-41a0-a6ac-9a7c896627a8}"/>
      </c:ext>
    </c:extLst>
  </c:chart>
  <c:spPr>
    <a:solidFill>
      <a:schemeClr val="bg1"/>
    </a:solidFill>
    <a:ln w="9525" cap="flat" cmpd="sng" algn="ctr">
      <a:solidFill>
        <a:schemeClr val="tx1">
          <a:lumMod val="15000"/>
          <a:lumOff val="85000"/>
        </a:schemeClr>
      </a:solidFill>
      <a:prstDash val="solid"/>
      <a:round/>
    </a:ln>
    <a:effectLst/>
  </c:spPr>
  <c:txPr>
    <a:bodyPr/>
    <a:lstStyle/>
    <a:p>
      <a:pPr>
        <a:defRPr lang="zh-CN"/>
      </a:pPr>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a:ea typeface="黑体"/>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宋体"/>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9258B56-07B7-4319-84D1-1EEBD7D0AF02}">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264</Pages>
  <Words>7512</Words>
  <Characters>8162</Characters>
  <Lines>1458</Lines>
  <Paragraphs>410</Paragraphs>
  <TotalTime>1</TotalTime>
  <ScaleCrop>false</ScaleCrop>
  <LinksUpToDate>false</LinksUpToDate>
  <CharactersWithSpaces>8264</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2026-03-31T09:28:00Z</dcterms:created>
  <dc:creator>Administrator</dc:creator>
  <cp:lastModifiedBy>诗霖</cp:lastModifiedBy>
  <cp:lastPrinted>2026-04-20T02:51:00Z</cp:lastPrinted>
  <dcterms:modified xsi:type="dcterms:W3CDTF">2026-04-20T03:36:57Z</dcterms:modified>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4A9F0D32DDE742C2A8DFBF65437480BA_13</vt:lpwstr>
  </property>
  <property fmtid="{D5CDD505-2E9C-101B-9397-08002B2CF9AE}" pid="4" name="KSOTemplateDocerSaveRecord">
    <vt:lpwstr>eyJoZGlkIjoiMDdlZmQwYWM0MmRiNGMxZDA3YWY5YzJiY2QxOTlhYTMiLCJ1c2VySWQiOiIyMDkxMDc5NzUifQ==</vt:lpwstr>
  </property>
</Properties>
</file>