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3A4B" w14:textId="72BC1D60" w:rsidR="00AB599C" w:rsidRPr="002D0295" w:rsidRDefault="00FA3B45" w:rsidP="00B87EAD">
      <w:pPr>
        <w:spacing w:after="100" w:afterAutospacing="1"/>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A03083" w:rsidRPr="00A03083">
        <w:rPr>
          <w:rFonts w:ascii="Arial" w:eastAsia="楷体_GB2312" w:hAnsi="Arial" w:cs="Times New Roman" w:hint="eastAsia"/>
          <w:b/>
          <w:kern w:val="0"/>
          <w:sz w:val="36"/>
          <w:szCs w:val="36"/>
        </w:rPr>
        <w:t>(2021)</w:t>
      </w:r>
      <w:r w:rsidR="00A03083" w:rsidRPr="00A03083">
        <w:rPr>
          <w:rFonts w:ascii="Arial" w:eastAsia="楷体_GB2312" w:hAnsi="Arial" w:cs="Times New Roman" w:hint="eastAsia"/>
          <w:b/>
          <w:kern w:val="0"/>
          <w:sz w:val="36"/>
          <w:szCs w:val="36"/>
        </w:rPr>
        <w:t>京</w:t>
      </w:r>
      <w:r w:rsidR="00302A04">
        <w:rPr>
          <w:rFonts w:ascii="Arial" w:eastAsia="楷体_GB2312" w:hAnsi="Arial" w:cs="Times New Roman"/>
          <w:b/>
          <w:kern w:val="0"/>
          <w:sz w:val="36"/>
          <w:szCs w:val="36"/>
        </w:rPr>
        <w:t>0108</w:t>
      </w:r>
      <w:r w:rsidR="00302A04">
        <w:rPr>
          <w:rFonts w:ascii="Arial" w:eastAsia="楷体_GB2312" w:hAnsi="Arial" w:cs="Times New Roman" w:hint="eastAsia"/>
          <w:b/>
          <w:kern w:val="0"/>
          <w:sz w:val="36"/>
          <w:szCs w:val="36"/>
        </w:rPr>
        <w:t>执</w:t>
      </w:r>
      <w:r w:rsidR="00302A04">
        <w:rPr>
          <w:rFonts w:ascii="Arial" w:eastAsia="楷体_GB2312" w:hAnsi="Arial" w:cs="Times New Roman" w:hint="eastAsia"/>
          <w:b/>
          <w:kern w:val="0"/>
          <w:sz w:val="36"/>
          <w:szCs w:val="36"/>
        </w:rPr>
        <w:t>1</w:t>
      </w:r>
      <w:r w:rsidR="00302A04">
        <w:rPr>
          <w:rFonts w:ascii="Arial" w:eastAsia="楷体_GB2312" w:hAnsi="Arial" w:cs="Times New Roman"/>
          <w:b/>
          <w:kern w:val="0"/>
          <w:sz w:val="36"/>
          <w:szCs w:val="36"/>
        </w:rPr>
        <w:t>9163</w:t>
      </w:r>
      <w:r w:rsidR="00A03083" w:rsidRPr="00A03083">
        <w:rPr>
          <w:rFonts w:ascii="Arial" w:eastAsia="楷体_GB2312" w:hAnsi="Arial" w:cs="Times New Roman" w:hint="eastAsia"/>
          <w:b/>
          <w:kern w:val="0"/>
          <w:sz w:val="36"/>
          <w:szCs w:val="36"/>
        </w:rPr>
        <w:t>号</w:t>
      </w:r>
      <w:r w:rsidR="0015598E" w:rsidRPr="00D17507">
        <w:rPr>
          <w:rFonts w:ascii="Arial" w:eastAsia="楷体_GB2312" w:hAnsi="Arial" w:cs="Times New Roman" w:hint="eastAsia"/>
          <w:b/>
          <w:kern w:val="0"/>
          <w:sz w:val="36"/>
          <w:szCs w:val="36"/>
        </w:rPr>
        <w:t>案件</w:t>
      </w:r>
      <w:r w:rsidR="00AA7353">
        <w:rPr>
          <w:rFonts w:ascii="Arial" w:eastAsia="楷体_GB2312" w:hAnsi="Arial" w:cs="Times New Roman" w:hint="eastAsia"/>
          <w:b/>
          <w:kern w:val="0"/>
          <w:sz w:val="36"/>
          <w:szCs w:val="36"/>
        </w:rPr>
        <w:t>异议答复</w:t>
      </w:r>
    </w:p>
    <w:p w14:paraId="4CD51348" w14:textId="71B29771" w:rsidR="00FA3B45" w:rsidRDefault="00DC7957" w:rsidP="00B87EAD">
      <w:pPr>
        <w:spacing w:beforeLines="100" w:before="312" w:line="276"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9E1547">
        <w:rPr>
          <w:rFonts w:ascii="Arial" w:eastAsia="楷体_GB2312" w:hAnsi="Arial" w:cs="Times New Roman" w:hint="eastAsia"/>
          <w:b/>
          <w:kern w:val="0"/>
          <w:sz w:val="28"/>
          <w:szCs w:val="28"/>
        </w:rPr>
        <w:t>海淀</w:t>
      </w:r>
      <w:r>
        <w:rPr>
          <w:rFonts w:ascii="Arial" w:eastAsia="楷体_GB2312" w:hAnsi="Arial" w:cs="Times New Roman" w:hint="eastAsia"/>
          <w:b/>
          <w:kern w:val="0"/>
          <w:sz w:val="28"/>
          <w:szCs w:val="28"/>
        </w:rPr>
        <w:t>区人民</w:t>
      </w:r>
      <w:r w:rsidR="009D1CED">
        <w:rPr>
          <w:rFonts w:ascii="Arial" w:eastAsia="楷体_GB2312" w:hAnsi="Arial" w:cs="Times New Roman" w:hint="eastAsia"/>
          <w:b/>
          <w:kern w:val="0"/>
          <w:sz w:val="28"/>
          <w:szCs w:val="28"/>
        </w:rPr>
        <w:t>法院：</w:t>
      </w:r>
    </w:p>
    <w:p w14:paraId="43E6AEF7" w14:textId="5C83CB8A" w:rsidR="005D2BB7" w:rsidRDefault="00302A04" w:rsidP="005D2BB7">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kern w:val="0"/>
          <w:sz w:val="28"/>
          <w:szCs w:val="28"/>
        </w:rPr>
        <w:t>2023</w:t>
      </w:r>
      <w:r w:rsidR="001C7AA9">
        <w:rPr>
          <w:rFonts w:ascii="Arial" w:eastAsia="楷体_GB2312" w:hAnsi="Arial" w:cs="Times New Roman" w:hint="eastAsia"/>
          <w:kern w:val="0"/>
          <w:sz w:val="28"/>
          <w:szCs w:val="28"/>
        </w:rPr>
        <w:t>年</w:t>
      </w:r>
      <w:r>
        <w:rPr>
          <w:rFonts w:ascii="Arial" w:eastAsia="楷体_GB2312" w:hAnsi="Arial" w:cs="Times New Roman"/>
          <w:kern w:val="0"/>
          <w:sz w:val="28"/>
          <w:szCs w:val="28"/>
        </w:rPr>
        <w:t>1</w:t>
      </w:r>
      <w:r w:rsidR="001C7AA9">
        <w:rPr>
          <w:rFonts w:ascii="Arial" w:eastAsia="楷体_GB2312" w:hAnsi="Arial" w:cs="Times New Roman" w:hint="eastAsia"/>
          <w:kern w:val="0"/>
          <w:sz w:val="28"/>
          <w:szCs w:val="28"/>
        </w:rPr>
        <w:t>月</w:t>
      </w:r>
      <w:r>
        <w:rPr>
          <w:rFonts w:ascii="Arial" w:eastAsia="楷体_GB2312" w:hAnsi="Arial" w:cs="Times New Roman"/>
          <w:kern w:val="0"/>
          <w:sz w:val="28"/>
          <w:szCs w:val="28"/>
        </w:rPr>
        <w:t>18</w:t>
      </w:r>
      <w:r w:rsidR="001C7AA9">
        <w:rPr>
          <w:rFonts w:ascii="Arial" w:eastAsia="楷体_GB2312" w:hAnsi="Arial" w:cs="Times New Roman" w:hint="eastAsia"/>
          <w:kern w:val="0"/>
          <w:sz w:val="28"/>
          <w:szCs w:val="28"/>
        </w:rPr>
        <w:t>日</w:t>
      </w:r>
      <w:r w:rsidR="006114C4">
        <w:rPr>
          <w:rFonts w:ascii="Arial" w:eastAsia="楷体_GB2312" w:hAnsi="Arial" w:cs="Times New Roman" w:hint="eastAsia"/>
          <w:kern w:val="0"/>
          <w:sz w:val="28"/>
          <w:szCs w:val="28"/>
        </w:rPr>
        <w:t>，我公司</w:t>
      </w:r>
      <w:r w:rsidR="00BD25DC">
        <w:rPr>
          <w:rFonts w:ascii="Arial" w:eastAsia="楷体_GB2312" w:hAnsi="Arial" w:cs="Times New Roman" w:hint="eastAsia"/>
          <w:kern w:val="0"/>
          <w:sz w:val="28"/>
          <w:szCs w:val="28"/>
        </w:rPr>
        <w:t>收到贵院</w:t>
      </w:r>
      <w:r w:rsidR="00AA7353">
        <w:rPr>
          <w:rFonts w:ascii="Arial" w:eastAsia="楷体_GB2312" w:hAnsi="Arial" w:cs="Times New Roman" w:hint="eastAsia"/>
          <w:kern w:val="0"/>
          <w:sz w:val="28"/>
          <w:szCs w:val="28"/>
        </w:rPr>
        <w:t>寄来</w:t>
      </w:r>
      <w:r w:rsidR="006B02D4">
        <w:rPr>
          <w:rFonts w:ascii="Arial" w:eastAsia="楷体_GB2312" w:hAnsi="Arial" w:cs="Times New Roman" w:hint="eastAsia"/>
          <w:kern w:val="0"/>
          <w:sz w:val="28"/>
          <w:szCs w:val="28"/>
        </w:rPr>
        <w:t>的</w:t>
      </w:r>
      <w:r w:rsidR="00BD25DC">
        <w:rPr>
          <w:rFonts w:ascii="Arial" w:eastAsia="楷体_GB2312" w:hAnsi="Arial" w:cs="Times New Roman" w:hint="eastAsia"/>
          <w:kern w:val="0"/>
          <w:sz w:val="28"/>
          <w:szCs w:val="28"/>
        </w:rPr>
        <w:t>《</w:t>
      </w:r>
      <w:r w:rsidR="00A03083">
        <w:rPr>
          <w:rFonts w:ascii="Arial" w:eastAsia="楷体_GB2312" w:hAnsi="Arial" w:cs="Times New Roman" w:hint="eastAsia"/>
          <w:kern w:val="0"/>
          <w:sz w:val="28"/>
          <w:szCs w:val="28"/>
        </w:rPr>
        <w:t>异议书</w:t>
      </w:r>
      <w:r w:rsidR="00BD25DC">
        <w:rPr>
          <w:rFonts w:ascii="Arial" w:eastAsia="楷体_GB2312" w:hAnsi="Arial" w:cs="Times New Roman" w:hint="eastAsia"/>
          <w:kern w:val="0"/>
          <w:sz w:val="28"/>
          <w:szCs w:val="28"/>
        </w:rPr>
        <w:t>》</w:t>
      </w:r>
      <w:r w:rsidR="003F19E2">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贵院依旧第一条异议以及“评估对象是否应包含附属物”进行了回复，我公司就异议人提出的其他异议回复如下</w:t>
      </w:r>
      <w:r w:rsidR="005D2BB7">
        <w:rPr>
          <w:rFonts w:ascii="Arial" w:eastAsia="楷体_GB2312" w:hAnsi="Arial" w:cs="Times New Roman" w:hint="eastAsia"/>
          <w:kern w:val="0"/>
          <w:sz w:val="28"/>
          <w:szCs w:val="28"/>
        </w:rPr>
        <w:t>：</w:t>
      </w:r>
    </w:p>
    <w:p w14:paraId="40A00A79" w14:textId="3B23709D" w:rsidR="00302A04" w:rsidRPr="00302A04" w:rsidRDefault="00302A04" w:rsidP="00302A04">
      <w:pPr>
        <w:kinsoku w:val="0"/>
        <w:autoSpaceDE w:val="0"/>
        <w:autoSpaceDN w:val="0"/>
        <w:spacing w:line="276" w:lineRule="auto"/>
        <w:ind w:firstLine="540"/>
        <w:contextualSpacing/>
        <w:jc w:val="left"/>
        <w:rPr>
          <w:rFonts w:ascii="Arial" w:eastAsia="楷体_GB2312" w:hAnsi="Arial" w:cs="Times New Roman"/>
          <w:color w:val="FF0000"/>
          <w:kern w:val="0"/>
          <w:sz w:val="28"/>
          <w:szCs w:val="28"/>
        </w:rPr>
      </w:pPr>
      <w:r w:rsidRPr="00302A04">
        <w:rPr>
          <w:rFonts w:ascii="Arial" w:eastAsia="楷体_GB2312" w:hAnsi="Arial" w:cs="Times New Roman" w:hint="eastAsia"/>
          <w:color w:val="FF0000"/>
          <w:kern w:val="0"/>
          <w:sz w:val="28"/>
          <w:szCs w:val="28"/>
        </w:rPr>
        <w:t>二、评估方法和技术路线明显不合理，评估价值远远低于市场价值</w:t>
      </w:r>
    </w:p>
    <w:p w14:paraId="44234EFB" w14:textId="5FE820EE" w:rsidR="00302A04" w:rsidRPr="00302A04" w:rsidRDefault="00302A04" w:rsidP="00302A04">
      <w:pPr>
        <w:kinsoku w:val="0"/>
        <w:autoSpaceDE w:val="0"/>
        <w:autoSpaceDN w:val="0"/>
        <w:spacing w:line="276" w:lineRule="auto"/>
        <w:ind w:firstLine="540"/>
        <w:contextualSpacing/>
        <w:jc w:val="left"/>
        <w:rPr>
          <w:rFonts w:ascii="Arial" w:eastAsia="楷体_GB2312" w:hAnsi="Arial" w:cs="Times New Roman"/>
          <w:color w:val="FF0000"/>
          <w:kern w:val="0"/>
          <w:sz w:val="28"/>
          <w:szCs w:val="28"/>
        </w:rPr>
      </w:pPr>
      <w:r w:rsidRPr="00302A04">
        <w:rPr>
          <w:rFonts w:ascii="Arial" w:eastAsia="楷体_GB2312" w:hAnsi="Arial" w:cs="Times New Roman" w:hint="eastAsia"/>
          <w:color w:val="FF0000"/>
          <w:kern w:val="0"/>
          <w:sz w:val="28"/>
          <w:szCs w:val="28"/>
        </w:rPr>
        <w:t>首先，房地产评估方法有市场比较法、收益还原法、成本估价法、假设开发法等几种方法。其中市场比较法是在评估房地产价格的时候，将该项房地产和周边的房地产价格进行比较，如果房地产的效用相近，市场价值基本相当。这种方法可以最大限度反映在评估时点时，房地产的市场实际价值，因此是房地产评估活动中采用的最主要的方法，</w:t>
      </w:r>
      <w:proofErr w:type="gramStart"/>
      <w:r w:rsidRPr="00302A04">
        <w:rPr>
          <w:rFonts w:ascii="Arial" w:eastAsia="楷体_GB2312" w:hAnsi="Arial" w:cs="Times New Roman" w:hint="eastAsia"/>
          <w:color w:val="FF0000"/>
          <w:kern w:val="0"/>
          <w:sz w:val="28"/>
          <w:szCs w:val="28"/>
        </w:rPr>
        <w:t>作出</w:t>
      </w:r>
      <w:proofErr w:type="gramEnd"/>
      <w:r w:rsidRPr="00302A04">
        <w:rPr>
          <w:rFonts w:ascii="Arial" w:eastAsia="楷体_GB2312" w:hAnsi="Arial" w:cs="Times New Roman" w:hint="eastAsia"/>
          <w:color w:val="FF0000"/>
          <w:kern w:val="0"/>
          <w:sz w:val="28"/>
          <w:szCs w:val="28"/>
        </w:rPr>
        <w:t>的评估价值争议也最小。收益还原法是按照房地产未来的收益来估计房价的方法，收益还原法首先估计房地产在各个时期将要取得的纯收益，然后采用适当的还原利率将纯收益折算到现在，各个时期的收益总和就是房价。但采用收益法的前提是在未来的纯收益和还原利率两个环节上没有异议。成本估价法是将建造成本加上各项税费和正常的利润构成房价，该法主要适用于房地产交易较少，缺乏比较案例，无法采用市场比较法的情况下。但本次估价的评估房产地处繁华地段，周围参照物众多，市场交易活跃，并不存在不适用市场比较法的限制，采用成本估价法和收益还原法明显不合理，评估结果违背市场的通常认知。</w:t>
      </w:r>
    </w:p>
    <w:p w14:paraId="7252CA64" w14:textId="25F3E73F" w:rsidR="00302A04" w:rsidRPr="00302A04" w:rsidRDefault="00302A04" w:rsidP="00302A04">
      <w:pPr>
        <w:kinsoku w:val="0"/>
        <w:autoSpaceDE w:val="0"/>
        <w:autoSpaceDN w:val="0"/>
        <w:spacing w:line="276" w:lineRule="auto"/>
        <w:ind w:firstLine="540"/>
        <w:contextualSpacing/>
        <w:jc w:val="left"/>
        <w:rPr>
          <w:rFonts w:ascii="Arial" w:eastAsia="楷体_GB2312" w:hAnsi="Arial" w:cs="Times New Roman"/>
          <w:color w:val="FF0000"/>
          <w:kern w:val="0"/>
          <w:sz w:val="28"/>
          <w:szCs w:val="28"/>
        </w:rPr>
      </w:pPr>
      <w:r w:rsidRPr="00302A04">
        <w:rPr>
          <w:rFonts w:ascii="Arial" w:eastAsia="楷体_GB2312" w:hAnsi="Arial" w:cs="Times New Roman" w:hint="eastAsia"/>
          <w:color w:val="FF0000"/>
          <w:kern w:val="0"/>
          <w:sz w:val="28"/>
          <w:szCs w:val="28"/>
        </w:rPr>
        <w:t>其次，该评估报告采用的技术路线是明显错误的，与法律精神和司法判例是相悖的。对于</w:t>
      </w:r>
      <w:r w:rsidR="00742BCA">
        <w:rPr>
          <w:rFonts w:ascii="Arial" w:eastAsia="楷体_GB2312" w:hAnsi="Arial" w:cs="Times New Roman" w:hint="eastAsia"/>
          <w:color w:val="FF0000"/>
          <w:kern w:val="0"/>
          <w:sz w:val="28"/>
          <w:szCs w:val="28"/>
        </w:rPr>
        <w:t>划拨土地</w:t>
      </w:r>
      <w:r w:rsidRPr="00302A04">
        <w:rPr>
          <w:rFonts w:ascii="Arial" w:eastAsia="楷体_GB2312" w:hAnsi="Arial" w:cs="Times New Roman" w:hint="eastAsia"/>
          <w:color w:val="FF0000"/>
          <w:kern w:val="0"/>
          <w:sz w:val="28"/>
          <w:szCs w:val="28"/>
        </w:rPr>
        <w:t>上的房地产，司法判例采用的技术路线</w:t>
      </w:r>
      <w:r w:rsidRPr="00302A04">
        <w:rPr>
          <w:rFonts w:ascii="Arial" w:eastAsia="楷体_GB2312" w:hAnsi="Arial" w:cs="Times New Roman" w:hint="eastAsia"/>
          <w:color w:val="FF0000"/>
          <w:kern w:val="0"/>
          <w:sz w:val="28"/>
          <w:szCs w:val="28"/>
        </w:rPr>
        <w:lastRenderedPageBreak/>
        <w:t>均是假定</w:t>
      </w:r>
      <w:r w:rsidR="00742BCA">
        <w:rPr>
          <w:rFonts w:ascii="Arial" w:eastAsia="楷体_GB2312" w:hAnsi="Arial" w:cs="Times New Roman" w:hint="eastAsia"/>
          <w:color w:val="FF0000"/>
          <w:kern w:val="0"/>
          <w:sz w:val="28"/>
          <w:szCs w:val="28"/>
        </w:rPr>
        <w:t>土地</w:t>
      </w:r>
      <w:r w:rsidRPr="00302A04">
        <w:rPr>
          <w:rFonts w:ascii="Arial" w:eastAsia="楷体_GB2312" w:hAnsi="Arial" w:cs="Times New Roman" w:hint="eastAsia"/>
          <w:color w:val="FF0000"/>
          <w:kern w:val="0"/>
          <w:sz w:val="28"/>
          <w:szCs w:val="28"/>
        </w:rPr>
        <w:t>使用权性质为出让，对估价对象按出让状态评估出现状价值，然后再扣除由</w:t>
      </w:r>
      <w:r w:rsidR="00742BCA">
        <w:rPr>
          <w:rFonts w:ascii="Arial" w:eastAsia="楷体_GB2312" w:hAnsi="Arial" w:cs="Times New Roman" w:hint="eastAsia"/>
          <w:color w:val="FF0000"/>
          <w:kern w:val="0"/>
          <w:sz w:val="28"/>
          <w:szCs w:val="28"/>
        </w:rPr>
        <w:t>划拨</w:t>
      </w:r>
      <w:r w:rsidRPr="00302A04">
        <w:rPr>
          <w:rFonts w:ascii="Arial" w:eastAsia="楷体_GB2312" w:hAnsi="Arial" w:cs="Times New Roman" w:hint="eastAsia"/>
          <w:color w:val="FF0000"/>
          <w:kern w:val="0"/>
          <w:sz w:val="28"/>
          <w:szCs w:val="28"/>
        </w:rPr>
        <w:t>性质土地使用权转为出让性质土地使用权所需的土地出让费用，最终得到</w:t>
      </w:r>
      <w:r w:rsidR="00742BCA">
        <w:rPr>
          <w:rFonts w:ascii="Arial" w:eastAsia="楷体_GB2312" w:hAnsi="Arial" w:cs="Times New Roman" w:hint="eastAsia"/>
          <w:color w:val="FF0000"/>
          <w:kern w:val="0"/>
          <w:sz w:val="28"/>
          <w:szCs w:val="28"/>
        </w:rPr>
        <w:t>划拨</w:t>
      </w:r>
      <w:r w:rsidRPr="00302A04">
        <w:rPr>
          <w:rFonts w:ascii="Arial" w:eastAsia="楷体_GB2312" w:hAnsi="Arial" w:cs="Times New Roman" w:hint="eastAsia"/>
          <w:color w:val="FF0000"/>
          <w:kern w:val="0"/>
          <w:sz w:val="28"/>
          <w:szCs w:val="28"/>
        </w:rPr>
        <w:t>土地使用权估价对象的现状价值。该路线完全体现评估房产的市场价值，也体现了现实中买受人办理过户所要支付的</w:t>
      </w:r>
      <w:r w:rsidR="00742BCA">
        <w:rPr>
          <w:rFonts w:ascii="Arial" w:eastAsia="楷体_GB2312" w:hAnsi="Arial" w:cs="Times New Roman" w:hint="eastAsia"/>
          <w:color w:val="FF0000"/>
          <w:kern w:val="0"/>
          <w:sz w:val="28"/>
          <w:szCs w:val="28"/>
        </w:rPr>
        <w:t>必须</w:t>
      </w:r>
      <w:r w:rsidRPr="00302A04">
        <w:rPr>
          <w:rFonts w:ascii="Arial" w:eastAsia="楷体_GB2312" w:hAnsi="Arial" w:cs="Times New Roman" w:hint="eastAsia"/>
          <w:color w:val="FF0000"/>
          <w:kern w:val="0"/>
          <w:sz w:val="28"/>
          <w:szCs w:val="28"/>
        </w:rPr>
        <w:t>成本。而该评估报告的</w:t>
      </w:r>
      <w:r w:rsidR="00742BCA">
        <w:rPr>
          <w:rFonts w:ascii="Arial" w:eastAsia="楷体_GB2312" w:hAnsi="Arial" w:cs="Times New Roman" w:hint="eastAsia"/>
          <w:color w:val="FF0000"/>
          <w:kern w:val="0"/>
          <w:sz w:val="28"/>
          <w:szCs w:val="28"/>
        </w:rPr>
        <w:t>技术</w:t>
      </w:r>
      <w:r w:rsidRPr="00302A04">
        <w:rPr>
          <w:rFonts w:ascii="Arial" w:eastAsia="楷体_GB2312" w:hAnsi="Arial" w:cs="Times New Roman" w:hint="eastAsia"/>
          <w:color w:val="FF0000"/>
          <w:kern w:val="0"/>
          <w:sz w:val="28"/>
          <w:szCs w:val="28"/>
        </w:rPr>
        <w:t>路线是将以出让性质估价的房地产，扣除估价对象土地出让收益价值，实际上是将评估房产的土地权益价值全部让渡给买受人，买受人只须缴纳较少的土地出让费用即可获取在房地产价值中占比最大的</w:t>
      </w:r>
      <w:r w:rsidR="00742BCA">
        <w:rPr>
          <w:rFonts w:ascii="Arial" w:eastAsia="楷体_GB2312" w:hAnsi="Arial" w:cs="Times New Roman" w:hint="eastAsia"/>
          <w:color w:val="FF0000"/>
          <w:kern w:val="0"/>
          <w:sz w:val="28"/>
          <w:szCs w:val="28"/>
        </w:rPr>
        <w:t>土地</w:t>
      </w:r>
      <w:r w:rsidRPr="00302A04">
        <w:rPr>
          <w:rFonts w:ascii="Arial" w:eastAsia="楷体_GB2312" w:hAnsi="Arial" w:cs="Times New Roman" w:hint="eastAsia"/>
          <w:color w:val="FF0000"/>
          <w:kern w:val="0"/>
          <w:sz w:val="28"/>
          <w:szCs w:val="28"/>
        </w:rPr>
        <w:t>使用权价值，这完全脱离了评估对象的市场价值。众所周知，房地产价值中最重要的因素就是土地权益价值，不同位置的同类房产价值差异主要是</w:t>
      </w:r>
      <w:r w:rsidR="00742BCA">
        <w:rPr>
          <w:rFonts w:ascii="Arial" w:eastAsia="楷体_GB2312" w:hAnsi="Arial" w:cs="Times New Roman" w:hint="eastAsia"/>
          <w:color w:val="FF0000"/>
          <w:kern w:val="0"/>
          <w:sz w:val="28"/>
          <w:szCs w:val="28"/>
        </w:rPr>
        <w:t>土地</w:t>
      </w:r>
      <w:r w:rsidRPr="00302A04">
        <w:rPr>
          <w:rFonts w:ascii="Arial" w:eastAsia="楷体_GB2312" w:hAnsi="Arial" w:cs="Times New Roman" w:hint="eastAsia"/>
          <w:color w:val="FF0000"/>
          <w:kern w:val="0"/>
          <w:sz w:val="28"/>
          <w:szCs w:val="28"/>
        </w:rPr>
        <w:t>权益价值的不同。本案中的房地产地处北京繁华的西四环内，区域内房地产价值高昂，其中最主要的是土地权益价值很高，该评估报告将土地权益价值从房地产价值中剥离，使房产价值极度缩水，损害了异议人和申请执行人的利益，该评估报告不应得到采用。</w:t>
      </w:r>
    </w:p>
    <w:p w14:paraId="55DD7E72" w14:textId="5E90A2DB" w:rsidR="00822B9F" w:rsidRPr="00822B9F" w:rsidRDefault="003C769A" w:rsidP="006A7FFE">
      <w:pPr>
        <w:kinsoku w:val="0"/>
        <w:autoSpaceDE w:val="0"/>
        <w:autoSpaceDN w:val="0"/>
        <w:spacing w:line="276" w:lineRule="auto"/>
        <w:ind w:firstLine="540"/>
        <w:contextualSpacing/>
        <w:jc w:val="left"/>
        <w:rPr>
          <w:rFonts w:ascii="Arial" w:eastAsia="楷体_GB2312" w:hAnsi="Arial" w:cs="Times New Roman"/>
          <w:kern w:val="0"/>
          <w:sz w:val="28"/>
          <w:szCs w:val="28"/>
        </w:rPr>
      </w:pPr>
      <w:r w:rsidRPr="003C769A">
        <w:rPr>
          <w:rFonts w:ascii="Arial" w:eastAsia="楷体_GB2312" w:hAnsi="Arial" w:cs="Times New Roman" w:hint="eastAsia"/>
          <w:b/>
          <w:kern w:val="0"/>
          <w:sz w:val="28"/>
          <w:szCs w:val="28"/>
        </w:rPr>
        <w:t>现对上述异议答复如下：</w:t>
      </w:r>
    </w:p>
    <w:p w14:paraId="4C1563F6" w14:textId="1CEFE14D" w:rsidR="00822B9F" w:rsidRDefault="00527C5A"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一、方法选用</w:t>
      </w:r>
    </w:p>
    <w:p w14:paraId="5726DB37" w14:textId="46CF0724" w:rsidR="00565063" w:rsidRPr="00565063" w:rsidRDefault="00565063" w:rsidP="00565063">
      <w:pPr>
        <w:kinsoku w:val="0"/>
        <w:autoSpaceDE w:val="0"/>
        <w:autoSpaceDN w:val="0"/>
        <w:spacing w:line="360" w:lineRule="auto"/>
        <w:ind w:firstLineChars="200" w:firstLine="560"/>
        <w:contextualSpacing/>
        <w:rPr>
          <w:rFonts w:ascii="Arial" w:eastAsia="楷体_GB2312" w:hAnsi="Arial" w:cs="Arial"/>
          <w:kern w:val="0"/>
          <w:sz w:val="28"/>
          <w:szCs w:val="28"/>
        </w:rPr>
      </w:pPr>
      <w:r w:rsidRPr="00EF59CE">
        <w:rPr>
          <w:rFonts w:ascii="Arial" w:eastAsia="楷体_GB2312" w:hAnsi="Arial" w:cs="Arial" w:hint="eastAsia"/>
          <w:kern w:val="0"/>
          <w:sz w:val="28"/>
          <w:szCs w:val="28"/>
          <w:highlight w:val="yellow"/>
        </w:rPr>
        <w:t>比较法</w:t>
      </w:r>
      <w:r w:rsidRPr="00565063">
        <w:rPr>
          <w:rFonts w:ascii="Arial" w:eastAsia="楷体_GB2312" w:hAnsi="Arial" w:cs="Arial" w:hint="eastAsia"/>
          <w:kern w:val="0"/>
          <w:sz w:val="28"/>
          <w:szCs w:val="28"/>
        </w:rPr>
        <w:t>是选取一定数量的可比实例，将它们与估价对象进行比较，根据其间的差异对可比实例成交价格进行处理后得到估价对象价值或价格的方法。该方法适用手同类房地产数量较多、经常发生交易且具有一定可比性的房地产，如住宅，特别是数量较多、可比性较好的存量成套佳宅；写字楼；商铺；标准厂房；房地产开发用地等。下列房地产难以采用比较法估价：同类房地产数量很少的房地产，如特殊厂房、机场</w:t>
      </w:r>
      <w:r w:rsidRPr="00565063">
        <w:rPr>
          <w:rFonts w:ascii="Arial" w:eastAsia="楷体_GB2312" w:hAnsi="Arial" w:cs="Arial" w:hint="eastAsia"/>
          <w:kern w:val="0"/>
          <w:sz w:val="28"/>
          <w:szCs w:val="28"/>
        </w:rPr>
        <w:lastRenderedPageBreak/>
        <w:t>、码头、博物馆、教堂、寺庙、古建筑等；很少发生交易的房地产，如学校、医院、行政办公楼等；可比性很差的房地产，如在建工程等。</w:t>
      </w:r>
    </w:p>
    <w:p w14:paraId="39A3162C" w14:textId="77D12B52" w:rsidR="00527C5A" w:rsidRDefault="00565063" w:rsidP="00565063">
      <w:pPr>
        <w:kinsoku w:val="0"/>
        <w:autoSpaceDE w:val="0"/>
        <w:autoSpaceDN w:val="0"/>
        <w:spacing w:line="360" w:lineRule="auto"/>
        <w:ind w:firstLineChars="200" w:firstLine="560"/>
        <w:contextualSpacing/>
        <w:rPr>
          <w:rFonts w:ascii="Arial" w:eastAsia="楷体_GB2312" w:hAnsi="Arial" w:cs="Arial"/>
          <w:kern w:val="0"/>
          <w:sz w:val="28"/>
          <w:szCs w:val="28"/>
        </w:rPr>
      </w:pPr>
      <w:r w:rsidRPr="00565063">
        <w:rPr>
          <w:rFonts w:ascii="Arial" w:eastAsia="楷体_GB2312" w:hAnsi="Arial" w:cs="Arial" w:hint="eastAsia"/>
          <w:kern w:val="0"/>
          <w:sz w:val="28"/>
          <w:szCs w:val="28"/>
        </w:rPr>
        <w:t>比较法估价需要在价值时点的近期有较多类似房地产的交易。房地产市场不够活跃或类似房地产交易较少的地区，难以采用比较法估价</w:t>
      </w:r>
      <w:r>
        <w:rPr>
          <w:rFonts w:ascii="Arial" w:eastAsia="楷体_GB2312" w:hAnsi="Arial" w:cs="Arial" w:hint="eastAsia"/>
          <w:kern w:val="0"/>
          <w:sz w:val="28"/>
          <w:szCs w:val="28"/>
        </w:rPr>
        <w:t>。</w:t>
      </w:r>
    </w:p>
    <w:p w14:paraId="664423B6" w14:textId="6FDA3658" w:rsidR="00527C5A" w:rsidRDefault="00565063"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估价对象用途为综合超市、再生资源回收站、社区菜市场，与市场上正常的商业用途房地产不同</w:t>
      </w:r>
      <w:r w:rsidR="008D05F2">
        <w:rPr>
          <w:rFonts w:ascii="Arial" w:eastAsia="楷体_GB2312" w:hAnsi="Arial" w:cs="Arial" w:hint="eastAsia"/>
          <w:kern w:val="0"/>
          <w:sz w:val="28"/>
          <w:szCs w:val="28"/>
        </w:rPr>
        <w:t>，</w:t>
      </w:r>
      <w:r>
        <w:rPr>
          <w:rFonts w:ascii="Arial" w:eastAsia="楷体_GB2312" w:hAnsi="Arial" w:cs="Arial" w:hint="eastAsia"/>
          <w:kern w:val="0"/>
          <w:sz w:val="28"/>
          <w:szCs w:val="28"/>
        </w:rPr>
        <w:t>市场上类似的房地产交易很少，无法采用比较法进行评估。</w:t>
      </w:r>
    </w:p>
    <w:p w14:paraId="257E521D" w14:textId="0B5CEF43" w:rsidR="00527C5A" w:rsidRDefault="0025791A"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EF59CE">
        <w:rPr>
          <w:rFonts w:ascii="Arial" w:eastAsia="楷体_GB2312" w:hAnsi="Arial" w:cs="Arial" w:hint="eastAsia"/>
          <w:kern w:val="0"/>
          <w:sz w:val="28"/>
          <w:szCs w:val="28"/>
          <w:highlight w:val="yellow"/>
        </w:rPr>
        <w:t>收益法</w:t>
      </w:r>
      <w:r w:rsidRPr="0025791A">
        <w:rPr>
          <w:rFonts w:ascii="Arial" w:eastAsia="楷体_GB2312" w:hAnsi="Arial" w:cs="Arial" w:hint="eastAsia"/>
          <w:kern w:val="0"/>
          <w:sz w:val="28"/>
          <w:szCs w:val="28"/>
        </w:rPr>
        <w:t>是预测估价对象的</w:t>
      </w:r>
      <w:r>
        <w:rPr>
          <w:rFonts w:ascii="Arial" w:eastAsia="楷体_GB2312" w:hAnsi="Arial" w:cs="Arial" w:hint="eastAsia"/>
          <w:kern w:val="0"/>
          <w:sz w:val="28"/>
          <w:szCs w:val="28"/>
        </w:rPr>
        <w:t>未来收益</w:t>
      </w:r>
      <w:r w:rsidRPr="0025791A">
        <w:rPr>
          <w:rFonts w:ascii="Arial" w:eastAsia="楷体_GB2312" w:hAnsi="Arial" w:cs="Arial" w:hint="eastAsia"/>
          <w:kern w:val="0"/>
          <w:sz w:val="28"/>
          <w:szCs w:val="28"/>
        </w:rPr>
        <w:t>，利用</w:t>
      </w:r>
      <w:r>
        <w:rPr>
          <w:rFonts w:ascii="Arial" w:eastAsia="楷体_GB2312" w:hAnsi="Arial" w:cs="Arial" w:hint="eastAsia"/>
          <w:kern w:val="0"/>
          <w:sz w:val="28"/>
          <w:szCs w:val="28"/>
        </w:rPr>
        <w:t>报酬率或资本化率</w:t>
      </w:r>
      <w:r w:rsidRPr="0025791A">
        <w:rPr>
          <w:rFonts w:ascii="Arial" w:eastAsia="楷体_GB2312" w:hAnsi="Arial" w:cs="Arial" w:hint="eastAsia"/>
          <w:kern w:val="0"/>
          <w:sz w:val="28"/>
          <w:szCs w:val="28"/>
        </w:rPr>
        <w:t>、收益乘数将未来收益</w:t>
      </w:r>
      <w:r w:rsidRPr="0025791A">
        <w:rPr>
          <w:rFonts w:ascii="楷体_GB2312" w:eastAsia="楷体_GB2312" w:hAnsi="楷体_GB2312" w:cs="楷体_GB2312" w:hint="eastAsia"/>
          <w:kern w:val="0"/>
          <w:sz w:val="28"/>
          <w:szCs w:val="28"/>
        </w:rPr>
        <w:t>转换为价值得到估价对象价值或价格的方法。将未来收益转换为价值，类似于根据利息倒推出本金，称为资本化。该方法适用于估价对象或其同类房地产通常有</w:t>
      </w:r>
      <w:r>
        <w:rPr>
          <w:rFonts w:ascii="楷体_GB2312" w:eastAsia="楷体_GB2312" w:hAnsi="楷体_GB2312" w:cs="楷体_GB2312" w:hint="eastAsia"/>
          <w:kern w:val="0"/>
          <w:sz w:val="28"/>
          <w:szCs w:val="28"/>
        </w:rPr>
        <w:t>租金</w:t>
      </w:r>
      <w:r w:rsidRPr="0025791A">
        <w:rPr>
          <w:rFonts w:ascii="楷体_GB2312" w:eastAsia="楷体_GB2312" w:hAnsi="楷体_GB2312" w:cs="楷体_GB2312" w:hint="eastAsia"/>
          <w:kern w:val="0"/>
          <w:sz w:val="28"/>
          <w:szCs w:val="28"/>
        </w:rPr>
        <w:t>等经济</w:t>
      </w:r>
      <w:r>
        <w:rPr>
          <w:rFonts w:ascii="楷体_GB2312" w:eastAsia="楷体_GB2312" w:hAnsi="楷体_GB2312" w:cs="楷体_GB2312" w:hint="eastAsia"/>
          <w:kern w:val="0"/>
          <w:sz w:val="28"/>
          <w:szCs w:val="28"/>
        </w:rPr>
        <w:t>收入</w:t>
      </w:r>
      <w:r w:rsidRPr="0025791A">
        <w:rPr>
          <w:rFonts w:ascii="楷体_GB2312" w:eastAsia="楷体_GB2312" w:hAnsi="楷体_GB2312" w:cs="楷体_GB2312" w:hint="eastAsia"/>
          <w:kern w:val="0"/>
          <w:sz w:val="28"/>
          <w:szCs w:val="28"/>
        </w:rPr>
        <w:t>的收益性房地产，包括住宅、写字楼、商店、酒店、餐馆、游乐场、影剧院、停车场、汽车加油站、标</w:t>
      </w:r>
      <w:r>
        <w:rPr>
          <w:rFonts w:ascii="楷体_GB2312" w:eastAsia="楷体_GB2312" w:hAnsi="楷体_GB2312" w:cs="楷体_GB2312" w:hint="eastAsia"/>
          <w:kern w:val="0"/>
          <w:sz w:val="28"/>
          <w:szCs w:val="28"/>
        </w:rPr>
        <w:t>准</w:t>
      </w:r>
      <w:r w:rsidRPr="0025791A">
        <w:rPr>
          <w:rFonts w:ascii="楷体_GB2312" w:eastAsia="楷体_GB2312" w:hAnsi="楷体_GB2312" w:cs="楷体_GB2312" w:hint="eastAsia"/>
          <w:kern w:val="0"/>
          <w:sz w:val="28"/>
          <w:szCs w:val="28"/>
        </w:rPr>
        <w:t>厂房（用</w:t>
      </w:r>
      <w:r>
        <w:rPr>
          <w:rFonts w:ascii="楷体_GB2312" w:eastAsia="楷体_GB2312" w:hAnsi="楷体_GB2312" w:cs="楷体_GB2312" w:hint="eastAsia"/>
          <w:kern w:val="0"/>
          <w:sz w:val="28"/>
          <w:szCs w:val="28"/>
        </w:rPr>
        <w:t>于</w:t>
      </w:r>
      <w:r w:rsidRPr="0025791A">
        <w:rPr>
          <w:rFonts w:ascii="楷体_GB2312" w:eastAsia="楷体_GB2312" w:hAnsi="楷体_GB2312" w:cs="楷体_GB2312" w:hint="eastAsia"/>
          <w:kern w:val="0"/>
          <w:sz w:val="28"/>
          <w:szCs w:val="28"/>
        </w:rPr>
        <w:t xml:space="preserve">出租的）、仓库 </w:t>
      </w:r>
      <w:r>
        <w:rPr>
          <w:rFonts w:ascii="楷体_GB2312" w:eastAsia="楷体_GB2312" w:hAnsi="楷体_GB2312" w:cs="楷体_GB2312" w:hint="eastAsia"/>
          <w:kern w:val="0"/>
          <w:sz w:val="28"/>
          <w:szCs w:val="28"/>
        </w:rPr>
        <w:t>（</w:t>
      </w:r>
      <w:r w:rsidRPr="0025791A">
        <w:rPr>
          <w:rFonts w:ascii="楷体_GB2312" w:eastAsia="楷体_GB2312" w:hAnsi="楷体_GB2312" w:cs="楷体_GB2312" w:hint="eastAsia"/>
          <w:kern w:val="0"/>
          <w:sz w:val="28"/>
          <w:szCs w:val="28"/>
        </w:rPr>
        <w:t>用于出租的）、农地等。这些估价对象不限于其目前是否有收益，只要其同类房地产有收益即可。</w:t>
      </w:r>
      <w:r w:rsidRPr="0025791A">
        <w:rPr>
          <w:rFonts w:ascii="Arial" w:eastAsia="楷体_GB2312" w:hAnsi="Arial" w:cs="Arial" w:hint="eastAsia"/>
          <w:kern w:val="0"/>
          <w:sz w:val="28"/>
          <w:szCs w:val="28"/>
        </w:rPr>
        <w:t>收益法一般不适用于行政办公楼、学校、公园等公用、公益性房地产的估价。</w:t>
      </w:r>
    </w:p>
    <w:p w14:paraId="265319F1" w14:textId="77777777" w:rsidR="00EF59CE" w:rsidRDefault="0008591B" w:rsidP="00FD6E26">
      <w:pPr>
        <w:overflowPunct w:val="0"/>
        <w:autoSpaceDE w:val="0"/>
        <w:autoSpaceDN w:val="0"/>
        <w:spacing w:line="480" w:lineRule="auto"/>
        <w:ind w:firstLineChars="200" w:firstLine="560"/>
        <w:rPr>
          <w:rFonts w:ascii="Arial" w:eastAsia="楷体_GB2312" w:hAnsi="Arial" w:cs="Arial"/>
          <w:kern w:val="0"/>
          <w:sz w:val="28"/>
          <w:szCs w:val="28"/>
        </w:rPr>
      </w:pPr>
      <w:r>
        <w:rPr>
          <w:rFonts w:ascii="Arial" w:eastAsia="楷体_GB2312" w:hAnsi="Arial" w:cs="Arial" w:hint="eastAsia"/>
          <w:kern w:val="0"/>
          <w:sz w:val="28"/>
          <w:szCs w:val="28"/>
        </w:rPr>
        <w:t>估价对象现状为商业用途，可出租使用，获得租金收益，因此可以采用收益法进行评估。“</w:t>
      </w:r>
      <w:r w:rsidRPr="0008591B">
        <w:rPr>
          <w:rFonts w:ascii="Arial" w:eastAsia="楷体_GB2312" w:hAnsi="Arial" w:cs="Arial" w:hint="eastAsia"/>
          <w:kern w:val="0"/>
          <w:sz w:val="28"/>
          <w:szCs w:val="28"/>
        </w:rPr>
        <w:t>未来净收益流量的常规类型可分为以下几种：一是每年基本上不变；二是每年基本上按某个</w:t>
      </w:r>
      <w:r>
        <w:rPr>
          <w:rFonts w:ascii="Arial" w:eastAsia="楷体_GB2312" w:hAnsi="Arial" w:cs="Arial" w:hint="eastAsia"/>
          <w:kern w:val="0"/>
          <w:sz w:val="28"/>
          <w:szCs w:val="28"/>
        </w:rPr>
        <w:t>比</w:t>
      </w:r>
      <w:r w:rsidRPr="0008591B">
        <w:rPr>
          <w:rFonts w:ascii="Arial" w:eastAsia="楷体_GB2312" w:hAnsi="Arial" w:cs="Arial" w:hint="eastAsia"/>
          <w:kern w:val="0"/>
          <w:sz w:val="28"/>
          <w:szCs w:val="28"/>
        </w:rPr>
        <w:t>率递增；三是每年基本上按某个数额递增；四是每年基本上按某个比率递减；五是每年基本上按某个数额递减。</w:t>
      </w:r>
      <w:r>
        <w:rPr>
          <w:rFonts w:ascii="Arial" w:eastAsia="楷体_GB2312" w:hAnsi="Arial" w:cs="Arial" w:hint="eastAsia"/>
          <w:kern w:val="0"/>
          <w:sz w:val="28"/>
          <w:szCs w:val="28"/>
        </w:rPr>
        <w:t>本次未来净收益是按照现在的市场租金水平以及市场正常的增长率进行测算，</w:t>
      </w:r>
      <w:r w:rsidR="00FD6E26" w:rsidRPr="00FD6E26">
        <w:rPr>
          <w:rFonts w:ascii="Arial" w:eastAsia="楷体_GB2312" w:hAnsi="Arial" w:cs="Arial" w:hint="eastAsia"/>
          <w:kern w:val="0"/>
          <w:sz w:val="28"/>
          <w:szCs w:val="28"/>
        </w:rPr>
        <w:t>报酬率的确定方法有市场提取法、安全利率加</w:t>
      </w:r>
      <w:r w:rsidR="00FD6E26" w:rsidRPr="00FD6E26">
        <w:rPr>
          <w:rFonts w:ascii="Arial" w:eastAsia="楷体_GB2312" w:hAnsi="Arial" w:cs="Arial" w:hint="eastAsia"/>
          <w:kern w:val="0"/>
          <w:sz w:val="28"/>
          <w:szCs w:val="28"/>
        </w:rPr>
        <w:lastRenderedPageBreak/>
        <w:t>风险调整值法、复合投资收益率法、投资收益率排序插入法等方法。本次测算采取安全利率加风险调整值法；以安全利率加上风险调整值作为报酬率。其中安全利率可以选用同一时期的中国人民银行公布的一年定期存款年利率（</w:t>
      </w:r>
      <w:r w:rsidR="00FD6E26" w:rsidRPr="00FD6E26">
        <w:rPr>
          <w:rFonts w:ascii="Arial" w:eastAsia="楷体_GB2312" w:hAnsi="Arial" w:cs="Arial" w:hint="eastAsia"/>
          <w:kern w:val="0"/>
          <w:sz w:val="28"/>
          <w:szCs w:val="28"/>
        </w:rPr>
        <w:t>1.5%</w:t>
      </w:r>
      <w:r w:rsidR="00FD6E26" w:rsidRPr="00FD6E26">
        <w:rPr>
          <w:rFonts w:ascii="Arial" w:eastAsia="楷体_GB2312" w:hAnsi="Arial" w:cs="Arial" w:hint="eastAsia"/>
          <w:kern w:val="0"/>
          <w:sz w:val="28"/>
          <w:szCs w:val="28"/>
        </w:rPr>
        <w:t>），风险调整值则可以根据估价对象所在地区的经济现状及未来预测、估价对象的用途等自身特点确定，经调查，一般为</w:t>
      </w:r>
      <w:r w:rsidR="00FD6E26" w:rsidRPr="00FD6E26">
        <w:rPr>
          <w:rFonts w:ascii="Arial" w:eastAsia="楷体_GB2312" w:hAnsi="Arial" w:cs="Arial" w:hint="eastAsia"/>
          <w:kern w:val="0"/>
          <w:sz w:val="28"/>
          <w:szCs w:val="28"/>
        </w:rPr>
        <w:t>3%-4.5%</w:t>
      </w:r>
      <w:r w:rsidR="00FD6E26" w:rsidRPr="00FD6E26">
        <w:rPr>
          <w:rFonts w:ascii="Arial" w:eastAsia="楷体_GB2312" w:hAnsi="Arial" w:cs="Arial" w:hint="eastAsia"/>
          <w:kern w:val="0"/>
          <w:sz w:val="28"/>
          <w:szCs w:val="28"/>
        </w:rPr>
        <w:t>之间，本次评估依据估价对象所在项目特点，</w:t>
      </w:r>
      <w:proofErr w:type="gramStart"/>
      <w:r w:rsidR="00FD6E26" w:rsidRPr="00FD6E26">
        <w:rPr>
          <w:rFonts w:ascii="Arial" w:eastAsia="楷体_GB2312" w:hAnsi="Arial" w:cs="Arial" w:hint="eastAsia"/>
          <w:kern w:val="0"/>
          <w:sz w:val="28"/>
          <w:szCs w:val="28"/>
        </w:rPr>
        <w:t>取风险</w:t>
      </w:r>
      <w:proofErr w:type="gramEnd"/>
      <w:r w:rsidR="00FD6E26" w:rsidRPr="00FD6E26">
        <w:rPr>
          <w:rFonts w:ascii="Arial" w:eastAsia="楷体_GB2312" w:hAnsi="Arial" w:cs="Arial" w:hint="eastAsia"/>
          <w:kern w:val="0"/>
          <w:sz w:val="28"/>
          <w:szCs w:val="28"/>
        </w:rPr>
        <w:t>调整值为</w:t>
      </w:r>
      <w:r w:rsidR="00FD6E26" w:rsidRPr="00FD6E26">
        <w:rPr>
          <w:rFonts w:ascii="Arial" w:eastAsia="楷体_GB2312" w:hAnsi="Arial" w:cs="Arial" w:hint="eastAsia"/>
          <w:kern w:val="0"/>
          <w:sz w:val="28"/>
          <w:szCs w:val="28"/>
        </w:rPr>
        <w:t>4%</w:t>
      </w:r>
      <w:r w:rsidR="00FD6E26" w:rsidRPr="00FD6E26">
        <w:rPr>
          <w:rFonts w:ascii="Arial" w:eastAsia="楷体_GB2312" w:hAnsi="Arial" w:cs="Arial" w:hint="eastAsia"/>
          <w:kern w:val="0"/>
          <w:sz w:val="28"/>
          <w:szCs w:val="28"/>
        </w:rPr>
        <w:t>，则依据安全利率加风险调整值法可以得出报酬率为</w:t>
      </w:r>
      <w:r w:rsidR="00FD6E26" w:rsidRPr="00FD6E26">
        <w:rPr>
          <w:rFonts w:ascii="Arial" w:eastAsia="楷体_GB2312" w:hAnsi="Arial" w:cs="Arial" w:hint="eastAsia"/>
          <w:kern w:val="0"/>
          <w:sz w:val="28"/>
          <w:szCs w:val="28"/>
        </w:rPr>
        <w:t>5.5%</w:t>
      </w:r>
      <w:r w:rsidR="00FD6E26" w:rsidRPr="00FD6E26">
        <w:rPr>
          <w:rFonts w:ascii="Arial" w:eastAsia="楷体_GB2312" w:hAnsi="Arial" w:cs="Arial" w:hint="eastAsia"/>
          <w:kern w:val="0"/>
          <w:sz w:val="28"/>
          <w:szCs w:val="28"/>
        </w:rPr>
        <w:t>。</w:t>
      </w:r>
    </w:p>
    <w:p w14:paraId="09375679" w14:textId="03427E80" w:rsidR="00EF59CE" w:rsidRPr="00EF59CE" w:rsidRDefault="00EF59CE" w:rsidP="00EF59CE">
      <w:pPr>
        <w:overflowPunct w:val="0"/>
        <w:autoSpaceDE w:val="0"/>
        <w:autoSpaceDN w:val="0"/>
        <w:spacing w:line="480" w:lineRule="auto"/>
        <w:ind w:firstLineChars="200" w:firstLine="560"/>
        <w:rPr>
          <w:rFonts w:ascii="Arial" w:eastAsia="楷体_GB2312" w:hAnsi="Arial" w:cs="Arial"/>
          <w:kern w:val="0"/>
          <w:sz w:val="28"/>
          <w:szCs w:val="28"/>
        </w:rPr>
      </w:pPr>
      <w:r w:rsidRPr="00EF59CE">
        <w:rPr>
          <w:rFonts w:ascii="Arial" w:eastAsia="楷体_GB2312" w:hAnsi="Arial" w:cs="Arial" w:hint="eastAsia"/>
          <w:kern w:val="0"/>
          <w:sz w:val="28"/>
          <w:szCs w:val="28"/>
          <w:highlight w:val="yellow"/>
        </w:rPr>
        <w:t>成本法</w:t>
      </w:r>
      <w:r w:rsidRPr="00EF59CE">
        <w:rPr>
          <w:rFonts w:ascii="Arial" w:eastAsia="楷体_GB2312" w:hAnsi="Arial" w:cs="Arial" w:hint="eastAsia"/>
          <w:kern w:val="0"/>
          <w:sz w:val="28"/>
          <w:szCs w:val="28"/>
        </w:rPr>
        <w:t>是</w:t>
      </w:r>
      <w:r>
        <w:rPr>
          <w:rFonts w:ascii="Arial" w:eastAsia="楷体_GB2312" w:hAnsi="Arial" w:cs="Arial" w:hint="eastAsia"/>
          <w:kern w:val="0"/>
          <w:sz w:val="28"/>
          <w:szCs w:val="28"/>
        </w:rPr>
        <w:t>测算</w:t>
      </w:r>
      <w:r w:rsidRPr="00EF59CE">
        <w:rPr>
          <w:rFonts w:ascii="楷体_GB2312" w:eastAsia="楷体_GB2312" w:hAnsi="楷体_GB2312" w:cs="楷体_GB2312" w:hint="eastAsia"/>
          <w:kern w:val="0"/>
          <w:sz w:val="28"/>
          <w:szCs w:val="28"/>
        </w:rPr>
        <w:t>估价对象在价值时点的重置成本或重建成本和折</w:t>
      </w:r>
      <w:r w:rsidRPr="00EF59CE">
        <w:rPr>
          <w:rFonts w:ascii="Arial" w:eastAsia="楷体_GB2312" w:hAnsi="Arial" w:cs="Arial" w:hint="eastAsia"/>
          <w:kern w:val="0"/>
          <w:sz w:val="28"/>
          <w:szCs w:val="28"/>
        </w:rPr>
        <w:t>旧，将</w:t>
      </w:r>
      <w:r>
        <w:rPr>
          <w:rFonts w:ascii="Arial" w:eastAsia="楷体_GB2312" w:hAnsi="Arial" w:cs="Arial" w:hint="eastAsia"/>
          <w:kern w:val="0"/>
          <w:sz w:val="28"/>
          <w:szCs w:val="28"/>
        </w:rPr>
        <w:t>重置</w:t>
      </w:r>
      <w:r w:rsidRPr="00EF59CE">
        <w:rPr>
          <w:rFonts w:ascii="Arial" w:eastAsia="楷体_GB2312" w:hAnsi="Arial" w:cs="Arial" w:hint="eastAsia"/>
          <w:kern w:val="0"/>
          <w:sz w:val="28"/>
          <w:szCs w:val="28"/>
        </w:rPr>
        <w:t>成本或重建成本减去</w:t>
      </w:r>
      <w:proofErr w:type="gramStart"/>
      <w:r w:rsidRPr="00EF59CE">
        <w:rPr>
          <w:rFonts w:ascii="Arial" w:eastAsia="楷体_GB2312" w:hAnsi="Arial" w:cs="Arial" w:hint="eastAsia"/>
          <w:kern w:val="0"/>
          <w:sz w:val="28"/>
          <w:szCs w:val="28"/>
        </w:rPr>
        <w:t>折日得到</w:t>
      </w:r>
      <w:proofErr w:type="gramEnd"/>
      <w:r w:rsidRPr="00EF59CE">
        <w:rPr>
          <w:rFonts w:ascii="Arial" w:eastAsia="楷体_GB2312" w:hAnsi="Arial" w:cs="Arial" w:hint="eastAsia"/>
          <w:kern w:val="0"/>
          <w:sz w:val="28"/>
          <w:szCs w:val="28"/>
        </w:rPr>
        <w:t>估价对象价值</w:t>
      </w:r>
      <w:r>
        <w:rPr>
          <w:rFonts w:ascii="Arial" w:eastAsia="楷体_GB2312" w:hAnsi="Arial" w:cs="Arial" w:hint="eastAsia"/>
          <w:kern w:val="0"/>
          <w:sz w:val="28"/>
          <w:szCs w:val="28"/>
        </w:rPr>
        <w:t>或</w:t>
      </w:r>
      <w:r w:rsidRPr="00EF59CE">
        <w:rPr>
          <w:rFonts w:ascii="Arial" w:eastAsia="楷体_GB2312" w:hAnsi="Arial" w:cs="Arial" w:hint="eastAsia"/>
          <w:kern w:val="0"/>
          <w:sz w:val="28"/>
          <w:szCs w:val="28"/>
        </w:rPr>
        <w:t>价格的方法。</w:t>
      </w:r>
    </w:p>
    <w:p w14:paraId="2AFD0B31" w14:textId="112A8A54" w:rsidR="00EF59CE" w:rsidRPr="00EF59CE" w:rsidRDefault="00EF59CE" w:rsidP="00EF59CE">
      <w:pPr>
        <w:overflowPunct w:val="0"/>
        <w:autoSpaceDE w:val="0"/>
        <w:autoSpaceDN w:val="0"/>
        <w:spacing w:line="480" w:lineRule="auto"/>
        <w:ind w:firstLineChars="200" w:firstLine="560"/>
        <w:rPr>
          <w:rFonts w:ascii="Arial" w:eastAsia="楷体_GB2312" w:hAnsi="Arial" w:cs="Arial"/>
          <w:kern w:val="0"/>
          <w:sz w:val="28"/>
          <w:szCs w:val="28"/>
        </w:rPr>
      </w:pPr>
      <w:r w:rsidRPr="00EF59CE">
        <w:rPr>
          <w:rFonts w:ascii="Arial" w:eastAsia="楷体_GB2312" w:hAnsi="Arial" w:cs="Arial" w:hint="eastAsia"/>
          <w:kern w:val="0"/>
          <w:sz w:val="28"/>
          <w:szCs w:val="28"/>
        </w:rPr>
        <w:t>新近开发完成的房地产</w:t>
      </w:r>
      <w:r w:rsidRPr="00EF59CE">
        <w:rPr>
          <w:rFonts w:ascii="Arial" w:eastAsia="楷体_GB2312" w:hAnsi="Arial" w:cs="Arial" w:hint="eastAsia"/>
          <w:kern w:val="0"/>
          <w:sz w:val="28"/>
          <w:szCs w:val="28"/>
        </w:rPr>
        <w:t xml:space="preserve"> </w:t>
      </w:r>
      <w:r w:rsidRPr="00EF59CE">
        <w:rPr>
          <w:rFonts w:ascii="Arial" w:eastAsia="楷体_GB2312" w:hAnsi="Arial" w:cs="Arial" w:hint="eastAsia"/>
          <w:kern w:val="0"/>
          <w:sz w:val="28"/>
          <w:szCs w:val="28"/>
        </w:rPr>
        <w:t>（简称新开发的房地产）、可以</w:t>
      </w:r>
      <w:r>
        <w:rPr>
          <w:rFonts w:ascii="Arial" w:eastAsia="楷体_GB2312" w:hAnsi="Arial" w:cs="Arial" w:hint="eastAsia"/>
          <w:kern w:val="0"/>
          <w:sz w:val="28"/>
          <w:szCs w:val="28"/>
        </w:rPr>
        <w:t>假设</w:t>
      </w:r>
      <w:r w:rsidRPr="00EF59CE">
        <w:rPr>
          <w:rFonts w:ascii="Arial" w:eastAsia="楷体_GB2312" w:hAnsi="Arial" w:cs="Arial" w:hint="eastAsia"/>
          <w:kern w:val="0"/>
          <w:sz w:val="28"/>
          <w:szCs w:val="28"/>
        </w:rPr>
        <w:t>重新开发的现有房地产</w:t>
      </w:r>
      <w:r w:rsidRPr="00EF59CE">
        <w:rPr>
          <w:rFonts w:ascii="Arial" w:eastAsia="楷体_GB2312" w:hAnsi="Arial" w:cs="Arial" w:hint="eastAsia"/>
          <w:kern w:val="0"/>
          <w:sz w:val="28"/>
          <w:szCs w:val="28"/>
        </w:rPr>
        <w:t xml:space="preserve"> (</w:t>
      </w:r>
      <w:r w:rsidRPr="00EF59CE">
        <w:rPr>
          <w:rFonts w:ascii="Arial" w:eastAsia="楷体_GB2312" w:hAnsi="Arial" w:cs="Arial" w:hint="eastAsia"/>
          <w:kern w:val="0"/>
          <w:sz w:val="28"/>
          <w:szCs w:val="28"/>
        </w:rPr>
        <w:t>简称旧的房地产</w:t>
      </w:r>
      <w:r w:rsidRPr="00EF59CE">
        <w:rPr>
          <w:rFonts w:ascii="Arial" w:eastAsia="楷体_GB2312" w:hAnsi="Arial" w:cs="Arial" w:hint="eastAsia"/>
          <w:kern w:val="0"/>
          <w:sz w:val="28"/>
          <w:szCs w:val="28"/>
        </w:rPr>
        <w:t>)</w:t>
      </w:r>
      <w:r w:rsidRPr="00EF59CE">
        <w:rPr>
          <w:rFonts w:ascii="Arial" w:eastAsia="楷体_GB2312" w:hAnsi="Arial" w:cs="Arial" w:hint="eastAsia"/>
          <w:kern w:val="0"/>
          <w:sz w:val="28"/>
          <w:szCs w:val="28"/>
        </w:rPr>
        <w:t>、正在开发的房地</w:t>
      </w:r>
      <w:r>
        <w:rPr>
          <w:rFonts w:ascii="Arial" w:eastAsia="楷体_GB2312" w:hAnsi="Arial" w:cs="Arial" w:hint="eastAsia"/>
          <w:kern w:val="0"/>
          <w:sz w:val="28"/>
          <w:szCs w:val="28"/>
        </w:rPr>
        <w:t>产（</w:t>
      </w:r>
      <w:r w:rsidRPr="00EF59CE">
        <w:rPr>
          <w:rFonts w:ascii="Arial" w:eastAsia="楷体_GB2312" w:hAnsi="Arial" w:cs="Arial" w:hint="eastAsia"/>
          <w:kern w:val="0"/>
          <w:sz w:val="28"/>
          <w:szCs w:val="28"/>
        </w:rPr>
        <w:t>即在建工程）、计划开发的房地产</w:t>
      </w:r>
      <w:r w:rsidRPr="00EF59CE">
        <w:rPr>
          <w:rFonts w:ascii="Arial" w:eastAsia="楷体_GB2312" w:hAnsi="Arial" w:cs="Arial" w:hint="eastAsia"/>
          <w:kern w:val="0"/>
          <w:sz w:val="28"/>
          <w:szCs w:val="28"/>
        </w:rPr>
        <w:t xml:space="preserve"> </w:t>
      </w:r>
      <w:r>
        <w:rPr>
          <w:rFonts w:ascii="Arial" w:eastAsia="楷体_GB2312" w:hAnsi="Arial" w:cs="Arial" w:hint="eastAsia"/>
          <w:kern w:val="0"/>
          <w:sz w:val="28"/>
          <w:szCs w:val="28"/>
        </w:rPr>
        <w:t>（</w:t>
      </w:r>
      <w:r w:rsidRPr="00EF59CE">
        <w:rPr>
          <w:rFonts w:ascii="Arial" w:eastAsia="楷体_GB2312" w:hAnsi="Arial" w:cs="Arial" w:hint="eastAsia"/>
          <w:kern w:val="0"/>
          <w:sz w:val="28"/>
          <w:szCs w:val="28"/>
        </w:rPr>
        <w:t>如期房</w:t>
      </w:r>
      <w:r>
        <w:rPr>
          <w:rFonts w:ascii="Arial" w:eastAsia="楷体_GB2312" w:hAnsi="Arial" w:cs="Arial" w:hint="eastAsia"/>
          <w:kern w:val="0"/>
          <w:sz w:val="28"/>
          <w:szCs w:val="28"/>
        </w:rPr>
        <w:t>）</w:t>
      </w:r>
      <w:r w:rsidRPr="00EF59CE">
        <w:rPr>
          <w:rFonts w:ascii="Arial" w:eastAsia="楷体_GB2312" w:hAnsi="Arial" w:cs="Arial" w:hint="eastAsia"/>
          <w:kern w:val="0"/>
          <w:sz w:val="28"/>
          <w:szCs w:val="28"/>
        </w:rPr>
        <w:t>，都可以</w:t>
      </w:r>
      <w:r>
        <w:rPr>
          <w:rFonts w:ascii="Arial" w:eastAsia="楷体_GB2312" w:hAnsi="Arial" w:cs="Arial" w:hint="eastAsia"/>
          <w:kern w:val="0"/>
          <w:sz w:val="28"/>
          <w:szCs w:val="28"/>
        </w:rPr>
        <w:t>采用</w:t>
      </w:r>
      <w:r w:rsidRPr="00EF59CE">
        <w:rPr>
          <w:rFonts w:ascii="Arial" w:eastAsia="楷体_GB2312" w:hAnsi="Arial" w:cs="Arial" w:hint="eastAsia"/>
          <w:kern w:val="0"/>
          <w:sz w:val="28"/>
          <w:szCs w:val="28"/>
        </w:rPr>
        <w:t>成本法进行估价。对很少发生交易而限制了比较法运用，又没有经济</w:t>
      </w:r>
      <w:r>
        <w:rPr>
          <w:rFonts w:ascii="Arial" w:eastAsia="楷体_GB2312" w:hAnsi="Arial" w:cs="Arial" w:hint="eastAsia"/>
          <w:kern w:val="0"/>
          <w:sz w:val="28"/>
          <w:szCs w:val="28"/>
        </w:rPr>
        <w:t>收入</w:t>
      </w:r>
      <w:r w:rsidRPr="00EF59CE">
        <w:rPr>
          <w:rFonts w:ascii="Arial" w:eastAsia="楷体_GB2312" w:hAnsi="Arial" w:cs="Arial" w:hint="eastAsia"/>
          <w:kern w:val="0"/>
          <w:sz w:val="28"/>
          <w:szCs w:val="28"/>
        </w:rPr>
        <w:t>或没有潜在经济收人而限制了收益法运用的房地产，如学校、医院、图书馆、体育场馆、公园、行政办公楼、军队</w:t>
      </w:r>
      <w:r>
        <w:rPr>
          <w:rFonts w:ascii="Arial" w:eastAsia="楷体_GB2312" w:hAnsi="Arial" w:cs="Arial" w:hint="eastAsia"/>
          <w:kern w:val="0"/>
          <w:sz w:val="28"/>
          <w:szCs w:val="28"/>
        </w:rPr>
        <w:t>营房</w:t>
      </w:r>
      <w:r w:rsidRPr="00EF59CE">
        <w:rPr>
          <w:rFonts w:ascii="Arial" w:eastAsia="楷体_GB2312" w:hAnsi="Arial" w:cs="Arial" w:hint="eastAsia"/>
          <w:kern w:val="0"/>
          <w:sz w:val="28"/>
          <w:szCs w:val="28"/>
        </w:rPr>
        <w:t>等以公益、公用为目的的房地产，特别适用成本法估价。化工厂、钢铁厂、</w:t>
      </w:r>
      <w:r w:rsidRPr="00EF59CE">
        <w:rPr>
          <w:rFonts w:ascii="Arial" w:eastAsia="楷体_GB2312" w:hAnsi="Arial" w:cs="Arial" w:hint="eastAsia"/>
          <w:kern w:val="0"/>
          <w:sz w:val="28"/>
          <w:szCs w:val="28"/>
        </w:rPr>
        <w:t xml:space="preserve"> </w:t>
      </w:r>
      <w:r w:rsidRPr="00EF59CE">
        <w:rPr>
          <w:rFonts w:ascii="Arial" w:eastAsia="楷体_GB2312" w:hAnsi="Arial" w:cs="Arial" w:hint="eastAsia"/>
          <w:kern w:val="0"/>
          <w:sz w:val="28"/>
          <w:szCs w:val="28"/>
        </w:rPr>
        <w:t>发电厂、油田、码头、机场之类有独特设计或只针对特定使用者的特殊需要而开发建设的房地产，以及单独的建筑物或其装饰装修部分，通常也是采用成本法进行估价。</w:t>
      </w:r>
    </w:p>
    <w:p w14:paraId="71AF468D" w14:textId="09E79EAF" w:rsidR="0008591B" w:rsidRDefault="00EF59CE" w:rsidP="00EF59CE">
      <w:pPr>
        <w:overflowPunct w:val="0"/>
        <w:autoSpaceDE w:val="0"/>
        <w:autoSpaceDN w:val="0"/>
        <w:spacing w:line="480" w:lineRule="auto"/>
        <w:ind w:firstLineChars="200" w:firstLine="560"/>
        <w:rPr>
          <w:rFonts w:ascii="Arial" w:eastAsia="楷体_GB2312" w:hAnsi="Arial" w:cs="Arial"/>
          <w:kern w:val="0"/>
          <w:sz w:val="28"/>
          <w:szCs w:val="28"/>
        </w:rPr>
      </w:pPr>
      <w:r w:rsidRPr="00EF59CE">
        <w:rPr>
          <w:rFonts w:ascii="Arial" w:eastAsia="楷体_GB2312" w:hAnsi="Arial" w:cs="Arial" w:hint="eastAsia"/>
          <w:kern w:val="0"/>
          <w:sz w:val="28"/>
          <w:szCs w:val="28"/>
        </w:rPr>
        <w:t>在房地产保险（包括投保和理赔）和房地产损害赔偿中，往往也是采用成本法进行估价。因为在保险事故发生后或其他损害中，房地产的损毁通常是建筑物的局部，需要将其恢复到原状</w:t>
      </w:r>
      <w:r w:rsidRPr="00EF59CE">
        <w:rPr>
          <w:rFonts w:ascii="Arial" w:eastAsia="楷体_GB2312" w:hAnsi="Arial" w:cs="Arial" w:hint="eastAsia"/>
          <w:kern w:val="0"/>
          <w:sz w:val="28"/>
          <w:szCs w:val="28"/>
        </w:rPr>
        <w:t>;</w:t>
      </w:r>
      <w:r w:rsidRPr="00EF59CE">
        <w:rPr>
          <w:rFonts w:ascii="Arial" w:eastAsia="楷体_GB2312" w:hAnsi="Arial" w:cs="Arial" w:hint="eastAsia"/>
          <w:kern w:val="0"/>
          <w:sz w:val="28"/>
          <w:szCs w:val="28"/>
        </w:rPr>
        <w:t>对发生建筑物全部</w:t>
      </w:r>
      <w:r>
        <w:rPr>
          <w:rFonts w:ascii="Arial" w:eastAsia="楷体_GB2312" w:hAnsi="Arial" w:cs="Arial" w:hint="eastAsia"/>
          <w:kern w:val="0"/>
          <w:sz w:val="28"/>
          <w:szCs w:val="28"/>
        </w:rPr>
        <w:t>损毁</w:t>
      </w:r>
      <w:r w:rsidRPr="00EF59CE">
        <w:rPr>
          <w:rFonts w:ascii="楷体_GB2312" w:eastAsia="楷体_GB2312" w:hAnsi="楷体_GB2312" w:cs="楷体_GB2312" w:hint="eastAsia"/>
          <w:kern w:val="0"/>
          <w:sz w:val="28"/>
          <w:szCs w:val="28"/>
        </w:rPr>
        <w:t>的，有时也需要采取重建方式</w:t>
      </w:r>
      <w:r>
        <w:rPr>
          <w:rFonts w:ascii="楷体_GB2312" w:eastAsia="楷体_GB2312" w:hAnsi="楷体_GB2312" w:cs="楷体_GB2312" w:hint="eastAsia"/>
          <w:kern w:val="0"/>
          <w:sz w:val="28"/>
          <w:szCs w:val="28"/>
        </w:rPr>
        <w:t>来</w:t>
      </w:r>
      <w:r w:rsidRPr="00EF59CE">
        <w:rPr>
          <w:rFonts w:ascii="楷体_GB2312" w:eastAsia="楷体_GB2312" w:hAnsi="楷体_GB2312" w:cs="楷体_GB2312" w:hint="eastAsia"/>
          <w:kern w:val="0"/>
          <w:sz w:val="28"/>
          <w:szCs w:val="28"/>
        </w:rPr>
        <w:t>解快：</w:t>
      </w:r>
      <w:r>
        <w:rPr>
          <w:rFonts w:ascii="楷体_GB2312" w:eastAsia="楷体_GB2312" w:hAnsi="楷体_GB2312" w:cs="楷体_GB2312" w:hint="eastAsia"/>
          <w:kern w:val="0"/>
          <w:sz w:val="28"/>
          <w:szCs w:val="28"/>
        </w:rPr>
        <w:t>另外</w:t>
      </w:r>
      <w:r w:rsidRPr="00EF59CE">
        <w:rPr>
          <w:rFonts w:ascii="Arial" w:eastAsia="楷体_GB2312" w:hAnsi="Arial" w:cs="Arial" w:hint="eastAsia"/>
          <w:kern w:val="0"/>
          <w:sz w:val="28"/>
          <w:szCs w:val="28"/>
        </w:rPr>
        <w:t>，在房地产市场不够活跃</w:t>
      </w:r>
      <w:r w:rsidRPr="00EF59CE">
        <w:rPr>
          <w:rFonts w:ascii="Arial" w:eastAsia="楷体_GB2312" w:hAnsi="Arial" w:cs="Arial" w:hint="eastAsia"/>
          <w:kern w:val="0"/>
          <w:sz w:val="28"/>
          <w:szCs w:val="28"/>
        </w:rPr>
        <w:lastRenderedPageBreak/>
        <w:t>或同类房地产交易较少的地区难以采用比较法估价时，通常只好采用成本法进行估价。</w:t>
      </w:r>
      <w:r w:rsidR="00FD6E26" w:rsidRPr="0008591B">
        <w:rPr>
          <w:rFonts w:ascii="Arial" w:eastAsia="楷体_GB2312" w:hAnsi="Arial" w:cs="Arial" w:hint="eastAsia"/>
          <w:kern w:val="0"/>
          <w:sz w:val="28"/>
          <w:szCs w:val="28"/>
        </w:rPr>
        <w:t xml:space="preserve"> </w:t>
      </w:r>
    </w:p>
    <w:p w14:paraId="15BF67A8" w14:textId="4B877BC8" w:rsidR="008D05F2" w:rsidRPr="0008591B" w:rsidRDefault="008D05F2" w:rsidP="00EF59CE">
      <w:pPr>
        <w:overflowPunct w:val="0"/>
        <w:autoSpaceDE w:val="0"/>
        <w:autoSpaceDN w:val="0"/>
        <w:spacing w:line="480" w:lineRule="auto"/>
        <w:ind w:firstLineChars="200" w:firstLine="560"/>
        <w:rPr>
          <w:rFonts w:ascii="Arial" w:eastAsia="楷体_GB2312" w:hAnsi="Arial" w:cs="Arial"/>
          <w:kern w:val="0"/>
          <w:sz w:val="28"/>
          <w:szCs w:val="28"/>
        </w:rPr>
      </w:pPr>
      <w:r>
        <w:rPr>
          <w:rFonts w:ascii="Arial" w:eastAsia="楷体_GB2312" w:hAnsi="Arial" w:cs="Arial" w:hint="eastAsia"/>
          <w:kern w:val="0"/>
          <w:sz w:val="28"/>
          <w:szCs w:val="28"/>
        </w:rPr>
        <w:t>本次估价评估对象为</w:t>
      </w:r>
      <w:r>
        <w:rPr>
          <w:rFonts w:ascii="Arial" w:eastAsia="楷体_GB2312" w:hAnsi="Arial" w:cs="Arial" w:hint="eastAsia"/>
          <w:kern w:val="0"/>
          <w:sz w:val="28"/>
          <w:szCs w:val="28"/>
        </w:rPr>
        <w:t>综合超市、再生资源回收站、社区菜市场</w:t>
      </w:r>
      <w:r>
        <w:rPr>
          <w:rFonts w:ascii="Arial" w:eastAsia="楷体_GB2312" w:hAnsi="Arial" w:cs="Arial" w:hint="eastAsia"/>
          <w:kern w:val="0"/>
          <w:sz w:val="28"/>
          <w:szCs w:val="28"/>
        </w:rPr>
        <w:t>，市场上同类房地产交易较少，故本次可采用成本法进行估价。</w:t>
      </w:r>
    </w:p>
    <w:p w14:paraId="37F8A505" w14:textId="5DF7A6A0" w:rsidR="00527C5A" w:rsidRDefault="00527C5A"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二、技术路线</w:t>
      </w:r>
    </w:p>
    <w:p w14:paraId="7CA40E90" w14:textId="00F3036E" w:rsidR="00527C5A" w:rsidRPr="00527C5A" w:rsidRDefault="00527C5A" w:rsidP="00527C5A">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w:t>
      </w:r>
      <w:r w:rsidRPr="00527C5A">
        <w:rPr>
          <w:rFonts w:ascii="Arial" w:eastAsia="楷体_GB2312" w:hAnsi="Arial" w:cs="Arial" w:hint="eastAsia"/>
          <w:kern w:val="0"/>
          <w:sz w:val="28"/>
          <w:szCs w:val="28"/>
        </w:rPr>
        <w:t>根据《担保法》第五十六条规定，拍卖划拨的国有土地使用权所得的价款，在依法缴纳相当于应缴纳的土地使用权出让金的款额后，抵押权人有优先受偿权。《城市房地产管理法》第五十一条规定</w:t>
      </w:r>
      <w:r w:rsidRPr="00527C5A">
        <w:rPr>
          <w:rFonts w:ascii="Arial" w:eastAsia="楷体_GB2312" w:hAnsi="Arial" w:cs="Arial" w:hint="eastAsia"/>
          <w:kern w:val="0"/>
          <w:sz w:val="28"/>
          <w:szCs w:val="28"/>
        </w:rPr>
        <w:t>:</w:t>
      </w:r>
      <w:r w:rsidRPr="00527C5A">
        <w:rPr>
          <w:rFonts w:ascii="Arial" w:eastAsia="楷体_GB2312" w:hAnsi="Arial" w:cs="Arial" w:hint="eastAsia"/>
          <w:kern w:val="0"/>
          <w:sz w:val="28"/>
          <w:szCs w:val="28"/>
        </w:rPr>
        <w:t>设定房地产抵押权的土地使用权是以划拨方式取得的，依法拍卖该房地产学后，应当从拍卖所得的价款中缴纳相当于应缴纳的土地使用权出让金的款额后，抵押权人方可优先受偿。</w:t>
      </w:r>
    </w:p>
    <w:p w14:paraId="055A60E0" w14:textId="1685F1AB" w:rsidR="00527C5A" w:rsidRPr="00527C5A" w:rsidRDefault="00527C5A" w:rsidP="00527C5A">
      <w:pPr>
        <w:kinsoku w:val="0"/>
        <w:autoSpaceDE w:val="0"/>
        <w:autoSpaceDN w:val="0"/>
        <w:spacing w:line="360" w:lineRule="auto"/>
        <w:ind w:firstLineChars="200" w:firstLine="560"/>
        <w:contextualSpacing/>
        <w:rPr>
          <w:rFonts w:ascii="Arial" w:eastAsia="楷体_GB2312" w:hAnsi="Arial" w:cs="Arial"/>
          <w:kern w:val="0"/>
          <w:sz w:val="28"/>
          <w:szCs w:val="28"/>
        </w:rPr>
      </w:pPr>
      <w:r w:rsidRPr="00527C5A">
        <w:rPr>
          <w:rFonts w:ascii="Arial" w:eastAsia="楷体_GB2312" w:hAnsi="Arial" w:cs="Arial" w:hint="eastAsia"/>
          <w:kern w:val="0"/>
          <w:sz w:val="28"/>
          <w:szCs w:val="28"/>
        </w:rPr>
        <w:t>评估划拨土地使用权的抵押价值，应该评估出该宗土地设定为出让土地使用权情况下的市场价值，以及应缴纳的政府土地收益，包括土地使用权出让金及市政基础设施费用。</w:t>
      </w:r>
    </w:p>
    <w:p w14:paraId="6BA8AC8E" w14:textId="32375DAB" w:rsidR="00822B9F" w:rsidRDefault="00527C5A"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527C5A">
        <w:rPr>
          <w:rFonts w:ascii="Arial" w:eastAsia="楷体_GB2312" w:hAnsi="Arial" w:cs="Arial" w:hint="eastAsia"/>
          <w:kern w:val="0"/>
          <w:sz w:val="28"/>
          <w:szCs w:val="28"/>
        </w:rPr>
        <w:t>划拨土地使用权的抵押价值</w:t>
      </w:r>
      <w:r w:rsidRPr="00527C5A">
        <w:rPr>
          <w:rFonts w:ascii="Arial" w:eastAsia="楷体_GB2312" w:hAnsi="Arial" w:cs="Arial" w:hint="eastAsia"/>
          <w:kern w:val="0"/>
          <w:sz w:val="28"/>
          <w:szCs w:val="28"/>
        </w:rPr>
        <w:t>=</w:t>
      </w:r>
      <w:r w:rsidRPr="00527C5A">
        <w:rPr>
          <w:rFonts w:ascii="Arial" w:eastAsia="楷体_GB2312" w:hAnsi="Arial" w:cs="Arial" w:hint="eastAsia"/>
          <w:kern w:val="0"/>
          <w:sz w:val="28"/>
          <w:szCs w:val="28"/>
        </w:rPr>
        <w:t>设定为出让土地使用权情况下的市场价值一应缴纳的政府土地收益。</w:t>
      </w:r>
      <w:r>
        <w:rPr>
          <w:rFonts w:ascii="Arial" w:eastAsia="楷体_GB2312" w:hAnsi="Arial" w:cs="Arial" w:hint="eastAsia"/>
          <w:kern w:val="0"/>
          <w:sz w:val="28"/>
          <w:szCs w:val="28"/>
        </w:rPr>
        <w:t>”</w:t>
      </w:r>
    </w:p>
    <w:p w14:paraId="400E7368" w14:textId="77777777" w:rsidR="008325E4" w:rsidRDefault="00527C5A" w:rsidP="008325E4">
      <w:pPr>
        <w:pStyle w:val="Normal"/>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Pr>
          <w:rFonts w:ascii="Arial" w:eastAsia="楷体_GB2312" w:hAnsi="Arial" w:cs="Arial" w:hint="eastAsia"/>
          <w:sz w:val="28"/>
          <w:szCs w:val="28"/>
        </w:rPr>
        <w:t>本次评估估价对象土地使用权性质为划拨，本次评估按照</w:t>
      </w:r>
      <w:r w:rsidRPr="00527C5A">
        <w:rPr>
          <w:rFonts w:ascii="Arial" w:eastAsia="楷体_GB2312" w:hAnsi="Arial" w:cs="Arial" w:hint="eastAsia"/>
          <w:sz w:val="28"/>
          <w:szCs w:val="28"/>
        </w:rPr>
        <w:t>划拨土地使用权的抵押价值</w:t>
      </w:r>
      <w:r w:rsidRPr="00527C5A">
        <w:rPr>
          <w:rFonts w:ascii="Arial" w:eastAsia="楷体_GB2312" w:hAnsi="Arial" w:cs="Arial" w:hint="eastAsia"/>
          <w:sz w:val="28"/>
          <w:szCs w:val="28"/>
        </w:rPr>
        <w:t>=</w:t>
      </w:r>
      <w:r w:rsidRPr="00527C5A">
        <w:rPr>
          <w:rFonts w:ascii="Arial" w:eastAsia="楷体_GB2312" w:hAnsi="Arial" w:cs="Arial" w:hint="eastAsia"/>
          <w:sz w:val="28"/>
          <w:szCs w:val="28"/>
        </w:rPr>
        <w:t>设定为出让土地使用权情况下的市场价值一应缴纳的政府土地收益</w:t>
      </w:r>
      <w:r>
        <w:rPr>
          <w:rFonts w:ascii="Arial" w:eastAsia="楷体_GB2312" w:hAnsi="Arial" w:cs="Arial" w:hint="eastAsia"/>
          <w:sz w:val="28"/>
          <w:szCs w:val="28"/>
        </w:rPr>
        <w:t>的技术路线</w:t>
      </w:r>
      <w:bookmarkStart w:id="0" w:name="_GoBack"/>
      <w:bookmarkEnd w:id="0"/>
      <w:r>
        <w:rPr>
          <w:rFonts w:ascii="Arial" w:eastAsia="楷体_GB2312" w:hAnsi="Arial" w:cs="Arial" w:hint="eastAsia"/>
          <w:sz w:val="28"/>
          <w:szCs w:val="28"/>
        </w:rPr>
        <w:t>，</w:t>
      </w:r>
      <w:r w:rsidR="008325E4">
        <w:rPr>
          <w:rFonts w:ascii="Arial" w:eastAsia="楷体_GB2312" w:hAnsi="Arial" w:cs="Arial" w:hint="eastAsia"/>
          <w:sz w:val="28"/>
          <w:szCs w:val="28"/>
        </w:rPr>
        <w:t>具体为：</w:t>
      </w:r>
      <w:bookmarkStart w:id="1" w:name="_Hlk118119247"/>
    </w:p>
    <w:p w14:paraId="28A3F27C" w14:textId="7A12D8A7" w:rsidR="008325E4" w:rsidRPr="008325E4" w:rsidRDefault="008325E4" w:rsidP="008325E4">
      <w:pPr>
        <w:pStyle w:val="Normal"/>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sidRPr="008325E4">
        <w:rPr>
          <w:rFonts w:ascii="Arial" w:eastAsia="楷体_GB2312" w:hAnsi="Arial" w:cs="Arial" w:hint="eastAsia"/>
          <w:sz w:val="28"/>
          <w:szCs w:val="28"/>
        </w:rPr>
        <w:t>首先</w:t>
      </w:r>
      <w:r w:rsidRPr="008325E4">
        <w:rPr>
          <w:rFonts w:ascii="Arial" w:eastAsia="楷体_GB2312" w:hAnsi="Arial" w:cs="Arial"/>
          <w:sz w:val="28"/>
          <w:szCs w:val="28"/>
        </w:rPr>
        <w:t>,</w:t>
      </w:r>
      <w:r w:rsidRPr="008325E4">
        <w:rPr>
          <w:rFonts w:ascii="Arial" w:eastAsia="楷体_GB2312" w:hAnsi="Arial" w:cs="Arial" w:hint="eastAsia"/>
          <w:sz w:val="28"/>
          <w:szCs w:val="28"/>
        </w:rPr>
        <w:t>根据《房地产估价规范》</w:t>
      </w:r>
      <w:r w:rsidRPr="008325E4">
        <w:rPr>
          <w:rFonts w:ascii="Arial" w:eastAsia="楷体_GB2312" w:hAnsi="Arial" w:cs="Arial"/>
          <w:sz w:val="28"/>
          <w:szCs w:val="28"/>
        </w:rPr>
        <w:t>[GB/T 50291-2015]</w:t>
      </w:r>
      <w:r w:rsidRPr="008325E4">
        <w:rPr>
          <w:rFonts w:ascii="Arial" w:eastAsia="楷体_GB2312" w:hAnsi="Arial" w:cs="Arial" w:hint="eastAsia"/>
          <w:sz w:val="28"/>
          <w:szCs w:val="28"/>
        </w:rPr>
        <w:t>的估价程序采用成本法、收益法求取估价对象</w:t>
      </w:r>
      <w:r w:rsidRPr="008325E4">
        <w:rPr>
          <w:rFonts w:ascii="Arial" w:eastAsia="楷体_GB2312" w:hAnsi="Arial" w:cs="Arial"/>
          <w:sz w:val="28"/>
          <w:szCs w:val="28"/>
        </w:rPr>
        <w:t>1</w:t>
      </w:r>
      <w:r w:rsidRPr="008325E4">
        <w:rPr>
          <w:rFonts w:ascii="Arial" w:eastAsia="楷体_GB2312" w:hAnsi="Arial" w:cs="Arial" w:hint="eastAsia"/>
          <w:sz w:val="28"/>
          <w:szCs w:val="28"/>
        </w:rPr>
        <w:t>现状商业用房房地产价值。</w:t>
      </w:r>
      <w:r w:rsidRPr="008325E4">
        <w:rPr>
          <w:rFonts w:ascii="Arial" w:eastAsia="楷体_GB2312" w:hAnsi="Arial" w:cs="Arial"/>
          <w:sz w:val="28"/>
          <w:szCs w:val="28"/>
        </w:rPr>
        <w:t xml:space="preserve"> </w:t>
      </w:r>
    </w:p>
    <w:p w14:paraId="349A537E" w14:textId="77777777" w:rsidR="008325E4" w:rsidRPr="008325E4" w:rsidRDefault="008325E4" w:rsidP="008325E4">
      <w:pPr>
        <w:pStyle w:val="Normal"/>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sidRPr="008325E4">
        <w:rPr>
          <w:rFonts w:ascii="Arial" w:eastAsia="楷体_GB2312" w:hAnsi="Arial" w:cs="Arial" w:hint="eastAsia"/>
          <w:sz w:val="28"/>
          <w:szCs w:val="28"/>
        </w:rPr>
        <w:t>其次</w:t>
      </w:r>
      <w:r w:rsidRPr="008325E4">
        <w:rPr>
          <w:rFonts w:ascii="Arial" w:eastAsia="楷体_GB2312" w:hAnsi="Arial" w:cs="Arial"/>
          <w:sz w:val="28"/>
          <w:szCs w:val="28"/>
        </w:rPr>
        <w:t>,</w:t>
      </w:r>
      <w:r w:rsidRPr="008325E4">
        <w:rPr>
          <w:rFonts w:ascii="Arial" w:eastAsia="楷体_GB2312" w:hAnsi="Arial" w:cs="Arial" w:hint="eastAsia"/>
          <w:sz w:val="28"/>
          <w:szCs w:val="28"/>
        </w:rPr>
        <w:t>依据各方法的估价结果，加权平均确定估价对象</w:t>
      </w:r>
      <w:r w:rsidRPr="008325E4">
        <w:rPr>
          <w:rFonts w:ascii="Arial" w:eastAsia="楷体_GB2312" w:hAnsi="Arial" w:cs="Arial"/>
          <w:sz w:val="28"/>
          <w:szCs w:val="28"/>
        </w:rPr>
        <w:t>1</w:t>
      </w:r>
      <w:r w:rsidRPr="008325E4">
        <w:rPr>
          <w:rFonts w:ascii="Arial" w:eastAsia="楷体_GB2312" w:hAnsi="Arial" w:cs="Arial" w:hint="eastAsia"/>
          <w:sz w:val="28"/>
          <w:szCs w:val="28"/>
        </w:rPr>
        <w:t>房地产出</w:t>
      </w:r>
      <w:r w:rsidRPr="008325E4">
        <w:rPr>
          <w:rFonts w:ascii="Arial" w:eastAsia="楷体_GB2312" w:hAnsi="Arial" w:cs="Arial" w:hint="eastAsia"/>
          <w:sz w:val="28"/>
          <w:szCs w:val="28"/>
        </w:rPr>
        <w:lastRenderedPageBreak/>
        <w:t>让状态下的现状价值。</w:t>
      </w:r>
    </w:p>
    <w:p w14:paraId="1F81D773" w14:textId="77777777" w:rsidR="008325E4" w:rsidRPr="008325E4" w:rsidRDefault="008325E4" w:rsidP="008325E4">
      <w:pPr>
        <w:pStyle w:val="Normal"/>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sidRPr="008325E4">
        <w:rPr>
          <w:rFonts w:ascii="Arial" w:eastAsia="楷体_GB2312" w:hAnsi="Arial" w:cs="Arial" w:hint="eastAsia"/>
          <w:sz w:val="28"/>
          <w:szCs w:val="28"/>
        </w:rPr>
        <w:t>然后对估价对象</w:t>
      </w:r>
      <w:r w:rsidRPr="008325E4">
        <w:rPr>
          <w:rFonts w:ascii="Arial" w:eastAsia="楷体_GB2312" w:hAnsi="Arial" w:cs="Arial"/>
          <w:sz w:val="28"/>
          <w:szCs w:val="28"/>
        </w:rPr>
        <w:t>2</w:t>
      </w:r>
      <w:r w:rsidRPr="008325E4">
        <w:rPr>
          <w:rFonts w:ascii="Arial" w:eastAsia="楷体_GB2312" w:hAnsi="Arial" w:cs="Arial" w:hint="eastAsia"/>
          <w:sz w:val="28"/>
          <w:szCs w:val="28"/>
        </w:rPr>
        <w:t>、估价对象</w:t>
      </w:r>
      <w:r w:rsidRPr="008325E4">
        <w:rPr>
          <w:rFonts w:ascii="Arial" w:eastAsia="楷体_GB2312" w:hAnsi="Arial" w:cs="Arial"/>
          <w:sz w:val="28"/>
          <w:szCs w:val="28"/>
        </w:rPr>
        <w:t>3</w:t>
      </w:r>
      <w:r w:rsidRPr="008325E4">
        <w:rPr>
          <w:rFonts w:ascii="Arial" w:eastAsia="楷体_GB2312" w:hAnsi="Arial" w:cs="Arial" w:hint="eastAsia"/>
          <w:sz w:val="28"/>
          <w:szCs w:val="28"/>
        </w:rPr>
        <w:t>进行面积、楼层、</w:t>
      </w:r>
      <w:proofErr w:type="gramStart"/>
      <w:r w:rsidRPr="008325E4">
        <w:rPr>
          <w:rFonts w:ascii="Arial" w:eastAsia="楷体_GB2312" w:hAnsi="Arial" w:cs="Arial" w:hint="eastAsia"/>
          <w:sz w:val="28"/>
          <w:szCs w:val="28"/>
        </w:rPr>
        <w:t>自持</w:t>
      </w:r>
      <w:proofErr w:type="gramEnd"/>
      <w:r w:rsidRPr="008325E4">
        <w:rPr>
          <w:rFonts w:ascii="Arial" w:eastAsia="楷体_GB2312" w:hAnsi="Arial" w:cs="Arial" w:hint="eastAsia"/>
          <w:sz w:val="28"/>
          <w:szCs w:val="28"/>
        </w:rPr>
        <w:t>修正，得到估价对象各部分房地产出让状态下的现状价值。</w:t>
      </w:r>
    </w:p>
    <w:p w14:paraId="533325FA" w14:textId="77777777" w:rsidR="008325E4" w:rsidRPr="008325E4" w:rsidRDefault="008325E4" w:rsidP="008325E4">
      <w:pPr>
        <w:pStyle w:val="Normal"/>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sidRPr="008325E4">
        <w:rPr>
          <w:rFonts w:ascii="Arial" w:eastAsia="楷体_GB2312" w:hAnsi="Arial" w:cs="Arial" w:hint="eastAsia"/>
          <w:sz w:val="28"/>
          <w:szCs w:val="28"/>
        </w:rPr>
        <w:t>再然后对估价对象各部分进行加总，得到估价对象房地产出让状态下的现状价值。</w:t>
      </w:r>
    </w:p>
    <w:p w14:paraId="05F62B5D" w14:textId="41D9B418" w:rsidR="00527C5A" w:rsidRDefault="008325E4" w:rsidP="008325E4">
      <w:pPr>
        <w:pStyle w:val="Normal"/>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sidRPr="008325E4">
        <w:rPr>
          <w:rFonts w:ascii="Arial" w:eastAsia="楷体_GB2312" w:hAnsi="Arial" w:cs="Arial" w:hint="eastAsia"/>
          <w:sz w:val="28"/>
          <w:szCs w:val="28"/>
        </w:rPr>
        <w:t>最后，扣除估价对象土地出让收益，得到估价对象划拨状态下的现状价值。</w:t>
      </w:r>
      <w:bookmarkEnd w:id="1"/>
    </w:p>
    <w:p w14:paraId="78997B51" w14:textId="682C633A" w:rsidR="000C3F5A" w:rsidRPr="00527C5A" w:rsidRDefault="000C3F5A" w:rsidP="00822B9F">
      <w:pPr>
        <w:kinsoku w:val="0"/>
        <w:autoSpaceDE w:val="0"/>
        <w:autoSpaceDN w:val="0"/>
        <w:spacing w:line="360" w:lineRule="auto"/>
        <w:ind w:firstLineChars="200" w:firstLine="560"/>
        <w:contextualSpacing/>
        <w:rPr>
          <w:rFonts w:ascii="Arial" w:eastAsia="楷体_GB2312" w:hAnsi="Arial" w:cs="Arial" w:hint="eastAsia"/>
          <w:kern w:val="0"/>
          <w:sz w:val="28"/>
          <w:szCs w:val="28"/>
        </w:rPr>
      </w:pPr>
      <w:r>
        <w:rPr>
          <w:rFonts w:ascii="Arial" w:eastAsia="楷体_GB2312" w:hAnsi="Arial" w:cs="Arial" w:hint="eastAsia"/>
          <w:kern w:val="0"/>
          <w:sz w:val="28"/>
          <w:szCs w:val="28"/>
        </w:rPr>
        <w:t>综上，本次评估选用方法及技术路线均符合规范要求</w:t>
      </w:r>
      <w:r w:rsidR="008D05F2">
        <w:rPr>
          <w:rFonts w:ascii="Arial" w:eastAsia="楷体_GB2312" w:hAnsi="Arial" w:cs="Arial" w:hint="eastAsia"/>
          <w:kern w:val="0"/>
          <w:sz w:val="28"/>
          <w:szCs w:val="28"/>
        </w:rPr>
        <w:t>，估价结果</w:t>
      </w:r>
    </w:p>
    <w:p w14:paraId="40F0BBC5"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8756DC">
        <w:rPr>
          <w:rFonts w:ascii="Arial" w:eastAsia="楷体_GB2312" w:hAnsi="Arial" w:cs="Arial"/>
          <w:kern w:val="0"/>
          <w:sz w:val="28"/>
          <w:szCs w:val="28"/>
        </w:rPr>
        <w:t>特此说明。</w:t>
      </w:r>
    </w:p>
    <w:p w14:paraId="6E605BE4"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432482CF"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6ABB0F25" w14:textId="77777777" w:rsidR="00822B9F" w:rsidRPr="008756DC"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2540F761" w14:textId="77777777" w:rsidR="00822B9F" w:rsidRPr="008756DC" w:rsidRDefault="00822B9F" w:rsidP="00822B9F">
      <w:pPr>
        <w:kinsoku w:val="0"/>
        <w:spacing w:line="360" w:lineRule="auto"/>
        <w:ind w:firstLineChars="1550" w:firstLine="4340"/>
        <w:rPr>
          <w:rFonts w:ascii="Arial" w:eastAsia="楷体_GB2312" w:hAnsi="Arial" w:cs="Arial"/>
          <w:kern w:val="0"/>
          <w:sz w:val="28"/>
          <w:szCs w:val="28"/>
        </w:rPr>
      </w:pPr>
      <w:proofErr w:type="gramStart"/>
      <w:r w:rsidRPr="008756DC">
        <w:rPr>
          <w:rFonts w:ascii="Arial" w:eastAsia="楷体_GB2312" w:hAnsi="Arial" w:cs="Arial"/>
          <w:kern w:val="0"/>
          <w:sz w:val="28"/>
          <w:szCs w:val="28"/>
        </w:rPr>
        <w:t>北京康正宏</w:t>
      </w:r>
      <w:proofErr w:type="gramEnd"/>
      <w:r w:rsidRPr="008756DC">
        <w:rPr>
          <w:rFonts w:ascii="Arial" w:eastAsia="楷体_GB2312" w:hAnsi="Arial" w:cs="Arial"/>
          <w:kern w:val="0"/>
          <w:sz w:val="28"/>
          <w:szCs w:val="28"/>
        </w:rPr>
        <w:t>基房地产评估有限公司</w:t>
      </w:r>
    </w:p>
    <w:p w14:paraId="485EFE28" w14:textId="3D6E218D" w:rsidR="00822B9F" w:rsidRPr="008756DC" w:rsidRDefault="00822B9F" w:rsidP="00822B9F">
      <w:pPr>
        <w:spacing w:line="360" w:lineRule="auto"/>
        <w:ind w:firstLineChars="300" w:firstLine="840"/>
        <w:jc w:val="right"/>
        <w:rPr>
          <w:rFonts w:ascii="Arial" w:eastAsia="楷体_GB2312" w:hAnsi="Arial" w:cs="Arial"/>
          <w:kern w:val="0"/>
          <w:sz w:val="28"/>
          <w:szCs w:val="28"/>
        </w:rPr>
      </w:pPr>
      <w:r w:rsidRPr="008756DC">
        <w:rPr>
          <w:rFonts w:ascii="Arial" w:eastAsia="楷体_GB2312" w:hAnsi="Arial" w:cs="Arial"/>
          <w:kern w:val="0"/>
          <w:sz w:val="28"/>
          <w:szCs w:val="28"/>
        </w:rPr>
        <w:t>二</w:t>
      </w:r>
      <w:r>
        <w:rPr>
          <w:rFonts w:ascii="Arial" w:eastAsia="楷体_GB2312" w:hAnsi="Arial" w:cs="Arial"/>
          <w:kern w:val="0"/>
          <w:sz w:val="28"/>
          <w:szCs w:val="28"/>
        </w:rPr>
        <w:t>〇</w:t>
      </w:r>
      <w:r w:rsidRPr="008756DC">
        <w:rPr>
          <w:rFonts w:ascii="Arial" w:eastAsia="楷体_GB2312" w:hAnsi="Arial" w:cs="Arial"/>
          <w:kern w:val="0"/>
          <w:sz w:val="28"/>
          <w:szCs w:val="28"/>
        </w:rPr>
        <w:t>二</w:t>
      </w:r>
      <w:r w:rsidR="00D85A63">
        <w:rPr>
          <w:rFonts w:ascii="Arial" w:eastAsia="楷体_GB2312" w:hAnsi="Arial" w:cs="Arial" w:hint="eastAsia"/>
          <w:kern w:val="0"/>
          <w:sz w:val="28"/>
          <w:szCs w:val="28"/>
        </w:rPr>
        <w:t>三</w:t>
      </w:r>
      <w:r w:rsidRPr="008756DC">
        <w:rPr>
          <w:rFonts w:ascii="Arial" w:eastAsia="楷体_GB2312" w:hAnsi="Arial" w:cs="Arial"/>
          <w:kern w:val="0"/>
          <w:sz w:val="28"/>
          <w:szCs w:val="28"/>
        </w:rPr>
        <w:t>年</w:t>
      </w:r>
      <w:r w:rsidR="00D85A63">
        <w:rPr>
          <w:rFonts w:ascii="Arial" w:eastAsia="楷体_GB2312" w:hAnsi="Arial" w:cs="Arial" w:hint="eastAsia"/>
          <w:kern w:val="0"/>
          <w:sz w:val="28"/>
          <w:szCs w:val="28"/>
        </w:rPr>
        <w:t>二</w:t>
      </w:r>
      <w:r w:rsidRPr="008756DC">
        <w:rPr>
          <w:rFonts w:ascii="Arial" w:eastAsia="楷体_GB2312" w:hAnsi="Arial" w:cs="Arial"/>
          <w:kern w:val="0"/>
          <w:sz w:val="28"/>
          <w:szCs w:val="28"/>
        </w:rPr>
        <w:t>月</w:t>
      </w:r>
      <w:r w:rsidR="00D85A63">
        <w:rPr>
          <w:rFonts w:ascii="Arial" w:eastAsia="楷体_GB2312" w:hAnsi="Arial" w:cs="Arial" w:hint="eastAsia"/>
          <w:kern w:val="0"/>
          <w:sz w:val="28"/>
          <w:szCs w:val="28"/>
        </w:rPr>
        <w:t>一</w:t>
      </w:r>
      <w:r w:rsidRPr="008756DC">
        <w:rPr>
          <w:rFonts w:ascii="Arial" w:eastAsia="楷体_GB2312" w:hAnsi="Arial" w:cs="Arial"/>
          <w:kern w:val="0"/>
          <w:sz w:val="28"/>
          <w:szCs w:val="28"/>
        </w:rPr>
        <w:t>日</w:t>
      </w:r>
    </w:p>
    <w:p w14:paraId="7F492E07" w14:textId="77777777" w:rsidR="000622EA" w:rsidRPr="000622EA" w:rsidRDefault="000622EA" w:rsidP="00822B9F">
      <w:pPr>
        <w:kinsoku w:val="0"/>
        <w:autoSpaceDE w:val="0"/>
        <w:autoSpaceDN w:val="0"/>
        <w:spacing w:line="276" w:lineRule="auto"/>
        <w:ind w:firstLineChars="200" w:firstLine="560"/>
        <w:contextualSpacing/>
        <w:rPr>
          <w:rFonts w:ascii="Arial" w:eastAsia="楷体_GB2312" w:hAnsi="Arial" w:cs="Times New Roman"/>
          <w:kern w:val="0"/>
          <w:sz w:val="28"/>
          <w:szCs w:val="28"/>
          <w:u w:val="single"/>
        </w:rPr>
      </w:pPr>
    </w:p>
    <w:sectPr w:rsidR="000622EA" w:rsidRPr="000622EA"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1003" w14:textId="77777777" w:rsidR="00C8485D" w:rsidRDefault="00C8485D" w:rsidP="00FA3B45">
      <w:r>
        <w:separator/>
      </w:r>
    </w:p>
  </w:endnote>
  <w:endnote w:type="continuationSeparator" w:id="0">
    <w:p w14:paraId="386C8E28" w14:textId="77777777" w:rsidR="00C8485D" w:rsidRDefault="00C8485D"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85258"/>
      <w:docPartObj>
        <w:docPartGallery w:val="Page Numbers (Bottom of Page)"/>
        <w:docPartUnique/>
      </w:docPartObj>
    </w:sdtPr>
    <w:sdtEndPr/>
    <w:sdtContent>
      <w:p w14:paraId="4A1E6E6E" w14:textId="0983550C" w:rsidR="00255CBA" w:rsidRDefault="00255CBA">
        <w:pPr>
          <w:pStyle w:val="a5"/>
          <w:jc w:val="center"/>
        </w:pPr>
        <w:r>
          <w:fldChar w:fldCharType="begin"/>
        </w:r>
        <w:r>
          <w:instrText>PAGE   \* MERGEFORMAT</w:instrText>
        </w:r>
        <w:r>
          <w:fldChar w:fldCharType="separate"/>
        </w:r>
        <w:r>
          <w:rPr>
            <w:lang w:val="zh-CN"/>
          </w:rPr>
          <w:t>2</w:t>
        </w:r>
        <w:r>
          <w:fldChar w:fldCharType="end"/>
        </w:r>
      </w:p>
    </w:sdtContent>
  </w:sdt>
  <w:p w14:paraId="64DBA649" w14:textId="77777777" w:rsidR="00255CBA" w:rsidRDefault="00255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1B87" w14:textId="77777777" w:rsidR="00C8485D" w:rsidRDefault="00C8485D" w:rsidP="00FA3B45">
      <w:r>
        <w:separator/>
      </w:r>
    </w:p>
  </w:footnote>
  <w:footnote w:type="continuationSeparator" w:id="0">
    <w:p w14:paraId="26857058" w14:textId="77777777" w:rsidR="00C8485D" w:rsidRDefault="00C8485D"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9FAA" w14:textId="77777777" w:rsidR="001A7EA4" w:rsidRDefault="001A7EA4">
    <w:pPr>
      <w:pStyle w:val="a3"/>
    </w:pPr>
    <w:r>
      <w:rPr>
        <w:noProof/>
      </w:rPr>
      <w:drawing>
        <wp:inline distT="0" distB="0" distL="0" distR="0" wp14:anchorId="69E06D85" wp14:editId="61D6719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6" w15:restartNumberingAfterBreak="0">
    <w:nsid w:val="70AC512A"/>
    <w:multiLevelType w:val="hybridMultilevel"/>
    <w:tmpl w:val="04B880B4"/>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7"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7"/>
  </w:num>
  <w:num w:numId="3">
    <w:abstractNumId w:val="0"/>
  </w:num>
  <w:num w:numId="4">
    <w:abstractNumId w:val="5"/>
  </w:num>
  <w:num w:numId="5">
    <w:abstractNumId w:val="8"/>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1E"/>
    <w:rsid w:val="00001CD1"/>
    <w:rsid w:val="00010089"/>
    <w:rsid w:val="00021D74"/>
    <w:rsid w:val="0003015B"/>
    <w:rsid w:val="00034E55"/>
    <w:rsid w:val="00040AF5"/>
    <w:rsid w:val="000418BB"/>
    <w:rsid w:val="00060ECD"/>
    <w:rsid w:val="000622EA"/>
    <w:rsid w:val="0007146C"/>
    <w:rsid w:val="00073E40"/>
    <w:rsid w:val="00074FDA"/>
    <w:rsid w:val="0008591B"/>
    <w:rsid w:val="000862DD"/>
    <w:rsid w:val="00092F84"/>
    <w:rsid w:val="000C3F5A"/>
    <w:rsid w:val="000C418A"/>
    <w:rsid w:val="000D2B98"/>
    <w:rsid w:val="000D706B"/>
    <w:rsid w:val="000E4E7D"/>
    <w:rsid w:val="000F189E"/>
    <w:rsid w:val="000F45B2"/>
    <w:rsid w:val="000F671D"/>
    <w:rsid w:val="001012F6"/>
    <w:rsid w:val="00101808"/>
    <w:rsid w:val="00102370"/>
    <w:rsid w:val="00121E6A"/>
    <w:rsid w:val="0012762F"/>
    <w:rsid w:val="00127725"/>
    <w:rsid w:val="001301D6"/>
    <w:rsid w:val="0014772A"/>
    <w:rsid w:val="0015598E"/>
    <w:rsid w:val="001574EF"/>
    <w:rsid w:val="00163EFB"/>
    <w:rsid w:val="00164488"/>
    <w:rsid w:val="00165128"/>
    <w:rsid w:val="00175C26"/>
    <w:rsid w:val="00175D4A"/>
    <w:rsid w:val="001773C6"/>
    <w:rsid w:val="001801FA"/>
    <w:rsid w:val="0018404A"/>
    <w:rsid w:val="001A747A"/>
    <w:rsid w:val="001A7EA4"/>
    <w:rsid w:val="001B1149"/>
    <w:rsid w:val="001C44AA"/>
    <w:rsid w:val="001C7AA9"/>
    <w:rsid w:val="001D3A02"/>
    <w:rsid w:val="001D5F41"/>
    <w:rsid w:val="001E1A05"/>
    <w:rsid w:val="001E2A3D"/>
    <w:rsid w:val="001E6724"/>
    <w:rsid w:val="001F34E0"/>
    <w:rsid w:val="001F44C2"/>
    <w:rsid w:val="002034C1"/>
    <w:rsid w:val="00211F8F"/>
    <w:rsid w:val="00212232"/>
    <w:rsid w:val="00223DA3"/>
    <w:rsid w:val="002420F2"/>
    <w:rsid w:val="00244389"/>
    <w:rsid w:val="00245B13"/>
    <w:rsid w:val="00254642"/>
    <w:rsid w:val="00255CBA"/>
    <w:rsid w:val="00256191"/>
    <w:rsid w:val="00256D70"/>
    <w:rsid w:val="0025791A"/>
    <w:rsid w:val="002603C1"/>
    <w:rsid w:val="002672A8"/>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02A04"/>
    <w:rsid w:val="0032613B"/>
    <w:rsid w:val="00330481"/>
    <w:rsid w:val="0033411D"/>
    <w:rsid w:val="00337FCA"/>
    <w:rsid w:val="003502D0"/>
    <w:rsid w:val="00351255"/>
    <w:rsid w:val="00356D9A"/>
    <w:rsid w:val="003615CE"/>
    <w:rsid w:val="00364D83"/>
    <w:rsid w:val="00366EBB"/>
    <w:rsid w:val="00370C2F"/>
    <w:rsid w:val="00380CA0"/>
    <w:rsid w:val="00387273"/>
    <w:rsid w:val="003C769A"/>
    <w:rsid w:val="003D19B3"/>
    <w:rsid w:val="003D19E0"/>
    <w:rsid w:val="003D54D0"/>
    <w:rsid w:val="003E1DC5"/>
    <w:rsid w:val="003E2E7B"/>
    <w:rsid w:val="003F1376"/>
    <w:rsid w:val="003F19E2"/>
    <w:rsid w:val="00402250"/>
    <w:rsid w:val="004053A8"/>
    <w:rsid w:val="00405F59"/>
    <w:rsid w:val="0041264D"/>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D24A4"/>
    <w:rsid w:val="004E4327"/>
    <w:rsid w:val="004E54B7"/>
    <w:rsid w:val="004E60D4"/>
    <w:rsid w:val="004E65EF"/>
    <w:rsid w:val="004F456F"/>
    <w:rsid w:val="004F4BAE"/>
    <w:rsid w:val="004F79E8"/>
    <w:rsid w:val="00503876"/>
    <w:rsid w:val="00520499"/>
    <w:rsid w:val="005235CA"/>
    <w:rsid w:val="00527C5A"/>
    <w:rsid w:val="00534683"/>
    <w:rsid w:val="00552C66"/>
    <w:rsid w:val="00552E6C"/>
    <w:rsid w:val="00554A39"/>
    <w:rsid w:val="00563162"/>
    <w:rsid w:val="00565063"/>
    <w:rsid w:val="00567575"/>
    <w:rsid w:val="0057027A"/>
    <w:rsid w:val="00570706"/>
    <w:rsid w:val="0057356E"/>
    <w:rsid w:val="00573B24"/>
    <w:rsid w:val="00583484"/>
    <w:rsid w:val="00585B4F"/>
    <w:rsid w:val="005873BE"/>
    <w:rsid w:val="005D2BB7"/>
    <w:rsid w:val="005F1F02"/>
    <w:rsid w:val="0060258A"/>
    <w:rsid w:val="00604378"/>
    <w:rsid w:val="006048EA"/>
    <w:rsid w:val="006062B8"/>
    <w:rsid w:val="006112B9"/>
    <w:rsid w:val="006114C4"/>
    <w:rsid w:val="00615866"/>
    <w:rsid w:val="00626848"/>
    <w:rsid w:val="006279B9"/>
    <w:rsid w:val="006307F8"/>
    <w:rsid w:val="0063088B"/>
    <w:rsid w:val="00635D8E"/>
    <w:rsid w:val="00637651"/>
    <w:rsid w:val="006378B3"/>
    <w:rsid w:val="006403A1"/>
    <w:rsid w:val="00640502"/>
    <w:rsid w:val="00645E71"/>
    <w:rsid w:val="00650721"/>
    <w:rsid w:val="006553F6"/>
    <w:rsid w:val="00655C0E"/>
    <w:rsid w:val="0065736F"/>
    <w:rsid w:val="00663330"/>
    <w:rsid w:val="006635B6"/>
    <w:rsid w:val="00670C15"/>
    <w:rsid w:val="00682C05"/>
    <w:rsid w:val="006907E1"/>
    <w:rsid w:val="006A235B"/>
    <w:rsid w:val="006A7FFE"/>
    <w:rsid w:val="006B02D4"/>
    <w:rsid w:val="006B1FC3"/>
    <w:rsid w:val="006B45F3"/>
    <w:rsid w:val="006C7BB2"/>
    <w:rsid w:val="006D197D"/>
    <w:rsid w:val="006D6955"/>
    <w:rsid w:val="006E6208"/>
    <w:rsid w:val="006F2CED"/>
    <w:rsid w:val="00703776"/>
    <w:rsid w:val="00707DB2"/>
    <w:rsid w:val="0072194F"/>
    <w:rsid w:val="00725B64"/>
    <w:rsid w:val="00742BCA"/>
    <w:rsid w:val="0074614D"/>
    <w:rsid w:val="00747DA0"/>
    <w:rsid w:val="00750628"/>
    <w:rsid w:val="00751AF6"/>
    <w:rsid w:val="0075201B"/>
    <w:rsid w:val="0076487A"/>
    <w:rsid w:val="00765105"/>
    <w:rsid w:val="007669A0"/>
    <w:rsid w:val="00782AA6"/>
    <w:rsid w:val="00783C90"/>
    <w:rsid w:val="00793A98"/>
    <w:rsid w:val="007A2CC0"/>
    <w:rsid w:val="007B48E4"/>
    <w:rsid w:val="007B653B"/>
    <w:rsid w:val="007C040E"/>
    <w:rsid w:val="007C1365"/>
    <w:rsid w:val="007C47A1"/>
    <w:rsid w:val="007C6D9F"/>
    <w:rsid w:val="007D52F8"/>
    <w:rsid w:val="007D647E"/>
    <w:rsid w:val="007D6B25"/>
    <w:rsid w:val="007D7738"/>
    <w:rsid w:val="007F4B06"/>
    <w:rsid w:val="00813475"/>
    <w:rsid w:val="00822B9F"/>
    <w:rsid w:val="00826F63"/>
    <w:rsid w:val="00832176"/>
    <w:rsid w:val="008325E4"/>
    <w:rsid w:val="008419A2"/>
    <w:rsid w:val="008427DD"/>
    <w:rsid w:val="00846176"/>
    <w:rsid w:val="008670B8"/>
    <w:rsid w:val="0088065F"/>
    <w:rsid w:val="008819BA"/>
    <w:rsid w:val="00890889"/>
    <w:rsid w:val="00890A38"/>
    <w:rsid w:val="008A1AD1"/>
    <w:rsid w:val="008A6601"/>
    <w:rsid w:val="008B3042"/>
    <w:rsid w:val="008B528E"/>
    <w:rsid w:val="008B618C"/>
    <w:rsid w:val="008C6E53"/>
    <w:rsid w:val="008D05F2"/>
    <w:rsid w:val="008D1732"/>
    <w:rsid w:val="008E2D20"/>
    <w:rsid w:val="008E3250"/>
    <w:rsid w:val="008E3EE3"/>
    <w:rsid w:val="008F022F"/>
    <w:rsid w:val="00915225"/>
    <w:rsid w:val="00916BA9"/>
    <w:rsid w:val="0092061F"/>
    <w:rsid w:val="00923EC7"/>
    <w:rsid w:val="00924440"/>
    <w:rsid w:val="00925A1F"/>
    <w:rsid w:val="00931A99"/>
    <w:rsid w:val="00935709"/>
    <w:rsid w:val="009643E9"/>
    <w:rsid w:val="00973FC1"/>
    <w:rsid w:val="00974F70"/>
    <w:rsid w:val="00975067"/>
    <w:rsid w:val="00982206"/>
    <w:rsid w:val="00983612"/>
    <w:rsid w:val="009932DA"/>
    <w:rsid w:val="009A5298"/>
    <w:rsid w:val="009A5C8E"/>
    <w:rsid w:val="009C409C"/>
    <w:rsid w:val="009C4380"/>
    <w:rsid w:val="009D064B"/>
    <w:rsid w:val="009D1CED"/>
    <w:rsid w:val="009E1547"/>
    <w:rsid w:val="009E7572"/>
    <w:rsid w:val="00A01912"/>
    <w:rsid w:val="00A03083"/>
    <w:rsid w:val="00A14671"/>
    <w:rsid w:val="00A2190E"/>
    <w:rsid w:val="00A41316"/>
    <w:rsid w:val="00A44D9E"/>
    <w:rsid w:val="00A470BC"/>
    <w:rsid w:val="00A57C5F"/>
    <w:rsid w:val="00A606A2"/>
    <w:rsid w:val="00A6175B"/>
    <w:rsid w:val="00A6210F"/>
    <w:rsid w:val="00A67181"/>
    <w:rsid w:val="00A743E8"/>
    <w:rsid w:val="00A85CCD"/>
    <w:rsid w:val="00A92008"/>
    <w:rsid w:val="00A934AF"/>
    <w:rsid w:val="00AA4C55"/>
    <w:rsid w:val="00AA5F0B"/>
    <w:rsid w:val="00AA7353"/>
    <w:rsid w:val="00AB04FA"/>
    <w:rsid w:val="00AB308B"/>
    <w:rsid w:val="00AB392E"/>
    <w:rsid w:val="00AB599C"/>
    <w:rsid w:val="00AB74EF"/>
    <w:rsid w:val="00AC1F61"/>
    <w:rsid w:val="00AC4A0C"/>
    <w:rsid w:val="00AD020E"/>
    <w:rsid w:val="00AD7926"/>
    <w:rsid w:val="00AE363F"/>
    <w:rsid w:val="00AF5825"/>
    <w:rsid w:val="00AF58D0"/>
    <w:rsid w:val="00B01BC3"/>
    <w:rsid w:val="00B05D29"/>
    <w:rsid w:val="00B06953"/>
    <w:rsid w:val="00B06B34"/>
    <w:rsid w:val="00B227E0"/>
    <w:rsid w:val="00B255A9"/>
    <w:rsid w:val="00B46676"/>
    <w:rsid w:val="00B46974"/>
    <w:rsid w:val="00B47FDA"/>
    <w:rsid w:val="00B525B6"/>
    <w:rsid w:val="00B61649"/>
    <w:rsid w:val="00B619B2"/>
    <w:rsid w:val="00B63FB2"/>
    <w:rsid w:val="00B65498"/>
    <w:rsid w:val="00B73FCE"/>
    <w:rsid w:val="00B779A7"/>
    <w:rsid w:val="00B860FA"/>
    <w:rsid w:val="00B87EAD"/>
    <w:rsid w:val="00B956FF"/>
    <w:rsid w:val="00B96F6D"/>
    <w:rsid w:val="00B97F1C"/>
    <w:rsid w:val="00BA59E3"/>
    <w:rsid w:val="00BB1173"/>
    <w:rsid w:val="00BB13C8"/>
    <w:rsid w:val="00BB7AD1"/>
    <w:rsid w:val="00BC028A"/>
    <w:rsid w:val="00BD25DC"/>
    <w:rsid w:val="00BD4757"/>
    <w:rsid w:val="00BE19A6"/>
    <w:rsid w:val="00BE24D9"/>
    <w:rsid w:val="00BF730E"/>
    <w:rsid w:val="00C0043C"/>
    <w:rsid w:val="00C03A45"/>
    <w:rsid w:val="00C06AA7"/>
    <w:rsid w:val="00C118BA"/>
    <w:rsid w:val="00C23B59"/>
    <w:rsid w:val="00C37145"/>
    <w:rsid w:val="00C45DD4"/>
    <w:rsid w:val="00C65B53"/>
    <w:rsid w:val="00C7238B"/>
    <w:rsid w:val="00C77FAD"/>
    <w:rsid w:val="00C8485D"/>
    <w:rsid w:val="00C937F6"/>
    <w:rsid w:val="00CA057B"/>
    <w:rsid w:val="00CA61BB"/>
    <w:rsid w:val="00CA6D3C"/>
    <w:rsid w:val="00CB25F3"/>
    <w:rsid w:val="00CC74DA"/>
    <w:rsid w:val="00CE0F35"/>
    <w:rsid w:val="00CE7A2B"/>
    <w:rsid w:val="00D044CB"/>
    <w:rsid w:val="00D13659"/>
    <w:rsid w:val="00D16B33"/>
    <w:rsid w:val="00D17507"/>
    <w:rsid w:val="00D1761C"/>
    <w:rsid w:val="00D216F2"/>
    <w:rsid w:val="00D4191F"/>
    <w:rsid w:val="00D63936"/>
    <w:rsid w:val="00D72112"/>
    <w:rsid w:val="00D72639"/>
    <w:rsid w:val="00D763CC"/>
    <w:rsid w:val="00D84AB0"/>
    <w:rsid w:val="00D85A63"/>
    <w:rsid w:val="00D86767"/>
    <w:rsid w:val="00D93FBF"/>
    <w:rsid w:val="00DA02E9"/>
    <w:rsid w:val="00DA25E9"/>
    <w:rsid w:val="00DA270C"/>
    <w:rsid w:val="00DA69E6"/>
    <w:rsid w:val="00DB1FDB"/>
    <w:rsid w:val="00DB385C"/>
    <w:rsid w:val="00DB568F"/>
    <w:rsid w:val="00DC5839"/>
    <w:rsid w:val="00DC7957"/>
    <w:rsid w:val="00DE1F5F"/>
    <w:rsid w:val="00DE5075"/>
    <w:rsid w:val="00DE5748"/>
    <w:rsid w:val="00DF510B"/>
    <w:rsid w:val="00E045EB"/>
    <w:rsid w:val="00E208C6"/>
    <w:rsid w:val="00E27FED"/>
    <w:rsid w:val="00E36215"/>
    <w:rsid w:val="00E3687D"/>
    <w:rsid w:val="00E451CE"/>
    <w:rsid w:val="00E55BD0"/>
    <w:rsid w:val="00E5770D"/>
    <w:rsid w:val="00E621ED"/>
    <w:rsid w:val="00E64088"/>
    <w:rsid w:val="00E649FC"/>
    <w:rsid w:val="00E77BC8"/>
    <w:rsid w:val="00E806BC"/>
    <w:rsid w:val="00E8118F"/>
    <w:rsid w:val="00E91D1C"/>
    <w:rsid w:val="00EA038B"/>
    <w:rsid w:val="00EA1874"/>
    <w:rsid w:val="00EA30CC"/>
    <w:rsid w:val="00EA3C5B"/>
    <w:rsid w:val="00EA50D3"/>
    <w:rsid w:val="00EB744F"/>
    <w:rsid w:val="00EC0802"/>
    <w:rsid w:val="00EC40CB"/>
    <w:rsid w:val="00EC466E"/>
    <w:rsid w:val="00EC489B"/>
    <w:rsid w:val="00EE2789"/>
    <w:rsid w:val="00EE2DB3"/>
    <w:rsid w:val="00EE4F51"/>
    <w:rsid w:val="00EF59CE"/>
    <w:rsid w:val="00F01699"/>
    <w:rsid w:val="00F01E59"/>
    <w:rsid w:val="00F020EE"/>
    <w:rsid w:val="00F0276F"/>
    <w:rsid w:val="00F04125"/>
    <w:rsid w:val="00F22DEC"/>
    <w:rsid w:val="00F34468"/>
    <w:rsid w:val="00F463F1"/>
    <w:rsid w:val="00F5079D"/>
    <w:rsid w:val="00F9152D"/>
    <w:rsid w:val="00FA1BA0"/>
    <w:rsid w:val="00FA3B45"/>
    <w:rsid w:val="00FC291F"/>
    <w:rsid w:val="00FD1B03"/>
    <w:rsid w:val="00FD3082"/>
    <w:rsid w:val="00FD6E26"/>
    <w:rsid w:val="00FE02F7"/>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62A"/>
  <w15:docId w15:val="{5ED9D1BE-BDAD-4361-ACE3-D66E1321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 w:type="paragraph" w:customStyle="1" w:styleId="Normal">
    <w:name w:val="Normal"/>
    <w:rsid w:val="008325E4"/>
    <w:pPr>
      <w:widowControl w:val="0"/>
      <w:adjustRightInd w:val="0"/>
      <w:spacing w:before="20" w:after="20" w:line="360" w:lineRule="atLeast"/>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0178">
      <w:bodyDiv w:val="1"/>
      <w:marLeft w:val="0"/>
      <w:marRight w:val="0"/>
      <w:marTop w:val="0"/>
      <w:marBottom w:val="0"/>
      <w:divBdr>
        <w:top w:val="none" w:sz="0" w:space="0" w:color="auto"/>
        <w:left w:val="none" w:sz="0" w:space="0" w:color="auto"/>
        <w:bottom w:val="none" w:sz="0" w:space="0" w:color="auto"/>
        <w:right w:val="none" w:sz="0" w:space="0" w:color="auto"/>
      </w:divBdr>
    </w:div>
    <w:div w:id="1748573612">
      <w:bodyDiv w:val="1"/>
      <w:marLeft w:val="0"/>
      <w:marRight w:val="0"/>
      <w:marTop w:val="0"/>
      <w:marBottom w:val="0"/>
      <w:divBdr>
        <w:top w:val="none" w:sz="0" w:space="0" w:color="auto"/>
        <w:left w:val="none" w:sz="0" w:space="0" w:color="auto"/>
        <w:bottom w:val="none" w:sz="0" w:space="0" w:color="auto"/>
        <w:right w:val="none" w:sz="0" w:space="0" w:color="auto"/>
      </w:divBdr>
    </w:div>
    <w:div w:id="1874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ED03-64A5-472E-8075-0CAA7D81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6</Pages>
  <Words>495</Words>
  <Characters>2825</Characters>
  <Application>Microsoft Office Word</Application>
  <DocSecurity>0</DocSecurity>
  <Lines>23</Lines>
  <Paragraphs>6</Paragraphs>
  <ScaleCrop>false</ScaleCrop>
  <Company>CHINA</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26</cp:revision>
  <cp:lastPrinted>2022-08-05T09:24:00Z</cp:lastPrinted>
  <dcterms:created xsi:type="dcterms:W3CDTF">2022-08-05T03:26:00Z</dcterms:created>
  <dcterms:modified xsi:type="dcterms:W3CDTF">2023-02-01T02:24:00Z</dcterms:modified>
</cp:coreProperties>
</file>