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rPr>
      </w:pPr>
      <w:r>
        <w:rPr>
          <w:rFonts w:hint="eastAsia" w:ascii="Arial" w:hAnsi="Arial" w:eastAsia="宋体" w:cs="宋体"/>
          <w:b/>
          <w:bCs/>
          <w:kern w:val="0"/>
          <w:sz w:val="40"/>
          <w:szCs w:val="40"/>
        </w:rPr>
        <w:t>房地产抵押评估</w:t>
      </w:r>
      <w:r>
        <w:rPr>
          <w:rFonts w:hint="eastAsia" w:ascii="Arial" w:hAnsi="Arial" w:eastAsia="宋体" w:cs="宋体"/>
          <w:b/>
          <w:bCs/>
          <w:color w:val="000000" w:themeColor="text1"/>
          <w:kern w:val="0"/>
          <w:sz w:val="40"/>
          <w:szCs w:val="40"/>
          <w14:textFill>
            <w14:solidFill>
              <w14:schemeClr w14:val="tx1"/>
            </w14:solidFill>
          </w14:textFill>
        </w:rPr>
        <w:t>复估单</w:t>
      </w:r>
    </w:p>
    <w:p>
      <w:pPr>
        <w:jc w:val="right"/>
        <w:rPr>
          <w:rFonts w:ascii="Arial" w:hAnsi="Arial"/>
          <w:color w:val="auto"/>
        </w:rPr>
      </w:pPr>
      <w:r>
        <w:rPr>
          <w:rFonts w:hint="eastAsia" w:ascii="Arial" w:hAnsi="Arial" w:eastAsia="宋体" w:cs="宋体"/>
          <w:kern w:val="0"/>
          <w:sz w:val="20"/>
          <w:szCs w:val="20"/>
        </w:rPr>
        <w:t>报告编号：</w:t>
      </w:r>
      <w:r>
        <w:rPr>
          <w:rFonts w:hint="eastAsia" w:ascii="Arial" w:hAnsi="Arial" w:eastAsia="宋体" w:cs="宋体"/>
          <w:color w:val="auto"/>
          <w:kern w:val="0"/>
          <w:sz w:val="20"/>
          <w:szCs w:val="20"/>
        </w:rPr>
        <w:t>康正评字2023-1-0684-P02DYGJ2</w:t>
      </w:r>
    </w:p>
    <w:tbl>
      <w:tblPr>
        <w:tblStyle w:val="5"/>
        <w:tblW w:w="9299" w:type="dxa"/>
        <w:jc w:val="center"/>
        <w:tblLayout w:type="fixed"/>
        <w:tblCellMar>
          <w:top w:w="57" w:type="dxa"/>
          <w:left w:w="57" w:type="dxa"/>
          <w:bottom w:w="57" w:type="dxa"/>
          <w:right w:w="57" w:type="dxa"/>
        </w:tblCellMar>
      </w:tblPr>
      <w:tblGrid>
        <w:gridCol w:w="1499"/>
        <w:gridCol w:w="1388"/>
        <w:gridCol w:w="2457"/>
        <w:gridCol w:w="1388"/>
        <w:gridCol w:w="2567"/>
      </w:tblGrid>
      <w:tr>
        <w:tblPrEx>
          <w:tblCellMar>
            <w:top w:w="57" w:type="dxa"/>
            <w:left w:w="57" w:type="dxa"/>
            <w:bottom w:w="57" w:type="dxa"/>
            <w:right w:w="57" w:type="dxa"/>
          </w:tblCellMar>
        </w:tblPrEx>
        <w:trPr>
          <w:cantSplit/>
          <w:jc w:val="center"/>
        </w:trPr>
        <w:tc>
          <w:tcPr>
            <w:tcW w:w="14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估价委托人</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hint="default" w:ascii="Arial" w:hAnsi="Arial" w:eastAsia="宋体" w:cs="Arial"/>
                <w:color w:val="auto"/>
                <w:kern w:val="0"/>
                <w:sz w:val="20"/>
                <w:szCs w:val="20"/>
              </w:rPr>
            </w:pPr>
            <w:r>
              <w:rPr>
                <w:rFonts w:hint="default" w:ascii="Arial" w:hAnsi="Arial" w:eastAsia="宋体" w:cs="Arial"/>
                <w:color w:val="auto"/>
                <w:kern w:val="0"/>
                <w:sz w:val="20"/>
                <w:szCs w:val="20"/>
              </w:rPr>
              <w:t>中国银行股份有限公司北京市分行</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估价对象</w:t>
            </w:r>
          </w:p>
        </w:tc>
        <w:tc>
          <w:tcPr>
            <w:tcW w:w="7800" w:type="dxa"/>
            <w:gridSpan w:val="4"/>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left"/>
              <w:rPr>
                <w:rFonts w:hint="default" w:ascii="Arial" w:hAnsi="Arial" w:eastAsia="宋体" w:cs="Arial"/>
                <w:color w:val="auto"/>
                <w:kern w:val="0"/>
                <w:sz w:val="20"/>
                <w:szCs w:val="20"/>
              </w:rPr>
            </w:pPr>
            <w:r>
              <w:rPr>
                <w:rFonts w:hint="default" w:ascii="Arial" w:hAnsi="Arial" w:eastAsia="宋体" w:cs="Arial"/>
                <w:color w:val="auto"/>
                <w:kern w:val="0"/>
                <w:sz w:val="20"/>
                <w:szCs w:val="20"/>
              </w:rPr>
              <w:t>北京市</w:t>
            </w:r>
            <w:r>
              <w:rPr>
                <w:rFonts w:hint="default" w:ascii="Arial" w:hAnsi="Arial" w:eastAsia="宋体" w:cs="Arial"/>
                <w:color w:val="auto"/>
                <w:kern w:val="0"/>
                <w:sz w:val="20"/>
                <w:szCs w:val="20"/>
                <w:lang w:val="en-US" w:eastAsia="zh-CN"/>
              </w:rPr>
              <w:t>顺义区军营南街12号院7号楼-1层B111</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估价目的</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hint="default" w:ascii="Arial" w:hAnsi="Arial" w:eastAsia="宋体" w:cs="Arial"/>
                <w:color w:val="auto"/>
                <w:kern w:val="0"/>
                <w:sz w:val="20"/>
                <w:szCs w:val="20"/>
              </w:rPr>
            </w:pPr>
            <w:r>
              <w:rPr>
                <w:rFonts w:hint="default" w:ascii="Arial" w:hAnsi="Arial" w:eastAsia="宋体" w:cs="Arial"/>
                <w:color w:val="auto"/>
                <w:kern w:val="0"/>
                <w:sz w:val="20"/>
                <w:szCs w:val="20"/>
              </w:rPr>
              <w:t>为中国银行股份有限公司确定押品复估抵押价值。</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询价时点</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hint="default" w:ascii="Arial" w:hAnsi="Arial" w:eastAsia="宋体" w:cs="Arial"/>
                <w:color w:val="auto"/>
                <w:kern w:val="0"/>
                <w:sz w:val="20"/>
                <w:szCs w:val="20"/>
              </w:rPr>
            </w:pPr>
            <w:r>
              <w:rPr>
                <w:rFonts w:hint="default" w:ascii="Arial" w:hAnsi="Arial" w:eastAsia="宋体" w:cs="Arial"/>
                <w:color w:val="auto"/>
                <w:kern w:val="0"/>
                <w:sz w:val="20"/>
                <w:szCs w:val="20"/>
              </w:rPr>
              <w:t>20</w:t>
            </w:r>
            <w:r>
              <w:rPr>
                <w:rFonts w:hint="default" w:ascii="Arial" w:hAnsi="Arial" w:eastAsia="宋体" w:cs="Arial"/>
                <w:color w:val="auto"/>
                <w:kern w:val="0"/>
                <w:sz w:val="20"/>
                <w:szCs w:val="20"/>
                <w:lang w:val="en-US" w:eastAsia="zh-CN"/>
              </w:rPr>
              <w:t>23</w:t>
            </w:r>
            <w:r>
              <w:rPr>
                <w:rFonts w:hint="default" w:ascii="Arial" w:hAnsi="Arial" w:eastAsia="宋体" w:cs="Arial"/>
                <w:color w:val="auto"/>
                <w:kern w:val="0"/>
                <w:sz w:val="20"/>
                <w:szCs w:val="20"/>
              </w:rPr>
              <w:t>年</w:t>
            </w:r>
            <w:r>
              <w:rPr>
                <w:rFonts w:hint="default" w:ascii="Arial" w:hAnsi="Arial" w:eastAsia="宋体" w:cs="Arial"/>
                <w:color w:val="auto"/>
                <w:kern w:val="0"/>
                <w:sz w:val="20"/>
                <w:szCs w:val="20"/>
                <w:lang w:val="en-US" w:eastAsia="zh-CN"/>
              </w:rPr>
              <w:t>9</w:t>
            </w:r>
            <w:r>
              <w:rPr>
                <w:rFonts w:hint="default" w:ascii="Arial" w:hAnsi="Arial" w:eastAsia="宋体" w:cs="Arial"/>
                <w:color w:val="auto"/>
                <w:kern w:val="0"/>
                <w:sz w:val="20"/>
                <w:szCs w:val="20"/>
              </w:rPr>
              <w:t>月</w:t>
            </w:r>
            <w:r>
              <w:rPr>
                <w:rFonts w:hint="default" w:ascii="Arial" w:hAnsi="Arial" w:eastAsia="宋体" w:cs="Arial"/>
                <w:color w:val="auto"/>
                <w:kern w:val="0"/>
                <w:sz w:val="20"/>
                <w:szCs w:val="20"/>
                <w:lang w:val="en-US" w:eastAsia="zh-CN"/>
              </w:rPr>
              <w:t>7</w:t>
            </w:r>
            <w:r>
              <w:rPr>
                <w:rFonts w:hint="default" w:ascii="Arial" w:hAnsi="Arial" w:eastAsia="宋体" w:cs="Arial"/>
                <w:color w:val="auto"/>
                <w:kern w:val="0"/>
                <w:sz w:val="20"/>
                <w:szCs w:val="20"/>
              </w:rPr>
              <w:t>日</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基础信息</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hint="default" w:ascii="Arial" w:hAnsi="Arial" w:eastAsia="宋体" w:cs="Arial"/>
                <w:color w:val="auto"/>
                <w:kern w:val="0"/>
                <w:sz w:val="20"/>
                <w:szCs w:val="20"/>
              </w:rPr>
            </w:pPr>
            <w:r>
              <w:rPr>
                <w:rFonts w:hint="default" w:ascii="Arial" w:hAnsi="Arial" w:eastAsia="宋体" w:cs="Arial"/>
                <w:color w:val="auto"/>
                <w:kern w:val="0"/>
                <w:sz w:val="20"/>
                <w:szCs w:val="20"/>
              </w:rPr>
              <w:t>项目名称</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hint="default" w:ascii="Arial" w:hAnsi="Arial" w:eastAsia="宋体" w:cs="Arial"/>
                <w:color w:val="auto"/>
                <w:kern w:val="0"/>
                <w:sz w:val="20"/>
                <w:szCs w:val="20"/>
                <w:lang w:val="en-US" w:eastAsia="zh-CN"/>
              </w:rPr>
            </w:pPr>
            <w:r>
              <w:rPr>
                <w:rFonts w:hint="default" w:ascii="Arial" w:hAnsi="Arial" w:eastAsia="宋体" w:cs="Arial"/>
                <w:color w:val="auto"/>
                <w:kern w:val="0"/>
                <w:sz w:val="20"/>
                <w:szCs w:val="20"/>
                <w:lang w:val="en-US" w:eastAsia="zh-CN"/>
              </w:rPr>
              <w:t>空港国际</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hint="default" w:ascii="Arial" w:hAnsi="Arial" w:eastAsia="宋体" w:cs="Arial"/>
                <w:color w:val="auto"/>
                <w:kern w:val="0"/>
                <w:sz w:val="20"/>
                <w:szCs w:val="20"/>
              </w:rPr>
            </w:pPr>
            <w:r>
              <w:rPr>
                <w:rFonts w:hint="default" w:ascii="Arial" w:hAnsi="Arial" w:eastAsia="宋体" w:cs="Arial"/>
                <w:color w:val="auto"/>
                <w:kern w:val="0"/>
                <w:sz w:val="20"/>
                <w:szCs w:val="20"/>
              </w:rPr>
              <w:t>建筑面积</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hint="default" w:ascii="Arial" w:hAnsi="Arial" w:eastAsia="宋体" w:cs="Arial"/>
                <w:color w:val="auto"/>
                <w:kern w:val="0"/>
                <w:sz w:val="20"/>
                <w:szCs w:val="20"/>
              </w:rPr>
            </w:pPr>
            <w:r>
              <w:rPr>
                <w:rFonts w:hint="default" w:ascii="Arial" w:hAnsi="Arial" w:eastAsia="宋体" w:cs="Arial"/>
                <w:color w:val="auto"/>
                <w:kern w:val="0"/>
                <w:sz w:val="20"/>
                <w:szCs w:val="20"/>
                <w:lang w:val="en-US" w:eastAsia="zh-CN"/>
              </w:rPr>
              <w:t>78.38</w:t>
            </w:r>
            <w:r>
              <w:rPr>
                <w:rFonts w:hint="default" w:ascii="Arial" w:hAnsi="Arial" w:eastAsia="宋体" w:cs="Arial"/>
                <w:color w:val="auto"/>
                <w:kern w:val="0"/>
                <w:sz w:val="20"/>
                <w:szCs w:val="20"/>
              </w:rPr>
              <w:t>平方米</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hint="default" w:ascii="Arial" w:hAnsi="Arial" w:eastAsia="宋体" w:cs="Arial"/>
                <w:color w:val="auto"/>
                <w:kern w:val="0"/>
                <w:sz w:val="20"/>
                <w:szCs w:val="20"/>
              </w:rPr>
            </w:pPr>
            <w:r>
              <w:rPr>
                <w:rFonts w:hint="default" w:ascii="Arial" w:hAnsi="Arial" w:eastAsia="宋体" w:cs="Arial"/>
                <w:color w:val="auto"/>
                <w:kern w:val="0"/>
                <w:sz w:val="20"/>
                <w:szCs w:val="20"/>
              </w:rPr>
              <w:t>房屋总层数</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hint="default" w:ascii="Arial" w:hAnsi="Arial" w:eastAsia="宋体" w:cs="Arial"/>
                <w:color w:val="auto"/>
                <w:kern w:val="0"/>
                <w:sz w:val="20"/>
                <w:szCs w:val="20"/>
                <w:lang w:val="en-US" w:eastAsia="zh-CN"/>
              </w:rPr>
            </w:pPr>
            <w:r>
              <w:rPr>
                <w:rFonts w:hint="default" w:ascii="Arial" w:hAnsi="Arial" w:eastAsia="宋体" w:cs="Arial"/>
                <w:color w:val="auto"/>
                <w:kern w:val="0"/>
                <w:sz w:val="20"/>
                <w:szCs w:val="20"/>
                <w:lang w:val="en-US" w:eastAsia="zh-CN"/>
              </w:rPr>
              <w:t>10（-3）</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hint="default" w:ascii="Arial" w:hAnsi="Arial" w:eastAsia="宋体" w:cs="Arial"/>
                <w:color w:val="auto"/>
                <w:kern w:val="0"/>
                <w:sz w:val="20"/>
                <w:szCs w:val="20"/>
              </w:rPr>
            </w:pPr>
            <w:r>
              <w:rPr>
                <w:rFonts w:hint="default" w:ascii="Arial" w:hAnsi="Arial" w:eastAsia="宋体" w:cs="Arial"/>
                <w:color w:val="auto"/>
                <w:kern w:val="0"/>
                <w:sz w:val="20"/>
                <w:szCs w:val="20"/>
              </w:rPr>
              <w:t>所在层数</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hint="default" w:ascii="Arial" w:hAnsi="Arial" w:eastAsia="宋体" w:cs="Arial"/>
                <w:color w:val="auto"/>
                <w:kern w:val="0"/>
                <w:sz w:val="20"/>
                <w:szCs w:val="20"/>
                <w:lang w:val="en-US" w:eastAsia="zh-CN"/>
              </w:rPr>
            </w:pPr>
            <w:r>
              <w:rPr>
                <w:rFonts w:hint="default" w:ascii="Arial" w:hAnsi="Arial" w:eastAsia="宋体" w:cs="Arial"/>
                <w:color w:val="auto"/>
                <w:kern w:val="0"/>
                <w:sz w:val="20"/>
                <w:szCs w:val="20"/>
                <w:lang w:val="en-US" w:eastAsia="zh-CN"/>
              </w:rPr>
              <w:t>-1</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hint="default" w:ascii="Arial" w:hAnsi="Arial" w:eastAsia="宋体" w:cs="Arial"/>
                <w:color w:val="auto"/>
                <w:kern w:val="0"/>
                <w:sz w:val="20"/>
                <w:szCs w:val="20"/>
              </w:rPr>
            </w:pPr>
            <w:r>
              <w:rPr>
                <w:rFonts w:hint="default" w:ascii="Arial" w:hAnsi="Arial" w:eastAsia="宋体" w:cs="Arial"/>
                <w:color w:val="auto"/>
                <w:kern w:val="0"/>
                <w:sz w:val="20"/>
                <w:szCs w:val="20"/>
              </w:rPr>
              <w:t>规划用途</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hint="default" w:ascii="Arial" w:hAnsi="Arial" w:eastAsia="宋体" w:cs="Arial"/>
                <w:color w:val="auto"/>
                <w:kern w:val="0"/>
                <w:sz w:val="20"/>
                <w:szCs w:val="20"/>
                <w:lang w:val="en-US" w:eastAsia="zh-CN"/>
              </w:rPr>
            </w:pPr>
            <w:r>
              <w:rPr>
                <w:rFonts w:hint="default" w:ascii="Arial" w:hAnsi="Arial" w:eastAsia="宋体" w:cs="Arial"/>
                <w:color w:val="auto"/>
                <w:kern w:val="0"/>
                <w:sz w:val="20"/>
                <w:szCs w:val="20"/>
                <w:lang w:val="en-US" w:eastAsia="zh-CN"/>
              </w:rPr>
              <w:t>储藏间</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hint="default" w:ascii="Arial" w:hAnsi="Arial" w:eastAsia="宋体" w:cs="Arial"/>
                <w:color w:val="auto"/>
                <w:kern w:val="0"/>
                <w:sz w:val="20"/>
                <w:szCs w:val="20"/>
              </w:rPr>
            </w:pPr>
            <w:r>
              <w:rPr>
                <w:rFonts w:hint="default" w:ascii="Arial" w:hAnsi="Arial" w:eastAsia="宋体" w:cs="Arial"/>
                <w:color w:val="auto"/>
                <w:kern w:val="0"/>
                <w:sz w:val="20"/>
                <w:szCs w:val="20"/>
              </w:rPr>
              <w:t>房屋结构</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hint="default" w:ascii="Arial" w:hAnsi="Arial" w:eastAsia="宋体" w:cs="Arial"/>
                <w:color w:val="auto"/>
                <w:kern w:val="0"/>
                <w:sz w:val="20"/>
                <w:szCs w:val="20"/>
                <w:lang w:val="en-US" w:eastAsia="zh-CN"/>
              </w:rPr>
            </w:pPr>
            <w:r>
              <w:rPr>
                <w:rFonts w:hint="default" w:ascii="Arial" w:hAnsi="Arial" w:eastAsia="宋体" w:cs="Arial"/>
                <w:color w:val="auto"/>
                <w:kern w:val="0"/>
                <w:sz w:val="20"/>
                <w:szCs w:val="20"/>
                <w:lang w:val="en-US" w:eastAsia="zh-CN"/>
              </w:rPr>
              <w:t>钢混</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hint="default" w:ascii="Arial" w:hAnsi="Arial" w:eastAsia="宋体" w:cs="Arial"/>
                <w:color w:val="auto"/>
                <w:kern w:val="0"/>
                <w:sz w:val="20"/>
                <w:szCs w:val="20"/>
              </w:rPr>
            </w:pPr>
            <w:r>
              <w:rPr>
                <w:rFonts w:hint="default" w:ascii="Arial" w:hAnsi="Arial" w:eastAsia="宋体" w:cs="Arial"/>
                <w:color w:val="auto"/>
                <w:kern w:val="0"/>
                <w:sz w:val="20"/>
                <w:szCs w:val="20"/>
              </w:rPr>
              <w:t>其他</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hint="default" w:ascii="Arial" w:hAnsi="Arial" w:eastAsia="宋体" w:cs="Arial"/>
                <w:color w:val="auto"/>
                <w:kern w:val="0"/>
                <w:sz w:val="20"/>
                <w:szCs w:val="20"/>
              </w:rPr>
            </w:pPr>
            <w:r>
              <w:rPr>
                <w:rFonts w:hint="default" w:ascii="Arial" w:hAnsi="Arial" w:eastAsia="宋体" w:cs="Arial"/>
                <w:color w:val="auto"/>
                <w:sz w:val="21"/>
                <w:szCs w:val="21"/>
                <w:lang w:val="en-US" w:eastAsia="zh-CN"/>
              </w:rPr>
              <w:t>估价对象</w:t>
            </w:r>
            <w:r>
              <w:rPr>
                <w:rFonts w:hint="default" w:ascii="Arial" w:hAnsi="Arial" w:eastAsia="宋体" w:cs="Arial"/>
                <w:color w:val="auto"/>
                <w:sz w:val="21"/>
                <w:szCs w:val="21"/>
              </w:rPr>
              <w:t>与</w:t>
            </w:r>
            <w:r>
              <w:rPr>
                <w:rFonts w:hint="default" w:ascii="Arial" w:hAnsi="Arial" w:eastAsia="宋体" w:cs="Arial"/>
                <w:color w:val="auto"/>
                <w:kern w:val="0"/>
                <w:sz w:val="20"/>
                <w:szCs w:val="20"/>
              </w:rPr>
              <w:t>北京市</w:t>
            </w:r>
            <w:r>
              <w:rPr>
                <w:rFonts w:hint="default" w:ascii="Arial" w:hAnsi="Arial" w:eastAsia="宋体" w:cs="Arial"/>
                <w:color w:val="auto"/>
                <w:kern w:val="0"/>
                <w:sz w:val="20"/>
                <w:szCs w:val="20"/>
                <w:lang w:val="en-US" w:eastAsia="zh-CN"/>
              </w:rPr>
              <w:t>顺义区军营南街12号院7号楼</w:t>
            </w:r>
            <w:r>
              <w:rPr>
                <w:rFonts w:hint="default" w:ascii="Arial" w:hAnsi="Arial" w:eastAsia="宋体" w:cs="Arial"/>
                <w:bCs/>
                <w:color w:val="auto"/>
                <w:sz w:val="21"/>
                <w:szCs w:val="21"/>
              </w:rPr>
              <w:t>1层</w:t>
            </w:r>
            <w:r>
              <w:rPr>
                <w:rFonts w:hint="default" w:ascii="Arial" w:hAnsi="Arial" w:eastAsia="宋体" w:cs="Arial"/>
                <w:color w:val="auto"/>
                <w:sz w:val="21"/>
                <w:szCs w:val="21"/>
              </w:rPr>
              <w:t>111为整体利用（下跃户型），各部分分别取得</w:t>
            </w:r>
            <w:r>
              <w:rPr>
                <w:rFonts w:hint="default" w:ascii="Arial" w:hAnsi="Arial" w:eastAsia="宋体" w:cs="Arial"/>
                <w:bCs/>
                <w:color w:val="auto"/>
                <w:sz w:val="21"/>
                <w:szCs w:val="21"/>
              </w:rPr>
              <w:t>《不动产权证书》</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hint="default" w:ascii="Arial" w:hAnsi="Arial" w:eastAsia="宋体" w:cs="Arial"/>
                <w:color w:val="auto"/>
                <w:kern w:val="0"/>
                <w:sz w:val="20"/>
                <w:szCs w:val="20"/>
              </w:rPr>
            </w:pPr>
            <w:r>
              <w:rPr>
                <w:rFonts w:hint="default" w:ascii="Arial" w:hAnsi="Arial" w:eastAsia="宋体" w:cs="Arial"/>
                <w:color w:val="auto"/>
                <w:kern w:val="0"/>
                <w:sz w:val="20"/>
                <w:szCs w:val="20"/>
              </w:rPr>
              <w:t>他项权利状况</w:t>
            </w:r>
          </w:p>
        </w:tc>
        <w:tc>
          <w:tcPr>
            <w:tcW w:w="6412" w:type="dxa"/>
            <w:gridSpan w:val="3"/>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left"/>
              <w:rPr>
                <w:rFonts w:hint="default" w:ascii="Arial" w:hAnsi="Arial" w:eastAsia="宋体" w:cs="Arial"/>
                <w:color w:val="auto"/>
                <w:kern w:val="0"/>
                <w:sz w:val="20"/>
                <w:szCs w:val="20"/>
              </w:rPr>
            </w:pPr>
            <w:r>
              <w:rPr>
                <w:rFonts w:hint="default" w:ascii="Arial" w:hAnsi="Arial" w:eastAsia="宋体" w:cs="Arial"/>
                <w:color w:val="auto"/>
                <w:kern w:val="0"/>
                <w:sz w:val="20"/>
                <w:szCs w:val="20"/>
              </w:rPr>
              <w:t>估价对象于咨询时点存在抵押权，本次评估以原有的抵押权注销后再设立新的抵押权为假设前提，故不考虑此项优先受偿权。</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估价结果</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hint="default" w:ascii="Arial" w:hAnsi="Arial" w:eastAsia="宋体" w:cs="Arial"/>
                <w:color w:val="auto"/>
                <w:kern w:val="0"/>
                <w:sz w:val="20"/>
                <w:szCs w:val="20"/>
              </w:rPr>
            </w:pPr>
            <w:r>
              <w:rPr>
                <w:rFonts w:hint="default" w:ascii="Arial" w:hAnsi="Arial" w:eastAsia="宋体" w:cs="Arial"/>
                <w:color w:val="auto"/>
                <w:kern w:val="0"/>
                <w:sz w:val="20"/>
                <w:szCs w:val="20"/>
              </w:rPr>
              <w:t>抵押价值单价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hint="default" w:ascii="Arial" w:hAnsi="Arial" w:eastAsia="宋体" w:cs="Arial"/>
                <w:b/>
                <w:bCs/>
                <w:color w:val="auto"/>
                <w:kern w:val="0"/>
                <w:sz w:val="20"/>
                <w:szCs w:val="20"/>
              </w:rPr>
            </w:pPr>
            <w:r>
              <w:rPr>
                <w:rFonts w:hint="eastAsia" w:ascii="Arial" w:hAnsi="Arial" w:eastAsia="宋体" w:cs="Arial"/>
                <w:b/>
                <w:bCs/>
                <w:color w:val="auto"/>
                <w:kern w:val="0"/>
                <w:sz w:val="20"/>
                <w:szCs w:val="20"/>
                <w:lang w:val="en-US" w:eastAsia="zh-CN"/>
              </w:rPr>
              <w:t>9152</w:t>
            </w:r>
            <w:r>
              <w:rPr>
                <w:rFonts w:hint="default" w:ascii="Arial" w:hAnsi="Arial" w:eastAsia="宋体" w:cs="Arial"/>
                <w:b/>
                <w:bCs/>
                <w:color w:val="auto"/>
                <w:kern w:val="0"/>
                <w:sz w:val="20"/>
                <w:szCs w:val="20"/>
              </w:rPr>
              <w:t>元/平方米</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hint="default" w:ascii="Arial" w:hAnsi="Arial" w:eastAsia="宋体" w:cs="Arial"/>
                <w:color w:val="auto"/>
                <w:kern w:val="0"/>
                <w:sz w:val="20"/>
                <w:szCs w:val="20"/>
              </w:rPr>
            </w:pPr>
            <w:r>
              <w:rPr>
                <w:rFonts w:hint="default" w:ascii="Arial" w:hAnsi="Arial" w:eastAsia="宋体" w:cs="Arial"/>
                <w:color w:val="auto"/>
                <w:kern w:val="0"/>
                <w:sz w:val="20"/>
                <w:szCs w:val="20"/>
              </w:rPr>
              <w:t>抵押价值总价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hint="default" w:ascii="Arial" w:hAnsi="Arial" w:eastAsia="宋体" w:cs="Arial"/>
                <w:b/>
                <w:bCs/>
                <w:color w:val="auto"/>
                <w:kern w:val="0"/>
                <w:sz w:val="20"/>
                <w:szCs w:val="20"/>
              </w:rPr>
            </w:pPr>
            <w:r>
              <w:rPr>
                <w:rFonts w:hint="eastAsia" w:ascii="Arial" w:hAnsi="Arial" w:eastAsia="宋体" w:cs="Arial"/>
                <w:b/>
                <w:bCs/>
                <w:color w:val="auto"/>
                <w:kern w:val="0"/>
                <w:sz w:val="20"/>
                <w:szCs w:val="20"/>
                <w:lang w:val="en-US" w:eastAsia="zh-CN"/>
              </w:rPr>
              <w:t>72</w:t>
            </w:r>
            <w:r>
              <w:rPr>
                <w:rFonts w:hint="default" w:ascii="Arial" w:hAnsi="Arial" w:eastAsia="宋体" w:cs="Arial"/>
                <w:b/>
                <w:bCs/>
                <w:color w:val="auto"/>
                <w:kern w:val="0"/>
                <w:sz w:val="20"/>
                <w:szCs w:val="20"/>
              </w:rPr>
              <w:t>万元</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nil"/>
              <w:right w:val="single" w:color="000000" w:sz="4" w:space="0"/>
            </w:tcBorders>
            <w:shd w:val="clear" w:color="auto" w:fill="auto"/>
            <w:noWrap/>
            <w:vAlign w:val="center"/>
          </w:tcPr>
          <w:p>
            <w:pPr>
              <w:widowControl/>
              <w:spacing w:line="240" w:lineRule="exact"/>
              <w:jc w:val="left"/>
              <w:rPr>
                <w:rFonts w:hint="default" w:ascii="Arial" w:hAnsi="Arial" w:eastAsia="宋体" w:cs="Arial"/>
                <w:color w:val="auto"/>
                <w:kern w:val="0"/>
                <w:sz w:val="20"/>
                <w:szCs w:val="20"/>
              </w:rPr>
            </w:pPr>
            <w:r>
              <w:rPr>
                <w:rFonts w:hint="default" w:ascii="Arial" w:hAnsi="Arial" w:eastAsia="宋体" w:cs="Arial"/>
                <w:color w:val="auto"/>
                <w:kern w:val="0"/>
                <w:sz w:val="20"/>
                <w:szCs w:val="20"/>
              </w:rPr>
              <w:t>大写金额</w:t>
            </w:r>
          </w:p>
        </w:tc>
        <w:tc>
          <w:tcPr>
            <w:tcW w:w="6412" w:type="dxa"/>
            <w:gridSpan w:val="3"/>
            <w:tcBorders>
              <w:top w:val="single" w:color="auto" w:sz="4" w:space="0"/>
              <w:left w:val="nil"/>
              <w:bottom w:val="nil"/>
              <w:right w:val="single" w:color="000000" w:sz="4" w:space="0"/>
            </w:tcBorders>
            <w:shd w:val="clear" w:color="auto" w:fill="auto"/>
            <w:noWrap/>
            <w:vAlign w:val="center"/>
          </w:tcPr>
          <w:p>
            <w:pPr>
              <w:widowControl/>
              <w:spacing w:line="240" w:lineRule="exact"/>
              <w:jc w:val="left"/>
              <w:rPr>
                <w:rFonts w:hint="default" w:ascii="Arial" w:hAnsi="Arial" w:eastAsia="宋体" w:cs="Arial"/>
                <w:b/>
                <w:bCs/>
                <w:color w:val="auto"/>
                <w:kern w:val="0"/>
                <w:sz w:val="20"/>
                <w:szCs w:val="20"/>
                <w:lang w:val="en-US" w:eastAsia="zh-CN"/>
              </w:rPr>
            </w:pPr>
            <w:r>
              <w:rPr>
                <w:rFonts w:hint="eastAsia" w:ascii="Arial" w:hAnsi="Arial" w:eastAsia="宋体" w:cs="Arial"/>
                <w:b/>
                <w:bCs/>
                <w:color w:val="auto"/>
                <w:kern w:val="0"/>
                <w:sz w:val="20"/>
                <w:szCs w:val="20"/>
                <w:lang w:val="en-US" w:eastAsia="zh-CN"/>
              </w:rPr>
              <w:t>柒拾贰万元整</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有关说明</w:t>
            </w:r>
          </w:p>
        </w:tc>
        <w:tc>
          <w:tcPr>
            <w:tcW w:w="7800" w:type="dxa"/>
            <w:gridSpan w:val="4"/>
            <w:tcBorders>
              <w:top w:val="single" w:color="auto" w:sz="4" w:space="0"/>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1、本次复估单所依据的资料由估价委托人提供，估价人员未对其权属资料的真实性、完整性、准确性进行核验，如实际情况与之不符，估价结果需做相应调整。</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2、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3、本次复估未对估价对象进行实地勘查，若实际情况与估价委托人提供的信息有所差异时，会对估价结果产生影响，相关数据会发生变化，估价结果需做相应调整。</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4、若改变估价目的、价值时点、估价假设前提及使用条件，估价结果亦会发生变化，需向本估价机构咨询后重新出具复估单。由此对复估单使用人造成的损失，估价机构不承担任何责任。</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5、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color w:val="auto"/>
                <w:kern w:val="0"/>
                <w:sz w:val="20"/>
                <w:szCs w:val="20"/>
              </w:rPr>
            </w:pPr>
            <w:r>
              <w:rPr>
                <w:rFonts w:hint="eastAsia" w:ascii="Arial" w:hAnsi="Arial" w:eastAsia="宋体" w:cs="宋体"/>
                <w:b/>
                <w:color w:val="auto"/>
                <w:kern w:val="0"/>
                <w:sz w:val="20"/>
                <w:szCs w:val="20"/>
              </w:rPr>
              <w:t>复估有效期</w:t>
            </w:r>
          </w:p>
        </w:tc>
        <w:tc>
          <w:tcPr>
            <w:tcW w:w="7800" w:type="dxa"/>
            <w:gridSpan w:val="4"/>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本复估单自出具之日起</w:t>
            </w:r>
            <w:r>
              <w:rPr>
                <w:rFonts w:hint="eastAsia" w:ascii="Arial" w:hAnsi="Arial" w:eastAsia="宋体" w:cs="宋体"/>
                <w:b/>
                <w:bCs/>
                <w:color w:val="auto"/>
                <w:kern w:val="0"/>
                <w:sz w:val="20"/>
                <w:szCs w:val="20"/>
              </w:rPr>
              <w:t>壹年</w:t>
            </w:r>
            <w:r>
              <w:rPr>
                <w:rFonts w:hint="eastAsia" w:ascii="Arial" w:hAnsi="Arial" w:eastAsia="宋体" w:cs="宋体"/>
                <w:color w:val="auto"/>
                <w:kern w:val="0"/>
                <w:sz w:val="20"/>
                <w:szCs w:val="20"/>
              </w:rPr>
              <w:t>内有效，但在此期间市场变化较快或国家经济、城市规划、相关税费和银行利率发生变化，应重新评估。</w:t>
            </w:r>
          </w:p>
        </w:tc>
      </w:tr>
    </w:tbl>
    <w:p>
      <w:pPr>
        <w:rPr>
          <w:rFonts w:ascii="Arial" w:hAnsi="Arial"/>
          <w:color w:val="auto"/>
        </w:rPr>
      </w:pPr>
      <w:bookmarkStart w:id="0" w:name="_GoBack"/>
      <w:bookmarkEnd w:id="0"/>
    </w:p>
    <w:p>
      <w:pPr>
        <w:jc w:val="right"/>
        <w:rPr>
          <w:rFonts w:ascii="Arial" w:hAnsi="Arial"/>
          <w:color w:val="auto"/>
        </w:rPr>
      </w:pPr>
      <w:r>
        <w:rPr>
          <w:rFonts w:hint="eastAsia" w:ascii="Arial" w:hAnsi="Arial" w:eastAsia="宋体" w:cs="宋体"/>
          <w:color w:val="auto"/>
          <w:kern w:val="0"/>
          <w:sz w:val="20"/>
          <w:szCs w:val="20"/>
        </w:rPr>
        <w:t>北京康正宏基房地产评估有限公司</w:t>
      </w:r>
    </w:p>
    <w:p>
      <w:pPr>
        <w:jc w:val="right"/>
        <w:rPr>
          <w:rFonts w:hint="eastAsia"/>
          <w:color w:val="auto"/>
        </w:rPr>
      </w:pPr>
      <w:r>
        <w:rPr>
          <w:rFonts w:hint="eastAsia" w:ascii="Arial" w:hAnsi="Arial" w:eastAsia="宋体" w:cs="宋体"/>
          <w:color w:val="auto"/>
          <w:kern w:val="0"/>
          <w:sz w:val="20"/>
          <w:szCs w:val="20"/>
        </w:rPr>
        <w:t>二○二</w:t>
      </w:r>
      <w:r>
        <w:rPr>
          <w:rFonts w:hint="eastAsia" w:ascii="Arial" w:hAnsi="Arial" w:eastAsia="宋体" w:cs="宋体"/>
          <w:color w:val="auto"/>
          <w:kern w:val="0"/>
          <w:sz w:val="20"/>
          <w:szCs w:val="20"/>
          <w:lang w:val="en-US" w:eastAsia="zh-CN"/>
        </w:rPr>
        <w:t>三</w:t>
      </w:r>
      <w:r>
        <w:rPr>
          <w:rFonts w:hint="eastAsia" w:ascii="Arial" w:hAnsi="Arial" w:eastAsia="宋体" w:cs="宋体"/>
          <w:color w:val="auto"/>
          <w:kern w:val="0"/>
          <w:sz w:val="20"/>
          <w:szCs w:val="20"/>
        </w:rPr>
        <w:t>年</w:t>
      </w:r>
      <w:r>
        <w:rPr>
          <w:rFonts w:hint="eastAsia" w:ascii="Arial" w:hAnsi="Arial" w:eastAsia="宋体" w:cs="宋体"/>
          <w:color w:val="auto"/>
          <w:kern w:val="0"/>
          <w:sz w:val="20"/>
          <w:szCs w:val="20"/>
          <w:lang w:val="en-US" w:eastAsia="zh-CN"/>
        </w:rPr>
        <w:t>九</w:t>
      </w:r>
      <w:r>
        <w:rPr>
          <w:rFonts w:hint="eastAsia" w:ascii="Arial" w:hAnsi="Arial" w:eastAsia="宋体" w:cs="宋体"/>
          <w:color w:val="auto"/>
          <w:kern w:val="0"/>
          <w:sz w:val="20"/>
          <w:szCs w:val="20"/>
        </w:rPr>
        <w:t>月</w:t>
      </w:r>
      <w:r>
        <w:rPr>
          <w:rFonts w:hint="eastAsia" w:ascii="Arial" w:hAnsi="Arial" w:eastAsia="宋体" w:cs="宋体"/>
          <w:color w:val="auto"/>
          <w:kern w:val="0"/>
          <w:sz w:val="20"/>
          <w:szCs w:val="20"/>
          <w:lang w:val="en-US" w:eastAsia="zh-CN"/>
        </w:rPr>
        <w:t>八</w:t>
      </w:r>
      <w:r>
        <w:rPr>
          <w:rFonts w:hint="eastAsia" w:ascii="宋体" w:hAnsi="宋体" w:eastAsia="宋体" w:cs="宋体"/>
          <w:color w:val="auto"/>
          <w:kern w:val="0"/>
          <w:sz w:val="20"/>
          <w:szCs w:val="20"/>
        </w:rPr>
        <w:t>日</w:t>
      </w:r>
    </w:p>
    <w:sectPr>
      <w:headerReference r:id="rId3" w:type="default"/>
      <w:pgSz w:w="11906" w:h="16838"/>
      <w:pgMar w:top="1843" w:right="1304" w:bottom="1134" w:left="1304" w:header="1134"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细黑">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hint="eastAsia"/>
      </w:rPr>
    </w:pPr>
    <w: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5NjhhMGU2MmRhNWIwNDgwZGI2NmI2ZjFkMzUzMzkifQ=="/>
  </w:docVars>
  <w:rsids>
    <w:rsidRoot w:val="00BF20BE"/>
    <w:rsid w:val="0046333F"/>
    <w:rsid w:val="00795B85"/>
    <w:rsid w:val="00863392"/>
    <w:rsid w:val="00A92DEB"/>
    <w:rsid w:val="00BF20BE"/>
    <w:rsid w:val="00E95130"/>
    <w:rsid w:val="7DCE1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162</Words>
  <Characters>925</Characters>
  <Lines>7</Lines>
  <Paragraphs>2</Paragraphs>
  <TotalTime>0</TotalTime>
  <ScaleCrop>false</ScaleCrop>
  <LinksUpToDate>false</LinksUpToDate>
  <CharactersWithSpaces>1085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2023-09-01T05:04:00Z</dcterms:created>
  <dc:creator>崔锴</dc:creator>
  <cp:lastModifiedBy>sophia雅0407</cp:lastModifiedBy>
  <dcterms:modified xsi:type="dcterms:W3CDTF">2023-09-07T14:40:15Z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4623929F54D043199A2EFACD88E09EC8_12</vt:lpwstr>
  </property>
</Properties>
</file>